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FA248">
      <w:pPr>
        <w:autoSpaceDE w:val="0"/>
        <w:autoSpaceDN w:val="0"/>
        <w:spacing w:line="360" w:lineRule="auto"/>
        <w:textAlignment w:val="bottom"/>
        <w:outlineLvl w:val="9"/>
        <w:rPr>
          <w:rFonts w:hint="eastAsia" w:ascii="宋体" w:hAnsi="宋体"/>
          <w:b/>
          <w:color w:val="auto"/>
          <w:sz w:val="40"/>
          <w:szCs w:val="40"/>
          <w:highlight w:val="none"/>
        </w:rPr>
      </w:pPr>
    </w:p>
    <w:p w14:paraId="1FDD4400">
      <w:pPr>
        <w:pStyle w:val="41"/>
        <w:bidi w:val="0"/>
        <w:rPr>
          <w:rFonts w:hint="eastAsia"/>
          <w:color w:val="auto"/>
          <w:highlight w:val="none"/>
        </w:rPr>
      </w:pPr>
    </w:p>
    <w:p w14:paraId="25A255AA">
      <w:pPr>
        <w:spacing w:after="120" w:line="1200" w:lineRule="exact"/>
        <w:ind w:right="-136"/>
        <w:jc w:val="center"/>
        <w:outlineLvl w:val="9"/>
        <w:rPr>
          <w:rFonts w:hint="eastAsia" w:ascii="宋体" w:hAnsi="宋体" w:eastAsia="宋体" w:cs="等线"/>
          <w:b/>
          <w:color w:val="auto"/>
          <w:sz w:val="48"/>
          <w:szCs w:val="48"/>
          <w:highlight w:val="none"/>
          <w:lang w:val="en-US" w:eastAsia="zh-CN"/>
        </w:rPr>
      </w:pPr>
      <w:bookmarkStart w:id="0" w:name="_Toc18068"/>
      <w:r>
        <w:rPr>
          <w:rFonts w:hint="eastAsia" w:ascii="宋体" w:hAnsi="宋体" w:eastAsia="宋体" w:cs="等线"/>
          <w:b/>
          <w:color w:val="auto"/>
          <w:sz w:val="48"/>
          <w:szCs w:val="48"/>
          <w:highlight w:val="none"/>
          <w:lang w:val="en-US" w:eastAsia="zh-CN"/>
        </w:rPr>
        <w:t>北仑区体育赛事数字化应用项目</w:t>
      </w:r>
      <w:bookmarkEnd w:id="0"/>
    </w:p>
    <w:p w14:paraId="2868F809">
      <w:pPr>
        <w:bidi w:val="0"/>
        <w:rPr>
          <w:rFonts w:hint="eastAsia"/>
          <w:color w:val="auto"/>
          <w:sz w:val="48"/>
          <w:szCs w:val="48"/>
          <w:highlight w:val="none"/>
          <w:lang w:val="en-US" w:eastAsia="zh-CN"/>
        </w:rPr>
      </w:pPr>
    </w:p>
    <w:p w14:paraId="195EB844">
      <w:pPr>
        <w:spacing w:after="120" w:line="360" w:lineRule="auto"/>
        <w:jc w:val="center"/>
        <w:outlineLvl w:val="9"/>
        <w:rPr>
          <w:rFonts w:ascii="宋体" w:hAnsi="宋体" w:cs="宋体"/>
          <w:b/>
          <w:color w:val="auto"/>
          <w:sz w:val="48"/>
          <w:szCs w:val="48"/>
          <w:highlight w:val="none"/>
        </w:rPr>
      </w:pPr>
      <w:bookmarkStart w:id="1" w:name="_Toc19739"/>
      <w:r>
        <w:rPr>
          <w:rFonts w:hint="eastAsia" w:ascii="宋体" w:hAnsi="宋体" w:eastAsia="宋体" w:cs="等线"/>
          <w:b/>
          <w:color w:val="auto"/>
          <w:sz w:val="48"/>
          <w:szCs w:val="48"/>
          <w:highlight w:val="none"/>
          <w:lang w:val="en-US" w:eastAsia="zh-CN"/>
        </w:rPr>
        <w:t>公开招标文件</w:t>
      </w:r>
      <w:bookmarkEnd w:id="1"/>
    </w:p>
    <w:p w14:paraId="31670EED">
      <w:pPr>
        <w:autoSpaceDE w:val="0"/>
        <w:autoSpaceDN w:val="0"/>
        <w:spacing w:line="480" w:lineRule="auto"/>
        <w:jc w:val="both"/>
        <w:textAlignment w:val="bottom"/>
        <w:rPr>
          <w:rFonts w:hint="eastAsia" w:ascii="宋体" w:hAnsi="宋体" w:eastAsia="宋体" w:cs="宋体"/>
          <w:color w:val="auto"/>
          <w:sz w:val="48"/>
          <w:szCs w:val="48"/>
          <w:highlight w:val="none"/>
          <w:lang w:eastAsia="zh-CN"/>
        </w:rPr>
      </w:pPr>
    </w:p>
    <w:p w14:paraId="42A712AF">
      <w:pPr>
        <w:autoSpaceDE w:val="0"/>
        <w:autoSpaceDN w:val="0"/>
        <w:spacing w:line="360" w:lineRule="auto"/>
        <w:jc w:val="center"/>
        <w:textAlignment w:val="bottom"/>
        <w:outlineLvl w:val="9"/>
        <w:rPr>
          <w:rFonts w:ascii="宋体" w:hAnsi="宋体"/>
          <w:b/>
          <w:color w:val="auto"/>
          <w:sz w:val="72"/>
          <w:szCs w:val="72"/>
          <w:highlight w:val="none"/>
        </w:rPr>
      </w:pPr>
    </w:p>
    <w:p w14:paraId="75D13684">
      <w:pPr>
        <w:pStyle w:val="3"/>
        <w:numPr>
          <w:ilvl w:val="0"/>
          <w:numId w:val="0"/>
        </w:numPr>
        <w:ind w:leftChars="0"/>
        <w:rPr>
          <w:color w:val="auto"/>
          <w:highlight w:val="none"/>
        </w:rPr>
      </w:pPr>
    </w:p>
    <w:p w14:paraId="08872626">
      <w:pPr>
        <w:autoSpaceDE w:val="0"/>
        <w:autoSpaceDN w:val="0"/>
        <w:spacing w:line="480" w:lineRule="auto"/>
        <w:ind w:firstLine="1157" w:firstLineChars="400"/>
        <w:jc w:val="left"/>
        <w:textAlignment w:val="bottom"/>
        <w:outlineLvl w:val="9"/>
        <w:rPr>
          <w:rFonts w:hint="eastAsia" w:ascii="宋体" w:hAnsi="宋体" w:eastAsia="宋体" w:cs="Times New Roman"/>
          <w:b/>
          <w:bCs/>
          <w:color w:val="auto"/>
          <w:spacing w:val="-6"/>
          <w:sz w:val="30"/>
          <w:szCs w:val="30"/>
          <w:highlight w:val="none"/>
          <w:lang w:eastAsia="zh-CN"/>
        </w:rPr>
      </w:pPr>
      <w:bookmarkStart w:id="2" w:name="_Toc25524"/>
      <w:r>
        <w:rPr>
          <w:rFonts w:hint="eastAsia" w:ascii="宋体" w:hAnsi="宋体" w:eastAsia="宋体" w:cs="Times New Roman"/>
          <w:b/>
          <w:bCs/>
          <w:color w:val="auto"/>
          <w:spacing w:val="-6"/>
          <w:sz w:val="30"/>
          <w:szCs w:val="30"/>
          <w:highlight w:val="none"/>
          <w:lang w:eastAsia="zh-CN"/>
        </w:rPr>
        <w:t>项目编号：</w:t>
      </w:r>
      <w:bookmarkEnd w:id="2"/>
      <w:r>
        <w:rPr>
          <w:rFonts w:hint="eastAsia" w:ascii="宋体" w:hAnsi="宋体" w:eastAsia="宋体" w:cs="Times New Roman"/>
          <w:b/>
          <w:bCs/>
          <w:color w:val="auto"/>
          <w:spacing w:val="-6"/>
          <w:sz w:val="30"/>
          <w:szCs w:val="30"/>
          <w:highlight w:val="none"/>
          <w:u w:val="none"/>
          <w:lang w:eastAsia="zh-CN"/>
        </w:rPr>
        <w:t>NZZB</w:t>
      </w:r>
      <w:r>
        <w:rPr>
          <w:rFonts w:hint="eastAsia" w:ascii="宋体" w:hAnsi="宋体" w:eastAsia="宋体" w:cs="Times New Roman"/>
          <w:b/>
          <w:bCs/>
          <w:color w:val="auto"/>
          <w:spacing w:val="-6"/>
          <w:sz w:val="30"/>
          <w:szCs w:val="30"/>
          <w:highlight w:val="none"/>
          <w:u w:val="none"/>
          <w:lang w:val="en-US" w:eastAsia="zh-CN"/>
        </w:rPr>
        <w:t>-</w:t>
      </w:r>
      <w:r>
        <w:rPr>
          <w:rFonts w:hint="eastAsia" w:ascii="宋体" w:hAnsi="宋体" w:eastAsia="宋体" w:cs="Times New Roman"/>
          <w:b/>
          <w:bCs/>
          <w:color w:val="auto"/>
          <w:spacing w:val="-6"/>
          <w:sz w:val="30"/>
          <w:szCs w:val="30"/>
          <w:highlight w:val="none"/>
          <w:u w:val="none"/>
          <w:lang w:eastAsia="zh-CN"/>
        </w:rPr>
        <w:t>2024174G</w:t>
      </w:r>
    </w:p>
    <w:p w14:paraId="656A2BC0">
      <w:pPr>
        <w:pStyle w:val="38"/>
        <w:rPr>
          <w:rFonts w:hint="eastAsia" w:ascii="宋体" w:hAnsi="宋体" w:eastAsia="宋体" w:cs="Times New Roman"/>
          <w:b/>
          <w:bCs/>
          <w:color w:val="auto"/>
          <w:sz w:val="30"/>
          <w:szCs w:val="30"/>
          <w:highlight w:val="none"/>
        </w:rPr>
      </w:pPr>
    </w:p>
    <w:p w14:paraId="3990DBAA">
      <w:pPr>
        <w:pStyle w:val="38"/>
        <w:rPr>
          <w:rFonts w:hint="eastAsia" w:ascii="宋体" w:hAnsi="宋体" w:eastAsia="宋体" w:cs="Times New Roman"/>
          <w:b/>
          <w:bCs/>
          <w:color w:val="auto"/>
          <w:sz w:val="30"/>
          <w:szCs w:val="30"/>
          <w:highlight w:val="none"/>
        </w:rPr>
      </w:pPr>
    </w:p>
    <w:p w14:paraId="744D3264">
      <w:pPr>
        <w:autoSpaceDE w:val="0"/>
        <w:autoSpaceDN w:val="0"/>
        <w:spacing w:line="480" w:lineRule="auto"/>
        <w:ind w:firstLine="1205" w:firstLineChars="400"/>
        <w:jc w:val="left"/>
        <w:textAlignment w:val="bottom"/>
        <w:outlineLvl w:val="9"/>
        <w:rPr>
          <w:rFonts w:hint="eastAsia" w:ascii="宋体" w:hAnsi="宋体"/>
          <w:b/>
          <w:bCs/>
          <w:color w:val="auto"/>
          <w:spacing w:val="-6"/>
          <w:sz w:val="30"/>
          <w:szCs w:val="30"/>
          <w:highlight w:val="none"/>
        </w:rPr>
      </w:pPr>
      <w:bookmarkStart w:id="3" w:name="_Toc20879"/>
      <w:r>
        <w:rPr>
          <w:rFonts w:hint="eastAsia" w:ascii="宋体" w:hAnsi="宋体"/>
          <w:b/>
          <w:bCs/>
          <w:color w:val="auto"/>
          <w:sz w:val="30"/>
          <w:szCs w:val="30"/>
          <w:highlight w:val="none"/>
        </w:rPr>
        <w:t>采购人：</w:t>
      </w:r>
      <w:r>
        <w:rPr>
          <w:rFonts w:hint="eastAsia" w:ascii="宋体" w:hAnsi="宋体"/>
          <w:b/>
          <w:bCs/>
          <w:color w:val="auto"/>
          <w:spacing w:val="-6"/>
          <w:sz w:val="30"/>
          <w:szCs w:val="30"/>
          <w:highlight w:val="none"/>
          <w:lang w:eastAsia="zh-CN"/>
        </w:rPr>
        <w:t>宁波市北仑区体艺中心</w:t>
      </w:r>
      <w:bookmarkEnd w:id="3"/>
      <w:r>
        <w:rPr>
          <w:rFonts w:hint="eastAsia" w:ascii="宋体" w:hAnsi="宋体"/>
          <w:b/>
          <w:bCs/>
          <w:color w:val="auto"/>
          <w:spacing w:val="-6"/>
          <w:sz w:val="30"/>
          <w:szCs w:val="30"/>
          <w:highlight w:val="none"/>
        </w:rPr>
        <w:t xml:space="preserve"> </w:t>
      </w:r>
    </w:p>
    <w:p w14:paraId="22D87075">
      <w:pPr>
        <w:bidi w:val="0"/>
        <w:rPr>
          <w:rFonts w:hint="eastAsia"/>
          <w:color w:val="auto"/>
          <w:highlight w:val="none"/>
        </w:rPr>
      </w:pPr>
    </w:p>
    <w:p w14:paraId="7D775F31">
      <w:pPr>
        <w:pStyle w:val="38"/>
        <w:rPr>
          <w:rFonts w:hint="eastAsia"/>
          <w:color w:val="auto"/>
          <w:highlight w:val="none"/>
        </w:rPr>
      </w:pPr>
    </w:p>
    <w:p w14:paraId="7A31869B">
      <w:pPr>
        <w:pStyle w:val="38"/>
        <w:rPr>
          <w:rFonts w:hint="eastAsia" w:ascii="宋体" w:hAnsi="宋体"/>
          <w:b/>
          <w:bCs/>
          <w:color w:val="auto"/>
          <w:spacing w:val="-6"/>
          <w:sz w:val="30"/>
          <w:szCs w:val="30"/>
          <w:highlight w:val="none"/>
        </w:rPr>
      </w:pPr>
    </w:p>
    <w:p w14:paraId="3E7D72FC">
      <w:pPr>
        <w:autoSpaceDE w:val="0"/>
        <w:autoSpaceDN w:val="0"/>
        <w:spacing w:line="480" w:lineRule="auto"/>
        <w:ind w:left="218" w:leftChars="104" w:firstLine="1205" w:firstLineChars="400"/>
        <w:jc w:val="left"/>
        <w:textAlignment w:val="bottom"/>
        <w:outlineLvl w:val="9"/>
        <w:rPr>
          <w:rFonts w:hint="eastAsia" w:ascii="宋体" w:hAnsi="宋体"/>
          <w:b/>
          <w:bCs/>
          <w:color w:val="auto"/>
          <w:sz w:val="30"/>
          <w:szCs w:val="30"/>
          <w:highlight w:val="none"/>
        </w:rPr>
      </w:pPr>
      <w:bookmarkStart w:id="4" w:name="_Toc8829"/>
      <w:r>
        <w:rPr>
          <w:rFonts w:hint="eastAsia" w:ascii="宋体" w:hAnsi="宋体"/>
          <w:b/>
          <w:bCs/>
          <w:color w:val="auto"/>
          <w:sz w:val="30"/>
          <w:szCs w:val="30"/>
          <w:highlight w:val="none"/>
        </w:rPr>
        <w:t>采购机构：</w:t>
      </w:r>
      <w:bookmarkStart w:id="5" w:name="_Toc65510677"/>
      <w:bookmarkStart w:id="6" w:name="_Toc21674"/>
      <w:bookmarkStart w:id="7" w:name="_Toc65753662"/>
      <w:r>
        <w:rPr>
          <w:rFonts w:hint="eastAsia" w:ascii="宋体" w:hAnsi="宋体"/>
          <w:b/>
          <w:bCs/>
          <w:color w:val="auto"/>
          <w:sz w:val="30"/>
          <w:szCs w:val="30"/>
          <w:highlight w:val="none"/>
          <w:lang w:eastAsia="zh-CN"/>
        </w:rPr>
        <w:t>宁波国研信息科技有限公司</w:t>
      </w:r>
      <w:bookmarkEnd w:id="4"/>
      <w:r>
        <w:rPr>
          <w:rFonts w:hint="eastAsia" w:ascii="宋体" w:hAnsi="宋体"/>
          <w:b/>
          <w:bCs/>
          <w:color w:val="auto"/>
          <w:sz w:val="30"/>
          <w:szCs w:val="30"/>
          <w:highlight w:val="none"/>
        </w:rPr>
        <w:t xml:space="preserve"> </w:t>
      </w:r>
    </w:p>
    <w:p w14:paraId="43DA629B">
      <w:pPr>
        <w:pStyle w:val="38"/>
        <w:ind w:left="0" w:leftChars="0" w:firstLine="0" w:firstLineChars="0"/>
        <w:rPr>
          <w:rFonts w:hint="eastAsia"/>
          <w:color w:val="auto"/>
          <w:highlight w:val="none"/>
        </w:rPr>
      </w:pPr>
    </w:p>
    <w:p w14:paraId="607D0DA5">
      <w:pPr>
        <w:pStyle w:val="38"/>
        <w:rPr>
          <w:rFonts w:hint="eastAsia"/>
          <w:color w:val="auto"/>
          <w:highlight w:val="none"/>
        </w:rPr>
      </w:pPr>
    </w:p>
    <w:p w14:paraId="64638186">
      <w:pPr>
        <w:bidi w:val="0"/>
        <w:rPr>
          <w:rFonts w:hint="eastAsia"/>
          <w:color w:val="auto"/>
          <w:highlight w:val="none"/>
        </w:rPr>
      </w:pPr>
    </w:p>
    <w:p w14:paraId="4151C9B6">
      <w:pPr>
        <w:autoSpaceDE w:val="0"/>
        <w:autoSpaceDN w:val="0"/>
        <w:spacing w:line="480" w:lineRule="auto"/>
        <w:ind w:firstLine="2711" w:firstLineChars="900"/>
        <w:jc w:val="both"/>
        <w:textAlignment w:val="bottom"/>
        <w:rPr>
          <w:rFonts w:hint="eastAsia" w:ascii="宋体" w:hAnsi="宋体"/>
          <w:b/>
          <w:bCs/>
          <w:color w:val="auto"/>
          <w:sz w:val="32"/>
          <w:szCs w:val="32"/>
          <w:highlight w:val="none"/>
        </w:rPr>
      </w:pPr>
      <w:r>
        <w:rPr>
          <w:rFonts w:hint="eastAsia" w:ascii="宋体" w:hAnsi="宋体"/>
          <w:b/>
          <w:bCs/>
          <w:color w:val="auto"/>
          <w:sz w:val="30"/>
          <w:szCs w:val="30"/>
          <w:highlight w:val="none"/>
        </w:rPr>
        <w:t>日期：202</w:t>
      </w:r>
      <w:r>
        <w:rPr>
          <w:rFonts w:hint="eastAsia" w:ascii="宋体" w:hAnsi="宋体"/>
          <w:b/>
          <w:bCs/>
          <w:color w:val="auto"/>
          <w:sz w:val="30"/>
          <w:szCs w:val="30"/>
          <w:highlight w:val="none"/>
          <w:lang w:val="en-US" w:eastAsia="zh-CN"/>
        </w:rPr>
        <w:t>5</w:t>
      </w:r>
      <w:r>
        <w:rPr>
          <w:rFonts w:hint="eastAsia" w:ascii="宋体" w:hAnsi="宋体"/>
          <w:b/>
          <w:bCs/>
          <w:color w:val="auto"/>
          <w:sz w:val="30"/>
          <w:szCs w:val="30"/>
          <w:highlight w:val="none"/>
        </w:rPr>
        <w:t>年</w:t>
      </w:r>
      <w:r>
        <w:rPr>
          <w:rFonts w:hint="eastAsia" w:ascii="宋体" w:hAnsi="宋体"/>
          <w:b/>
          <w:bCs/>
          <w:color w:val="auto"/>
          <w:sz w:val="30"/>
          <w:szCs w:val="30"/>
          <w:highlight w:val="none"/>
          <w:lang w:val="en-US" w:eastAsia="zh-CN"/>
        </w:rPr>
        <w:t>2</w:t>
      </w:r>
      <w:r>
        <w:rPr>
          <w:rFonts w:hint="eastAsia" w:ascii="宋体" w:hAnsi="宋体"/>
          <w:b/>
          <w:bCs/>
          <w:color w:val="auto"/>
          <w:sz w:val="30"/>
          <w:szCs w:val="30"/>
          <w:highlight w:val="none"/>
        </w:rPr>
        <w:t>月</w:t>
      </w:r>
      <w:bookmarkEnd w:id="5"/>
      <w:bookmarkEnd w:id="6"/>
      <w:bookmarkEnd w:id="7"/>
    </w:p>
    <w:p w14:paraId="127A2913">
      <w:pPr>
        <w:pStyle w:val="12"/>
        <w:rPr>
          <w:rFonts w:hint="eastAsia"/>
          <w:i w:val="0"/>
          <w:color w:val="auto"/>
          <w:highlight w:val="none"/>
        </w:rPr>
      </w:pPr>
    </w:p>
    <w:p w14:paraId="772972CD">
      <w:pPr>
        <w:jc w:val="left"/>
        <w:rPr>
          <w:rFonts w:hint="eastAsia" w:ascii="宋体" w:hAnsi="宋体"/>
          <w:b/>
          <w:color w:val="auto"/>
          <w:sz w:val="44"/>
          <w:szCs w:val="44"/>
          <w:highlight w:val="none"/>
        </w:rPr>
      </w:pPr>
    </w:p>
    <w:p w14:paraId="010AD7D1">
      <w:pPr>
        <w:spacing w:line="360" w:lineRule="auto"/>
        <w:jc w:val="left"/>
        <w:rPr>
          <w:rFonts w:hint="eastAsia" w:ascii="宋体" w:hAnsi="宋体"/>
          <w:b/>
          <w:color w:val="auto"/>
          <w:sz w:val="32"/>
          <w:szCs w:val="32"/>
          <w:highlight w:val="none"/>
        </w:rPr>
      </w:pPr>
    </w:p>
    <w:p w14:paraId="38080C70">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目  录</w:t>
      </w:r>
    </w:p>
    <w:p w14:paraId="320C9CC4">
      <w:pPr>
        <w:pStyle w:val="74"/>
        <w:keepNext w:val="0"/>
        <w:keepLines w:val="0"/>
        <w:pageBreakBefore w:val="0"/>
        <w:tabs>
          <w:tab w:val="right" w:leader="dot" w:pos="9525"/>
        </w:tabs>
        <w:kinsoku/>
        <w:wordWrap/>
        <w:overflowPunct/>
        <w:topLinePunct w:val="0"/>
        <w:autoSpaceDE/>
        <w:autoSpaceDN/>
        <w:bidi w:val="0"/>
        <w:adjustRightInd/>
        <w:snapToGrid/>
        <w:spacing w:line="36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TOC \o "1-1" \h \u </w:instrText>
      </w:r>
      <w:r>
        <w:rPr>
          <w:color w:val="auto"/>
          <w:sz w:val="24"/>
          <w:szCs w:val="24"/>
          <w:highlight w:val="none"/>
        </w:rPr>
        <w:fldChar w:fldCharType="separate"/>
      </w:r>
    </w:p>
    <w:p w14:paraId="257BDD91">
      <w:pPr>
        <w:pStyle w:val="74"/>
        <w:keepNext w:val="0"/>
        <w:keepLines w:val="0"/>
        <w:pageBreakBefore w:val="0"/>
        <w:widowControl/>
        <w:tabs>
          <w:tab w:val="right" w:leader="dot" w:pos="9525"/>
        </w:tabs>
        <w:kinsoku/>
        <w:wordWrap/>
        <w:overflowPunct/>
        <w:topLinePunct w:val="0"/>
        <w:autoSpaceDE/>
        <w:autoSpaceDN/>
        <w:bidi w:val="0"/>
        <w:adjustRightInd/>
        <w:snapToGrid/>
        <w:spacing w:line="48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_Toc4576 </w:instrText>
      </w:r>
      <w:r>
        <w:rPr>
          <w:color w:val="auto"/>
          <w:sz w:val="24"/>
          <w:szCs w:val="24"/>
          <w:highlight w:val="none"/>
        </w:rPr>
        <w:fldChar w:fldCharType="separate"/>
      </w:r>
      <w:r>
        <w:rPr>
          <w:rFonts w:hint="eastAsia"/>
          <w:color w:val="auto"/>
          <w:sz w:val="24"/>
          <w:szCs w:val="24"/>
          <w:highlight w:val="none"/>
        </w:rPr>
        <w:t>第一部分  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_Toc4576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color w:val="auto"/>
          <w:sz w:val="24"/>
          <w:szCs w:val="24"/>
          <w:highlight w:val="none"/>
        </w:rPr>
        <w:fldChar w:fldCharType="end"/>
      </w:r>
    </w:p>
    <w:p w14:paraId="046A9A2E">
      <w:pPr>
        <w:pStyle w:val="74"/>
        <w:keepNext w:val="0"/>
        <w:keepLines w:val="0"/>
        <w:pageBreakBefore w:val="0"/>
        <w:widowControl/>
        <w:tabs>
          <w:tab w:val="right" w:leader="dot" w:pos="9525"/>
        </w:tabs>
        <w:kinsoku/>
        <w:wordWrap/>
        <w:overflowPunct/>
        <w:topLinePunct w:val="0"/>
        <w:autoSpaceDE/>
        <w:autoSpaceDN/>
        <w:bidi w:val="0"/>
        <w:adjustRightInd/>
        <w:snapToGrid/>
        <w:spacing w:line="48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_Toc18462 </w:instrText>
      </w:r>
      <w:r>
        <w:rPr>
          <w:color w:val="auto"/>
          <w:sz w:val="24"/>
          <w:szCs w:val="24"/>
          <w:highlight w:val="none"/>
        </w:rPr>
        <w:fldChar w:fldCharType="separate"/>
      </w:r>
      <w:r>
        <w:rPr>
          <w:color w:val="auto"/>
          <w:sz w:val="24"/>
          <w:szCs w:val="24"/>
          <w:highlight w:val="none"/>
        </w:rPr>
        <w:t>第</w:t>
      </w:r>
      <w:r>
        <w:rPr>
          <w:rFonts w:hint="eastAsia"/>
          <w:color w:val="auto"/>
          <w:sz w:val="24"/>
          <w:szCs w:val="24"/>
          <w:highlight w:val="none"/>
        </w:rPr>
        <w:t>二</w:t>
      </w:r>
      <w:r>
        <w:rPr>
          <w:color w:val="auto"/>
          <w:sz w:val="24"/>
          <w:szCs w:val="24"/>
          <w:highlight w:val="none"/>
        </w:rPr>
        <w:t xml:space="preserve">部分  </w:t>
      </w:r>
      <w:r>
        <w:rPr>
          <w:rFonts w:hint="eastAsia"/>
          <w:color w:val="auto"/>
          <w:sz w:val="24"/>
          <w:szCs w:val="24"/>
          <w:highlight w:val="none"/>
        </w:rPr>
        <w:t>投标人须知及前附表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_Toc18462 \h </w:instrText>
      </w:r>
      <w:r>
        <w:rPr>
          <w:color w:val="auto"/>
          <w:sz w:val="24"/>
          <w:szCs w:val="24"/>
          <w:highlight w:val="none"/>
        </w:rPr>
        <w:fldChar w:fldCharType="separate"/>
      </w:r>
      <w:r>
        <w:rPr>
          <w:color w:val="auto"/>
          <w:sz w:val="24"/>
          <w:szCs w:val="24"/>
          <w:highlight w:val="none"/>
        </w:rPr>
        <w:t>7</w:t>
      </w:r>
      <w:r>
        <w:rPr>
          <w:color w:val="auto"/>
          <w:sz w:val="24"/>
          <w:szCs w:val="24"/>
          <w:highlight w:val="none"/>
        </w:rPr>
        <w:fldChar w:fldCharType="end"/>
      </w:r>
      <w:r>
        <w:rPr>
          <w:color w:val="auto"/>
          <w:sz w:val="24"/>
          <w:szCs w:val="24"/>
          <w:highlight w:val="none"/>
        </w:rPr>
        <w:fldChar w:fldCharType="end"/>
      </w:r>
    </w:p>
    <w:p w14:paraId="5E48EC82">
      <w:pPr>
        <w:pStyle w:val="74"/>
        <w:keepNext w:val="0"/>
        <w:keepLines w:val="0"/>
        <w:pageBreakBefore w:val="0"/>
        <w:widowControl/>
        <w:tabs>
          <w:tab w:val="right" w:leader="dot" w:pos="9525"/>
        </w:tabs>
        <w:kinsoku/>
        <w:wordWrap/>
        <w:overflowPunct/>
        <w:topLinePunct w:val="0"/>
        <w:autoSpaceDE/>
        <w:autoSpaceDN/>
        <w:bidi w:val="0"/>
        <w:adjustRightInd/>
        <w:snapToGrid/>
        <w:spacing w:line="480" w:lineRule="auto"/>
        <w:textAlignment w:val="auto"/>
        <w:rPr>
          <w:rFonts w:hint="eastAsia" w:eastAsia="宋体"/>
          <w:color w:val="auto"/>
          <w:sz w:val="24"/>
          <w:szCs w:val="24"/>
          <w:highlight w:val="none"/>
          <w:lang w:val="en-US" w:eastAsia="zh-CN"/>
        </w:rPr>
      </w:pPr>
      <w:r>
        <w:rPr>
          <w:color w:val="auto"/>
          <w:sz w:val="24"/>
          <w:szCs w:val="24"/>
          <w:highlight w:val="none"/>
        </w:rPr>
        <w:fldChar w:fldCharType="begin"/>
      </w:r>
      <w:r>
        <w:rPr>
          <w:color w:val="auto"/>
          <w:sz w:val="24"/>
          <w:szCs w:val="24"/>
          <w:highlight w:val="none"/>
        </w:rPr>
        <w:instrText xml:space="preserve"> HYPERLINK \l _Toc5640 </w:instrText>
      </w:r>
      <w:r>
        <w:rPr>
          <w:color w:val="auto"/>
          <w:sz w:val="24"/>
          <w:szCs w:val="24"/>
          <w:highlight w:val="none"/>
        </w:rPr>
        <w:fldChar w:fldCharType="separate"/>
      </w:r>
      <w:r>
        <w:rPr>
          <w:rFonts w:hint="eastAsia"/>
          <w:color w:val="auto"/>
          <w:sz w:val="24"/>
          <w:szCs w:val="24"/>
          <w:highlight w:val="none"/>
        </w:rPr>
        <w:t>第三部分  项目内容及要求</w:t>
      </w:r>
      <w:r>
        <w:rPr>
          <w:color w:val="auto"/>
          <w:sz w:val="24"/>
          <w:szCs w:val="24"/>
          <w:highlight w:val="none"/>
        </w:rPr>
        <w:tab/>
      </w:r>
      <w:r>
        <w:rPr>
          <w:rFonts w:hint="eastAsia"/>
          <w:color w:val="auto"/>
          <w:sz w:val="24"/>
          <w:szCs w:val="24"/>
          <w:highlight w:val="none"/>
          <w:lang w:val="en-US" w:eastAsia="zh-CN"/>
        </w:rPr>
        <w:t>1</w:t>
      </w:r>
      <w:r>
        <w:rPr>
          <w:color w:val="auto"/>
          <w:sz w:val="24"/>
          <w:szCs w:val="24"/>
          <w:highlight w:val="none"/>
        </w:rPr>
        <w:fldChar w:fldCharType="end"/>
      </w:r>
      <w:r>
        <w:rPr>
          <w:rFonts w:hint="eastAsia"/>
          <w:color w:val="auto"/>
          <w:sz w:val="24"/>
          <w:szCs w:val="24"/>
          <w:highlight w:val="none"/>
          <w:lang w:val="en-US" w:eastAsia="zh-CN"/>
        </w:rPr>
        <w:t>9</w:t>
      </w:r>
    </w:p>
    <w:p w14:paraId="1AA26EA7">
      <w:pPr>
        <w:pStyle w:val="74"/>
        <w:keepNext w:val="0"/>
        <w:keepLines w:val="0"/>
        <w:pageBreakBefore w:val="0"/>
        <w:widowControl/>
        <w:tabs>
          <w:tab w:val="right" w:leader="dot" w:pos="9525"/>
        </w:tabs>
        <w:kinsoku/>
        <w:wordWrap/>
        <w:overflowPunct/>
        <w:topLinePunct w:val="0"/>
        <w:autoSpaceDE/>
        <w:autoSpaceDN/>
        <w:bidi w:val="0"/>
        <w:adjustRightInd/>
        <w:snapToGrid/>
        <w:spacing w:line="48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_Toc24243 </w:instrText>
      </w:r>
      <w:r>
        <w:rPr>
          <w:color w:val="auto"/>
          <w:sz w:val="24"/>
          <w:szCs w:val="24"/>
          <w:highlight w:val="none"/>
        </w:rPr>
        <w:fldChar w:fldCharType="separate"/>
      </w:r>
      <w:r>
        <w:rPr>
          <w:rFonts w:hint="eastAsia"/>
          <w:color w:val="auto"/>
          <w:sz w:val="24"/>
          <w:szCs w:val="24"/>
          <w:highlight w:val="none"/>
        </w:rPr>
        <w:t>第四部分  评标办法及评分标准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_Toc24243 \h </w:instrText>
      </w:r>
      <w:r>
        <w:rPr>
          <w:color w:val="auto"/>
          <w:sz w:val="24"/>
          <w:szCs w:val="24"/>
          <w:highlight w:val="none"/>
        </w:rPr>
        <w:fldChar w:fldCharType="separate"/>
      </w:r>
      <w:r>
        <w:rPr>
          <w:color w:val="auto"/>
          <w:sz w:val="24"/>
          <w:szCs w:val="24"/>
          <w:highlight w:val="none"/>
        </w:rPr>
        <w:t>69</w:t>
      </w:r>
      <w:r>
        <w:rPr>
          <w:color w:val="auto"/>
          <w:sz w:val="24"/>
          <w:szCs w:val="24"/>
          <w:highlight w:val="none"/>
        </w:rPr>
        <w:fldChar w:fldCharType="end"/>
      </w:r>
      <w:r>
        <w:rPr>
          <w:color w:val="auto"/>
          <w:sz w:val="24"/>
          <w:szCs w:val="24"/>
          <w:highlight w:val="none"/>
        </w:rPr>
        <w:fldChar w:fldCharType="end"/>
      </w:r>
    </w:p>
    <w:p w14:paraId="6AA5540F">
      <w:pPr>
        <w:pStyle w:val="74"/>
        <w:keepNext w:val="0"/>
        <w:keepLines w:val="0"/>
        <w:pageBreakBefore w:val="0"/>
        <w:widowControl/>
        <w:tabs>
          <w:tab w:val="right" w:leader="dot" w:pos="9525"/>
        </w:tabs>
        <w:kinsoku/>
        <w:wordWrap/>
        <w:overflowPunct/>
        <w:topLinePunct w:val="0"/>
        <w:autoSpaceDE/>
        <w:autoSpaceDN/>
        <w:bidi w:val="0"/>
        <w:adjustRightInd/>
        <w:snapToGrid/>
        <w:spacing w:line="48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_Toc574 </w:instrText>
      </w:r>
      <w:r>
        <w:rPr>
          <w:color w:val="auto"/>
          <w:sz w:val="24"/>
          <w:szCs w:val="24"/>
          <w:highlight w:val="none"/>
        </w:rPr>
        <w:fldChar w:fldCharType="separate"/>
      </w:r>
      <w:r>
        <w:rPr>
          <w:rFonts w:hint="eastAsia"/>
          <w:color w:val="auto"/>
          <w:sz w:val="24"/>
          <w:szCs w:val="24"/>
          <w:highlight w:val="none"/>
        </w:rPr>
        <w:t>第五部分  合同主要条款及格式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_Toc574 \h </w:instrText>
      </w:r>
      <w:r>
        <w:rPr>
          <w:color w:val="auto"/>
          <w:sz w:val="24"/>
          <w:szCs w:val="24"/>
          <w:highlight w:val="none"/>
        </w:rPr>
        <w:fldChar w:fldCharType="separate"/>
      </w:r>
      <w:r>
        <w:rPr>
          <w:color w:val="auto"/>
          <w:sz w:val="24"/>
          <w:szCs w:val="24"/>
          <w:highlight w:val="none"/>
        </w:rPr>
        <w:t>76</w:t>
      </w:r>
      <w:r>
        <w:rPr>
          <w:color w:val="auto"/>
          <w:sz w:val="24"/>
          <w:szCs w:val="24"/>
          <w:highlight w:val="none"/>
        </w:rPr>
        <w:fldChar w:fldCharType="end"/>
      </w:r>
      <w:r>
        <w:rPr>
          <w:color w:val="auto"/>
          <w:sz w:val="24"/>
          <w:szCs w:val="24"/>
          <w:highlight w:val="none"/>
        </w:rPr>
        <w:fldChar w:fldCharType="end"/>
      </w:r>
    </w:p>
    <w:p w14:paraId="15250A90">
      <w:pPr>
        <w:pStyle w:val="74"/>
        <w:keepNext w:val="0"/>
        <w:keepLines w:val="0"/>
        <w:pageBreakBefore w:val="0"/>
        <w:widowControl/>
        <w:tabs>
          <w:tab w:val="right" w:leader="dot" w:pos="9525"/>
        </w:tabs>
        <w:kinsoku/>
        <w:wordWrap/>
        <w:overflowPunct/>
        <w:topLinePunct w:val="0"/>
        <w:autoSpaceDE/>
        <w:autoSpaceDN/>
        <w:bidi w:val="0"/>
        <w:adjustRightInd/>
        <w:snapToGrid/>
        <w:spacing w:line="480" w:lineRule="auto"/>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_Toc8739 </w:instrText>
      </w:r>
      <w:r>
        <w:rPr>
          <w:color w:val="auto"/>
          <w:sz w:val="24"/>
          <w:szCs w:val="24"/>
          <w:highlight w:val="none"/>
        </w:rPr>
        <w:fldChar w:fldCharType="separate"/>
      </w:r>
      <w:r>
        <w:rPr>
          <w:rFonts w:hint="eastAsia"/>
          <w:color w:val="auto"/>
          <w:sz w:val="24"/>
          <w:szCs w:val="24"/>
          <w:highlight w:val="none"/>
        </w:rPr>
        <w:t>第六部分  投标文件格式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_Toc8739 \h </w:instrText>
      </w:r>
      <w:r>
        <w:rPr>
          <w:color w:val="auto"/>
          <w:sz w:val="24"/>
          <w:szCs w:val="24"/>
          <w:highlight w:val="none"/>
        </w:rPr>
        <w:fldChar w:fldCharType="separate"/>
      </w:r>
      <w:r>
        <w:rPr>
          <w:color w:val="auto"/>
          <w:sz w:val="24"/>
          <w:szCs w:val="24"/>
          <w:highlight w:val="none"/>
        </w:rPr>
        <w:t>80</w:t>
      </w:r>
      <w:r>
        <w:rPr>
          <w:color w:val="auto"/>
          <w:sz w:val="24"/>
          <w:szCs w:val="24"/>
          <w:highlight w:val="none"/>
        </w:rPr>
        <w:fldChar w:fldCharType="end"/>
      </w:r>
      <w:r>
        <w:rPr>
          <w:color w:val="auto"/>
          <w:sz w:val="24"/>
          <w:szCs w:val="24"/>
          <w:highlight w:val="none"/>
        </w:rPr>
        <w:fldChar w:fldCharType="end"/>
      </w:r>
    </w:p>
    <w:p w14:paraId="0162071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highlight w:val="none"/>
        </w:rPr>
      </w:pPr>
      <w:r>
        <w:rPr>
          <w:color w:val="auto"/>
          <w:sz w:val="24"/>
          <w:szCs w:val="24"/>
          <w:highlight w:val="none"/>
        </w:rPr>
        <w:fldChar w:fldCharType="end"/>
      </w:r>
    </w:p>
    <w:p w14:paraId="58827B7D">
      <w:pPr>
        <w:keepNext w:val="0"/>
        <w:keepLines w:val="0"/>
        <w:pageBreakBefore w:val="0"/>
        <w:widowControl w:val="0"/>
        <w:kinsoku/>
        <w:wordWrap/>
        <w:overflowPunct/>
        <w:topLinePunct w:val="0"/>
        <w:autoSpaceDE/>
        <w:autoSpaceDN/>
        <w:bidi w:val="0"/>
        <w:adjustRightInd/>
        <w:snapToGrid/>
        <w:spacing w:line="480" w:lineRule="auto"/>
        <w:textAlignment w:val="auto"/>
        <w:rPr>
          <w:color w:val="auto"/>
          <w:szCs w:val="24"/>
          <w:highlight w:val="none"/>
        </w:rPr>
      </w:pPr>
    </w:p>
    <w:p w14:paraId="00260915">
      <w:pPr>
        <w:pStyle w:val="38"/>
        <w:ind w:firstLine="723"/>
        <w:rPr>
          <w:rFonts w:ascii="宋体" w:hAnsi="宋体"/>
          <w:b/>
          <w:bCs/>
          <w:color w:val="auto"/>
          <w:sz w:val="36"/>
          <w:szCs w:val="36"/>
          <w:highlight w:val="none"/>
        </w:rPr>
      </w:pPr>
    </w:p>
    <w:p w14:paraId="169E88C3">
      <w:pPr>
        <w:pStyle w:val="2"/>
        <w:outlineLvl w:val="9"/>
        <w:rPr>
          <w:rFonts w:ascii="宋体" w:hAnsi="宋体" w:eastAsia="仿宋" w:cs="宋体"/>
          <w:color w:val="auto"/>
          <w:highlight w:val="none"/>
        </w:rPr>
      </w:pPr>
      <w:bookmarkStart w:id="8" w:name="OLE_LINK1"/>
    </w:p>
    <w:p w14:paraId="0484AC5B">
      <w:pPr>
        <w:pStyle w:val="2"/>
        <w:outlineLvl w:val="9"/>
        <w:rPr>
          <w:rFonts w:hint="eastAsia"/>
          <w:color w:val="auto"/>
          <w:szCs w:val="36"/>
          <w:highlight w:val="none"/>
        </w:rPr>
        <w:sectPr>
          <w:headerReference r:id="rId3" w:type="default"/>
          <w:footerReference r:id="rId4" w:type="default"/>
          <w:pgSz w:w="11906" w:h="16838"/>
          <w:pgMar w:top="1247" w:right="1134" w:bottom="1134" w:left="1247" w:header="851" w:footer="851" w:gutter="0"/>
          <w:cols w:space="720" w:num="1"/>
          <w:docGrid w:linePitch="312" w:charSpace="0"/>
        </w:sectPr>
      </w:pPr>
    </w:p>
    <w:p w14:paraId="58D25080">
      <w:pPr>
        <w:pStyle w:val="2"/>
        <w:rPr>
          <w:rFonts w:hint="eastAsia"/>
          <w:color w:val="auto"/>
          <w:szCs w:val="36"/>
          <w:highlight w:val="none"/>
        </w:rPr>
      </w:pPr>
      <w:bookmarkStart w:id="9" w:name="_Toc4576"/>
      <w:bookmarkStart w:id="10" w:name="_Toc23733"/>
      <w:r>
        <w:rPr>
          <w:rFonts w:hint="eastAsia"/>
          <w:color w:val="auto"/>
          <w:szCs w:val="36"/>
          <w:highlight w:val="none"/>
        </w:rPr>
        <w:t>第一部分  招标公告</w:t>
      </w:r>
      <w:bookmarkEnd w:id="9"/>
      <w:bookmarkEnd w:id="10"/>
    </w:p>
    <w:p w14:paraId="3AADE824">
      <w:pPr>
        <w:rPr>
          <w:color w:val="auto"/>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0048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9606" w:type="dxa"/>
            <w:noWrap w:val="0"/>
            <w:vAlign w:val="top"/>
          </w:tcPr>
          <w:p w14:paraId="24120B66">
            <w:pPr>
              <w:snapToGrid w:val="0"/>
              <w:spacing w:line="340" w:lineRule="exact"/>
              <w:ind w:left="11"/>
              <w:rPr>
                <w:rFonts w:ascii="宋体" w:hAnsi="宋体" w:cs="宋体"/>
                <w:color w:val="auto"/>
                <w:szCs w:val="21"/>
                <w:highlight w:val="none"/>
              </w:rPr>
            </w:pPr>
            <w:r>
              <w:rPr>
                <w:rFonts w:hint="eastAsia" w:ascii="宋体" w:hAnsi="宋体" w:cs="宋体"/>
                <w:color w:val="auto"/>
                <w:szCs w:val="21"/>
                <w:highlight w:val="none"/>
              </w:rPr>
              <w:t>项目概况：</w:t>
            </w:r>
          </w:p>
          <w:p w14:paraId="495FC575">
            <w:pPr>
              <w:spacing w:line="340" w:lineRule="exact"/>
              <w:ind w:left="11" w:right="-94" w:rightChars="-45" w:firstLine="420" w:firstLineChars="200"/>
              <w:rPr>
                <w:rFonts w:ascii="宋体" w:hAnsi="宋体" w:cs="宋体"/>
                <w:color w:val="auto"/>
                <w:szCs w:val="21"/>
                <w:highlight w:val="none"/>
              </w:rPr>
            </w:pPr>
            <w:r>
              <w:rPr>
                <w:rFonts w:hint="eastAsia" w:ascii="宋体" w:hAnsi="宋体" w:eastAsia="宋体" w:cs="宋体"/>
                <w:color w:val="auto"/>
                <w:szCs w:val="21"/>
                <w:highlight w:val="none"/>
                <w:lang w:val="en-US" w:eastAsia="zh-CN"/>
              </w:rPr>
              <w:t>北仑区体育赛事数字化应用项目</w:t>
            </w:r>
            <w:r>
              <w:rPr>
                <w:rFonts w:hint="eastAsia" w:ascii="宋体" w:hAnsi="宋体" w:cs="宋体"/>
                <w:color w:val="auto"/>
                <w:szCs w:val="21"/>
                <w:highlight w:val="none"/>
              </w:rPr>
              <w:t>的潜在供应商应在</w:t>
            </w:r>
            <w:r>
              <w:rPr>
                <w:rFonts w:hint="eastAsia" w:ascii="宋体" w:hAnsi="宋体" w:cs="宋体"/>
                <w:color w:val="auto"/>
                <w:szCs w:val="21"/>
                <w:highlight w:val="none"/>
                <w:u w:val="single"/>
              </w:rPr>
              <w:t>浙江政府采购云平台（</w:t>
            </w:r>
            <w:r>
              <w:rPr>
                <w:rFonts w:ascii="宋体" w:hAnsi="宋体" w:cs="宋体"/>
                <w:color w:val="auto"/>
                <w:szCs w:val="21"/>
                <w:highlight w:val="none"/>
                <w:u w:val="single"/>
              </w:rPr>
              <w:fldChar w:fldCharType="begin"/>
            </w:r>
            <w:r>
              <w:rPr>
                <w:rFonts w:ascii="宋体" w:hAnsi="宋体" w:cs="宋体"/>
                <w:color w:val="auto"/>
                <w:szCs w:val="21"/>
                <w:highlight w:val="none"/>
                <w:u w:val="single"/>
              </w:rPr>
              <w:instrText xml:space="preserve"> HYPERLINK "</w:instrText>
            </w:r>
            <w:r>
              <w:rPr>
                <w:rFonts w:hint="eastAsia" w:ascii="宋体" w:hAnsi="宋体" w:cs="宋体"/>
                <w:color w:val="auto"/>
                <w:szCs w:val="21"/>
                <w:highlight w:val="none"/>
                <w:u w:val="single"/>
              </w:rPr>
              <w:instrText xml:space="preserve">http://www.zcy.gov.cn/）获取招标文件，并于2021年</w:instrText>
            </w:r>
            <w:r>
              <w:rPr>
                <w:rFonts w:ascii="宋体" w:hAnsi="宋体" w:cs="宋体"/>
                <w:color w:val="auto"/>
                <w:szCs w:val="21"/>
                <w:highlight w:val="none"/>
                <w:u w:val="single"/>
              </w:rPr>
              <w:instrText xml:space="preserve">" </w:instrText>
            </w:r>
            <w:r>
              <w:rPr>
                <w:rFonts w:ascii="宋体" w:hAnsi="宋体" w:cs="宋体"/>
                <w:color w:val="auto"/>
                <w:szCs w:val="21"/>
                <w:highlight w:val="none"/>
                <w:u w:val="single"/>
              </w:rPr>
              <w:fldChar w:fldCharType="separate"/>
            </w:r>
            <w:r>
              <w:rPr>
                <w:rStyle w:val="33"/>
                <w:rFonts w:hint="eastAsia" w:ascii="宋体" w:hAnsi="宋体" w:cs="宋体"/>
                <w:color w:val="auto"/>
                <w:szCs w:val="21"/>
                <w:highlight w:val="none"/>
              </w:rPr>
              <w:t>https://www.zcygov.cn/）获取招标文件，并于202</w:t>
            </w:r>
            <w:r>
              <w:rPr>
                <w:rStyle w:val="33"/>
                <w:rFonts w:hint="eastAsia" w:ascii="宋体" w:hAnsi="宋体" w:cs="宋体"/>
                <w:color w:val="auto"/>
                <w:szCs w:val="21"/>
                <w:highlight w:val="none"/>
                <w:lang w:val="en-US" w:eastAsia="zh-CN"/>
              </w:rPr>
              <w:t>5</w:t>
            </w:r>
            <w:r>
              <w:rPr>
                <w:rStyle w:val="33"/>
                <w:rFonts w:hint="eastAsia" w:ascii="宋体" w:hAnsi="宋体" w:cs="宋体"/>
                <w:color w:val="auto"/>
                <w:szCs w:val="21"/>
                <w:highlight w:val="none"/>
              </w:rPr>
              <w:t>年</w:t>
            </w:r>
            <w:r>
              <w:rPr>
                <w:rFonts w:ascii="宋体" w:hAnsi="宋体" w:cs="宋体"/>
                <w:color w:val="auto"/>
                <w:szCs w:val="21"/>
                <w:highlight w:val="none"/>
                <w:u w:val="single"/>
              </w:rPr>
              <w:fldChar w:fldCharType="end"/>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28</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分（北京时间，下同）</w:t>
            </w:r>
            <w:r>
              <w:rPr>
                <w:rFonts w:hint="eastAsia" w:ascii="宋体" w:hAnsi="宋体" w:cs="宋体"/>
                <w:color w:val="auto"/>
                <w:szCs w:val="21"/>
                <w:highlight w:val="none"/>
              </w:rPr>
              <w:t>前递交投标文件。</w:t>
            </w:r>
          </w:p>
        </w:tc>
      </w:tr>
    </w:tbl>
    <w:p w14:paraId="0BB93F11">
      <w:pPr>
        <w:snapToGrid w:val="0"/>
        <w:spacing w:line="340" w:lineRule="exact"/>
        <w:rPr>
          <w:rFonts w:ascii="宋体" w:hAnsi="宋体" w:cs="宋体"/>
          <w:b/>
          <w:bCs/>
          <w:color w:val="auto"/>
          <w:szCs w:val="21"/>
          <w:highlight w:val="none"/>
        </w:rPr>
      </w:pPr>
      <w:r>
        <w:rPr>
          <w:rFonts w:hint="eastAsia" w:ascii="Arial" w:hAnsi="Arial" w:cs="Arial"/>
          <w:color w:val="auto"/>
          <w:szCs w:val="21"/>
          <w:highlight w:val="none"/>
        </w:rPr>
        <w:t xml:space="preserve">    </w:t>
      </w:r>
      <w:r>
        <w:rPr>
          <w:rFonts w:hint="eastAsia" w:ascii="宋体" w:hAnsi="宋体" w:cs="宋体"/>
          <w:b/>
          <w:bCs/>
          <w:color w:val="auto"/>
          <w:szCs w:val="21"/>
          <w:highlight w:val="none"/>
        </w:rPr>
        <w:t>一、项目基本情况：</w:t>
      </w:r>
    </w:p>
    <w:p w14:paraId="5F0AE9D3">
      <w:pPr>
        <w:snapToGrid w:val="0"/>
        <w:spacing w:line="3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项目编号：</w:t>
      </w:r>
      <w:r>
        <w:rPr>
          <w:rFonts w:hint="eastAsia" w:ascii="宋体" w:hAnsi="宋体" w:eastAsia="宋体" w:cs="宋体"/>
          <w:color w:val="auto"/>
          <w:szCs w:val="21"/>
          <w:highlight w:val="none"/>
          <w:u w:val="none"/>
          <w:lang w:val="en-US" w:eastAsia="zh-CN"/>
        </w:rPr>
        <w:t>NZZB2024174G</w:t>
      </w:r>
    </w:p>
    <w:p w14:paraId="65B89DC0">
      <w:pPr>
        <w:snapToGrid w:val="0"/>
        <w:spacing w:line="3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项目名称：</w:t>
      </w:r>
      <w:r>
        <w:rPr>
          <w:rFonts w:hint="eastAsia" w:ascii="宋体" w:hAnsi="宋体" w:eastAsia="宋体" w:cs="宋体"/>
          <w:color w:val="auto"/>
          <w:szCs w:val="21"/>
          <w:highlight w:val="none"/>
          <w:lang w:val="en-US" w:eastAsia="zh-CN"/>
        </w:rPr>
        <w:t>北仑区体育赛事数字化应用项目</w:t>
      </w:r>
    </w:p>
    <w:p w14:paraId="5E931426">
      <w:pPr>
        <w:snapToGrid w:val="0"/>
        <w:spacing w:line="340" w:lineRule="exact"/>
        <w:ind w:firstLine="420" w:firstLineChars="200"/>
        <w:rPr>
          <w:rFonts w:hint="default" w:ascii="宋体" w:hAnsi="宋体" w:cs="宋体"/>
          <w:color w:val="auto"/>
          <w:szCs w:val="21"/>
          <w:highlight w:val="none"/>
          <w:lang w:val="en-US"/>
        </w:rPr>
      </w:pPr>
      <w:r>
        <w:rPr>
          <w:rFonts w:hint="eastAsia" w:ascii="宋体" w:hAnsi="宋体" w:cs="宋体"/>
          <w:color w:val="auto"/>
          <w:szCs w:val="21"/>
          <w:highlight w:val="none"/>
        </w:rPr>
        <w:t>预算金额（元）：</w:t>
      </w:r>
      <w:r>
        <w:rPr>
          <w:rFonts w:hint="eastAsia" w:ascii="宋体" w:hAnsi="宋体" w:cs="宋体"/>
          <w:b/>
          <w:bCs/>
          <w:color w:val="auto"/>
          <w:szCs w:val="21"/>
          <w:highlight w:val="none"/>
          <w:lang w:val="en-US" w:eastAsia="zh-CN"/>
        </w:rPr>
        <w:t>3938000</w:t>
      </w:r>
    </w:p>
    <w:p w14:paraId="69910BBC">
      <w:pPr>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最高限价（元）：</w:t>
      </w:r>
      <w:r>
        <w:rPr>
          <w:rFonts w:hint="eastAsia" w:ascii="宋体" w:hAnsi="宋体" w:cs="宋体"/>
          <w:b/>
          <w:bCs/>
          <w:color w:val="auto"/>
          <w:szCs w:val="21"/>
          <w:highlight w:val="none"/>
          <w:lang w:val="en-US" w:eastAsia="zh-CN"/>
        </w:rPr>
        <w:t>3938000</w:t>
      </w:r>
      <w:r>
        <w:rPr>
          <w:rFonts w:hint="eastAsia" w:ascii="宋体" w:hAnsi="宋体" w:eastAsia="宋体" w:cs="宋体"/>
          <w:b/>
          <w:bCs/>
          <w:color w:val="auto"/>
          <w:szCs w:val="21"/>
          <w:highlight w:val="none"/>
          <w:lang w:val="en-US" w:eastAsia="zh-CN"/>
        </w:rPr>
        <w:t xml:space="preserve"> </w:t>
      </w:r>
    </w:p>
    <w:p w14:paraId="246C42A8">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p w14:paraId="53D5DE52">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标项一</w:t>
      </w:r>
    </w:p>
    <w:p w14:paraId="3442E209">
      <w:pPr>
        <w:snapToGrid w:val="0"/>
        <w:spacing w:line="3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标项名称：</w:t>
      </w:r>
      <w:r>
        <w:rPr>
          <w:rFonts w:hint="eastAsia" w:ascii="宋体" w:hAnsi="宋体" w:eastAsia="宋体" w:cs="宋体"/>
          <w:color w:val="auto"/>
          <w:szCs w:val="21"/>
          <w:highlight w:val="none"/>
          <w:lang w:val="en-US" w:eastAsia="zh-CN"/>
        </w:rPr>
        <w:t>北仑区体育赛事数字化应用项目</w:t>
      </w:r>
    </w:p>
    <w:p w14:paraId="39ACB408">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数量：1</w:t>
      </w:r>
    </w:p>
    <w:p w14:paraId="184E9092">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预算金额（元）：</w:t>
      </w:r>
      <w:r>
        <w:rPr>
          <w:rFonts w:hint="eastAsia" w:ascii="宋体" w:hAnsi="宋体" w:cs="宋体"/>
          <w:b/>
          <w:bCs/>
          <w:color w:val="auto"/>
          <w:szCs w:val="21"/>
          <w:highlight w:val="none"/>
          <w:lang w:val="en-US" w:eastAsia="zh-CN"/>
        </w:rPr>
        <w:t>3938000</w:t>
      </w:r>
    </w:p>
    <w:p w14:paraId="5F6EBA58">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w:t>
      </w:r>
      <w:r>
        <w:rPr>
          <w:rFonts w:hint="eastAsia" w:ascii="宋体" w:hAnsi="宋体" w:eastAsia="宋体" w:cs="宋体"/>
          <w:color w:val="auto"/>
          <w:szCs w:val="21"/>
          <w:highlight w:val="none"/>
          <w:lang w:val="en-US" w:eastAsia="zh-CN"/>
        </w:rPr>
        <w:t>北仑区体育赛事数字化应用项目</w:t>
      </w:r>
      <w:r>
        <w:rPr>
          <w:rFonts w:hint="eastAsia" w:ascii="宋体" w:hAnsi="宋体" w:cs="宋体"/>
          <w:color w:val="auto"/>
          <w:szCs w:val="21"/>
          <w:highlight w:val="none"/>
        </w:rPr>
        <w:t>，详见第三部分项目内容及要求。</w:t>
      </w:r>
    </w:p>
    <w:p w14:paraId="442FC14A">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合同履约期限：自合同生效之日至合同全部权利义务履行完毕之日止。</w:t>
      </w:r>
    </w:p>
    <w:p w14:paraId="3626A846">
      <w:pPr>
        <w:snapToGrid w:val="0"/>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本项目（否）接受联合体投标。</w:t>
      </w:r>
    </w:p>
    <w:p w14:paraId="51266A31">
      <w:pPr>
        <w:snapToGrid w:val="0"/>
        <w:spacing w:line="340" w:lineRule="exact"/>
        <w:rPr>
          <w:rFonts w:ascii="宋体" w:hAnsi="宋体"/>
          <w:b/>
          <w:color w:val="auto"/>
          <w:szCs w:val="21"/>
          <w:highlight w:val="none"/>
        </w:rPr>
      </w:pPr>
      <w:r>
        <w:rPr>
          <w:rFonts w:hint="eastAsia" w:ascii="宋体" w:hAnsi="宋体" w:cs="Arial"/>
          <w:b/>
          <w:color w:val="auto"/>
          <w:szCs w:val="21"/>
          <w:highlight w:val="none"/>
        </w:rPr>
        <w:t xml:space="preserve">    二、申请人的</w:t>
      </w:r>
      <w:r>
        <w:rPr>
          <w:rFonts w:hint="eastAsia" w:ascii="宋体" w:hAnsi="宋体"/>
          <w:b/>
          <w:color w:val="auto"/>
          <w:szCs w:val="21"/>
          <w:highlight w:val="none"/>
        </w:rPr>
        <w:t>资格条件：</w:t>
      </w:r>
    </w:p>
    <w:p w14:paraId="68DD28E9">
      <w:pPr>
        <w:snapToGrid w:val="0"/>
        <w:spacing w:line="340" w:lineRule="exact"/>
        <w:ind w:firstLine="420" w:firstLineChars="200"/>
        <w:rPr>
          <w:rFonts w:ascii="宋体" w:hAnsi="宋体" w:cs="宋体"/>
          <w:color w:val="auto"/>
          <w:szCs w:val="21"/>
          <w:highlight w:val="none"/>
          <w:lang w:val="en"/>
        </w:rPr>
      </w:pPr>
      <w:r>
        <w:rPr>
          <w:rFonts w:hint="eastAsia" w:ascii="宋体" w:hAnsi="宋体" w:cs="宋体"/>
          <w:color w:val="auto"/>
          <w:szCs w:val="21"/>
          <w:highlight w:val="none"/>
        </w:rPr>
        <w:t>1.</w:t>
      </w:r>
      <w:r>
        <w:rPr>
          <w:rFonts w:hint="eastAsia" w:ascii="宋体" w:hAnsi="宋体" w:cs="宋体"/>
          <w:color w:val="auto"/>
          <w:szCs w:val="21"/>
          <w:highlight w:val="none"/>
          <w:lang w:val="en"/>
        </w:rPr>
        <w:t>符合《中华人民共和国政府采购法》</w:t>
      </w:r>
      <w:r>
        <w:rPr>
          <w:rFonts w:hint="eastAsia" w:ascii="宋体" w:hAnsi="宋体" w:cs="宋体"/>
          <w:color w:val="auto"/>
          <w:szCs w:val="22"/>
          <w:highlight w:val="none"/>
        </w:rPr>
        <w:t>第二十二条</w:t>
      </w:r>
      <w:r>
        <w:rPr>
          <w:rFonts w:hint="eastAsia" w:ascii="宋体" w:hAnsi="宋体" w:cs="宋体"/>
          <w:color w:val="auto"/>
          <w:szCs w:val="21"/>
          <w:highlight w:val="none"/>
          <w:lang w:val="en"/>
        </w:rPr>
        <w:t>规定；未被“信用中国”（www.creditchina.gov.cn)、中国政府采购网（www.ccgp.gov.cn）列入失信被执行人、重大税收违法案件当事人名单、政府采购严重违法失信行为记录名单。</w:t>
      </w:r>
    </w:p>
    <w:p w14:paraId="515988B7">
      <w:pPr>
        <w:snapToGrid w:val="0"/>
        <w:spacing w:line="340" w:lineRule="exact"/>
        <w:ind w:firstLine="420" w:firstLineChars="200"/>
        <w:rPr>
          <w:rFonts w:ascii="宋体" w:hAnsi="宋体" w:cs="宋体"/>
          <w:color w:val="auto"/>
          <w:szCs w:val="21"/>
          <w:highlight w:val="none"/>
          <w:lang w:val="en"/>
        </w:rPr>
      </w:pPr>
      <w:r>
        <w:rPr>
          <w:rFonts w:hint="eastAsia" w:ascii="宋体" w:hAnsi="宋体" w:cs="宋体"/>
          <w:color w:val="auto"/>
          <w:szCs w:val="21"/>
          <w:highlight w:val="none"/>
          <w:lang w:val="en"/>
        </w:rPr>
        <w:t>2.落实政府采购政策需满足的资格要求：无。</w:t>
      </w:r>
    </w:p>
    <w:p w14:paraId="3E88EBD4">
      <w:pPr>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3.本项目特定资格条件为：无。</w:t>
      </w:r>
    </w:p>
    <w:p w14:paraId="1A2BCC83">
      <w:pPr>
        <w:spacing w:line="340" w:lineRule="exact"/>
        <w:rPr>
          <w:rFonts w:ascii="宋体" w:hAnsi="宋体" w:cs="Arial"/>
          <w:b/>
          <w:color w:val="auto"/>
          <w:szCs w:val="21"/>
          <w:highlight w:val="none"/>
        </w:rPr>
      </w:pPr>
      <w:r>
        <w:rPr>
          <w:rFonts w:hint="eastAsia" w:ascii="宋体" w:hAnsi="宋体"/>
          <w:color w:val="auto"/>
          <w:szCs w:val="21"/>
          <w:highlight w:val="none"/>
        </w:rPr>
        <w:t xml:space="preserve">    </w:t>
      </w:r>
      <w:r>
        <w:rPr>
          <w:rFonts w:hint="eastAsia" w:ascii="宋体" w:hAnsi="宋体" w:cs="Arial"/>
          <w:b/>
          <w:color w:val="auto"/>
          <w:szCs w:val="21"/>
          <w:highlight w:val="none"/>
        </w:rPr>
        <w:t>三、获取招标文件</w:t>
      </w:r>
    </w:p>
    <w:p w14:paraId="50F89229">
      <w:pPr>
        <w:spacing w:line="34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时间：</w:t>
      </w:r>
      <w:r>
        <w:rPr>
          <w:rFonts w:hint="eastAsia" w:ascii="宋体" w:hAnsi="宋体" w:cs="Arial"/>
          <w:color w:val="auto"/>
          <w:kern w:val="0"/>
          <w:szCs w:val="21"/>
          <w:highlight w:val="none"/>
          <w:lang w:val="en"/>
        </w:rPr>
        <w:t>202</w:t>
      </w:r>
      <w:r>
        <w:rPr>
          <w:rFonts w:hint="eastAsia" w:ascii="宋体" w:hAnsi="宋体" w:cs="Arial"/>
          <w:color w:val="auto"/>
          <w:kern w:val="0"/>
          <w:szCs w:val="21"/>
          <w:highlight w:val="none"/>
          <w:lang w:val="en-US" w:eastAsia="zh-CN"/>
        </w:rPr>
        <w:t>5</w:t>
      </w:r>
      <w:r>
        <w:rPr>
          <w:rFonts w:ascii="宋体" w:hAnsi="宋体" w:cs="Arial"/>
          <w:color w:val="auto"/>
          <w:kern w:val="0"/>
          <w:szCs w:val="21"/>
          <w:highlight w:val="none"/>
          <w:lang w:val="en"/>
        </w:rPr>
        <w:t>年</w:t>
      </w:r>
      <w:r>
        <w:rPr>
          <w:rFonts w:hint="eastAsia" w:ascii="宋体" w:hAnsi="宋体" w:cs="Arial"/>
          <w:color w:val="auto"/>
          <w:kern w:val="0"/>
          <w:szCs w:val="21"/>
          <w:highlight w:val="none"/>
          <w:lang w:val="en-US" w:eastAsia="zh-CN"/>
        </w:rPr>
        <w:t>2</w:t>
      </w:r>
      <w:r>
        <w:rPr>
          <w:rFonts w:ascii="宋体" w:hAnsi="宋体" w:cs="Arial"/>
          <w:color w:val="auto"/>
          <w:kern w:val="0"/>
          <w:szCs w:val="21"/>
          <w:highlight w:val="none"/>
          <w:lang w:val="en"/>
        </w:rPr>
        <w:t>月</w:t>
      </w:r>
      <w:r>
        <w:rPr>
          <w:rFonts w:hint="eastAsia" w:ascii="宋体" w:hAnsi="宋体" w:cs="Arial"/>
          <w:color w:val="auto"/>
          <w:kern w:val="0"/>
          <w:szCs w:val="21"/>
          <w:highlight w:val="none"/>
          <w:lang w:val="en-US" w:eastAsia="zh-CN"/>
        </w:rPr>
        <w:t>8</w:t>
      </w:r>
      <w:r>
        <w:rPr>
          <w:rFonts w:ascii="宋体" w:hAnsi="宋体" w:cs="Arial"/>
          <w:color w:val="auto"/>
          <w:kern w:val="0"/>
          <w:szCs w:val="21"/>
          <w:highlight w:val="none"/>
          <w:lang w:val="en"/>
        </w:rPr>
        <w:t>日至</w:t>
      </w:r>
      <w:r>
        <w:rPr>
          <w:rFonts w:hint="eastAsia" w:ascii="宋体" w:hAnsi="宋体" w:cs="Arial"/>
          <w:color w:val="auto"/>
          <w:kern w:val="0"/>
          <w:szCs w:val="21"/>
          <w:highlight w:val="none"/>
          <w:lang w:val="en"/>
        </w:rPr>
        <w:t>202</w:t>
      </w:r>
      <w:r>
        <w:rPr>
          <w:rFonts w:hint="eastAsia" w:ascii="宋体" w:hAnsi="宋体" w:cs="Arial"/>
          <w:color w:val="auto"/>
          <w:kern w:val="0"/>
          <w:szCs w:val="21"/>
          <w:highlight w:val="none"/>
          <w:lang w:val="en-US" w:eastAsia="zh-CN"/>
        </w:rPr>
        <w:t>5</w:t>
      </w:r>
      <w:r>
        <w:rPr>
          <w:rFonts w:ascii="宋体" w:hAnsi="宋体" w:cs="Arial"/>
          <w:color w:val="auto"/>
          <w:kern w:val="0"/>
          <w:szCs w:val="21"/>
          <w:highlight w:val="none"/>
          <w:lang w:val="en"/>
        </w:rPr>
        <w:t>年</w:t>
      </w:r>
      <w:r>
        <w:rPr>
          <w:rFonts w:hint="eastAsia" w:ascii="宋体" w:hAnsi="宋体" w:cs="Arial"/>
          <w:color w:val="auto"/>
          <w:kern w:val="0"/>
          <w:szCs w:val="21"/>
          <w:highlight w:val="none"/>
          <w:lang w:val="en-US" w:eastAsia="zh-CN"/>
        </w:rPr>
        <w:t>2</w:t>
      </w:r>
      <w:r>
        <w:rPr>
          <w:rFonts w:ascii="宋体" w:hAnsi="宋体" w:cs="Arial"/>
          <w:color w:val="auto"/>
          <w:kern w:val="0"/>
          <w:szCs w:val="21"/>
          <w:highlight w:val="none"/>
          <w:lang w:val="en"/>
        </w:rPr>
        <w:t>月</w:t>
      </w:r>
      <w:r>
        <w:rPr>
          <w:rFonts w:hint="eastAsia" w:ascii="宋体" w:hAnsi="宋体" w:cs="Arial"/>
          <w:color w:val="auto"/>
          <w:kern w:val="0"/>
          <w:szCs w:val="21"/>
          <w:highlight w:val="none"/>
          <w:lang w:val="en-US" w:eastAsia="zh-CN"/>
        </w:rPr>
        <w:t>14</w:t>
      </w:r>
      <w:r>
        <w:rPr>
          <w:rFonts w:ascii="宋体" w:hAnsi="宋体" w:cs="Arial"/>
          <w:color w:val="auto"/>
          <w:kern w:val="0"/>
          <w:szCs w:val="21"/>
          <w:highlight w:val="none"/>
          <w:lang w:val="en"/>
        </w:rPr>
        <w:t>日，每天上午00:00至12:00，下午12:00至23:59（北京时间，线上获取法定节假日均可，线下获取文件法定节假日除外）</w:t>
      </w:r>
    </w:p>
    <w:p w14:paraId="45E00225">
      <w:pPr>
        <w:spacing w:line="34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地点（网址）：浙江政府采购云平台（https://www.zcygov.cn/）。</w:t>
      </w:r>
    </w:p>
    <w:p w14:paraId="6856BA71">
      <w:pPr>
        <w:spacing w:line="34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方式：</w:t>
      </w:r>
      <w:r>
        <w:rPr>
          <w:rFonts w:ascii="宋体" w:hAnsi="宋体" w:cs="Arial"/>
          <w:color w:val="auto"/>
          <w:kern w:val="0"/>
          <w:szCs w:val="21"/>
          <w:highlight w:val="none"/>
          <w:lang w:val="en"/>
        </w:rPr>
        <w:t>本项目招标文件实行“浙江政府采购网-政府采购云平台”在线获取，不提供招标文件纸质版。供应商获取招标文件前应先完成“浙江政府采购网-政府采购云平台”的账号注册；潜在供应商登陆浙江政府采购网-政府采购云平台，在线申请获取招标文件（进入“项目采购”应用，在获取招标文件菜单中选择项目，申请获取招标文件；仅需浏览招标文件的供应商可点击“游客，浏览招标文件”直接下载招标文件浏览）； 招标公告附件内的招标文件仅供阅览使用，投标人只有在“浙江政府采购网-政府采购云平台”完成获取招标文件申请并下载了招标文件后才视作依法获取招标文件（法律法规所指的供应商获取招标文件时间以供应商完成获取招标文件申请后下载招标文件的时间为准）。 注：请投标人按上述要求获取招标文件，如未在“浙江政府采购网-政府采购云平台”系统内完成相关流程，引起的投标无效责任自负。</w:t>
      </w:r>
      <w:r>
        <w:rPr>
          <w:rStyle w:val="49"/>
          <w:rFonts w:ascii="宋体" w:hAnsi="宋体" w:cs="Arial"/>
          <w:color w:val="auto"/>
          <w:szCs w:val="21"/>
          <w:highlight w:val="none"/>
          <w:lang w:val="en"/>
        </w:rPr>
        <w:t>如有疑问请及时咨询网站客服，咨询电话：</w:t>
      </w:r>
      <w:r>
        <w:rPr>
          <w:rFonts w:ascii="宋体" w:hAnsi="宋体" w:cs="Arial"/>
          <w:color w:val="auto"/>
          <w:kern w:val="0"/>
          <w:szCs w:val="21"/>
          <w:highlight w:val="none"/>
        </w:rPr>
        <w:t>95763</w:t>
      </w:r>
      <w:r>
        <w:rPr>
          <w:rStyle w:val="49"/>
          <w:rFonts w:ascii="宋体" w:hAnsi="宋体" w:cs="Arial"/>
          <w:color w:val="auto"/>
          <w:szCs w:val="21"/>
          <w:highlight w:val="none"/>
          <w:lang w:val="en"/>
        </w:rPr>
        <w:t>。</w:t>
      </w:r>
    </w:p>
    <w:p w14:paraId="3763CD28">
      <w:pPr>
        <w:spacing w:line="3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售价：0元。 </w:t>
      </w:r>
    </w:p>
    <w:p w14:paraId="7FCA91C1">
      <w:pPr>
        <w:spacing w:line="340" w:lineRule="exact"/>
        <w:ind w:firstLine="422" w:firstLineChars="200"/>
        <w:rPr>
          <w:rFonts w:ascii="宋体" w:hAnsi="宋体" w:cs="宋体"/>
          <w:bCs/>
          <w:color w:val="auto"/>
          <w:szCs w:val="21"/>
          <w:highlight w:val="none"/>
        </w:rPr>
      </w:pPr>
      <w:r>
        <w:rPr>
          <w:rFonts w:hint="eastAsia" w:ascii="宋体" w:hAnsi="宋体" w:cs="宋体"/>
          <w:b/>
          <w:color w:val="auto"/>
          <w:szCs w:val="21"/>
          <w:highlight w:val="none"/>
        </w:rPr>
        <w:t>四、提交投标文件截止时间、开标时间和地点</w:t>
      </w:r>
    </w:p>
    <w:p w14:paraId="7CC3EED0">
      <w:pPr>
        <w:spacing w:line="34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提交投标文件截止时间</w:t>
      </w:r>
      <w:r>
        <w:rPr>
          <w:rFonts w:hint="eastAsia" w:ascii="宋体" w:hAnsi="宋体" w:cs="宋体"/>
          <w:b/>
          <w:bCs/>
          <w:color w:val="auto"/>
          <w:szCs w:val="21"/>
          <w:highlight w:val="none"/>
        </w:rPr>
        <w:t>：</w:t>
      </w:r>
      <w:r>
        <w:rPr>
          <w:rFonts w:hint="eastAsia" w:ascii="宋体" w:hAnsi="宋体" w:cs="Arial"/>
          <w:color w:val="auto"/>
          <w:kern w:val="0"/>
          <w:szCs w:val="21"/>
          <w:highlight w:val="none"/>
          <w:lang w:val="en"/>
        </w:rPr>
        <w:t>202</w:t>
      </w:r>
      <w:r>
        <w:rPr>
          <w:rFonts w:hint="eastAsia" w:ascii="宋体" w:hAnsi="宋体" w:cs="Arial"/>
          <w:color w:val="auto"/>
          <w:kern w:val="0"/>
          <w:szCs w:val="21"/>
          <w:highlight w:val="none"/>
          <w:lang w:val="en-US" w:eastAsia="zh-CN"/>
        </w:rPr>
        <w:t>5</w:t>
      </w:r>
      <w:r>
        <w:rPr>
          <w:rFonts w:ascii="宋体" w:hAnsi="宋体" w:cs="Arial"/>
          <w:color w:val="auto"/>
          <w:kern w:val="0"/>
          <w:szCs w:val="21"/>
          <w:highlight w:val="none"/>
          <w:lang w:val="en"/>
        </w:rPr>
        <w:t>年</w:t>
      </w:r>
      <w:r>
        <w:rPr>
          <w:rFonts w:hint="eastAsia" w:ascii="宋体" w:hAnsi="宋体" w:cs="Arial"/>
          <w:color w:val="auto"/>
          <w:kern w:val="0"/>
          <w:szCs w:val="21"/>
          <w:highlight w:val="none"/>
          <w:lang w:val="en-US" w:eastAsia="zh-CN"/>
        </w:rPr>
        <w:t>2</w:t>
      </w:r>
      <w:r>
        <w:rPr>
          <w:rFonts w:ascii="宋体" w:hAnsi="宋体" w:cs="Arial"/>
          <w:color w:val="auto"/>
          <w:kern w:val="0"/>
          <w:szCs w:val="21"/>
          <w:highlight w:val="none"/>
          <w:lang w:val="en"/>
        </w:rPr>
        <w:t>月</w:t>
      </w:r>
      <w:r>
        <w:rPr>
          <w:rFonts w:hint="eastAsia" w:ascii="宋体" w:hAnsi="宋体" w:cs="Arial"/>
          <w:color w:val="auto"/>
          <w:kern w:val="0"/>
          <w:szCs w:val="21"/>
          <w:highlight w:val="none"/>
          <w:lang w:val="en-US" w:eastAsia="zh-CN"/>
        </w:rPr>
        <w:t>28</w:t>
      </w:r>
      <w:r>
        <w:rPr>
          <w:rFonts w:ascii="宋体" w:hAnsi="宋体" w:cs="Arial"/>
          <w:color w:val="auto"/>
          <w:kern w:val="0"/>
          <w:szCs w:val="21"/>
          <w:highlight w:val="none"/>
          <w:lang w:val="en"/>
        </w:rPr>
        <w:t>日</w:t>
      </w:r>
      <w:r>
        <w:rPr>
          <w:rFonts w:hint="eastAsia" w:ascii="宋体" w:hAnsi="宋体" w:cs="宋体"/>
          <w:b w:val="0"/>
          <w:bCs w:val="0"/>
          <w:color w:val="auto"/>
          <w:szCs w:val="21"/>
          <w:highlight w:val="none"/>
          <w:u w:val="none"/>
        </w:rPr>
        <w:t xml:space="preserve"> </w:t>
      </w:r>
      <w:r>
        <w:rPr>
          <w:rFonts w:hint="eastAsia" w:ascii="宋体" w:hAnsi="宋体" w:cs="宋体"/>
          <w:b w:val="0"/>
          <w:bCs w:val="0"/>
          <w:color w:val="auto"/>
          <w:szCs w:val="21"/>
          <w:highlight w:val="none"/>
          <w:u w:val="none"/>
          <w:lang w:val="en-US" w:eastAsia="zh-CN"/>
        </w:rPr>
        <w:t xml:space="preserve">13 </w:t>
      </w:r>
      <w:r>
        <w:rPr>
          <w:rFonts w:hint="eastAsia" w:ascii="宋体" w:hAnsi="宋体" w:cs="宋体"/>
          <w:b w:val="0"/>
          <w:bCs w:val="0"/>
          <w:color w:val="auto"/>
          <w:szCs w:val="21"/>
          <w:highlight w:val="none"/>
          <w:u w:val="none"/>
        </w:rPr>
        <w:t>：</w:t>
      </w:r>
      <w:r>
        <w:rPr>
          <w:rFonts w:hint="eastAsia" w:ascii="宋体" w:hAnsi="宋体" w:cs="宋体"/>
          <w:b w:val="0"/>
          <w:bCs w:val="0"/>
          <w:color w:val="auto"/>
          <w:szCs w:val="21"/>
          <w:highlight w:val="none"/>
          <w:u w:val="none"/>
          <w:lang w:val="en-US" w:eastAsia="zh-CN"/>
        </w:rPr>
        <w:t>00</w:t>
      </w:r>
      <w:r>
        <w:rPr>
          <w:rFonts w:hint="eastAsia" w:ascii="宋体" w:hAnsi="宋体" w:cs="宋体"/>
          <w:bCs/>
          <w:color w:val="auto"/>
          <w:szCs w:val="21"/>
          <w:highlight w:val="none"/>
        </w:rPr>
        <w:t>（北京时间）。</w:t>
      </w:r>
    </w:p>
    <w:p w14:paraId="30353514">
      <w:pPr>
        <w:spacing w:line="34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投标地点（网址）：</w:t>
      </w:r>
      <w:r>
        <w:rPr>
          <w:rFonts w:hint="eastAsia" w:ascii="宋体" w:hAnsi="宋体" w:cs="宋体"/>
          <w:color w:val="auto"/>
          <w:spacing w:val="-2"/>
          <w:szCs w:val="21"/>
          <w:highlight w:val="none"/>
        </w:rPr>
        <w:t>（1）“电子加密</w:t>
      </w:r>
      <w:r>
        <w:rPr>
          <w:rFonts w:hint="eastAsia" w:ascii="宋体" w:hAnsi="宋体" w:cs="宋体"/>
          <w:bCs/>
          <w:color w:val="auto"/>
          <w:spacing w:val="-2"/>
          <w:szCs w:val="21"/>
          <w:highlight w:val="none"/>
        </w:rPr>
        <w:t>投标文件”</w:t>
      </w:r>
      <w:r>
        <w:rPr>
          <w:rFonts w:hint="eastAsia" w:ascii="宋体" w:hAnsi="宋体" w:cs="宋体"/>
          <w:bCs/>
          <w:color w:val="auto"/>
          <w:spacing w:val="-2"/>
          <w:szCs w:val="21"/>
          <w:highlight w:val="none"/>
          <w:lang w:eastAsia="zh-CN"/>
        </w:rPr>
        <w:t>：</w:t>
      </w:r>
      <w:r>
        <w:rPr>
          <w:rFonts w:hint="eastAsia" w:ascii="宋体" w:hAnsi="宋体" w:cs="宋体"/>
          <w:color w:val="auto"/>
          <w:spacing w:val="-2"/>
          <w:szCs w:val="21"/>
          <w:highlight w:val="none"/>
        </w:rPr>
        <w:fldChar w:fldCharType="begin"/>
      </w:r>
      <w:r>
        <w:rPr>
          <w:rFonts w:hint="eastAsia" w:ascii="宋体" w:hAnsi="宋体" w:cs="宋体"/>
          <w:color w:val="auto"/>
          <w:spacing w:val="-2"/>
          <w:szCs w:val="21"/>
          <w:highlight w:val="none"/>
        </w:rPr>
        <w:instrText xml:space="preserve"> HYPERLINK "https://www.zcygov.cn在线提交；" </w:instrText>
      </w:r>
      <w:r>
        <w:rPr>
          <w:rFonts w:hint="eastAsia" w:ascii="宋体" w:hAnsi="宋体" w:cs="宋体"/>
          <w:color w:val="auto"/>
          <w:spacing w:val="-2"/>
          <w:szCs w:val="21"/>
          <w:highlight w:val="none"/>
        </w:rPr>
        <w:fldChar w:fldCharType="separate"/>
      </w:r>
      <w:r>
        <w:rPr>
          <w:rFonts w:hint="eastAsia" w:ascii="宋体" w:hAnsi="宋体" w:cs="宋体"/>
          <w:color w:val="auto"/>
          <w:spacing w:val="-2"/>
          <w:szCs w:val="21"/>
          <w:highlight w:val="none"/>
        </w:rPr>
        <w:t>政采云平台（www.zcygov.cn）</w:t>
      </w:r>
      <w:r>
        <w:rPr>
          <w:rStyle w:val="33"/>
          <w:rFonts w:hint="eastAsia" w:ascii="宋体" w:hAnsi="宋体" w:cs="宋体"/>
          <w:b/>
          <w:bCs/>
          <w:color w:val="auto"/>
          <w:spacing w:val="-2"/>
          <w:szCs w:val="21"/>
          <w:highlight w:val="none"/>
          <w:u w:val="none"/>
        </w:rPr>
        <w:t>在线提交</w:t>
      </w:r>
      <w:r>
        <w:rPr>
          <w:rStyle w:val="33"/>
          <w:rFonts w:hint="eastAsia" w:ascii="宋体" w:hAnsi="宋体" w:cs="宋体"/>
          <w:color w:val="auto"/>
          <w:spacing w:val="-2"/>
          <w:szCs w:val="21"/>
          <w:highlight w:val="none"/>
          <w:u w:val="none"/>
        </w:rPr>
        <w:t>；</w:t>
      </w:r>
      <w:r>
        <w:rPr>
          <w:rFonts w:hint="eastAsia" w:ascii="宋体" w:hAnsi="宋体" w:cs="宋体"/>
          <w:color w:val="auto"/>
          <w:spacing w:val="-2"/>
          <w:szCs w:val="21"/>
          <w:highlight w:val="none"/>
        </w:rPr>
        <w:fldChar w:fldCharType="end"/>
      </w:r>
      <w:r>
        <w:rPr>
          <w:rFonts w:hint="eastAsia" w:ascii="宋体" w:hAnsi="宋体" w:cs="宋体"/>
          <w:color w:val="auto"/>
          <w:spacing w:val="-2"/>
          <w:szCs w:val="21"/>
          <w:highlight w:val="none"/>
        </w:rPr>
        <w:t>（2）现场递交备份投标文件（以U盘存储的电子备份投标文件）：北仑区公共资源交易中心（宁波市北仑区</w:t>
      </w:r>
      <w:r>
        <w:rPr>
          <w:rFonts w:hint="eastAsia" w:ascii="宋体" w:hAnsi="宋体"/>
          <w:color w:val="auto"/>
          <w:szCs w:val="21"/>
          <w:highlight w:val="none"/>
        </w:rPr>
        <w:t>长江路1166号北仑行政大楼B座三楼招投标中心交易厅，具体场所安排详见电子指示屏幕</w:t>
      </w:r>
      <w:r>
        <w:rPr>
          <w:rFonts w:hint="eastAsia" w:ascii="宋体" w:hAnsi="宋体" w:cs="宋体"/>
          <w:color w:val="auto"/>
          <w:szCs w:val="21"/>
          <w:highlight w:val="none"/>
        </w:rPr>
        <w:t>）</w:t>
      </w:r>
      <w:r>
        <w:rPr>
          <w:rFonts w:hint="eastAsia" w:ascii="宋体" w:hAnsi="宋体" w:cs="宋体"/>
          <w:bCs/>
          <w:color w:val="auto"/>
          <w:szCs w:val="21"/>
          <w:highlight w:val="none"/>
        </w:rPr>
        <w:t>。</w:t>
      </w:r>
    </w:p>
    <w:p w14:paraId="772A1CD6">
      <w:pPr>
        <w:spacing w:line="34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开标时间：</w:t>
      </w:r>
      <w:r>
        <w:rPr>
          <w:rFonts w:hint="eastAsia" w:ascii="宋体" w:hAnsi="宋体" w:cs="Arial"/>
          <w:color w:val="auto"/>
          <w:kern w:val="0"/>
          <w:szCs w:val="21"/>
          <w:highlight w:val="none"/>
          <w:lang w:val="en"/>
        </w:rPr>
        <w:t>202</w:t>
      </w:r>
      <w:r>
        <w:rPr>
          <w:rFonts w:hint="eastAsia" w:ascii="宋体" w:hAnsi="宋体" w:cs="Arial"/>
          <w:color w:val="auto"/>
          <w:kern w:val="0"/>
          <w:szCs w:val="21"/>
          <w:highlight w:val="none"/>
          <w:lang w:val="en-US" w:eastAsia="zh-CN"/>
        </w:rPr>
        <w:t>5</w:t>
      </w:r>
      <w:r>
        <w:rPr>
          <w:rFonts w:ascii="宋体" w:hAnsi="宋体" w:cs="Arial"/>
          <w:color w:val="auto"/>
          <w:kern w:val="0"/>
          <w:szCs w:val="21"/>
          <w:highlight w:val="none"/>
          <w:lang w:val="en"/>
        </w:rPr>
        <w:t>年</w:t>
      </w:r>
      <w:r>
        <w:rPr>
          <w:rFonts w:hint="eastAsia" w:ascii="宋体" w:hAnsi="宋体" w:cs="Arial"/>
          <w:color w:val="auto"/>
          <w:kern w:val="0"/>
          <w:szCs w:val="21"/>
          <w:highlight w:val="none"/>
          <w:lang w:val="en-US" w:eastAsia="zh-CN"/>
        </w:rPr>
        <w:t>2</w:t>
      </w:r>
      <w:r>
        <w:rPr>
          <w:rFonts w:ascii="宋体" w:hAnsi="宋体" w:cs="Arial"/>
          <w:color w:val="auto"/>
          <w:kern w:val="0"/>
          <w:szCs w:val="21"/>
          <w:highlight w:val="none"/>
          <w:lang w:val="en"/>
        </w:rPr>
        <w:t>月</w:t>
      </w:r>
      <w:r>
        <w:rPr>
          <w:rFonts w:hint="eastAsia" w:ascii="宋体" w:hAnsi="宋体" w:cs="Arial"/>
          <w:color w:val="auto"/>
          <w:kern w:val="0"/>
          <w:szCs w:val="21"/>
          <w:highlight w:val="none"/>
          <w:lang w:val="en-US" w:eastAsia="zh-CN"/>
        </w:rPr>
        <w:t>28</w:t>
      </w:r>
      <w:r>
        <w:rPr>
          <w:rFonts w:ascii="宋体" w:hAnsi="宋体" w:cs="Arial"/>
          <w:color w:val="auto"/>
          <w:kern w:val="0"/>
          <w:szCs w:val="21"/>
          <w:highlight w:val="none"/>
          <w:lang w:val="en"/>
        </w:rPr>
        <w:t>日</w:t>
      </w:r>
      <w:r>
        <w:rPr>
          <w:rFonts w:hint="eastAsia" w:ascii="宋体" w:hAnsi="宋体" w:cs="宋体"/>
          <w:b w:val="0"/>
          <w:bCs w:val="0"/>
          <w:color w:val="auto"/>
          <w:szCs w:val="21"/>
          <w:highlight w:val="none"/>
          <w:u w:val="none"/>
          <w:lang w:val="en-US" w:eastAsia="zh-CN"/>
        </w:rPr>
        <w:t xml:space="preserve">13 </w:t>
      </w:r>
      <w:r>
        <w:rPr>
          <w:rFonts w:hint="eastAsia" w:ascii="宋体" w:hAnsi="宋体" w:cs="宋体"/>
          <w:b w:val="0"/>
          <w:bCs w:val="0"/>
          <w:color w:val="auto"/>
          <w:szCs w:val="21"/>
          <w:highlight w:val="none"/>
          <w:u w:val="none"/>
        </w:rPr>
        <w:t>：</w:t>
      </w:r>
      <w:r>
        <w:rPr>
          <w:rFonts w:hint="eastAsia" w:ascii="宋体" w:hAnsi="宋体" w:cs="宋体"/>
          <w:b w:val="0"/>
          <w:bCs w:val="0"/>
          <w:color w:val="auto"/>
          <w:szCs w:val="21"/>
          <w:highlight w:val="none"/>
          <w:u w:val="none"/>
          <w:lang w:val="en-US" w:eastAsia="zh-CN"/>
        </w:rPr>
        <w:t>00</w:t>
      </w:r>
      <w:r>
        <w:rPr>
          <w:rFonts w:hint="eastAsia" w:ascii="宋体" w:hAnsi="宋体" w:cs="宋体"/>
          <w:bCs/>
          <w:color w:val="auto"/>
          <w:szCs w:val="21"/>
          <w:highlight w:val="none"/>
        </w:rPr>
        <w:t>（北京时间）。</w:t>
      </w:r>
    </w:p>
    <w:p w14:paraId="067AB15F">
      <w:pPr>
        <w:spacing w:line="34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4.</w:t>
      </w:r>
      <w:r>
        <w:rPr>
          <w:rFonts w:hint="eastAsia" w:ascii="宋体" w:hAnsi="宋体" w:cs="宋体"/>
          <w:bCs/>
          <w:color w:val="auto"/>
          <w:szCs w:val="21"/>
          <w:highlight w:val="none"/>
        </w:rPr>
        <w:t>开标地点（网址）：北仑区公共资源交易中心（宁波市北仑区长江路1166号北仑行政大楼B座三楼北仑公共资源交易中心交易厅，具体场所安排详见电子指示屏幕）及“浙江政府采购云平台”（http://www.zcygov.cn/）。</w:t>
      </w:r>
    </w:p>
    <w:p w14:paraId="217E5B3E">
      <w:pPr>
        <w:spacing w:line="340" w:lineRule="exact"/>
        <w:ind w:firstLine="422" w:firstLineChars="200"/>
        <w:rPr>
          <w:rFonts w:ascii="宋体" w:hAnsi="宋体" w:cs="宋体"/>
          <w:bCs/>
          <w:color w:val="auto"/>
          <w:szCs w:val="21"/>
          <w:highlight w:val="none"/>
        </w:rPr>
      </w:pPr>
      <w:r>
        <w:rPr>
          <w:rFonts w:hint="eastAsia" w:ascii="宋体" w:hAnsi="宋体" w:cs="宋体"/>
          <w:b/>
          <w:color w:val="auto"/>
          <w:szCs w:val="21"/>
          <w:highlight w:val="none"/>
        </w:rPr>
        <w:t>五、公告期限</w:t>
      </w:r>
    </w:p>
    <w:p w14:paraId="292A82FF">
      <w:pPr>
        <w:spacing w:line="3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自本公告发布之日起5个工作日。</w:t>
      </w:r>
    </w:p>
    <w:p w14:paraId="681614D0">
      <w:pPr>
        <w:spacing w:line="340" w:lineRule="exact"/>
        <w:ind w:firstLine="422" w:firstLineChars="200"/>
        <w:rPr>
          <w:rFonts w:ascii="宋体" w:hAnsi="宋体"/>
          <w:b/>
          <w:bCs/>
          <w:color w:val="auto"/>
          <w:szCs w:val="21"/>
          <w:highlight w:val="none"/>
        </w:rPr>
      </w:pPr>
      <w:r>
        <w:rPr>
          <w:rFonts w:ascii="宋体" w:hAnsi="宋体"/>
          <w:b/>
          <w:bCs/>
          <w:color w:val="auto"/>
          <w:szCs w:val="21"/>
          <w:highlight w:val="none"/>
        </w:rPr>
        <w:t>六、其他补充事宜</w:t>
      </w:r>
    </w:p>
    <w:p w14:paraId="2ABE5ABD">
      <w:pPr>
        <w:spacing w:line="340" w:lineRule="exact"/>
        <w:ind w:firstLine="420" w:firstLineChars="200"/>
        <w:rPr>
          <w:rFonts w:hint="eastAsia" w:ascii="宋体" w:hAnsi="宋体" w:eastAsia="宋体" w:cs="Arial"/>
          <w:color w:val="auto"/>
          <w:kern w:val="0"/>
          <w:szCs w:val="21"/>
          <w:highlight w:val="none"/>
          <w:lang w:val="en"/>
        </w:rPr>
      </w:pPr>
      <w:r>
        <w:rPr>
          <w:rFonts w:hint="eastAsia" w:ascii="宋体" w:hAnsi="宋体" w:eastAsia="宋体" w:cs="Arial"/>
          <w:color w:val="auto"/>
          <w:kern w:val="0"/>
          <w:szCs w:val="21"/>
          <w:highlight w:val="none"/>
          <w:lang w:val="e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6880C9F">
      <w:pPr>
        <w:spacing w:line="340" w:lineRule="exact"/>
        <w:ind w:firstLine="420" w:firstLineChars="200"/>
        <w:rPr>
          <w:rFonts w:hint="eastAsia" w:ascii="宋体" w:hAnsi="宋体" w:eastAsia="宋体" w:cs="Arial"/>
          <w:color w:val="auto"/>
          <w:kern w:val="0"/>
          <w:szCs w:val="21"/>
          <w:highlight w:val="none"/>
          <w:lang w:val="en"/>
        </w:rPr>
      </w:pPr>
      <w:r>
        <w:rPr>
          <w:rFonts w:hint="eastAsia" w:ascii="宋体" w:hAnsi="宋体" w:eastAsia="宋体" w:cs="Arial"/>
          <w:color w:val="auto"/>
          <w:kern w:val="0"/>
          <w:szCs w:val="21"/>
          <w:highlight w:val="none"/>
          <w:lang w:val="e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FFDAA0">
      <w:pPr>
        <w:spacing w:line="340" w:lineRule="exact"/>
        <w:ind w:firstLine="420" w:firstLineChars="200"/>
        <w:rPr>
          <w:rFonts w:hint="eastAsia" w:ascii="宋体" w:hAnsi="宋体" w:eastAsia="宋体" w:cs="Arial"/>
          <w:color w:val="auto"/>
          <w:kern w:val="0"/>
          <w:szCs w:val="21"/>
          <w:highlight w:val="none"/>
          <w:lang w:val="en"/>
        </w:rPr>
      </w:pPr>
      <w:r>
        <w:rPr>
          <w:rFonts w:hint="eastAsia" w:ascii="宋体" w:hAnsi="宋体" w:eastAsia="宋体" w:cs="Arial"/>
          <w:color w:val="auto"/>
          <w:kern w:val="0"/>
          <w:szCs w:val="21"/>
          <w:highlight w:val="none"/>
          <w:lang w:val="e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8CCFF5">
      <w:pPr>
        <w:spacing w:line="340" w:lineRule="exact"/>
        <w:ind w:firstLine="420" w:firstLineChars="200"/>
        <w:rPr>
          <w:rFonts w:hint="eastAsia" w:ascii="宋体" w:hAnsi="宋体" w:eastAsia="宋体" w:cs="Arial"/>
          <w:color w:val="auto"/>
          <w:kern w:val="0"/>
          <w:szCs w:val="21"/>
          <w:highlight w:val="none"/>
          <w:lang w:val="en"/>
        </w:rPr>
      </w:pPr>
      <w:r>
        <w:rPr>
          <w:rFonts w:hint="eastAsia" w:ascii="宋体" w:hAnsi="宋体" w:eastAsia="宋体" w:cs="Arial"/>
          <w:color w:val="auto"/>
          <w:kern w:val="0"/>
          <w:szCs w:val="21"/>
          <w:highlight w:val="none"/>
          <w:lang w:val="en-US" w:eastAsia="zh-CN"/>
        </w:rPr>
        <w:t>4</w:t>
      </w:r>
      <w:r>
        <w:rPr>
          <w:rFonts w:hint="eastAsia" w:ascii="宋体" w:hAnsi="宋体" w:eastAsia="宋体" w:cs="Arial"/>
          <w:color w:val="auto"/>
          <w:kern w:val="0"/>
          <w:szCs w:val="21"/>
          <w:highlight w:val="none"/>
          <w:lang w:val="en"/>
        </w:rPr>
        <w:t>.其他事项：</w:t>
      </w:r>
    </w:p>
    <w:p w14:paraId="750C5DC5">
      <w:pPr>
        <w:spacing w:line="340" w:lineRule="exact"/>
        <w:ind w:firstLine="420" w:firstLineChars="200"/>
        <w:rPr>
          <w:rFonts w:hint="eastAsia" w:ascii="宋体" w:hAnsi="宋体" w:eastAsia="宋体" w:cs="Arial"/>
          <w:color w:val="auto"/>
          <w:kern w:val="0"/>
          <w:szCs w:val="21"/>
          <w:highlight w:val="none"/>
          <w:lang w:val="en"/>
        </w:rPr>
      </w:pPr>
      <w:r>
        <w:rPr>
          <w:rFonts w:hint="eastAsia" w:ascii="宋体" w:hAnsi="宋体" w:eastAsia="宋体" w:cs="Arial"/>
          <w:color w:val="auto"/>
          <w:kern w:val="0"/>
          <w:szCs w:val="21"/>
          <w:highlight w:val="none"/>
          <w:lang w:val="en-US" w:eastAsia="zh-CN"/>
        </w:rPr>
        <w:t>4</w:t>
      </w:r>
      <w:r>
        <w:rPr>
          <w:rFonts w:hint="eastAsia" w:ascii="宋体" w:hAnsi="宋体" w:eastAsia="宋体" w:cs="Arial"/>
          <w:color w:val="auto"/>
          <w:kern w:val="0"/>
          <w:szCs w:val="21"/>
          <w:highlight w:val="none"/>
          <w:lang w:val="en"/>
        </w:rPr>
        <w:t>.1本次政府采购活动有关信息在“浙江政府采购网（www.zjzfcg.gov.cn）”、“宁波政府采购网（http://www.nbzfcg.cn）”、“</w:t>
      </w:r>
      <w:r>
        <w:rPr>
          <w:rFonts w:hint="eastAsia" w:ascii="宋体" w:hAnsi="宋体" w:eastAsia="宋体" w:cs="Arial"/>
          <w:color w:val="auto"/>
          <w:kern w:val="0"/>
          <w:szCs w:val="21"/>
          <w:highlight w:val="none"/>
          <w:lang w:val="en-US" w:eastAsia="zh-CN"/>
        </w:rPr>
        <w:t>宁波市公共资源交易电子服务系统</w:t>
      </w:r>
      <w:r>
        <w:rPr>
          <w:rFonts w:hint="eastAsia" w:ascii="宋体" w:hAnsi="宋体" w:eastAsia="宋体" w:cs="Arial"/>
          <w:color w:val="auto"/>
          <w:kern w:val="0"/>
          <w:szCs w:val="21"/>
          <w:highlight w:val="none"/>
          <w:lang w:val="en"/>
        </w:rPr>
        <w:t>（https://jyxt.zwb.ningbo.gov.cn:4011/website/home）”网站上公布，公布信息视同送达所有潜在投标人。</w:t>
      </w:r>
    </w:p>
    <w:p w14:paraId="6B2756EB">
      <w:pPr>
        <w:spacing w:line="340" w:lineRule="exact"/>
        <w:ind w:firstLine="420" w:firstLineChars="200"/>
        <w:rPr>
          <w:rFonts w:hint="eastAsia" w:ascii="宋体" w:hAnsi="宋体" w:eastAsia="宋体" w:cs="Arial"/>
          <w:color w:val="auto"/>
          <w:kern w:val="0"/>
          <w:szCs w:val="21"/>
          <w:highlight w:val="none"/>
          <w:lang w:val="en-US" w:eastAsia="zh-CN"/>
        </w:rPr>
      </w:pPr>
      <w:r>
        <w:rPr>
          <w:rFonts w:hint="eastAsia" w:ascii="宋体" w:hAnsi="宋体" w:eastAsia="宋体" w:cs="Arial"/>
          <w:color w:val="auto"/>
          <w:kern w:val="0"/>
          <w:szCs w:val="21"/>
          <w:highlight w:val="none"/>
          <w:lang w:val="en-US" w:eastAsia="zh-CN"/>
        </w:rPr>
        <w:t>4</w:t>
      </w:r>
      <w:r>
        <w:rPr>
          <w:rFonts w:hint="eastAsia" w:ascii="宋体" w:hAnsi="宋体" w:eastAsia="宋体" w:cs="Arial"/>
          <w:color w:val="auto"/>
          <w:kern w:val="0"/>
          <w:szCs w:val="21"/>
          <w:highlight w:val="none"/>
          <w:lang w:val="en"/>
        </w:rPr>
        <w:t>.2落实的政策：《关于促进残疾人就业政府采购政策的通知》（财库[2017]141号）、《政府采购促进中小企业发展管理办法》（财库[2020]46号）、《关于政府采购支持监狱企业发展有关问题的通知》(财库[2014]68号)、《关于调整优化节能产品、环境标志产品政府采购执行机制的通知》（财库〔2019〕9号文）、《关于印发环境标志产品政府采购品目清单的通知》（财库〔2019〕18号）和《关于印发节能产品政府采购品目清单的通知》（财库〔2019〕19号）</w:t>
      </w:r>
      <w:r>
        <w:rPr>
          <w:rFonts w:hint="eastAsia" w:ascii="宋体" w:hAnsi="宋体" w:eastAsia="宋体" w:cs="Arial"/>
          <w:color w:val="auto"/>
          <w:kern w:val="0"/>
          <w:szCs w:val="21"/>
          <w:highlight w:val="none"/>
          <w:lang w:val="en" w:eastAsia="zh-CN"/>
        </w:rPr>
        <w:t>。</w:t>
      </w:r>
    </w:p>
    <w:p w14:paraId="61FCDD39">
      <w:pPr>
        <w:spacing w:line="340" w:lineRule="exact"/>
        <w:ind w:firstLine="420" w:firstLineChars="200"/>
        <w:rPr>
          <w:rFonts w:hint="eastAsia" w:ascii="宋体" w:hAnsi="宋体" w:eastAsia="宋体" w:cs="Arial"/>
          <w:color w:val="auto"/>
          <w:kern w:val="0"/>
          <w:szCs w:val="21"/>
          <w:highlight w:val="none"/>
          <w:lang w:val="en"/>
        </w:rPr>
      </w:pPr>
      <w:r>
        <w:rPr>
          <w:rFonts w:hint="eastAsia" w:ascii="宋体" w:hAnsi="宋体" w:eastAsia="宋体" w:cs="Arial"/>
          <w:color w:val="auto"/>
          <w:kern w:val="0"/>
          <w:szCs w:val="21"/>
          <w:highlight w:val="none"/>
          <w:lang w:val="en-US" w:eastAsia="zh-CN"/>
        </w:rPr>
        <w:t>4</w:t>
      </w:r>
      <w:r>
        <w:rPr>
          <w:rFonts w:hint="eastAsia" w:ascii="宋体" w:hAnsi="宋体" w:eastAsia="宋体" w:cs="Arial"/>
          <w:color w:val="auto"/>
          <w:kern w:val="0"/>
          <w:szCs w:val="21"/>
          <w:highlight w:val="none"/>
          <w:lang w:val="en"/>
        </w:rPr>
        <w:t>.3单位负责人为同一人或者存在直接控股、管理关系的不同投标人，不得参加同一标项的投标。为本项目提供整体设计、规范编制或者项目管理、监理、检测等服务的投标人，不得再参加本项目的投标。</w:t>
      </w:r>
    </w:p>
    <w:p w14:paraId="3A58251D">
      <w:pPr>
        <w:spacing w:line="340" w:lineRule="exact"/>
        <w:ind w:firstLine="420" w:firstLineChars="200"/>
        <w:rPr>
          <w:rFonts w:hint="eastAsia" w:ascii="宋体" w:hAnsi="宋体" w:eastAsia="宋体" w:cs="Arial"/>
          <w:color w:val="auto"/>
          <w:kern w:val="0"/>
          <w:szCs w:val="21"/>
          <w:highlight w:val="none"/>
          <w:lang w:val="en"/>
        </w:rPr>
      </w:pPr>
      <w:r>
        <w:rPr>
          <w:rFonts w:hint="eastAsia" w:ascii="宋体" w:hAnsi="宋体" w:eastAsia="宋体" w:cs="Arial"/>
          <w:color w:val="auto"/>
          <w:kern w:val="0"/>
          <w:szCs w:val="21"/>
          <w:highlight w:val="none"/>
          <w:lang w:val="en-US" w:eastAsia="zh-CN"/>
        </w:rPr>
        <w:t>4.4</w:t>
      </w:r>
      <w:r>
        <w:rPr>
          <w:rFonts w:hint="eastAsia" w:ascii="宋体" w:hAnsi="宋体" w:eastAsia="宋体" w:cs="Arial"/>
          <w:color w:val="auto"/>
          <w:kern w:val="0"/>
          <w:szCs w:val="21"/>
          <w:highlight w:val="none"/>
          <w:lang w:val="en"/>
        </w:rPr>
        <w:t>投标与开标注意事项：（1)本项目实行网上投标，采用电子投标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投标文件制作应按照本项目采购文件和政采云平台的要求编制、加密并递交投标文件。供应商在使用系统进行投标的过程中遇到涉及平台使用的任何问题，可致电政采云平台技术支持热线咨询，联系方式：</w:t>
      </w:r>
      <w:r>
        <w:rPr>
          <w:rFonts w:hint="eastAsia" w:ascii="宋体" w:hAnsi="宋体" w:eastAsia="宋体" w:cs="Arial"/>
          <w:color w:val="auto"/>
          <w:kern w:val="0"/>
          <w:szCs w:val="21"/>
          <w:highlight w:val="none"/>
          <w:lang w:val="en-US" w:eastAsia="zh-CN"/>
        </w:rPr>
        <w:t>95763</w:t>
      </w:r>
      <w:r>
        <w:rPr>
          <w:rFonts w:hint="eastAsia" w:ascii="宋体" w:hAnsi="宋体" w:eastAsia="宋体" w:cs="Arial"/>
          <w:color w:val="auto"/>
          <w:kern w:val="0"/>
          <w:szCs w:val="21"/>
          <w:highlight w:val="none"/>
          <w:lang w:val="en"/>
        </w:rPr>
        <w:t>。投标人通过“政采云”平台电子投标工具制作投标文件，电子投标工具请供应商自行前往浙江省政府采购网下载并安装，投标文件制作具体流程详见政府采购云平台。（4）以U盘介质存储的数据电文形式的备份投标文件1份，即电子投标文件按“政采云供应商项目采购-电子招投标操作指南”制作的备份文件，以用于异常情况处理。（5）开标时间后30分钟内供应商可以登录“政采云”平台，用“项目采购-开标评标”功能进行解密投标文件。若供应商在规定时间内无法解密或解密失败，可使用备份电子投标文件进行评标。若供应商在规定时间内无法解密或解密失败且未在开标前提供备份电子投标文件的，视为投标人放弃投标。</w:t>
      </w:r>
    </w:p>
    <w:p w14:paraId="6FEB5B12">
      <w:pPr>
        <w:spacing w:line="340" w:lineRule="exact"/>
        <w:ind w:firstLine="420" w:firstLineChars="200"/>
        <w:rPr>
          <w:rFonts w:hint="eastAsia" w:ascii="宋体" w:hAnsi="宋体" w:eastAsia="宋体" w:cs="Arial"/>
          <w:color w:val="auto"/>
          <w:kern w:val="0"/>
          <w:szCs w:val="21"/>
          <w:highlight w:val="none"/>
          <w:lang w:val="en"/>
        </w:rPr>
      </w:pPr>
      <w:r>
        <w:rPr>
          <w:rFonts w:hint="eastAsia" w:ascii="宋体" w:hAnsi="宋体" w:eastAsia="宋体" w:cs="Arial"/>
          <w:color w:val="auto"/>
          <w:kern w:val="0"/>
          <w:szCs w:val="21"/>
          <w:highlight w:val="none"/>
          <w:lang w:val="en-US" w:eastAsia="zh-CN"/>
        </w:rPr>
        <w:t>4</w:t>
      </w:r>
      <w:r>
        <w:rPr>
          <w:rFonts w:hint="eastAsia" w:ascii="宋体" w:hAnsi="宋体" w:eastAsia="宋体" w:cs="Arial"/>
          <w:color w:val="auto"/>
          <w:kern w:val="0"/>
          <w:szCs w:val="21"/>
          <w:highlight w:val="none"/>
          <w:lang w:val="en"/>
        </w:rPr>
        <w:t>.</w:t>
      </w:r>
      <w:r>
        <w:rPr>
          <w:rFonts w:hint="eastAsia" w:ascii="宋体" w:hAnsi="宋体" w:eastAsia="宋体" w:cs="Arial"/>
          <w:color w:val="auto"/>
          <w:kern w:val="0"/>
          <w:szCs w:val="21"/>
          <w:highlight w:val="none"/>
          <w:lang w:val="en-US" w:eastAsia="zh-CN"/>
        </w:rPr>
        <w:t>5</w:t>
      </w:r>
      <w:r>
        <w:rPr>
          <w:rFonts w:hint="eastAsia" w:ascii="宋体" w:hAnsi="宋体" w:eastAsia="宋体" w:cs="Arial"/>
          <w:color w:val="auto"/>
          <w:kern w:val="0"/>
          <w:szCs w:val="21"/>
          <w:highlight w:val="none"/>
          <w:lang w:val="en"/>
        </w:rPr>
        <w:t xml:space="preserve"> 供应商递交备份电子投标文件方式</w:t>
      </w:r>
      <w:r>
        <w:rPr>
          <w:rFonts w:hint="eastAsia" w:ascii="宋体" w:hAnsi="宋体" w:eastAsia="宋体" w:cs="Arial"/>
          <w:b/>
          <w:bCs/>
          <w:color w:val="auto"/>
          <w:kern w:val="0"/>
          <w:szCs w:val="21"/>
          <w:highlight w:val="none"/>
          <w:lang w:val="en"/>
        </w:rPr>
        <w:t>（不作强制要求，投标人自行决定是否</w:t>
      </w:r>
      <w:r>
        <w:rPr>
          <w:rFonts w:hint="eastAsia" w:ascii="宋体" w:hAnsi="宋体" w:eastAsia="宋体" w:cs="Arial"/>
          <w:b/>
          <w:bCs/>
          <w:color w:val="auto"/>
          <w:kern w:val="0"/>
          <w:szCs w:val="21"/>
          <w:highlight w:val="none"/>
          <w:lang w:val="en-US" w:eastAsia="zh-CN"/>
        </w:rPr>
        <w:t>递交</w:t>
      </w:r>
      <w:r>
        <w:rPr>
          <w:rFonts w:hint="eastAsia" w:ascii="宋体" w:hAnsi="宋体" w:eastAsia="宋体" w:cs="Arial"/>
          <w:b/>
          <w:bCs/>
          <w:color w:val="auto"/>
          <w:kern w:val="0"/>
          <w:szCs w:val="21"/>
          <w:highlight w:val="none"/>
          <w:lang w:val="en"/>
        </w:rPr>
        <w:t>）</w:t>
      </w:r>
      <w:r>
        <w:rPr>
          <w:rFonts w:hint="eastAsia" w:ascii="宋体" w:hAnsi="宋体" w:eastAsia="宋体" w:cs="Arial"/>
          <w:color w:val="auto"/>
          <w:kern w:val="0"/>
          <w:szCs w:val="21"/>
          <w:highlight w:val="none"/>
          <w:lang w:val="en"/>
        </w:rPr>
        <w:t>：（1）采用邮寄方式递交投标文件，需按以下要求递交：供应商须在</w:t>
      </w:r>
      <w:r>
        <w:rPr>
          <w:rFonts w:hint="eastAsia" w:ascii="宋体" w:hAnsi="宋体" w:eastAsia="宋体" w:cs="Arial"/>
          <w:color w:val="auto"/>
          <w:kern w:val="0"/>
          <w:szCs w:val="21"/>
          <w:highlight w:val="none"/>
          <w:lang w:val="en-US" w:eastAsia="zh-CN"/>
        </w:rPr>
        <w:t>投标文件截止时间前一天17:00</w:t>
      </w:r>
      <w:r>
        <w:rPr>
          <w:rFonts w:hint="eastAsia" w:ascii="宋体" w:hAnsi="宋体" w:eastAsia="宋体" w:cs="Arial"/>
          <w:color w:val="auto"/>
          <w:kern w:val="0"/>
          <w:szCs w:val="21"/>
          <w:highlight w:val="none"/>
          <w:lang w:val="en"/>
        </w:rPr>
        <w:t>前将备份电子投标文件邮寄至规定地点，由采购代理机构工作人员进行签收。各供应商自行考虑邮寄在途时间，邮寄过程中无论何种因素导致投标文件未按时递交的后果，均由供应商自行负责。投标文件递交时间以采购代理机构实际收到投标文件的时间为准。请各供应商确保密封包装在邮寄过程密封包装完好，并在邮寄包裹上注明项目名称，因邮寄过程的密封破损造成不符合开标要求的，本招标代理及招标人概不负责。投标文件</w:t>
      </w:r>
      <w:r>
        <w:rPr>
          <w:rFonts w:hint="eastAsia" w:ascii="宋体" w:hAnsi="宋体" w:eastAsia="宋体" w:cs="Arial"/>
          <w:b/>
          <w:bCs/>
          <w:color w:val="auto"/>
          <w:kern w:val="0"/>
          <w:szCs w:val="21"/>
          <w:highlight w:val="none"/>
          <w:lang w:val="en"/>
        </w:rPr>
        <w:t>邮寄地址</w:t>
      </w:r>
      <w:r>
        <w:rPr>
          <w:rFonts w:hint="eastAsia" w:ascii="宋体" w:hAnsi="宋体" w:eastAsia="宋体" w:cs="Arial"/>
          <w:color w:val="auto"/>
          <w:kern w:val="0"/>
          <w:szCs w:val="21"/>
          <w:highlight w:val="none"/>
          <w:lang w:val="en"/>
        </w:rPr>
        <w:t>为：</w:t>
      </w:r>
      <w:r>
        <w:rPr>
          <w:rFonts w:hint="eastAsia" w:ascii="宋体" w:hAnsi="宋体" w:eastAsia="宋体" w:cs="宋体"/>
          <w:bCs/>
          <w:color w:val="auto"/>
          <w:szCs w:val="21"/>
          <w:highlight w:val="none"/>
          <w:lang w:eastAsia="zh-CN"/>
        </w:rPr>
        <w:t>宁波市鄞州区首南街道圣嘉大厦27楼</w:t>
      </w:r>
      <w:r>
        <w:rPr>
          <w:rFonts w:hint="eastAsia" w:ascii="宋体" w:hAnsi="宋体" w:eastAsia="宋体" w:cs="Arial"/>
          <w:color w:val="auto"/>
          <w:kern w:val="0"/>
          <w:szCs w:val="21"/>
          <w:highlight w:val="none"/>
          <w:lang w:val="en"/>
        </w:rPr>
        <w:t>，收件人：</w:t>
      </w:r>
      <w:r>
        <w:rPr>
          <w:rFonts w:hint="eastAsia" w:ascii="宋体" w:hAnsi="宋体" w:cs="宋体"/>
          <w:color w:val="auto"/>
          <w:szCs w:val="21"/>
          <w:highlight w:val="none"/>
          <w:lang w:eastAsia="zh-CN"/>
        </w:rPr>
        <w:t>陈丽芳</w:t>
      </w:r>
      <w:r>
        <w:rPr>
          <w:rFonts w:hint="eastAsia" w:ascii="宋体" w:hAnsi="宋体" w:eastAsia="宋体" w:cs="Arial"/>
          <w:color w:val="auto"/>
          <w:kern w:val="0"/>
          <w:szCs w:val="21"/>
          <w:highlight w:val="none"/>
          <w:lang w:val="en"/>
        </w:rPr>
        <w:t>，联系方式：</w:t>
      </w:r>
      <w:r>
        <w:rPr>
          <w:rFonts w:hint="eastAsia" w:ascii="宋体" w:hAnsi="宋体" w:cs="宋体"/>
          <w:color w:val="auto"/>
          <w:szCs w:val="21"/>
          <w:highlight w:val="none"/>
          <w:lang w:val="en-US" w:eastAsia="zh-CN"/>
        </w:rPr>
        <w:t>13884459223</w:t>
      </w:r>
      <w:r>
        <w:rPr>
          <w:rFonts w:hint="eastAsia" w:ascii="宋体" w:hAnsi="宋体" w:eastAsia="宋体" w:cs="Arial"/>
          <w:color w:val="auto"/>
          <w:kern w:val="0"/>
          <w:szCs w:val="21"/>
          <w:highlight w:val="none"/>
          <w:lang w:val="en"/>
        </w:rPr>
        <w:t>、（2）采用现场递交投标文件，供应商代表</w:t>
      </w:r>
      <w:r>
        <w:rPr>
          <w:rFonts w:hint="eastAsia" w:ascii="宋体" w:hAnsi="宋体" w:eastAsia="宋体" w:cs="Arial"/>
          <w:color w:val="auto"/>
          <w:kern w:val="0"/>
          <w:szCs w:val="21"/>
          <w:highlight w:val="none"/>
          <w:lang w:val="en-US" w:eastAsia="zh-CN"/>
        </w:rPr>
        <w:t>在投标文件递交截止时间前</w:t>
      </w:r>
      <w:r>
        <w:rPr>
          <w:rFonts w:hint="eastAsia" w:ascii="宋体" w:hAnsi="宋体" w:eastAsia="宋体" w:cs="Arial"/>
          <w:color w:val="auto"/>
          <w:kern w:val="0"/>
          <w:szCs w:val="21"/>
          <w:highlight w:val="none"/>
          <w:lang w:val="en"/>
        </w:rPr>
        <w:t>进入开标现场（宁波市北仑区长江路1166号行政大楼B座三楼招投标中心交易厅，具体场所安排详见电子指示屏幕）递交备份电子投标文件，参与现场开标活动的人员应自觉遵守和服从交易现场管理。</w:t>
      </w:r>
    </w:p>
    <w:p w14:paraId="1A28880A">
      <w:pPr>
        <w:spacing w:line="34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七、对本次采购提出询问、质疑、投诉，请按以下方式联系。</w:t>
      </w:r>
    </w:p>
    <w:p w14:paraId="398EA5B0">
      <w:pPr>
        <w:spacing w:line="3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1.采购人信息：</w:t>
      </w:r>
    </w:p>
    <w:p w14:paraId="6F851D90">
      <w:pPr>
        <w:spacing w:line="360" w:lineRule="exact"/>
        <w:ind w:right="-84" w:rightChars="-40"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名称：</w:t>
      </w:r>
      <w:r>
        <w:rPr>
          <w:rFonts w:hint="eastAsia" w:ascii="宋体" w:hAnsi="宋体" w:cs="宋体"/>
          <w:bCs/>
          <w:color w:val="auto"/>
          <w:szCs w:val="21"/>
          <w:highlight w:val="none"/>
          <w:lang w:eastAsia="zh-CN"/>
        </w:rPr>
        <w:t>宁波市北仑区体艺中心</w:t>
      </w:r>
      <w:r>
        <w:rPr>
          <w:rFonts w:hint="eastAsia" w:ascii="宋体" w:hAnsi="宋体" w:cs="宋体"/>
          <w:bCs/>
          <w:color w:val="auto"/>
          <w:szCs w:val="21"/>
          <w:highlight w:val="none"/>
        </w:rPr>
        <w:t xml:space="preserve"> </w:t>
      </w:r>
    </w:p>
    <w:p w14:paraId="1D0E4D5B">
      <w:pPr>
        <w:spacing w:line="360" w:lineRule="exact"/>
        <w:ind w:right="-84" w:rightChars="-40" w:firstLine="420" w:firstLineChars="2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eastAsia="宋体" w:cs="宋体"/>
          <w:bCs/>
          <w:color w:val="auto"/>
          <w:szCs w:val="21"/>
          <w:highlight w:val="none"/>
          <w:lang w:val="en-US" w:eastAsia="zh-CN"/>
        </w:rPr>
        <w:t xml:space="preserve"> 中河路328号</w:t>
      </w:r>
      <w:r>
        <w:rPr>
          <w:rFonts w:hint="eastAsia" w:ascii="宋体" w:hAnsi="宋体" w:eastAsia="宋体" w:cs="宋体"/>
          <w:bCs/>
          <w:color w:val="auto"/>
          <w:szCs w:val="21"/>
          <w:highlight w:val="none"/>
          <w:lang w:eastAsia="zh-CN"/>
        </w:rPr>
        <w:t xml:space="preserve"> </w:t>
      </w:r>
    </w:p>
    <w:p w14:paraId="3CEDED1A">
      <w:pPr>
        <w:spacing w:line="360" w:lineRule="exact"/>
        <w:ind w:right="-84" w:rightChars="-40"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传真： / </w:t>
      </w:r>
    </w:p>
    <w:p w14:paraId="0F550C87">
      <w:pPr>
        <w:spacing w:line="360" w:lineRule="exact"/>
        <w:ind w:right="-84" w:rightChars="-4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项目联系人（询问）：</w:t>
      </w:r>
      <w:bookmarkStart w:id="11" w:name="OLE_LINK2"/>
      <w:r>
        <w:rPr>
          <w:rFonts w:hint="eastAsia" w:ascii="宋体" w:hAnsi="宋体" w:eastAsia="宋体" w:cs="宋体"/>
          <w:bCs/>
          <w:color w:val="auto"/>
          <w:szCs w:val="21"/>
          <w:highlight w:val="none"/>
          <w:lang w:val="en-US" w:eastAsia="zh-CN"/>
        </w:rPr>
        <w:t>邵老师</w:t>
      </w:r>
      <w:r>
        <w:rPr>
          <w:rFonts w:hint="eastAsia" w:ascii="宋体" w:hAnsi="宋体" w:eastAsia="宋体" w:cs="宋体"/>
          <w:color w:val="auto"/>
          <w:szCs w:val="21"/>
          <w:highlight w:val="none"/>
        </w:rPr>
        <w:t xml:space="preserve"> </w:t>
      </w:r>
      <w:bookmarkEnd w:id="11"/>
    </w:p>
    <w:p w14:paraId="11746F9A">
      <w:pPr>
        <w:spacing w:line="360" w:lineRule="exact"/>
        <w:ind w:right="-84" w:rightChars="-4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项目联系方式（询问）：</w:t>
      </w:r>
      <w:r>
        <w:rPr>
          <w:rFonts w:hint="eastAsia" w:ascii="宋体" w:hAnsi="宋体" w:eastAsia="宋体" w:cs="宋体"/>
          <w:color w:val="auto"/>
          <w:szCs w:val="21"/>
          <w:highlight w:val="none"/>
          <w:lang w:val="en-US" w:eastAsia="zh-CN"/>
        </w:rPr>
        <w:t>0574-</w:t>
      </w:r>
      <w:r>
        <w:rPr>
          <w:rFonts w:hint="eastAsia" w:ascii="宋体" w:hAnsi="宋体" w:eastAsia="宋体" w:cs="宋体"/>
          <w:color w:val="auto"/>
          <w:szCs w:val="21"/>
          <w:highlight w:val="none"/>
          <w:lang w:eastAsia="zh-CN"/>
        </w:rPr>
        <w:t>86782049</w:t>
      </w:r>
    </w:p>
    <w:p w14:paraId="3215B5C9">
      <w:pPr>
        <w:spacing w:line="360" w:lineRule="exact"/>
        <w:ind w:right="-84" w:rightChars="-4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质疑联系人：</w:t>
      </w:r>
      <w:r>
        <w:rPr>
          <w:rFonts w:hint="eastAsia" w:ascii="宋体" w:hAnsi="宋体" w:eastAsia="宋体" w:cs="宋体"/>
          <w:bCs/>
          <w:color w:val="auto"/>
          <w:szCs w:val="21"/>
          <w:highlight w:val="none"/>
          <w:lang w:val="en-US" w:eastAsia="zh-CN"/>
        </w:rPr>
        <w:t>邵老师</w:t>
      </w:r>
    </w:p>
    <w:p w14:paraId="7C20C8CF">
      <w:pPr>
        <w:spacing w:line="360" w:lineRule="exact"/>
        <w:ind w:right="-84" w:rightChars="-40"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质疑联系方式：</w:t>
      </w:r>
      <w:r>
        <w:rPr>
          <w:rFonts w:hint="eastAsia" w:ascii="宋体" w:hAnsi="宋体" w:eastAsia="宋体" w:cs="宋体"/>
          <w:color w:val="auto"/>
          <w:szCs w:val="21"/>
          <w:highlight w:val="none"/>
          <w:lang w:val="en-US" w:eastAsia="zh-CN"/>
        </w:rPr>
        <w:t>0574-</w:t>
      </w:r>
      <w:r>
        <w:rPr>
          <w:rFonts w:hint="eastAsia" w:ascii="宋体" w:hAnsi="宋体" w:eastAsia="宋体" w:cs="宋体"/>
          <w:color w:val="auto"/>
          <w:szCs w:val="21"/>
          <w:highlight w:val="none"/>
          <w:lang w:eastAsia="zh-CN"/>
        </w:rPr>
        <w:t>86782049</w:t>
      </w:r>
    </w:p>
    <w:p w14:paraId="2DC41B6E">
      <w:pPr>
        <w:spacing w:line="340" w:lineRule="exact"/>
        <w:ind w:firstLine="420" w:firstLineChars="200"/>
        <w:jc w:val="left"/>
        <w:rPr>
          <w:rFonts w:ascii="宋体" w:hAnsi="宋体" w:cs="宋体"/>
          <w:color w:val="auto"/>
          <w:szCs w:val="21"/>
          <w:highlight w:val="none"/>
          <w:lang w:val="en"/>
        </w:rPr>
      </w:pPr>
    </w:p>
    <w:p w14:paraId="1FE30EC5">
      <w:pPr>
        <w:spacing w:line="340" w:lineRule="exact"/>
        <w:ind w:right="-84" w:rightChars="-40"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2.采购代理机构信息</w:t>
      </w:r>
    </w:p>
    <w:p w14:paraId="5898D16A">
      <w:pPr>
        <w:spacing w:line="340" w:lineRule="exact"/>
        <w:ind w:right="-84" w:rightChars="-40"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宁波国研信息科技有限公司</w:t>
      </w:r>
      <w:r>
        <w:rPr>
          <w:rFonts w:hint="eastAsia" w:ascii="宋体" w:hAnsi="宋体" w:cs="宋体"/>
          <w:color w:val="auto"/>
          <w:szCs w:val="21"/>
          <w:highlight w:val="none"/>
        </w:rPr>
        <w:t xml:space="preserve"> </w:t>
      </w:r>
    </w:p>
    <w:p w14:paraId="038E3B80">
      <w:pPr>
        <w:spacing w:line="340" w:lineRule="exact"/>
        <w:ind w:right="-84" w:rightChars="-40"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eastAsia="宋体" w:cs="宋体"/>
          <w:bCs/>
          <w:color w:val="auto"/>
          <w:szCs w:val="21"/>
          <w:highlight w:val="none"/>
          <w:lang w:eastAsia="zh-CN"/>
        </w:rPr>
        <w:t>宁波市鄞州区首南街道圣嘉大厦27楼</w:t>
      </w:r>
      <w:r>
        <w:rPr>
          <w:rFonts w:hint="eastAsia" w:ascii="宋体" w:hAnsi="宋体" w:cs="宋体"/>
          <w:color w:val="auto"/>
          <w:szCs w:val="21"/>
          <w:highlight w:val="none"/>
        </w:rPr>
        <w:t xml:space="preserve"> </w:t>
      </w:r>
    </w:p>
    <w:p w14:paraId="787A4BEB">
      <w:pPr>
        <w:spacing w:line="340" w:lineRule="exact"/>
        <w:ind w:right="-84" w:rightChars="-40" w:firstLine="420" w:firstLineChars="200"/>
        <w:jc w:val="left"/>
        <w:rPr>
          <w:rFonts w:ascii="宋体" w:hAnsi="宋体" w:cs="宋体"/>
          <w:color w:val="auto"/>
          <w:szCs w:val="21"/>
          <w:highlight w:val="none"/>
        </w:rPr>
      </w:pPr>
      <w:r>
        <w:rPr>
          <w:rFonts w:hint="eastAsia" w:ascii="宋体" w:hAnsi="宋体" w:cs="宋体"/>
          <w:color w:val="auto"/>
          <w:szCs w:val="21"/>
          <w:highlight w:val="none"/>
        </w:rPr>
        <w:t>传真：/</w:t>
      </w:r>
    </w:p>
    <w:p w14:paraId="71A924E0">
      <w:pPr>
        <w:spacing w:line="340" w:lineRule="exact"/>
        <w:ind w:right="-84" w:rightChars="-40"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eastAsia="zh-CN"/>
        </w:rPr>
        <w:t>陈丽芳、</w:t>
      </w:r>
      <w:r>
        <w:rPr>
          <w:rFonts w:hint="eastAsia" w:ascii="宋体" w:hAnsi="宋体" w:cs="宋体"/>
          <w:color w:val="auto"/>
          <w:szCs w:val="21"/>
          <w:highlight w:val="none"/>
          <w:lang w:val="en-US" w:eastAsia="zh-CN"/>
        </w:rPr>
        <w:t>何怡、洪艳苹</w:t>
      </w:r>
      <w:r>
        <w:rPr>
          <w:rFonts w:hint="eastAsia" w:ascii="宋体" w:hAnsi="宋体" w:cs="宋体"/>
          <w:color w:val="auto"/>
          <w:szCs w:val="21"/>
          <w:highlight w:val="none"/>
          <w:lang w:eastAsia="zh-CN"/>
        </w:rPr>
        <w:t>、叶军</w:t>
      </w:r>
      <w:r>
        <w:rPr>
          <w:rFonts w:hint="eastAsia" w:ascii="宋体" w:hAnsi="宋体" w:cs="宋体"/>
          <w:color w:val="auto"/>
          <w:szCs w:val="21"/>
          <w:highlight w:val="none"/>
          <w:lang w:val="en-US" w:eastAsia="zh-CN"/>
        </w:rPr>
        <w:t>海</w:t>
      </w:r>
      <w:r>
        <w:rPr>
          <w:rFonts w:hint="eastAsia" w:ascii="宋体" w:hAnsi="宋体" w:cs="宋体"/>
          <w:color w:val="auto"/>
          <w:szCs w:val="21"/>
          <w:highlight w:val="none"/>
          <w:lang w:eastAsia="zh-CN"/>
        </w:rPr>
        <w:t>、王威威</w:t>
      </w:r>
    </w:p>
    <w:p w14:paraId="22BA6CA3">
      <w:pPr>
        <w:spacing w:line="340" w:lineRule="exact"/>
        <w:ind w:right="-84" w:rightChars="-40"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项目联系方式（询问）：</w:t>
      </w:r>
      <w:r>
        <w:rPr>
          <w:rFonts w:hint="eastAsia" w:ascii="宋体" w:hAnsi="宋体" w:cs="宋体"/>
          <w:color w:val="auto"/>
          <w:szCs w:val="21"/>
          <w:highlight w:val="none"/>
          <w:lang w:val="en-US" w:eastAsia="zh-CN"/>
        </w:rPr>
        <w:t>13884459223</w:t>
      </w:r>
    </w:p>
    <w:p w14:paraId="6ECEDBB3">
      <w:pPr>
        <w:spacing w:line="340" w:lineRule="exact"/>
        <w:ind w:right="-84" w:rightChars="-40" w:firstLine="420" w:firstLineChars="200"/>
        <w:jc w:val="left"/>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en"/>
        </w:rPr>
        <w:t>质疑联系人：</w:t>
      </w:r>
      <w:r>
        <w:rPr>
          <w:rFonts w:hint="eastAsia" w:ascii="宋体" w:hAnsi="宋体" w:eastAsia="宋体" w:cs="宋体"/>
          <w:bCs/>
          <w:color w:val="auto"/>
          <w:szCs w:val="21"/>
          <w:highlight w:val="none"/>
          <w:lang w:eastAsia="zh-CN"/>
        </w:rPr>
        <w:t>冯夏可</w:t>
      </w:r>
    </w:p>
    <w:p w14:paraId="6F1A22CE">
      <w:pPr>
        <w:spacing w:line="340" w:lineRule="exact"/>
        <w:ind w:right="-84" w:rightChars="-40"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
        </w:rPr>
        <w:t>质疑联系方式</w:t>
      </w:r>
      <w:r>
        <w:rPr>
          <w:rFonts w:hint="eastAsia" w:ascii="宋体" w:hAnsi="宋体" w:eastAsia="宋体" w:cs="宋体"/>
          <w:color w:val="auto"/>
          <w:szCs w:val="21"/>
          <w:highlight w:val="none"/>
          <w:lang w:val="en" w:eastAsia="zh-CN"/>
        </w:rPr>
        <w:t>：</w:t>
      </w:r>
      <w:r>
        <w:rPr>
          <w:rFonts w:hint="eastAsia" w:ascii="宋体" w:hAnsi="宋体" w:eastAsia="宋体" w:cs="宋体"/>
          <w:color w:val="auto"/>
          <w:szCs w:val="21"/>
          <w:highlight w:val="none"/>
          <w:lang w:val="en-US" w:eastAsia="zh-CN"/>
        </w:rPr>
        <w:t>13386675205</w:t>
      </w:r>
    </w:p>
    <w:p w14:paraId="0C999D1F">
      <w:pPr>
        <w:spacing w:line="340" w:lineRule="exact"/>
        <w:ind w:firstLine="420" w:firstLineChars="200"/>
        <w:jc w:val="left"/>
        <w:rPr>
          <w:rFonts w:ascii="宋体" w:hAnsi="宋体" w:cs="宋体"/>
          <w:color w:val="auto"/>
          <w:szCs w:val="21"/>
          <w:highlight w:val="none"/>
        </w:rPr>
      </w:pPr>
    </w:p>
    <w:p w14:paraId="0671B7EC">
      <w:pPr>
        <w:spacing w:line="340" w:lineRule="exact"/>
        <w:ind w:firstLine="420" w:firstLineChars="200"/>
        <w:jc w:val="left"/>
        <w:rPr>
          <w:rFonts w:ascii="宋体" w:hAnsi="宋体" w:cs="宋体"/>
          <w:color w:val="auto"/>
          <w:szCs w:val="21"/>
          <w:highlight w:val="none"/>
          <w:lang w:val="en"/>
        </w:rPr>
      </w:pPr>
      <w:r>
        <w:rPr>
          <w:rFonts w:hint="eastAsia" w:ascii="宋体" w:hAnsi="宋体" w:cs="宋体"/>
          <w:color w:val="auto"/>
          <w:szCs w:val="21"/>
          <w:highlight w:val="none"/>
          <w:lang w:val="en"/>
        </w:rPr>
        <w:t>3.同级政府采购监督管理部门</w:t>
      </w:r>
    </w:p>
    <w:p w14:paraId="689A3F6A">
      <w:pPr>
        <w:spacing w:line="340" w:lineRule="exact"/>
        <w:ind w:firstLine="420" w:firstLineChars="200"/>
        <w:jc w:val="left"/>
        <w:rPr>
          <w:rFonts w:ascii="宋体" w:hAnsi="宋体" w:cs="宋体"/>
          <w:color w:val="auto"/>
          <w:szCs w:val="21"/>
          <w:highlight w:val="none"/>
          <w:lang w:val="en"/>
        </w:rPr>
      </w:pPr>
      <w:r>
        <w:rPr>
          <w:rFonts w:hint="eastAsia" w:ascii="宋体" w:hAnsi="宋体" w:cs="宋体"/>
          <w:color w:val="auto"/>
          <w:szCs w:val="21"/>
          <w:highlight w:val="none"/>
          <w:lang w:val="en"/>
        </w:rPr>
        <w:t>名称：宁波市北仑区财政局采购办</w:t>
      </w:r>
    </w:p>
    <w:p w14:paraId="1DC59A41">
      <w:pPr>
        <w:spacing w:line="340" w:lineRule="exact"/>
        <w:ind w:firstLine="420" w:firstLineChars="200"/>
        <w:jc w:val="left"/>
        <w:rPr>
          <w:rFonts w:ascii="宋体" w:hAnsi="宋体" w:cs="宋体"/>
          <w:color w:val="auto"/>
          <w:szCs w:val="21"/>
          <w:highlight w:val="none"/>
          <w:lang w:val="en"/>
        </w:rPr>
      </w:pPr>
      <w:r>
        <w:rPr>
          <w:rFonts w:hint="eastAsia" w:ascii="宋体" w:hAnsi="宋体" w:cs="宋体"/>
          <w:color w:val="auto"/>
          <w:szCs w:val="21"/>
          <w:highlight w:val="none"/>
          <w:lang w:val="en"/>
        </w:rPr>
        <w:t xml:space="preserve">地址：宁波市北仑区长江路1166号6楼 </w:t>
      </w:r>
    </w:p>
    <w:p w14:paraId="4EA242EC">
      <w:pPr>
        <w:spacing w:line="340" w:lineRule="exact"/>
        <w:ind w:firstLine="420" w:firstLineChars="200"/>
        <w:jc w:val="left"/>
        <w:rPr>
          <w:rFonts w:ascii="宋体" w:hAnsi="宋体" w:cs="宋体"/>
          <w:color w:val="auto"/>
          <w:szCs w:val="21"/>
          <w:highlight w:val="none"/>
          <w:lang w:val="en"/>
        </w:rPr>
      </w:pPr>
      <w:r>
        <w:rPr>
          <w:rFonts w:hint="eastAsia" w:ascii="宋体" w:hAnsi="宋体" w:cs="宋体"/>
          <w:color w:val="auto"/>
          <w:szCs w:val="21"/>
          <w:highlight w:val="none"/>
          <w:lang w:val="en"/>
        </w:rPr>
        <w:t>联系人：</w:t>
      </w:r>
      <w:r>
        <w:rPr>
          <w:rFonts w:hint="eastAsia" w:ascii="宋体" w:hAnsi="宋体" w:cs="宋体"/>
          <w:color w:val="auto"/>
          <w:szCs w:val="21"/>
          <w:highlight w:val="none"/>
        </w:rPr>
        <w:t>严</w:t>
      </w:r>
      <w:r>
        <w:rPr>
          <w:rFonts w:hint="eastAsia" w:ascii="宋体" w:hAnsi="宋体" w:cs="宋体"/>
          <w:color w:val="auto"/>
          <w:szCs w:val="21"/>
          <w:highlight w:val="none"/>
          <w:lang w:val="en"/>
        </w:rPr>
        <w:t>老师</w:t>
      </w:r>
    </w:p>
    <w:p w14:paraId="6FE5E2E9">
      <w:pPr>
        <w:spacing w:line="340" w:lineRule="exact"/>
        <w:ind w:firstLine="420" w:firstLineChars="200"/>
        <w:jc w:val="left"/>
        <w:rPr>
          <w:rFonts w:hint="eastAsia" w:ascii="宋体" w:hAnsi="宋体" w:cs="宋体"/>
          <w:color w:val="auto"/>
          <w:szCs w:val="21"/>
          <w:highlight w:val="none"/>
          <w:lang w:val="en"/>
        </w:rPr>
      </w:pPr>
      <w:r>
        <w:rPr>
          <w:rFonts w:hint="eastAsia" w:ascii="宋体" w:hAnsi="宋体" w:cs="宋体"/>
          <w:color w:val="auto"/>
          <w:szCs w:val="21"/>
          <w:highlight w:val="none"/>
          <w:lang w:val="en"/>
        </w:rPr>
        <w:t>监督投诉电话：0574-89383756</w:t>
      </w:r>
    </w:p>
    <w:p w14:paraId="1753EE9D">
      <w:pPr>
        <w:pStyle w:val="38"/>
        <w:spacing w:line="340" w:lineRule="exact"/>
        <w:rPr>
          <w:rFonts w:hint="eastAsia" w:ascii="宋体" w:hAnsi="宋体" w:cs="宋体"/>
          <w:color w:val="auto"/>
          <w:szCs w:val="21"/>
          <w:highlight w:val="none"/>
          <w:lang w:val="en"/>
        </w:rPr>
      </w:pPr>
    </w:p>
    <w:p w14:paraId="3C279697">
      <w:pPr>
        <w:spacing w:line="34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温馨提示：</w:t>
      </w:r>
    </w:p>
    <w:p w14:paraId="2E172476">
      <w:pPr>
        <w:spacing w:line="340" w:lineRule="exact"/>
        <w:ind w:firstLine="422" w:firstLineChars="2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若对项目采购电子交易系统操作有疑问，可登录政采云（https://www.zcygov.cn/），点击右侧咨询小采，获取采小蜜智能服务管家帮助，或拨打政采云服务热线95763获取热线服务帮助。</w:t>
      </w:r>
    </w:p>
    <w:p w14:paraId="69A87563">
      <w:pPr>
        <w:spacing w:line="360" w:lineRule="auto"/>
        <w:ind w:firstLine="422" w:firstLineChars="200"/>
        <w:rPr>
          <w:b/>
          <w:bCs/>
          <w:color w:val="auto"/>
          <w:szCs w:val="21"/>
          <w:highlight w:val="none"/>
        </w:rPr>
      </w:pPr>
    </w:p>
    <w:p w14:paraId="1F733A52">
      <w:pPr>
        <w:spacing w:line="360" w:lineRule="auto"/>
        <w:ind w:firstLine="422" w:firstLineChars="200"/>
        <w:rPr>
          <w:b/>
          <w:bCs/>
          <w:color w:val="auto"/>
          <w:szCs w:val="21"/>
          <w:highlight w:val="none"/>
        </w:rPr>
      </w:pPr>
    </w:p>
    <w:p w14:paraId="3B01FCD0">
      <w:pPr>
        <w:spacing w:line="360" w:lineRule="auto"/>
        <w:ind w:firstLine="422" w:firstLineChars="200"/>
        <w:rPr>
          <w:b/>
          <w:bCs/>
          <w:color w:val="auto"/>
          <w:szCs w:val="21"/>
          <w:highlight w:val="none"/>
        </w:rPr>
      </w:pPr>
    </w:p>
    <w:p w14:paraId="5C02886B">
      <w:pPr>
        <w:spacing w:line="360" w:lineRule="auto"/>
        <w:ind w:firstLine="422" w:firstLineChars="200"/>
        <w:rPr>
          <w:b/>
          <w:bCs/>
          <w:color w:val="auto"/>
          <w:szCs w:val="21"/>
          <w:highlight w:val="none"/>
        </w:rPr>
      </w:pPr>
    </w:p>
    <w:p w14:paraId="5F258E89">
      <w:pPr>
        <w:spacing w:line="360" w:lineRule="auto"/>
        <w:ind w:firstLine="422" w:firstLineChars="200"/>
        <w:rPr>
          <w:b/>
          <w:bCs/>
          <w:color w:val="auto"/>
          <w:szCs w:val="21"/>
          <w:highlight w:val="none"/>
        </w:rPr>
      </w:pPr>
    </w:p>
    <w:p w14:paraId="04CB1969">
      <w:pPr>
        <w:spacing w:line="360" w:lineRule="auto"/>
        <w:ind w:firstLine="422" w:firstLineChars="200"/>
        <w:rPr>
          <w:b/>
          <w:bCs/>
          <w:color w:val="auto"/>
          <w:szCs w:val="21"/>
          <w:highlight w:val="none"/>
        </w:rPr>
      </w:pPr>
    </w:p>
    <w:p w14:paraId="52ACA5E0">
      <w:pPr>
        <w:pStyle w:val="2"/>
        <w:spacing w:line="440" w:lineRule="exact"/>
        <w:rPr>
          <w:rFonts w:ascii="宋体" w:hAnsi="宋体"/>
          <w:color w:val="auto"/>
          <w:highlight w:val="none"/>
        </w:rPr>
      </w:pPr>
      <w:bookmarkStart w:id="12" w:name="_Toc21056"/>
      <w:r>
        <w:rPr>
          <w:color w:val="auto"/>
          <w:highlight w:val="none"/>
        </w:rPr>
        <w:br w:type="page"/>
      </w:r>
      <w:bookmarkStart w:id="13" w:name="_Toc18462"/>
      <w:r>
        <w:rPr>
          <w:color w:val="auto"/>
          <w:highlight w:val="none"/>
        </w:rPr>
        <w:t>第</w:t>
      </w:r>
      <w:r>
        <w:rPr>
          <w:rFonts w:hint="eastAsia"/>
          <w:color w:val="auto"/>
          <w:highlight w:val="none"/>
        </w:rPr>
        <w:t>二</w:t>
      </w:r>
      <w:r>
        <w:rPr>
          <w:color w:val="auto"/>
          <w:highlight w:val="none"/>
        </w:rPr>
        <w:t xml:space="preserve">部分  </w:t>
      </w:r>
      <w:r>
        <w:rPr>
          <w:rFonts w:hint="eastAsia"/>
          <w:color w:val="auto"/>
          <w:highlight w:val="none"/>
        </w:rPr>
        <w:t>投标人须知及前附表</w:t>
      </w:r>
      <w:bookmarkEnd w:id="12"/>
      <w:bookmarkEnd w:id="13"/>
    </w:p>
    <w:p w14:paraId="5F986C99">
      <w:pPr>
        <w:pStyle w:val="2"/>
        <w:spacing w:line="400" w:lineRule="exact"/>
        <w:rPr>
          <w:rFonts w:hint="eastAsia" w:ascii="宋体" w:hAnsi="宋体"/>
          <w:color w:val="auto"/>
          <w:sz w:val="28"/>
          <w:szCs w:val="28"/>
          <w:highlight w:val="none"/>
        </w:rPr>
      </w:pPr>
      <w:bookmarkStart w:id="14" w:name="_Toc22372"/>
      <w:bookmarkStart w:id="15" w:name="_Toc8295"/>
      <w:bookmarkStart w:id="16" w:name="_Toc65753665"/>
      <w:bookmarkStart w:id="17" w:name="_Toc20188"/>
      <w:bookmarkStart w:id="18" w:name="_Toc65510680"/>
      <w:bookmarkStart w:id="19" w:name="_Toc9140"/>
      <w:r>
        <w:rPr>
          <w:rFonts w:hint="eastAsia" w:ascii="宋体" w:hAnsi="宋体"/>
          <w:color w:val="auto"/>
          <w:sz w:val="28"/>
          <w:szCs w:val="28"/>
          <w:highlight w:val="none"/>
        </w:rPr>
        <w:t>前 附 表</w:t>
      </w:r>
      <w:bookmarkEnd w:id="14"/>
      <w:bookmarkEnd w:id="15"/>
      <w:bookmarkEnd w:id="16"/>
      <w:bookmarkEnd w:id="17"/>
      <w:bookmarkEnd w:id="18"/>
      <w:bookmarkEnd w:id="19"/>
    </w:p>
    <w:tbl>
      <w:tblPr>
        <w:tblStyle w:val="28"/>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2"/>
        <w:gridCol w:w="8851"/>
      </w:tblGrid>
      <w:tr w14:paraId="6CAF2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double" w:color="auto" w:sz="4" w:space="0"/>
              <w:left w:val="double" w:color="auto" w:sz="4" w:space="0"/>
              <w:bottom w:val="double" w:color="auto" w:sz="4" w:space="0"/>
              <w:right w:val="single" w:color="auto" w:sz="4" w:space="0"/>
            </w:tcBorders>
            <w:noWrap w:val="0"/>
            <w:vAlign w:val="center"/>
          </w:tcPr>
          <w:p w14:paraId="723EB798">
            <w:pPr>
              <w:snapToGrid w:val="0"/>
              <w:jc w:val="center"/>
              <w:rPr>
                <w:rFonts w:hint="eastAsia"/>
                <w:b/>
                <w:bCs/>
                <w:color w:val="auto"/>
                <w:highlight w:val="none"/>
              </w:rPr>
            </w:pPr>
            <w:r>
              <w:rPr>
                <w:rFonts w:hint="eastAsia"/>
                <w:b/>
                <w:bCs/>
                <w:color w:val="auto"/>
                <w:highlight w:val="none"/>
              </w:rPr>
              <w:t>序号</w:t>
            </w:r>
          </w:p>
        </w:tc>
        <w:tc>
          <w:tcPr>
            <w:tcW w:w="8851" w:type="dxa"/>
            <w:tcBorders>
              <w:top w:val="double" w:color="auto" w:sz="4" w:space="0"/>
              <w:left w:val="single" w:color="auto" w:sz="4" w:space="0"/>
              <w:bottom w:val="double" w:color="auto" w:sz="4" w:space="0"/>
              <w:right w:val="double" w:color="auto" w:sz="4" w:space="0"/>
            </w:tcBorders>
            <w:noWrap w:val="0"/>
            <w:vAlign w:val="center"/>
          </w:tcPr>
          <w:p w14:paraId="469AA780">
            <w:pPr>
              <w:snapToGrid w:val="0"/>
              <w:jc w:val="center"/>
              <w:rPr>
                <w:rFonts w:hint="eastAsia"/>
                <w:b/>
                <w:bCs/>
                <w:color w:val="auto"/>
                <w:highlight w:val="none"/>
              </w:rPr>
            </w:pPr>
            <w:r>
              <w:rPr>
                <w:rFonts w:hint="eastAsia"/>
                <w:b/>
                <w:bCs/>
                <w:color w:val="auto"/>
                <w:highlight w:val="none"/>
              </w:rPr>
              <w:t>内容、要求</w:t>
            </w:r>
          </w:p>
        </w:tc>
      </w:tr>
      <w:tr w14:paraId="06FD4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double" w:color="auto" w:sz="4" w:space="0"/>
              <w:left w:val="double" w:color="auto" w:sz="4" w:space="0"/>
              <w:bottom w:val="single" w:color="auto" w:sz="4" w:space="0"/>
              <w:right w:val="single" w:color="auto" w:sz="4" w:space="0"/>
            </w:tcBorders>
            <w:noWrap w:val="0"/>
            <w:vAlign w:val="center"/>
          </w:tcPr>
          <w:p w14:paraId="235FBB36">
            <w:pPr>
              <w:snapToGrid w:val="0"/>
              <w:jc w:val="center"/>
              <w:rPr>
                <w:rFonts w:hint="eastAsia"/>
                <w:color w:val="auto"/>
                <w:highlight w:val="none"/>
              </w:rPr>
            </w:pPr>
            <w:r>
              <w:rPr>
                <w:rFonts w:hint="eastAsia"/>
                <w:color w:val="auto"/>
                <w:highlight w:val="none"/>
              </w:rPr>
              <w:t>1</w:t>
            </w:r>
          </w:p>
        </w:tc>
        <w:tc>
          <w:tcPr>
            <w:tcW w:w="8851" w:type="dxa"/>
            <w:tcBorders>
              <w:top w:val="single" w:color="auto" w:sz="4" w:space="0"/>
              <w:left w:val="single" w:color="auto" w:sz="4" w:space="0"/>
              <w:bottom w:val="single" w:color="auto" w:sz="4" w:space="0"/>
              <w:right w:val="double" w:color="auto" w:sz="4" w:space="0"/>
            </w:tcBorders>
            <w:noWrap w:val="0"/>
            <w:vAlign w:val="center"/>
          </w:tcPr>
          <w:p w14:paraId="70245F11">
            <w:pPr>
              <w:snapToGrid w:val="0"/>
              <w:rPr>
                <w:rFonts w:hint="eastAsia" w:eastAsia="宋体"/>
                <w:color w:val="auto"/>
                <w:highlight w:val="none"/>
                <w:lang w:eastAsia="zh-CN"/>
              </w:rPr>
            </w:pPr>
            <w:r>
              <w:rPr>
                <w:rFonts w:hint="eastAsia"/>
                <w:color w:val="auto"/>
                <w:highlight w:val="none"/>
              </w:rPr>
              <w:t>项目名称：</w:t>
            </w:r>
            <w:r>
              <w:rPr>
                <w:rFonts w:hint="eastAsia" w:ascii="宋体" w:hAnsi="宋体" w:eastAsia="宋体" w:cs="宋体"/>
                <w:color w:val="auto"/>
                <w:szCs w:val="21"/>
                <w:highlight w:val="none"/>
                <w:lang w:val="en-US" w:eastAsia="zh-CN"/>
              </w:rPr>
              <w:t>北仑区体育赛事数字化应用项目</w:t>
            </w:r>
          </w:p>
        </w:tc>
      </w:tr>
      <w:tr w14:paraId="27921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double" w:color="auto" w:sz="4" w:space="0"/>
              <w:left w:val="double" w:color="auto" w:sz="4" w:space="0"/>
              <w:bottom w:val="single" w:color="auto" w:sz="4" w:space="0"/>
              <w:right w:val="single" w:color="auto" w:sz="4" w:space="0"/>
            </w:tcBorders>
            <w:noWrap w:val="0"/>
            <w:vAlign w:val="center"/>
          </w:tcPr>
          <w:p w14:paraId="5403A874">
            <w:pPr>
              <w:snapToGrid w:val="0"/>
              <w:jc w:val="center"/>
              <w:rPr>
                <w:rFonts w:hint="eastAsia"/>
                <w:color w:val="auto"/>
                <w:highlight w:val="none"/>
                <w:lang w:val="en-US"/>
              </w:rPr>
            </w:pPr>
            <w:r>
              <w:rPr>
                <w:rFonts w:hint="eastAsia"/>
                <w:color w:val="auto"/>
                <w:highlight w:val="none"/>
                <w:lang w:val="en-US"/>
              </w:rPr>
              <w:t>2</w:t>
            </w:r>
          </w:p>
        </w:tc>
        <w:tc>
          <w:tcPr>
            <w:tcW w:w="8851" w:type="dxa"/>
            <w:tcBorders>
              <w:top w:val="single" w:color="auto" w:sz="4" w:space="0"/>
              <w:left w:val="single" w:color="auto" w:sz="4" w:space="0"/>
              <w:bottom w:val="single" w:color="auto" w:sz="4" w:space="0"/>
              <w:right w:val="double" w:color="auto" w:sz="4" w:space="0"/>
            </w:tcBorders>
            <w:noWrap w:val="0"/>
            <w:vAlign w:val="center"/>
          </w:tcPr>
          <w:p w14:paraId="1A7763AD">
            <w:pPr>
              <w:keepNext w:val="0"/>
              <w:keepLines w:val="0"/>
              <w:pageBreakBefore w:val="0"/>
              <w:widowControl w:val="0"/>
              <w:kinsoku/>
              <w:wordWrap/>
              <w:overflowPunct/>
              <w:topLinePunct w:val="0"/>
              <w:autoSpaceDE/>
              <w:autoSpaceDN/>
              <w:bidi w:val="0"/>
              <w:adjustRightInd/>
              <w:snapToGrid/>
              <w:spacing w:line="340" w:lineRule="exact"/>
              <w:ind w:right="-84" w:rightChars="-40"/>
              <w:jc w:val="left"/>
              <w:textAlignment w:val="auto"/>
              <w:rPr>
                <w:rFonts w:hint="eastAsia" w:ascii="宋体" w:hAnsi="宋体" w:eastAsia="宋体" w:cs="宋体"/>
                <w:color w:val="auto"/>
                <w:szCs w:val="21"/>
                <w:highlight w:val="none"/>
                <w:lang w:eastAsia="zh-CN"/>
              </w:rPr>
            </w:pPr>
            <w:r>
              <w:rPr>
                <w:rFonts w:hint="eastAsia" w:ascii="宋体" w:hAnsi="宋体"/>
                <w:color w:val="auto"/>
                <w:szCs w:val="21"/>
                <w:highlight w:val="none"/>
              </w:rPr>
              <w:t>采购人：</w:t>
            </w:r>
            <w:r>
              <w:rPr>
                <w:rFonts w:hint="eastAsia" w:ascii="宋体" w:hAnsi="宋体" w:cs="宋体"/>
                <w:bCs/>
                <w:color w:val="auto"/>
                <w:szCs w:val="21"/>
                <w:highlight w:val="none"/>
                <w:lang w:eastAsia="zh-CN"/>
              </w:rPr>
              <w:t>宁波市北仑区体艺中心</w:t>
            </w:r>
          </w:p>
          <w:p w14:paraId="7611406F">
            <w:pPr>
              <w:spacing w:line="360" w:lineRule="exact"/>
              <w:ind w:right="-84" w:rightChars="-4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项目联系人（询问）：</w:t>
            </w:r>
            <w:r>
              <w:rPr>
                <w:rFonts w:hint="eastAsia" w:ascii="宋体" w:hAnsi="宋体" w:eastAsia="宋体" w:cs="宋体"/>
                <w:color w:val="auto"/>
                <w:szCs w:val="21"/>
                <w:highlight w:val="none"/>
                <w:lang w:val="en-US" w:eastAsia="zh-CN"/>
              </w:rPr>
              <w:t>邵</w:t>
            </w:r>
            <w:r>
              <w:rPr>
                <w:rFonts w:hint="eastAsia" w:ascii="宋体" w:hAnsi="宋体" w:eastAsia="宋体" w:cs="宋体"/>
                <w:color w:val="auto"/>
                <w:szCs w:val="21"/>
                <w:highlight w:val="none"/>
              </w:rPr>
              <w:t xml:space="preserve">老师 </w:t>
            </w:r>
          </w:p>
          <w:p w14:paraId="3179756B">
            <w:pPr>
              <w:spacing w:line="360" w:lineRule="exact"/>
              <w:ind w:right="-84" w:rightChars="-4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项目联系方式（询问）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0574-</w:t>
            </w:r>
            <w:r>
              <w:rPr>
                <w:rFonts w:hint="eastAsia" w:ascii="宋体" w:hAnsi="宋体" w:eastAsia="宋体" w:cs="宋体"/>
                <w:color w:val="auto"/>
                <w:szCs w:val="21"/>
                <w:highlight w:val="none"/>
                <w:lang w:eastAsia="zh-CN"/>
              </w:rPr>
              <w:t>86782049</w:t>
            </w:r>
          </w:p>
          <w:p w14:paraId="5BAA5380">
            <w:pPr>
              <w:spacing w:line="340" w:lineRule="exact"/>
              <w:ind w:right="-84" w:rightChars="-40"/>
              <w:jc w:val="left"/>
              <w:rPr>
                <w:rFonts w:ascii="宋体" w:hAnsi="宋体" w:cs="宋体"/>
                <w:color w:val="auto"/>
                <w:szCs w:val="21"/>
                <w:highlight w:val="none"/>
              </w:rPr>
            </w:pPr>
            <w:r>
              <w:rPr>
                <w:rFonts w:hint="eastAsia" w:ascii="宋体" w:hAnsi="宋体" w:cs="宋体"/>
                <w:color w:val="auto"/>
                <w:szCs w:val="21"/>
                <w:highlight w:val="none"/>
                <w:lang w:val="en-US" w:eastAsia="zh-CN"/>
              </w:rPr>
              <w:t>采购代理</w:t>
            </w:r>
            <w:r>
              <w:rPr>
                <w:rFonts w:hint="eastAsia" w:ascii="宋体" w:hAnsi="宋体" w:cs="宋体"/>
                <w:color w:val="auto"/>
                <w:szCs w:val="21"/>
                <w:highlight w:val="none"/>
              </w:rPr>
              <w:t>名称：</w:t>
            </w:r>
            <w:r>
              <w:rPr>
                <w:rFonts w:hint="eastAsia" w:ascii="宋体" w:hAnsi="宋体" w:cs="宋体"/>
                <w:color w:val="auto"/>
                <w:szCs w:val="21"/>
                <w:highlight w:val="none"/>
                <w:lang w:eastAsia="zh-CN"/>
              </w:rPr>
              <w:t>宁波国研信息科技有限公司</w:t>
            </w:r>
            <w:r>
              <w:rPr>
                <w:rFonts w:hint="eastAsia" w:ascii="宋体" w:hAnsi="宋体" w:cs="宋体"/>
                <w:color w:val="auto"/>
                <w:szCs w:val="21"/>
                <w:highlight w:val="none"/>
              </w:rPr>
              <w:t xml:space="preserve"> </w:t>
            </w:r>
          </w:p>
          <w:p w14:paraId="270EB651">
            <w:pPr>
              <w:spacing w:line="340" w:lineRule="exact"/>
              <w:ind w:right="-84" w:rightChars="-4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eastAsia="zh-CN"/>
              </w:rPr>
              <w:t>陈丽芳</w:t>
            </w:r>
          </w:p>
          <w:p w14:paraId="30D570C9">
            <w:pPr>
              <w:spacing w:line="340" w:lineRule="exact"/>
              <w:ind w:right="-84" w:rightChars="-40"/>
              <w:jc w:val="left"/>
              <w:rPr>
                <w:rFonts w:hint="eastAsia"/>
                <w:color w:val="auto"/>
                <w:highlight w:val="none"/>
              </w:rPr>
            </w:pPr>
            <w:r>
              <w:rPr>
                <w:rFonts w:hint="eastAsia" w:ascii="宋体" w:hAnsi="宋体" w:cs="宋体"/>
                <w:color w:val="auto"/>
                <w:szCs w:val="21"/>
                <w:highlight w:val="none"/>
              </w:rPr>
              <w:t>项目联系方式（询问）：</w:t>
            </w:r>
            <w:r>
              <w:rPr>
                <w:rFonts w:hint="eastAsia" w:ascii="宋体" w:hAnsi="宋体" w:cs="宋体"/>
                <w:color w:val="auto"/>
                <w:szCs w:val="21"/>
                <w:highlight w:val="none"/>
                <w:lang w:val="en-US" w:eastAsia="zh-CN"/>
              </w:rPr>
              <w:t>13884459223</w:t>
            </w:r>
          </w:p>
        </w:tc>
      </w:tr>
      <w:tr w14:paraId="35103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double" w:color="auto" w:sz="4" w:space="0"/>
              <w:left w:val="double" w:color="auto" w:sz="4" w:space="0"/>
              <w:bottom w:val="single" w:color="auto" w:sz="4" w:space="0"/>
              <w:right w:val="single" w:color="auto" w:sz="4" w:space="0"/>
            </w:tcBorders>
            <w:noWrap w:val="0"/>
            <w:vAlign w:val="center"/>
          </w:tcPr>
          <w:p w14:paraId="506F8896">
            <w:pPr>
              <w:snapToGrid w:val="0"/>
              <w:jc w:val="center"/>
              <w:rPr>
                <w:rFonts w:hint="eastAsia"/>
                <w:color w:val="auto"/>
                <w:highlight w:val="none"/>
                <w:lang w:val="en-US"/>
              </w:rPr>
            </w:pPr>
            <w:r>
              <w:rPr>
                <w:rFonts w:hint="eastAsia"/>
                <w:color w:val="auto"/>
                <w:highlight w:val="none"/>
                <w:lang w:val="en-US"/>
              </w:rPr>
              <w:t>3</w:t>
            </w:r>
          </w:p>
        </w:tc>
        <w:tc>
          <w:tcPr>
            <w:tcW w:w="8851" w:type="dxa"/>
            <w:tcBorders>
              <w:top w:val="single" w:color="auto" w:sz="4" w:space="0"/>
              <w:left w:val="single" w:color="auto" w:sz="4" w:space="0"/>
              <w:bottom w:val="single" w:color="auto" w:sz="4" w:space="0"/>
              <w:right w:val="double" w:color="auto" w:sz="4" w:space="0"/>
            </w:tcBorders>
            <w:noWrap w:val="0"/>
            <w:vAlign w:val="center"/>
          </w:tcPr>
          <w:p w14:paraId="6E93BE5D">
            <w:pPr>
              <w:rPr>
                <w:rFonts w:hint="eastAsia"/>
                <w:color w:val="auto"/>
                <w:highlight w:val="none"/>
              </w:rPr>
            </w:pPr>
            <w:r>
              <w:rPr>
                <w:rFonts w:hint="eastAsia"/>
                <w:color w:val="auto"/>
                <w:highlight w:val="none"/>
              </w:rPr>
              <w:t>采购方式：公开采购</w:t>
            </w:r>
          </w:p>
        </w:tc>
      </w:tr>
      <w:tr w14:paraId="6BEA4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double" w:color="auto" w:sz="4" w:space="0"/>
              <w:left w:val="double" w:color="auto" w:sz="4" w:space="0"/>
              <w:bottom w:val="single" w:color="auto" w:sz="4" w:space="0"/>
              <w:right w:val="single" w:color="auto" w:sz="4" w:space="0"/>
            </w:tcBorders>
            <w:noWrap w:val="0"/>
            <w:vAlign w:val="center"/>
          </w:tcPr>
          <w:p w14:paraId="05087136">
            <w:pPr>
              <w:snapToGrid w:val="0"/>
              <w:jc w:val="center"/>
              <w:rPr>
                <w:rFonts w:hint="eastAsia"/>
                <w:color w:val="auto"/>
                <w:highlight w:val="none"/>
                <w:lang w:val="en-US"/>
              </w:rPr>
            </w:pPr>
            <w:r>
              <w:rPr>
                <w:rFonts w:hint="eastAsia"/>
                <w:color w:val="auto"/>
                <w:highlight w:val="none"/>
                <w:lang w:val="en-US"/>
              </w:rPr>
              <w:t>4</w:t>
            </w:r>
          </w:p>
        </w:tc>
        <w:tc>
          <w:tcPr>
            <w:tcW w:w="8851" w:type="dxa"/>
            <w:tcBorders>
              <w:top w:val="single" w:color="auto" w:sz="4" w:space="0"/>
              <w:left w:val="single" w:color="auto" w:sz="4" w:space="0"/>
              <w:bottom w:val="single" w:color="auto" w:sz="4" w:space="0"/>
              <w:right w:val="double" w:color="auto" w:sz="4" w:space="0"/>
            </w:tcBorders>
            <w:noWrap w:val="0"/>
            <w:vAlign w:val="center"/>
          </w:tcPr>
          <w:p w14:paraId="58F6DAFF">
            <w:pPr>
              <w:wordWrap w:val="0"/>
              <w:snapToGrid w:val="0"/>
              <w:spacing w:line="360" w:lineRule="auto"/>
              <w:ind w:left="-96" w:right="-130" w:firstLine="105" w:firstLineChars="50"/>
              <w:rPr>
                <w:rFonts w:hint="eastAsia"/>
                <w:color w:val="auto"/>
                <w:highlight w:val="none"/>
                <w:lang w:val="en-US"/>
              </w:rPr>
            </w:pPr>
            <w:r>
              <w:rPr>
                <w:rFonts w:hint="eastAsia"/>
                <w:color w:val="auto"/>
                <w:highlight w:val="none"/>
              </w:rPr>
              <w:t>采购有关信息发布媒体</w:t>
            </w:r>
            <w:r>
              <w:rPr>
                <w:rFonts w:hint="eastAsia"/>
                <w:color w:val="auto"/>
                <w:highlight w:val="none"/>
                <w:lang w:val="en-US"/>
              </w:rPr>
              <w:t>：</w:t>
            </w:r>
            <w:r>
              <w:rPr>
                <w:rFonts w:hint="eastAsia" w:ascii="宋体" w:hAnsi="宋体" w:eastAsia="宋体" w:cs="宋体"/>
                <w:color w:val="auto"/>
                <w:sz w:val="21"/>
                <w:szCs w:val="21"/>
                <w:highlight w:val="none"/>
              </w:rPr>
              <w:t>浙江政府采购网：https://zfcg.czt.zj.gov.cn/；</w:t>
            </w:r>
            <w:r>
              <w:rPr>
                <w:rFonts w:hint="eastAsia" w:ascii="宋体" w:hAnsi="宋体" w:eastAsia="宋体" w:cs="宋体"/>
                <w:color w:val="auto"/>
                <w:sz w:val="21"/>
                <w:szCs w:val="21"/>
                <w:highlight w:val="none"/>
                <w:lang w:eastAsia="zh-CN"/>
              </w:rPr>
              <w:t>宁波市公共资源交易电子服务系统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https://jyxt.zwb.ningbo.gov.cn:4011/website/home</w:t>
            </w:r>
            <w:r>
              <w:rPr>
                <w:rFonts w:hint="eastAsia" w:ascii="宋体" w:hAnsi="宋体" w:eastAsia="宋体" w:cs="宋体"/>
                <w:color w:val="auto"/>
                <w:sz w:val="21"/>
                <w:szCs w:val="21"/>
                <w:highlight w:val="none"/>
              </w:rPr>
              <w:t>。</w:t>
            </w:r>
          </w:p>
        </w:tc>
      </w:tr>
      <w:tr w14:paraId="061CE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772" w:type="dxa"/>
            <w:tcBorders>
              <w:top w:val="double" w:color="auto" w:sz="4" w:space="0"/>
              <w:left w:val="double" w:color="auto" w:sz="4" w:space="0"/>
              <w:bottom w:val="single" w:color="auto" w:sz="4" w:space="0"/>
              <w:right w:val="single" w:color="auto" w:sz="4" w:space="0"/>
            </w:tcBorders>
            <w:noWrap w:val="0"/>
            <w:vAlign w:val="center"/>
          </w:tcPr>
          <w:p w14:paraId="1CE99D1D">
            <w:pPr>
              <w:snapToGrid w:val="0"/>
              <w:jc w:val="center"/>
              <w:rPr>
                <w:rFonts w:hint="eastAsia"/>
                <w:color w:val="auto"/>
                <w:highlight w:val="none"/>
              </w:rPr>
            </w:pPr>
            <w:r>
              <w:rPr>
                <w:rFonts w:hint="eastAsia"/>
                <w:color w:val="auto"/>
                <w:highlight w:val="none"/>
                <w:lang w:val="en-US"/>
              </w:rPr>
              <w:t>5</w:t>
            </w:r>
          </w:p>
        </w:tc>
        <w:tc>
          <w:tcPr>
            <w:tcW w:w="8851" w:type="dxa"/>
            <w:tcBorders>
              <w:top w:val="single" w:color="auto" w:sz="4" w:space="0"/>
              <w:left w:val="single" w:color="auto" w:sz="4" w:space="0"/>
              <w:bottom w:val="single" w:color="auto" w:sz="4" w:space="0"/>
              <w:right w:val="double" w:color="auto" w:sz="4" w:space="0"/>
            </w:tcBorders>
            <w:noWrap w:val="0"/>
            <w:vAlign w:val="center"/>
          </w:tcPr>
          <w:p w14:paraId="5E0E6F75">
            <w:pPr>
              <w:rPr>
                <w:rFonts w:hint="eastAsia"/>
                <w:color w:val="auto"/>
                <w:highlight w:val="none"/>
              </w:rPr>
            </w:pPr>
            <w:r>
              <w:rPr>
                <w:rFonts w:hint="eastAsia"/>
                <w:color w:val="auto"/>
                <w:highlight w:val="none"/>
              </w:rPr>
              <w:t>现场踏勘：自行前往，费用自理。</w:t>
            </w:r>
          </w:p>
        </w:tc>
      </w:tr>
      <w:tr w14:paraId="1B229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double" w:color="auto" w:sz="4" w:space="0"/>
              <w:left w:val="double" w:color="auto" w:sz="4" w:space="0"/>
              <w:bottom w:val="single" w:color="auto" w:sz="4" w:space="0"/>
              <w:right w:val="single" w:color="auto" w:sz="4" w:space="0"/>
            </w:tcBorders>
            <w:noWrap w:val="0"/>
            <w:vAlign w:val="center"/>
          </w:tcPr>
          <w:p w14:paraId="2E5EA4A9">
            <w:pPr>
              <w:snapToGrid w:val="0"/>
              <w:jc w:val="center"/>
              <w:rPr>
                <w:rFonts w:hint="eastAsia"/>
                <w:color w:val="auto"/>
                <w:highlight w:val="none"/>
              </w:rPr>
            </w:pPr>
            <w:r>
              <w:rPr>
                <w:rFonts w:hint="eastAsia" w:ascii="宋体" w:hAnsi="宋体" w:cs="宋体"/>
                <w:bCs/>
                <w:color w:val="auto"/>
                <w:szCs w:val="21"/>
                <w:highlight w:val="none"/>
              </w:rPr>
              <w:t>★</w:t>
            </w:r>
            <w:r>
              <w:rPr>
                <w:rFonts w:hint="eastAsia"/>
                <w:color w:val="auto"/>
                <w:highlight w:val="none"/>
                <w:lang w:val="en-US"/>
              </w:rPr>
              <w:t>6</w:t>
            </w:r>
          </w:p>
        </w:tc>
        <w:tc>
          <w:tcPr>
            <w:tcW w:w="8851" w:type="dxa"/>
            <w:tcBorders>
              <w:top w:val="single" w:color="auto" w:sz="4" w:space="0"/>
              <w:left w:val="single" w:color="auto" w:sz="4" w:space="0"/>
              <w:bottom w:val="single" w:color="auto" w:sz="4" w:space="0"/>
              <w:right w:val="double" w:color="auto" w:sz="4" w:space="0"/>
            </w:tcBorders>
            <w:noWrap w:val="0"/>
            <w:vAlign w:val="center"/>
          </w:tcPr>
          <w:p w14:paraId="41ABFCD5">
            <w:pPr>
              <w:spacing w:line="360" w:lineRule="auto"/>
              <w:rPr>
                <w:rFonts w:hint="eastAsia"/>
                <w:color w:val="auto"/>
                <w:highlight w:val="none"/>
              </w:rPr>
            </w:pPr>
            <w:r>
              <w:rPr>
                <w:rFonts w:hint="eastAsia"/>
                <w:color w:val="auto"/>
                <w:highlight w:val="none"/>
              </w:rPr>
              <w:t>投标报价及费用：</w:t>
            </w:r>
          </w:p>
          <w:p w14:paraId="6DAC28A3">
            <w:pPr>
              <w:spacing w:line="360" w:lineRule="auto"/>
              <w:rPr>
                <w:rFonts w:hint="eastAsia" w:eastAsia="宋体"/>
                <w:color w:val="auto"/>
                <w:highlight w:val="none"/>
                <w:lang w:eastAsia="zh-CN"/>
              </w:rPr>
            </w:pPr>
            <w:r>
              <w:rPr>
                <w:rFonts w:hint="eastAsia"/>
                <w:color w:val="auto"/>
                <w:highlight w:val="none"/>
              </w:rPr>
              <w:t>1、</w:t>
            </w:r>
            <w:r>
              <w:rPr>
                <w:rFonts w:hint="eastAsia"/>
                <w:b/>
                <w:bCs/>
                <w:color w:val="auto"/>
                <w:highlight w:val="none"/>
              </w:rPr>
              <w:t>本项目投标应以人民币报价，本项目最高限价为</w:t>
            </w:r>
            <w:r>
              <w:rPr>
                <w:rFonts w:hint="eastAsia"/>
                <w:b/>
                <w:bCs/>
                <w:color w:val="auto"/>
                <w:kern w:val="2"/>
                <w:sz w:val="21"/>
                <w:szCs w:val="21"/>
                <w:highlight w:val="none"/>
                <w:u w:val="none"/>
                <w:lang w:val="en-US" w:eastAsia="zh-CN" w:bidi="ar"/>
              </w:rPr>
              <w:t>3938000</w:t>
            </w:r>
            <w:r>
              <w:rPr>
                <w:rFonts w:hint="eastAsia"/>
                <w:b/>
                <w:bCs/>
                <w:color w:val="auto"/>
                <w:highlight w:val="none"/>
                <w:lang w:val="en-US"/>
              </w:rPr>
              <w:t>元</w:t>
            </w:r>
            <w:r>
              <w:rPr>
                <w:rFonts w:hint="eastAsia" w:ascii="宋体" w:hAnsi="宋体" w:eastAsia="宋体" w:cs="宋体"/>
                <w:b/>
                <w:bCs/>
                <w:color w:val="auto"/>
                <w:szCs w:val="21"/>
                <w:highlight w:val="none"/>
                <w:lang w:val="en-US" w:eastAsia="zh-CN"/>
              </w:rPr>
              <w:t>（其中应用开发1305000元，基础设施层2633000元），</w:t>
            </w:r>
            <w:r>
              <w:rPr>
                <w:rFonts w:hint="eastAsia"/>
                <w:b/>
                <w:bCs/>
                <w:color w:val="auto"/>
                <w:highlight w:val="none"/>
              </w:rPr>
              <w:t>超过此限价作无效标处理</w:t>
            </w:r>
            <w:r>
              <w:rPr>
                <w:rFonts w:hint="eastAsia"/>
                <w:color w:val="auto"/>
                <w:highlight w:val="none"/>
                <w:lang w:eastAsia="zh-CN"/>
              </w:rPr>
              <w:t>。</w:t>
            </w:r>
          </w:p>
          <w:p w14:paraId="618EAE63">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lang w:val="en-US"/>
              </w:rPr>
              <w:t>2、</w:t>
            </w:r>
            <w:r>
              <w:rPr>
                <w:rFonts w:hint="eastAsia" w:ascii="宋体" w:hAnsi="宋体" w:eastAsia="宋体" w:cs="宋体"/>
                <w:color w:val="auto"/>
                <w:sz w:val="21"/>
                <w:szCs w:val="20"/>
                <w:highlight w:val="none"/>
              </w:rPr>
              <w:t>本项目的投标总价须包含采购文件</w:t>
            </w:r>
            <w:r>
              <w:rPr>
                <w:rFonts w:hint="eastAsia" w:ascii="宋体" w:hAnsi="宋体" w:eastAsia="宋体" w:cs="宋体"/>
                <w:color w:val="auto"/>
                <w:sz w:val="21"/>
                <w:szCs w:val="20"/>
                <w:highlight w:val="none"/>
                <w:lang w:val="en-US" w:eastAsia="zh-CN"/>
              </w:rPr>
              <w:t>第三部分 项目内容及要求</w:t>
            </w:r>
            <w:r>
              <w:rPr>
                <w:rFonts w:hint="eastAsia" w:ascii="宋体" w:hAnsi="宋体" w:eastAsia="宋体" w:cs="宋体"/>
                <w:color w:val="auto"/>
                <w:sz w:val="21"/>
                <w:szCs w:val="20"/>
                <w:highlight w:val="none"/>
              </w:rPr>
              <w:t>的所有费用及代理费、管理费和税金、政策性文件规定及合同包含的一切风险、责任等其他各项费用</w:t>
            </w:r>
            <w:r>
              <w:rPr>
                <w:rFonts w:hint="eastAsia" w:ascii="宋体" w:hAnsi="宋体" w:eastAsia="宋体" w:cs="宋体"/>
                <w:color w:val="auto"/>
                <w:sz w:val="21"/>
                <w:szCs w:val="20"/>
                <w:highlight w:val="none"/>
                <w:lang w:eastAsia="zh-CN"/>
              </w:rPr>
              <w:t>。</w:t>
            </w:r>
          </w:p>
          <w:p w14:paraId="4466805C">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eastAsia="宋体"/>
                <w:color w:val="auto"/>
                <w:highlight w:val="none"/>
                <w:lang w:eastAsia="zh-CN"/>
              </w:rPr>
            </w:pPr>
            <w:r>
              <w:rPr>
                <w:rFonts w:hint="eastAsia" w:ascii="宋体" w:hAnsi="宋体" w:eastAsia="宋体" w:cs="宋体"/>
                <w:color w:val="auto"/>
                <w:sz w:val="21"/>
                <w:szCs w:val="20"/>
                <w:highlight w:val="none"/>
                <w:lang w:val="en-US" w:eastAsia="zh-CN"/>
              </w:rPr>
              <w:t>3</w:t>
            </w:r>
            <w:r>
              <w:rPr>
                <w:rFonts w:hint="eastAsia" w:ascii="宋体" w:hAnsi="宋体" w:eastAsia="宋体" w:cs="宋体"/>
                <w:color w:val="auto"/>
                <w:sz w:val="21"/>
                <w:szCs w:val="20"/>
                <w:highlight w:val="none"/>
              </w:rPr>
              <w:t>、本项目投标报价应以人民币报价</w:t>
            </w:r>
            <w:r>
              <w:rPr>
                <w:rFonts w:hint="eastAsia" w:ascii="宋体" w:hAnsi="宋体" w:eastAsia="宋体" w:cs="宋体"/>
                <w:color w:val="auto"/>
                <w:sz w:val="21"/>
                <w:szCs w:val="20"/>
                <w:highlight w:val="none"/>
                <w:lang w:eastAsia="zh-CN"/>
              </w:rPr>
              <w:t>。</w:t>
            </w:r>
          </w:p>
        </w:tc>
      </w:tr>
      <w:tr w14:paraId="01597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single" w:color="auto" w:sz="4" w:space="0"/>
              <w:left w:val="double" w:color="auto" w:sz="4" w:space="0"/>
              <w:bottom w:val="single" w:color="auto" w:sz="4" w:space="0"/>
              <w:right w:val="single" w:color="auto" w:sz="4" w:space="0"/>
            </w:tcBorders>
            <w:noWrap w:val="0"/>
            <w:vAlign w:val="center"/>
          </w:tcPr>
          <w:p w14:paraId="46D22380">
            <w:pPr>
              <w:numPr>
                <w:ilvl w:val="0"/>
                <w:numId w:val="0"/>
              </w:numPr>
              <w:snapToGrid w:val="0"/>
              <w:spacing w:line="240" w:lineRule="auto"/>
              <w:ind w:leftChars="0" w:right="-129" w:rightChars="0"/>
              <w:jc w:val="center"/>
              <w:rPr>
                <w:rFonts w:hint="eastAsia"/>
                <w:color w:val="auto"/>
                <w:highlight w:val="none"/>
                <w:lang w:val="en-US"/>
              </w:rPr>
            </w:pPr>
            <w:r>
              <w:rPr>
                <w:rFonts w:hint="eastAsia" w:ascii="宋体" w:hAnsi="宋体" w:cs="宋体"/>
                <w:bCs/>
                <w:color w:val="auto"/>
                <w:szCs w:val="21"/>
                <w:highlight w:val="none"/>
              </w:rPr>
              <w:t>★</w:t>
            </w:r>
            <w:r>
              <w:rPr>
                <w:rFonts w:hint="eastAsia"/>
                <w:color w:val="auto"/>
                <w:kern w:val="1"/>
                <w:highlight w:val="none"/>
                <w:lang w:val="en-US"/>
              </w:rPr>
              <w:t>7</w:t>
            </w:r>
          </w:p>
        </w:tc>
        <w:tc>
          <w:tcPr>
            <w:tcW w:w="8851" w:type="dxa"/>
            <w:tcBorders>
              <w:top w:val="single" w:color="auto" w:sz="4" w:space="0"/>
              <w:left w:val="single" w:color="auto" w:sz="4" w:space="0"/>
              <w:bottom w:val="single" w:color="auto" w:sz="4" w:space="0"/>
              <w:right w:val="double" w:color="auto" w:sz="4" w:space="0"/>
            </w:tcBorders>
            <w:noWrap w:val="0"/>
            <w:vAlign w:val="center"/>
          </w:tcPr>
          <w:p w14:paraId="1D01D2DF">
            <w:pPr>
              <w:numPr>
                <w:ilvl w:val="0"/>
                <w:numId w:val="0"/>
              </w:numPr>
              <w:spacing w:line="240" w:lineRule="auto"/>
              <w:ind w:leftChars="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履约保证金：</w:t>
            </w:r>
            <w:r>
              <w:rPr>
                <w:rFonts w:hint="eastAsia" w:ascii="宋体" w:hAnsi="宋体"/>
                <w:color w:val="auto"/>
                <w:highlight w:val="none"/>
              </w:rPr>
              <w:t>本项目履约保证金不作要求。</w:t>
            </w:r>
          </w:p>
        </w:tc>
      </w:tr>
      <w:tr w14:paraId="52DC3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72" w:type="dxa"/>
            <w:tcBorders>
              <w:top w:val="single" w:color="auto" w:sz="4" w:space="0"/>
              <w:left w:val="double" w:color="auto" w:sz="4" w:space="0"/>
              <w:bottom w:val="single" w:color="auto" w:sz="4" w:space="0"/>
              <w:right w:val="single" w:color="auto" w:sz="4" w:space="0"/>
            </w:tcBorders>
            <w:noWrap w:val="0"/>
            <w:vAlign w:val="center"/>
          </w:tcPr>
          <w:p w14:paraId="0825D419">
            <w:pPr>
              <w:numPr>
                <w:ilvl w:val="0"/>
                <w:numId w:val="0"/>
              </w:numPr>
              <w:snapToGrid w:val="0"/>
              <w:spacing w:line="240" w:lineRule="auto"/>
              <w:ind w:leftChars="0" w:right="-129" w:rightChars="0"/>
              <w:jc w:val="center"/>
              <w:rPr>
                <w:rFonts w:hint="eastAsia"/>
                <w:color w:val="auto"/>
                <w:kern w:val="1"/>
                <w:highlight w:val="none"/>
                <w:lang w:val="en-US"/>
              </w:rPr>
            </w:pPr>
            <w:r>
              <w:rPr>
                <w:rFonts w:hint="eastAsia"/>
                <w:color w:val="auto"/>
                <w:kern w:val="1"/>
                <w:highlight w:val="none"/>
                <w:lang w:val="en-US"/>
              </w:rPr>
              <w:t>8</w:t>
            </w:r>
          </w:p>
        </w:tc>
        <w:tc>
          <w:tcPr>
            <w:tcW w:w="8851" w:type="dxa"/>
            <w:tcBorders>
              <w:top w:val="single" w:color="auto" w:sz="4" w:space="0"/>
              <w:left w:val="single" w:color="auto" w:sz="4" w:space="0"/>
              <w:bottom w:val="single" w:color="auto" w:sz="4" w:space="0"/>
              <w:right w:val="double" w:color="auto" w:sz="4" w:space="0"/>
            </w:tcBorders>
            <w:noWrap w:val="0"/>
            <w:vAlign w:val="center"/>
          </w:tcPr>
          <w:p w14:paraId="21D8694F">
            <w:pPr>
              <w:numPr>
                <w:ilvl w:val="0"/>
                <w:numId w:val="0"/>
              </w:numPr>
              <w:tabs>
                <w:tab w:val="left" w:pos="1125"/>
              </w:tabs>
              <w:spacing w:line="240" w:lineRule="auto"/>
              <w:ind w:leftChars="0"/>
              <w:jc w:val="both"/>
              <w:rPr>
                <w:rFonts w:hint="eastAsia"/>
                <w:color w:val="auto"/>
                <w:highlight w:val="none"/>
              </w:rPr>
            </w:pPr>
            <w:r>
              <w:rPr>
                <w:rFonts w:hint="eastAsia" w:ascii="宋体" w:hAnsi="宋体"/>
                <w:color w:val="auto"/>
                <w:highlight w:val="none"/>
              </w:rPr>
              <w:t>是否为专门面向小微企业的采购项目：</w:t>
            </w:r>
            <w:r>
              <w:rPr>
                <w:rStyle w:val="31"/>
                <w:rFonts w:hint="eastAsia" w:cs="宋体"/>
                <w:b/>
                <w:bCs/>
                <w:color w:val="auto"/>
                <w:szCs w:val="22"/>
                <w:highlight w:val="none"/>
                <w:lang w:val="en-US" w:eastAsia="zh-CN"/>
              </w:rPr>
              <w:t>否</w:t>
            </w:r>
            <w:r>
              <w:rPr>
                <w:rFonts w:hint="eastAsia" w:ascii="宋体" w:hAnsi="宋体"/>
                <w:b/>
                <w:bCs/>
                <w:color w:val="auto"/>
                <w:highlight w:val="none"/>
              </w:rPr>
              <w:t>。</w:t>
            </w:r>
          </w:p>
        </w:tc>
      </w:tr>
      <w:tr w14:paraId="35874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single" w:color="auto" w:sz="4" w:space="0"/>
              <w:left w:val="double" w:color="auto" w:sz="4" w:space="0"/>
              <w:bottom w:val="single" w:color="auto" w:sz="4" w:space="0"/>
              <w:right w:val="single" w:color="auto" w:sz="4" w:space="0"/>
            </w:tcBorders>
            <w:noWrap w:val="0"/>
            <w:vAlign w:val="center"/>
          </w:tcPr>
          <w:p w14:paraId="4EBE048F">
            <w:pPr>
              <w:snapToGrid w:val="0"/>
              <w:ind w:left="-95" w:right="-129"/>
              <w:jc w:val="center"/>
              <w:rPr>
                <w:rFonts w:hint="eastAsia"/>
                <w:color w:val="auto"/>
                <w:highlight w:val="none"/>
                <w:lang w:val="en-US"/>
              </w:rPr>
            </w:pPr>
            <w:r>
              <w:rPr>
                <w:rFonts w:hint="eastAsia" w:ascii="宋体" w:hAnsi="宋体" w:cs="宋体"/>
                <w:bCs/>
                <w:color w:val="auto"/>
                <w:szCs w:val="21"/>
                <w:highlight w:val="none"/>
              </w:rPr>
              <w:t>★</w:t>
            </w:r>
            <w:r>
              <w:rPr>
                <w:rFonts w:hint="eastAsia"/>
                <w:color w:val="auto"/>
                <w:kern w:val="1"/>
                <w:highlight w:val="none"/>
                <w:lang w:val="en-US"/>
              </w:rPr>
              <w:t>9</w:t>
            </w:r>
          </w:p>
        </w:tc>
        <w:tc>
          <w:tcPr>
            <w:tcW w:w="8851" w:type="dxa"/>
            <w:tcBorders>
              <w:top w:val="single" w:color="auto" w:sz="4" w:space="0"/>
              <w:left w:val="single" w:color="auto" w:sz="4" w:space="0"/>
              <w:bottom w:val="single" w:color="auto" w:sz="4" w:space="0"/>
              <w:right w:val="double" w:color="auto" w:sz="4" w:space="0"/>
            </w:tcBorders>
            <w:noWrap w:val="0"/>
            <w:vAlign w:val="center"/>
          </w:tcPr>
          <w:p w14:paraId="02D2BCF2">
            <w:pPr>
              <w:snapToGrid w:val="0"/>
              <w:ind w:left="-95" w:right="-129" w:firstLine="105" w:firstLineChars="50"/>
              <w:jc w:val="both"/>
              <w:rPr>
                <w:rFonts w:hint="eastAsia"/>
                <w:color w:val="auto"/>
                <w:highlight w:val="none"/>
              </w:rPr>
            </w:pPr>
            <w:r>
              <w:rPr>
                <w:rFonts w:hint="eastAsia"/>
                <w:color w:val="auto"/>
                <w:highlight w:val="none"/>
              </w:rPr>
              <w:t>投标有效期：</w:t>
            </w:r>
            <w:r>
              <w:rPr>
                <w:rFonts w:hint="eastAsia" w:ascii="宋体" w:hAnsi="宋体" w:cs="宋体"/>
                <w:bCs/>
                <w:color w:val="auto"/>
                <w:highlight w:val="none"/>
              </w:rPr>
              <w:t>投标截止日起90天</w:t>
            </w:r>
          </w:p>
        </w:tc>
      </w:tr>
      <w:tr w14:paraId="7EDDE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single" w:color="auto" w:sz="4" w:space="0"/>
              <w:left w:val="double" w:color="auto" w:sz="4" w:space="0"/>
              <w:bottom w:val="single" w:color="auto" w:sz="4" w:space="0"/>
              <w:right w:val="single" w:color="auto" w:sz="4" w:space="0"/>
            </w:tcBorders>
            <w:noWrap w:val="0"/>
            <w:vAlign w:val="center"/>
          </w:tcPr>
          <w:p w14:paraId="4F758908">
            <w:pPr>
              <w:snapToGrid w:val="0"/>
              <w:ind w:left="-95" w:right="-129"/>
              <w:jc w:val="center"/>
              <w:rPr>
                <w:rFonts w:hint="eastAsia"/>
                <w:color w:val="auto"/>
                <w:kern w:val="1"/>
                <w:highlight w:val="none"/>
                <w:lang w:val="en-US"/>
              </w:rPr>
            </w:pPr>
            <w:r>
              <w:rPr>
                <w:rFonts w:hint="eastAsia" w:ascii="宋体" w:hAnsi="宋体" w:cs="宋体"/>
                <w:bCs/>
                <w:color w:val="auto"/>
                <w:szCs w:val="21"/>
                <w:highlight w:val="none"/>
              </w:rPr>
              <w:t>★</w:t>
            </w:r>
            <w:r>
              <w:rPr>
                <w:rFonts w:hint="eastAsia"/>
                <w:color w:val="auto"/>
                <w:kern w:val="1"/>
                <w:highlight w:val="none"/>
                <w:lang w:val="en-US"/>
              </w:rPr>
              <w:t>10</w:t>
            </w:r>
          </w:p>
        </w:tc>
        <w:tc>
          <w:tcPr>
            <w:tcW w:w="8851" w:type="dxa"/>
            <w:tcBorders>
              <w:top w:val="single" w:color="auto" w:sz="4" w:space="0"/>
              <w:left w:val="single" w:color="auto" w:sz="4" w:space="0"/>
              <w:bottom w:val="single" w:color="auto" w:sz="4" w:space="0"/>
              <w:right w:val="double" w:color="auto" w:sz="4" w:space="0"/>
            </w:tcBorders>
            <w:noWrap w:val="0"/>
            <w:vAlign w:val="center"/>
          </w:tcPr>
          <w:p w14:paraId="634D5A69">
            <w:pPr>
              <w:spacing w:before="60"/>
              <w:rPr>
                <w:rFonts w:hint="eastAsia"/>
                <w:color w:val="auto"/>
                <w:highlight w:val="none"/>
              </w:rPr>
            </w:pPr>
            <w:r>
              <w:rPr>
                <w:rFonts w:hint="eastAsia"/>
                <w:color w:val="auto"/>
                <w:highlight w:val="none"/>
              </w:rPr>
              <w:t>投标保证金：</w:t>
            </w:r>
            <w:r>
              <w:rPr>
                <w:rFonts w:hint="eastAsia" w:ascii="宋体" w:hAnsi="宋体"/>
                <w:color w:val="auto"/>
                <w:highlight w:val="none"/>
              </w:rPr>
              <w:t>本项目不收取投标保证金。</w:t>
            </w:r>
          </w:p>
        </w:tc>
      </w:tr>
      <w:tr w14:paraId="4F2FD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single" w:color="auto" w:sz="4" w:space="0"/>
              <w:left w:val="double" w:color="auto" w:sz="4" w:space="0"/>
              <w:bottom w:val="single" w:color="auto" w:sz="4" w:space="0"/>
              <w:right w:val="single" w:color="auto" w:sz="4" w:space="0"/>
            </w:tcBorders>
            <w:noWrap w:val="0"/>
            <w:vAlign w:val="center"/>
          </w:tcPr>
          <w:p w14:paraId="3099FDE5">
            <w:pPr>
              <w:snapToGrid w:val="0"/>
              <w:ind w:left="-95" w:right="-129"/>
              <w:jc w:val="center"/>
              <w:rPr>
                <w:rFonts w:hint="eastAsia" w:eastAsia="宋体"/>
                <w:color w:val="auto"/>
                <w:highlight w:val="none"/>
                <w:lang w:val="en-US" w:eastAsia="zh-CN"/>
              </w:rPr>
            </w:pPr>
            <w:r>
              <w:rPr>
                <w:rFonts w:hint="eastAsia" w:ascii="宋体" w:hAnsi="宋体" w:cs="宋体"/>
                <w:bCs/>
                <w:color w:val="auto"/>
                <w:szCs w:val="21"/>
                <w:highlight w:val="none"/>
              </w:rPr>
              <w:t>★</w:t>
            </w:r>
            <w:r>
              <w:rPr>
                <w:rFonts w:hint="eastAsia"/>
                <w:color w:val="auto"/>
                <w:highlight w:val="none"/>
                <w:lang w:val="en-US"/>
              </w:rPr>
              <w:t>1</w:t>
            </w:r>
            <w:r>
              <w:rPr>
                <w:rFonts w:hint="eastAsia"/>
                <w:color w:val="auto"/>
                <w:highlight w:val="none"/>
                <w:lang w:val="en-US" w:eastAsia="zh-CN"/>
              </w:rPr>
              <w:t>1</w:t>
            </w:r>
          </w:p>
        </w:tc>
        <w:tc>
          <w:tcPr>
            <w:tcW w:w="8851" w:type="dxa"/>
            <w:tcBorders>
              <w:top w:val="single" w:color="auto" w:sz="4" w:space="0"/>
              <w:left w:val="single" w:color="auto" w:sz="4" w:space="0"/>
              <w:bottom w:val="single" w:color="auto" w:sz="4" w:space="0"/>
              <w:right w:val="double" w:color="auto" w:sz="4" w:space="0"/>
            </w:tcBorders>
            <w:noWrap w:val="0"/>
            <w:vAlign w:val="center"/>
          </w:tcPr>
          <w:p w14:paraId="557CF8FD">
            <w:pPr>
              <w:spacing w:line="360" w:lineRule="auto"/>
              <w:rPr>
                <w:rFonts w:hint="eastAsia"/>
                <w:color w:val="auto"/>
                <w:highlight w:val="none"/>
              </w:rPr>
            </w:pPr>
            <w:r>
              <w:rPr>
                <w:rFonts w:hint="eastAsia"/>
                <w:color w:val="auto"/>
                <w:highlight w:val="none"/>
              </w:rPr>
              <w:t>1、上传至政府采购云平台的电子投标文件（含资格文件、商务技术文件、报价文件）1 份。</w:t>
            </w:r>
          </w:p>
          <w:p w14:paraId="6D91522B">
            <w:pPr>
              <w:spacing w:line="360" w:lineRule="auto"/>
              <w:rPr>
                <w:rFonts w:hint="eastAsia"/>
                <w:color w:val="auto"/>
                <w:highlight w:val="none"/>
              </w:rPr>
            </w:pPr>
            <w:r>
              <w:rPr>
                <w:rFonts w:hint="eastAsia"/>
                <w:color w:val="auto"/>
                <w:highlight w:val="none"/>
              </w:rPr>
              <w:t>2、可提供以U盘存储的数据电文形式的备份投标文件（含资格文件、商务技术文件、报价文件）1份。</w:t>
            </w:r>
          </w:p>
          <w:p w14:paraId="5E739953">
            <w:pPr>
              <w:spacing w:line="360" w:lineRule="auto"/>
              <w:rPr>
                <w:rFonts w:hint="eastAsia"/>
                <w:color w:val="auto"/>
                <w:highlight w:val="none"/>
                <w:lang w:val="en-US"/>
              </w:rPr>
            </w:pPr>
            <w:r>
              <w:rPr>
                <w:rFonts w:hint="eastAsia"/>
                <w:color w:val="auto"/>
                <w:highlight w:val="none"/>
              </w:rPr>
              <w:t>注：电子备份投标文件不作实质性要求，是否提交由投标人自行决定。</w:t>
            </w:r>
          </w:p>
        </w:tc>
      </w:tr>
      <w:tr w14:paraId="3A171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single" w:color="auto" w:sz="4" w:space="0"/>
              <w:left w:val="double" w:color="auto" w:sz="4" w:space="0"/>
              <w:bottom w:val="single" w:color="auto" w:sz="4" w:space="0"/>
              <w:right w:val="single" w:color="auto" w:sz="4" w:space="0"/>
            </w:tcBorders>
            <w:noWrap w:val="0"/>
            <w:vAlign w:val="center"/>
          </w:tcPr>
          <w:p w14:paraId="14A80F38">
            <w:pPr>
              <w:snapToGrid w:val="0"/>
              <w:ind w:left="-95" w:right="-129"/>
              <w:jc w:val="center"/>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2</w:t>
            </w:r>
          </w:p>
        </w:tc>
        <w:tc>
          <w:tcPr>
            <w:tcW w:w="8851" w:type="dxa"/>
            <w:tcBorders>
              <w:top w:val="single" w:color="auto" w:sz="4" w:space="0"/>
              <w:left w:val="single" w:color="auto" w:sz="4" w:space="0"/>
              <w:bottom w:val="single" w:color="auto" w:sz="4" w:space="0"/>
              <w:right w:val="double" w:color="auto" w:sz="4" w:space="0"/>
            </w:tcBorders>
            <w:noWrap w:val="0"/>
            <w:vAlign w:val="center"/>
          </w:tcPr>
          <w:p w14:paraId="658C9B19">
            <w:pPr>
              <w:rPr>
                <w:rFonts w:hint="eastAsia"/>
                <w:color w:val="auto"/>
                <w:highlight w:val="none"/>
              </w:rPr>
            </w:pPr>
            <w:r>
              <w:rPr>
                <w:rFonts w:hint="eastAsia"/>
                <w:color w:val="auto"/>
                <w:spacing w:val="-2"/>
                <w:highlight w:val="none"/>
              </w:rPr>
              <w:t>投标截止时间及地点：</w:t>
            </w:r>
            <w:r>
              <w:rPr>
                <w:rFonts w:hint="eastAsia"/>
                <w:color w:val="auto"/>
                <w:highlight w:val="none"/>
              </w:rPr>
              <w:t>详见招标文件第一章 招标公告。</w:t>
            </w:r>
          </w:p>
        </w:tc>
      </w:tr>
      <w:tr w14:paraId="6979F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single" w:color="auto" w:sz="4" w:space="0"/>
              <w:left w:val="double" w:color="auto" w:sz="4" w:space="0"/>
              <w:right w:val="single" w:color="auto" w:sz="4" w:space="0"/>
            </w:tcBorders>
            <w:noWrap w:val="0"/>
            <w:vAlign w:val="center"/>
          </w:tcPr>
          <w:p w14:paraId="0C02834D">
            <w:pPr>
              <w:snapToGrid w:val="0"/>
              <w:ind w:left="-95" w:right="-129"/>
              <w:jc w:val="center"/>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3</w:t>
            </w:r>
          </w:p>
        </w:tc>
        <w:tc>
          <w:tcPr>
            <w:tcW w:w="8851" w:type="dxa"/>
            <w:tcBorders>
              <w:top w:val="single" w:color="auto" w:sz="4" w:space="0"/>
              <w:left w:val="single" w:color="auto" w:sz="4" w:space="0"/>
              <w:bottom w:val="single" w:color="auto" w:sz="4" w:space="0"/>
              <w:right w:val="double" w:color="auto" w:sz="4" w:space="0"/>
            </w:tcBorders>
            <w:noWrap w:val="0"/>
            <w:vAlign w:val="center"/>
          </w:tcPr>
          <w:p w14:paraId="2DF734AA">
            <w:pPr>
              <w:rPr>
                <w:rFonts w:hint="eastAsia"/>
                <w:color w:val="auto"/>
                <w:highlight w:val="none"/>
              </w:rPr>
            </w:pPr>
            <w:r>
              <w:rPr>
                <w:rFonts w:hint="eastAsia"/>
                <w:color w:val="auto"/>
                <w:highlight w:val="none"/>
              </w:rPr>
              <w:t>开标时间及地点：详见招标文件第一章 招标公告。</w:t>
            </w:r>
          </w:p>
        </w:tc>
      </w:tr>
      <w:tr w14:paraId="0C243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single" w:color="auto" w:sz="4" w:space="0"/>
              <w:left w:val="double" w:color="auto" w:sz="4" w:space="0"/>
              <w:bottom w:val="single" w:color="auto" w:sz="4" w:space="0"/>
              <w:right w:val="single" w:color="auto" w:sz="4" w:space="0"/>
            </w:tcBorders>
            <w:noWrap w:val="0"/>
            <w:vAlign w:val="center"/>
          </w:tcPr>
          <w:p w14:paraId="30A6C239">
            <w:pPr>
              <w:snapToGrid w:val="0"/>
              <w:ind w:left="-95" w:right="-129"/>
              <w:jc w:val="center"/>
              <w:rPr>
                <w:rFonts w:hint="eastAsia" w:eastAsia="宋体"/>
                <w:color w:val="auto"/>
                <w:highlight w:val="none"/>
                <w:lang w:val="en-US" w:eastAsia="zh-CN"/>
              </w:rPr>
            </w:pPr>
            <w:r>
              <w:rPr>
                <w:rFonts w:hint="eastAsia"/>
                <w:color w:val="auto"/>
                <w:highlight w:val="none"/>
              </w:rPr>
              <w:t>1</w:t>
            </w:r>
            <w:r>
              <w:rPr>
                <w:rFonts w:hint="eastAsia"/>
                <w:color w:val="auto"/>
                <w:highlight w:val="none"/>
                <w:lang w:val="en-US" w:eastAsia="zh-CN"/>
              </w:rPr>
              <w:t>4</w:t>
            </w:r>
          </w:p>
        </w:tc>
        <w:tc>
          <w:tcPr>
            <w:tcW w:w="8851" w:type="dxa"/>
            <w:tcBorders>
              <w:top w:val="single" w:color="auto" w:sz="4" w:space="0"/>
              <w:left w:val="single" w:color="auto" w:sz="4" w:space="0"/>
              <w:bottom w:val="single" w:color="auto" w:sz="4" w:space="0"/>
              <w:right w:val="double" w:color="auto" w:sz="4" w:space="0"/>
            </w:tcBorders>
            <w:noWrap w:val="0"/>
            <w:vAlign w:val="center"/>
          </w:tcPr>
          <w:p w14:paraId="6808C456">
            <w:pPr>
              <w:rPr>
                <w:rFonts w:hint="eastAsia"/>
                <w:b/>
                <w:bCs/>
                <w:color w:val="auto"/>
                <w:highlight w:val="none"/>
              </w:rPr>
            </w:pPr>
            <w:r>
              <w:rPr>
                <w:rFonts w:hint="eastAsia"/>
                <w:color w:val="auto"/>
                <w:highlight w:val="none"/>
              </w:rPr>
              <w:t>评标办法及评分标准：详见第四</w:t>
            </w:r>
            <w:r>
              <w:rPr>
                <w:rFonts w:hint="eastAsia"/>
                <w:color w:val="auto"/>
                <w:highlight w:val="none"/>
                <w:lang w:val="en-US" w:eastAsia="zh-CN"/>
              </w:rPr>
              <w:t>部分</w:t>
            </w:r>
            <w:r>
              <w:rPr>
                <w:rFonts w:hint="eastAsia"/>
                <w:color w:val="auto"/>
                <w:highlight w:val="none"/>
              </w:rPr>
              <w:t>。</w:t>
            </w:r>
          </w:p>
        </w:tc>
      </w:tr>
      <w:tr w14:paraId="5FB5B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single" w:color="auto" w:sz="4" w:space="0"/>
              <w:left w:val="double" w:color="auto" w:sz="4" w:space="0"/>
              <w:bottom w:val="single" w:color="auto" w:sz="4" w:space="0"/>
              <w:right w:val="single" w:color="auto" w:sz="4" w:space="0"/>
            </w:tcBorders>
            <w:noWrap w:val="0"/>
            <w:vAlign w:val="center"/>
          </w:tcPr>
          <w:p w14:paraId="206DE0DF">
            <w:pPr>
              <w:snapToGrid w:val="0"/>
              <w:ind w:left="-95" w:right="-129"/>
              <w:jc w:val="center"/>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5</w:t>
            </w:r>
          </w:p>
        </w:tc>
        <w:tc>
          <w:tcPr>
            <w:tcW w:w="8851" w:type="dxa"/>
            <w:tcBorders>
              <w:top w:val="single" w:color="auto" w:sz="4" w:space="0"/>
              <w:left w:val="single" w:color="auto" w:sz="4" w:space="0"/>
              <w:bottom w:val="single" w:color="auto" w:sz="4" w:space="0"/>
              <w:right w:val="double" w:color="auto" w:sz="4" w:space="0"/>
            </w:tcBorders>
            <w:noWrap w:val="0"/>
            <w:vAlign w:val="center"/>
          </w:tcPr>
          <w:p w14:paraId="118DA589">
            <w:pPr>
              <w:rPr>
                <w:color w:val="auto"/>
                <w:highlight w:val="none"/>
                <w:lang w:val="en-US"/>
              </w:rPr>
            </w:pPr>
            <w:r>
              <w:rPr>
                <w:rFonts w:hint="eastAsia"/>
                <w:color w:val="auto"/>
                <w:highlight w:val="none"/>
              </w:rPr>
              <w:t>采购资金来源：</w:t>
            </w:r>
            <w:r>
              <w:rPr>
                <w:color w:val="auto"/>
                <w:spacing w:val="8"/>
                <w:highlight w:val="none"/>
              </w:rPr>
              <w:t>预算资金。</w:t>
            </w:r>
          </w:p>
        </w:tc>
      </w:tr>
      <w:tr w14:paraId="0E6F2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single" w:color="auto" w:sz="4" w:space="0"/>
              <w:left w:val="double" w:color="auto" w:sz="4" w:space="0"/>
              <w:bottom w:val="single" w:color="auto" w:sz="4" w:space="0"/>
              <w:right w:val="single" w:color="auto" w:sz="4" w:space="0"/>
            </w:tcBorders>
            <w:noWrap w:val="0"/>
            <w:vAlign w:val="center"/>
          </w:tcPr>
          <w:p w14:paraId="19BB167C">
            <w:pPr>
              <w:snapToGrid w:val="0"/>
              <w:ind w:left="-95" w:right="-129"/>
              <w:jc w:val="center"/>
              <w:rPr>
                <w:rFonts w:hint="eastAsia" w:eastAsia="宋体"/>
                <w:color w:val="auto"/>
                <w:highlight w:val="none"/>
                <w:lang w:val="en-US" w:eastAsia="zh-CN"/>
              </w:rPr>
            </w:pPr>
            <w:r>
              <w:rPr>
                <w:rFonts w:hint="eastAsia"/>
                <w:color w:val="auto"/>
                <w:highlight w:val="none"/>
              </w:rPr>
              <w:t>1</w:t>
            </w:r>
            <w:r>
              <w:rPr>
                <w:rFonts w:hint="eastAsia"/>
                <w:color w:val="auto"/>
                <w:highlight w:val="none"/>
                <w:lang w:val="en-US" w:eastAsia="zh-CN"/>
              </w:rPr>
              <w:t>6</w:t>
            </w:r>
          </w:p>
        </w:tc>
        <w:tc>
          <w:tcPr>
            <w:tcW w:w="8851" w:type="dxa"/>
            <w:tcBorders>
              <w:top w:val="single" w:color="auto" w:sz="4" w:space="0"/>
              <w:left w:val="single" w:color="auto" w:sz="4" w:space="0"/>
              <w:bottom w:val="single" w:color="auto" w:sz="4" w:space="0"/>
              <w:right w:val="double" w:color="auto" w:sz="4" w:space="0"/>
            </w:tcBorders>
            <w:noWrap w:val="0"/>
            <w:vAlign w:val="center"/>
          </w:tcPr>
          <w:p w14:paraId="5BE16F14">
            <w:pPr>
              <w:rPr>
                <w:rFonts w:hint="eastAsia"/>
                <w:color w:val="auto"/>
                <w:highlight w:val="none"/>
              </w:rPr>
            </w:pPr>
            <w:r>
              <w:rPr>
                <w:rFonts w:hint="eastAsia"/>
                <w:color w:val="auto"/>
                <w:highlight w:val="none"/>
              </w:rPr>
              <w:t>签订合同时间：中标通知书发出后30日内。</w:t>
            </w:r>
          </w:p>
        </w:tc>
      </w:tr>
      <w:tr w14:paraId="4F82E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9" w:hRule="atLeast"/>
          <w:jc w:val="center"/>
        </w:trPr>
        <w:tc>
          <w:tcPr>
            <w:tcW w:w="772" w:type="dxa"/>
            <w:tcBorders>
              <w:top w:val="single" w:color="auto" w:sz="4" w:space="0"/>
              <w:left w:val="double" w:color="auto" w:sz="4" w:space="0"/>
              <w:bottom w:val="single" w:color="auto" w:sz="4" w:space="0"/>
              <w:right w:val="single" w:color="auto" w:sz="4" w:space="0"/>
            </w:tcBorders>
            <w:noWrap w:val="0"/>
            <w:vAlign w:val="center"/>
          </w:tcPr>
          <w:p w14:paraId="1CC4F431">
            <w:pPr>
              <w:snapToGrid w:val="0"/>
              <w:ind w:left="-95" w:right="-129"/>
              <w:jc w:val="center"/>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7</w:t>
            </w:r>
          </w:p>
        </w:tc>
        <w:tc>
          <w:tcPr>
            <w:tcW w:w="8851" w:type="dxa"/>
            <w:tcBorders>
              <w:top w:val="single" w:color="auto" w:sz="4" w:space="0"/>
              <w:left w:val="single" w:color="auto" w:sz="4" w:space="0"/>
              <w:bottom w:val="single" w:color="auto" w:sz="4" w:space="0"/>
              <w:right w:val="double" w:color="auto" w:sz="4" w:space="0"/>
            </w:tcBorders>
            <w:noWrap w:val="0"/>
            <w:vAlign w:val="center"/>
          </w:tcPr>
          <w:p w14:paraId="1B705DA5">
            <w:pPr>
              <w:spacing w:line="360" w:lineRule="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招标代理</w:t>
            </w:r>
            <w:r>
              <w:rPr>
                <w:rFonts w:hint="eastAsia" w:ascii="宋体" w:hAnsi="宋体" w:eastAsia="宋体" w:cs="Times New Roman"/>
                <w:color w:val="auto"/>
                <w:szCs w:val="21"/>
                <w:highlight w:val="none"/>
                <w:lang w:val="en-US"/>
              </w:rPr>
              <w:t>服务费</w:t>
            </w:r>
            <w:r>
              <w:rPr>
                <w:rFonts w:hint="eastAsia" w:ascii="宋体" w:hAnsi="宋体" w:cs="宋体"/>
                <w:color w:val="auto"/>
                <w:spacing w:val="20"/>
                <w:szCs w:val="22"/>
                <w:highlight w:val="none"/>
              </w:rPr>
              <w:t>最终以实际中标价</w:t>
            </w:r>
            <w:r>
              <w:rPr>
                <w:rFonts w:hint="eastAsia" w:ascii="宋体" w:hAnsi="宋体" w:cs="宋体"/>
                <w:color w:val="auto"/>
                <w:spacing w:val="20"/>
                <w:szCs w:val="22"/>
                <w:highlight w:val="none"/>
                <w:lang w:eastAsia="zh-CN"/>
              </w:rPr>
              <w:t>，</w:t>
            </w:r>
            <w:r>
              <w:rPr>
                <w:rFonts w:hint="eastAsia" w:ascii="宋体" w:hAnsi="宋体"/>
                <w:color w:val="auto"/>
                <w:spacing w:val="20"/>
                <w:szCs w:val="22"/>
                <w:highlight w:val="none"/>
                <w:lang w:eastAsia="zh-CN"/>
              </w:rPr>
              <w:t>参照国家计委《招标代理服务费收费管理暂行办法》计价格【2002】1980号）及《国家发展和改革委关于降低部分建设项目收费标准规范收费行为等有关问题的通知》发改价格【2011】534号文件规定的收费标准打</w:t>
            </w:r>
            <w:r>
              <w:rPr>
                <w:rFonts w:hint="eastAsia" w:ascii="宋体" w:hAnsi="宋体"/>
                <w:color w:val="auto"/>
                <w:spacing w:val="20"/>
                <w:szCs w:val="22"/>
                <w:highlight w:val="none"/>
                <w:lang w:val="en-US" w:eastAsia="zh-CN"/>
              </w:rPr>
              <w:t>8</w:t>
            </w:r>
            <w:r>
              <w:rPr>
                <w:rFonts w:hint="eastAsia" w:ascii="宋体" w:hAnsi="宋体"/>
                <w:color w:val="auto"/>
                <w:spacing w:val="20"/>
                <w:szCs w:val="22"/>
                <w:highlight w:val="none"/>
                <w:lang w:eastAsia="zh-CN"/>
              </w:rPr>
              <w:t>折进行收取，</w:t>
            </w:r>
            <w:r>
              <w:rPr>
                <w:rFonts w:hint="eastAsia" w:ascii="宋体" w:hAnsi="宋体" w:cs="宋体"/>
                <w:color w:val="auto"/>
                <w:spacing w:val="20"/>
                <w:highlight w:val="none"/>
              </w:rPr>
              <w:t>在结果公示发布后5个工作日内向中标单位收取招标代理服务费</w:t>
            </w:r>
            <w:r>
              <w:rPr>
                <w:rFonts w:hint="eastAsia" w:ascii="宋体" w:hAnsi="宋体" w:eastAsia="宋体" w:cs="Times New Roman"/>
                <w:color w:val="auto"/>
                <w:szCs w:val="21"/>
                <w:highlight w:val="none"/>
                <w:lang w:val="en-US" w:eastAsia="zh-CN"/>
              </w:rPr>
              <w:t>。</w:t>
            </w:r>
          </w:p>
          <w:p w14:paraId="2DA27AF0">
            <w:pPr>
              <w:spacing w:line="360" w:lineRule="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rPr>
              <w:t>账户名称：</w:t>
            </w:r>
            <w:r>
              <w:rPr>
                <w:rFonts w:hint="eastAsia" w:ascii="宋体" w:hAnsi="宋体" w:eastAsia="宋体" w:cs="Times New Roman"/>
                <w:color w:val="auto"/>
                <w:szCs w:val="21"/>
                <w:highlight w:val="none"/>
                <w:lang w:val="en-US" w:eastAsia="zh-CN"/>
              </w:rPr>
              <w:t>宁波国研信息科技有限公司</w:t>
            </w:r>
          </w:p>
          <w:p w14:paraId="5425A173">
            <w:pPr>
              <w:spacing w:line="360" w:lineRule="auto"/>
              <w:rPr>
                <w:rFonts w:hint="eastAsia" w:ascii="宋体" w:hAnsi="宋体" w:eastAsia="宋体" w:cs="Times New Roman"/>
                <w:color w:val="auto"/>
                <w:szCs w:val="21"/>
                <w:highlight w:val="none"/>
                <w:lang w:val="en-US"/>
              </w:rPr>
            </w:pPr>
            <w:r>
              <w:rPr>
                <w:rFonts w:hint="eastAsia" w:ascii="宋体" w:hAnsi="宋体" w:eastAsia="宋体" w:cs="Times New Roman"/>
                <w:color w:val="auto"/>
                <w:szCs w:val="21"/>
                <w:highlight w:val="none"/>
                <w:lang w:val="en-US"/>
              </w:rPr>
              <w:t>账    号：33150199504300000292</w:t>
            </w:r>
          </w:p>
          <w:p w14:paraId="10C6C861">
            <w:pPr>
              <w:spacing w:line="360" w:lineRule="auto"/>
              <w:rPr>
                <w:rFonts w:hint="eastAsia"/>
                <w:color w:val="auto"/>
                <w:highlight w:val="none"/>
              </w:rPr>
            </w:pPr>
            <w:r>
              <w:rPr>
                <w:rFonts w:hint="eastAsia" w:ascii="宋体" w:hAnsi="宋体" w:eastAsia="宋体" w:cs="Times New Roman"/>
                <w:color w:val="auto"/>
                <w:szCs w:val="21"/>
                <w:highlight w:val="none"/>
                <w:lang w:val="en-US"/>
              </w:rPr>
              <w:t>开户银行：中国建设银行宁波万达支行</w:t>
            </w:r>
          </w:p>
        </w:tc>
      </w:tr>
      <w:tr w14:paraId="2C62B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9" w:hRule="atLeast"/>
          <w:jc w:val="center"/>
        </w:trPr>
        <w:tc>
          <w:tcPr>
            <w:tcW w:w="772" w:type="dxa"/>
            <w:tcBorders>
              <w:top w:val="single" w:color="auto" w:sz="4" w:space="0"/>
              <w:left w:val="double" w:color="auto" w:sz="4" w:space="0"/>
              <w:bottom w:val="single" w:color="auto" w:sz="4" w:space="0"/>
              <w:right w:val="single" w:color="auto" w:sz="4" w:space="0"/>
            </w:tcBorders>
            <w:noWrap w:val="0"/>
            <w:vAlign w:val="center"/>
          </w:tcPr>
          <w:p w14:paraId="1B6D47BA">
            <w:pPr>
              <w:snapToGrid w:val="0"/>
              <w:ind w:left="-95" w:right="-129"/>
              <w:jc w:val="center"/>
              <w:rPr>
                <w:rFonts w:hint="default" w:eastAsia="宋体"/>
                <w:color w:val="auto"/>
                <w:highlight w:val="none"/>
                <w:lang w:val="en-US" w:eastAsia="zh-CN"/>
              </w:rPr>
            </w:pPr>
            <w:r>
              <w:rPr>
                <w:rFonts w:hint="eastAsia"/>
                <w:color w:val="auto"/>
                <w:highlight w:val="none"/>
                <w:lang w:val="en-US" w:eastAsia="zh-CN"/>
              </w:rPr>
              <w:t>18</w:t>
            </w:r>
          </w:p>
        </w:tc>
        <w:tc>
          <w:tcPr>
            <w:tcW w:w="8851" w:type="dxa"/>
            <w:tcBorders>
              <w:top w:val="single" w:color="auto" w:sz="4" w:space="0"/>
              <w:left w:val="single" w:color="auto" w:sz="4" w:space="0"/>
              <w:bottom w:val="single" w:color="auto" w:sz="4" w:space="0"/>
              <w:right w:val="double" w:color="auto" w:sz="4" w:space="0"/>
            </w:tcBorders>
            <w:noWrap w:val="0"/>
            <w:vAlign w:val="center"/>
          </w:tcPr>
          <w:p w14:paraId="2340DF40">
            <w:pPr>
              <w:spacing w:line="360" w:lineRule="auto"/>
              <w:rPr>
                <w:rFonts w:hint="eastAsia"/>
                <w:bCs/>
                <w:color w:val="auto"/>
                <w:highlight w:val="none"/>
                <w:lang w:val="en-US"/>
              </w:rPr>
            </w:pPr>
            <w:r>
              <w:rPr>
                <w:rFonts w:ascii="宋体" w:hAnsi="宋体"/>
                <w:color w:val="auto"/>
                <w:szCs w:val="21"/>
                <w:highlight w:val="none"/>
              </w:rPr>
              <w:t>中小企业信用融资的相关政策</w:t>
            </w:r>
            <w:r>
              <w:rPr>
                <w:rFonts w:hint="eastAsia" w:ascii="宋体" w:hAnsi="宋体"/>
                <w:color w:val="auto"/>
                <w:szCs w:val="21"/>
                <w:highlight w:val="none"/>
              </w:rPr>
              <w:t>:</w:t>
            </w:r>
            <w:r>
              <w:rPr>
                <w:rFonts w:ascii="宋体" w:hAnsi="宋体"/>
                <w:color w:val="auto"/>
                <w:szCs w:val="21"/>
                <w:highlight w:val="none"/>
              </w:rPr>
              <w:t>中小企业信用融资：供应商中标后也可在“政采云”平台申请政采贷：操作路径：登录政采云平台-金融服务中心-</w:t>
            </w:r>
            <w:r>
              <w:rPr>
                <w:rFonts w:hint="eastAsia" w:ascii="宋体" w:hAnsi="宋体"/>
                <w:color w:val="auto"/>
                <w:szCs w:val="21"/>
                <w:highlight w:val="none"/>
              </w:rPr>
              <w:t>[</w:t>
            </w:r>
            <w:r>
              <w:rPr>
                <w:rFonts w:ascii="宋体" w:hAnsi="宋体"/>
                <w:color w:val="auto"/>
                <w:szCs w:val="21"/>
                <w:highlight w:val="none"/>
              </w:rPr>
              <w:t>融资服务</w:t>
            </w:r>
            <w:r>
              <w:rPr>
                <w:rFonts w:hint="eastAsia" w:ascii="宋体" w:hAnsi="宋体"/>
                <w:color w:val="auto"/>
                <w:szCs w:val="21"/>
                <w:highlight w:val="none"/>
              </w:rPr>
              <w:t>]</w:t>
            </w:r>
            <w:r>
              <w:rPr>
                <w:rFonts w:ascii="宋体" w:hAnsi="宋体"/>
                <w:color w:val="auto"/>
                <w:szCs w:val="21"/>
                <w:highlight w:val="none"/>
              </w:rPr>
              <w:t>，可在热门申请中选择产品直接申请，也可点击云智贷匹配适合产品进行申请，或者在可申请项目中根据该项目进行申请。</w:t>
            </w:r>
          </w:p>
        </w:tc>
      </w:tr>
      <w:tr w14:paraId="4A167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2" w:type="dxa"/>
            <w:tcBorders>
              <w:top w:val="single" w:color="auto" w:sz="4" w:space="0"/>
              <w:left w:val="double" w:color="auto" w:sz="4" w:space="0"/>
              <w:bottom w:val="single" w:color="auto" w:sz="4" w:space="0"/>
              <w:right w:val="single" w:color="auto" w:sz="4" w:space="0"/>
            </w:tcBorders>
            <w:noWrap w:val="0"/>
            <w:vAlign w:val="center"/>
          </w:tcPr>
          <w:p w14:paraId="45F2DF08">
            <w:pPr>
              <w:snapToGrid w:val="0"/>
              <w:ind w:left="-95" w:right="-129"/>
              <w:jc w:val="center"/>
              <w:rPr>
                <w:rFonts w:hint="default" w:eastAsia="宋体"/>
                <w:color w:val="auto"/>
                <w:highlight w:val="none"/>
                <w:lang w:val="en-US" w:eastAsia="zh-CN"/>
              </w:rPr>
            </w:pPr>
            <w:r>
              <w:rPr>
                <w:rFonts w:hint="eastAsia"/>
                <w:color w:val="auto"/>
                <w:highlight w:val="none"/>
                <w:lang w:val="en-US" w:eastAsia="zh-CN"/>
              </w:rPr>
              <w:t>19</w:t>
            </w:r>
          </w:p>
        </w:tc>
        <w:tc>
          <w:tcPr>
            <w:tcW w:w="8851" w:type="dxa"/>
            <w:tcBorders>
              <w:top w:val="single" w:color="auto" w:sz="4" w:space="0"/>
              <w:left w:val="single" w:color="auto" w:sz="4" w:space="0"/>
              <w:bottom w:val="single" w:color="auto" w:sz="4" w:space="0"/>
              <w:right w:val="double" w:color="auto" w:sz="4" w:space="0"/>
            </w:tcBorders>
            <w:noWrap w:val="0"/>
            <w:vAlign w:val="center"/>
          </w:tcPr>
          <w:p w14:paraId="2938999F">
            <w:pPr>
              <w:rPr>
                <w:rFonts w:hint="eastAsia"/>
                <w:color w:val="auto"/>
                <w:highlight w:val="none"/>
                <w:lang w:val="en-US"/>
              </w:rPr>
            </w:pPr>
            <w:r>
              <w:rPr>
                <w:rFonts w:hint="eastAsia"/>
                <w:color w:val="auto"/>
                <w:highlight w:val="none"/>
              </w:rPr>
              <w:t>解释：本采购文件的解释权属于采购单位。</w:t>
            </w:r>
          </w:p>
        </w:tc>
      </w:tr>
    </w:tbl>
    <w:p w14:paraId="504C7437">
      <w:pPr>
        <w:rPr>
          <w:rFonts w:hint="eastAsia"/>
          <w:i/>
          <w:color w:val="auto"/>
          <w:sz w:val="24"/>
          <w:szCs w:val="24"/>
          <w:highlight w:val="none"/>
        </w:rPr>
      </w:pPr>
      <w:r>
        <w:rPr>
          <w:rFonts w:hint="eastAsia" w:ascii="宋体" w:hAnsi="宋体"/>
          <w:color w:val="auto"/>
          <w:sz w:val="28"/>
          <w:szCs w:val="28"/>
          <w:highlight w:val="none"/>
        </w:rPr>
        <w:br w:type="page"/>
      </w:r>
    </w:p>
    <w:p w14:paraId="03CBA312">
      <w:pPr>
        <w:spacing w:line="520" w:lineRule="exact"/>
        <w:jc w:val="center"/>
        <w:rPr>
          <w:rFonts w:ascii="宋体" w:hAnsi="宋体"/>
          <w:b/>
          <w:bCs/>
          <w:color w:val="auto"/>
          <w:sz w:val="32"/>
          <w:highlight w:val="none"/>
        </w:rPr>
      </w:pPr>
      <w:r>
        <w:rPr>
          <w:rFonts w:hint="eastAsia" w:ascii="宋体" w:hAnsi="宋体"/>
          <w:b/>
          <w:bCs/>
          <w:color w:val="auto"/>
          <w:sz w:val="32"/>
          <w:highlight w:val="none"/>
        </w:rPr>
        <w:t>一、总</w:t>
      </w:r>
      <w:r>
        <w:rPr>
          <w:rFonts w:ascii="宋体" w:hAnsi="宋体"/>
          <w:b/>
          <w:bCs/>
          <w:color w:val="auto"/>
          <w:sz w:val="32"/>
          <w:highlight w:val="none"/>
        </w:rPr>
        <w:t xml:space="preserve">  </w:t>
      </w:r>
      <w:r>
        <w:rPr>
          <w:rFonts w:hint="eastAsia" w:ascii="宋体" w:hAnsi="宋体"/>
          <w:b/>
          <w:bCs/>
          <w:color w:val="auto"/>
          <w:sz w:val="32"/>
          <w:highlight w:val="none"/>
        </w:rPr>
        <w:t>则</w:t>
      </w:r>
    </w:p>
    <w:p w14:paraId="32A9A45A">
      <w:pPr>
        <w:spacing w:line="400" w:lineRule="exact"/>
        <w:rPr>
          <w:rFonts w:ascii="宋体" w:hAnsi="宋体"/>
          <w:b/>
          <w:bCs/>
          <w:color w:val="auto"/>
          <w:sz w:val="24"/>
          <w:highlight w:val="none"/>
        </w:rPr>
      </w:pPr>
      <w:r>
        <w:rPr>
          <w:rFonts w:hint="eastAsia" w:ascii="宋体" w:hAnsi="宋体"/>
          <w:b/>
          <w:bCs/>
          <w:color w:val="auto"/>
          <w:sz w:val="24"/>
          <w:highlight w:val="none"/>
        </w:rPr>
        <w:t>（一）适用范围</w:t>
      </w:r>
    </w:p>
    <w:p w14:paraId="0C2FA436">
      <w:pPr>
        <w:spacing w:line="400" w:lineRule="exact"/>
        <w:ind w:firstLine="420" w:firstLineChars="200"/>
        <w:rPr>
          <w:rFonts w:ascii="宋体" w:hAnsi="宋体"/>
          <w:color w:val="auto"/>
          <w:highlight w:val="none"/>
        </w:rPr>
      </w:pPr>
      <w:r>
        <w:rPr>
          <w:rFonts w:hint="eastAsia" w:ascii="宋体" w:hAnsi="宋体"/>
          <w:color w:val="auto"/>
          <w:highlight w:val="none"/>
        </w:rPr>
        <w:t>本招标文件适用于</w:t>
      </w:r>
      <w:r>
        <w:rPr>
          <w:rFonts w:hint="eastAsia" w:hAnsi="宋体"/>
          <w:color w:val="auto"/>
          <w:highlight w:val="none"/>
        </w:rPr>
        <w:t>招标公告中所述</w:t>
      </w:r>
      <w:r>
        <w:rPr>
          <w:rFonts w:hint="eastAsia" w:ascii="宋体" w:hAnsi="宋体"/>
          <w:color w:val="auto"/>
          <w:highlight w:val="none"/>
        </w:rPr>
        <w:t>项目的招标、投标、评标、定标、验收、合同履约、付款等行为（法律、法规另有规定的，从其规定）。</w:t>
      </w:r>
    </w:p>
    <w:p w14:paraId="3299ECFC">
      <w:pPr>
        <w:spacing w:line="400" w:lineRule="exact"/>
        <w:rPr>
          <w:rFonts w:ascii="宋体" w:hAnsi="宋体"/>
          <w:b/>
          <w:bCs/>
          <w:color w:val="auto"/>
          <w:sz w:val="24"/>
          <w:highlight w:val="none"/>
        </w:rPr>
      </w:pPr>
      <w:r>
        <w:rPr>
          <w:rFonts w:hint="eastAsia" w:ascii="宋体" w:hAnsi="宋体"/>
          <w:b/>
          <w:bCs/>
          <w:color w:val="auto"/>
          <w:sz w:val="24"/>
          <w:highlight w:val="none"/>
        </w:rPr>
        <w:t>（二）定义</w:t>
      </w:r>
    </w:p>
    <w:p w14:paraId="3EB98EB0">
      <w:pPr>
        <w:spacing w:line="400" w:lineRule="exact"/>
        <w:ind w:firstLine="420" w:firstLineChars="200"/>
        <w:rPr>
          <w:rFonts w:ascii="宋体" w:hAnsi="宋体"/>
          <w:color w:val="auto"/>
          <w:highlight w:val="none"/>
        </w:rPr>
      </w:pPr>
      <w:r>
        <w:rPr>
          <w:rFonts w:hint="eastAsia" w:ascii="宋体" w:hAnsi="宋体"/>
          <w:color w:val="auto"/>
          <w:highlight w:val="none"/>
        </w:rPr>
        <w:t>1.“采购人”</w:t>
      </w:r>
      <w:r>
        <w:rPr>
          <w:color w:val="auto"/>
          <w:highlight w:val="none"/>
        </w:rPr>
        <w:t>系</w:t>
      </w:r>
      <w:r>
        <w:rPr>
          <w:rFonts w:hint="eastAsia" w:ascii="宋体" w:hAnsi="宋体" w:eastAsia="宋体" w:cs="宋体"/>
          <w:color w:val="auto"/>
          <w:highlight w:val="none"/>
        </w:rPr>
        <w:t>指</w:t>
      </w:r>
      <w:r>
        <w:rPr>
          <w:rFonts w:hint="eastAsia" w:ascii="宋体" w:hAnsi="宋体" w:eastAsia="宋体" w:cs="宋体"/>
          <w:color w:val="auto"/>
          <w:highlight w:val="none"/>
          <w:lang w:eastAsia="zh-CN"/>
        </w:rPr>
        <w:t>提出并组织实施招项目的法人或其他组织</w:t>
      </w:r>
      <w:r>
        <w:rPr>
          <w:rFonts w:hint="eastAsia" w:ascii="宋体" w:hAnsi="宋体"/>
          <w:color w:val="auto"/>
          <w:highlight w:val="none"/>
        </w:rPr>
        <w:t>。</w:t>
      </w:r>
    </w:p>
    <w:p w14:paraId="3744D18F">
      <w:pPr>
        <w:spacing w:line="400" w:lineRule="exact"/>
        <w:ind w:firstLine="420" w:firstLineChars="200"/>
        <w:rPr>
          <w:rFonts w:ascii="宋体" w:hAnsi="宋体"/>
          <w:color w:val="auto"/>
          <w:highlight w:val="none"/>
        </w:rPr>
      </w:pPr>
      <w:r>
        <w:rPr>
          <w:rFonts w:hint="eastAsia" w:ascii="宋体" w:hAnsi="宋体"/>
          <w:color w:val="auto"/>
          <w:highlight w:val="none"/>
        </w:rPr>
        <w:t>2.“投标人”系指向招标方提交投标文件的单位。</w:t>
      </w:r>
    </w:p>
    <w:p w14:paraId="3349C69A">
      <w:pPr>
        <w:spacing w:line="400" w:lineRule="exact"/>
        <w:ind w:firstLine="420" w:firstLineChars="200"/>
        <w:rPr>
          <w:rFonts w:ascii="宋体" w:hAnsi="宋体"/>
          <w:color w:val="auto"/>
          <w:highlight w:val="none"/>
        </w:rPr>
      </w:pPr>
      <w:r>
        <w:rPr>
          <w:rFonts w:hint="eastAsia" w:ascii="宋体" w:hAnsi="宋体"/>
          <w:color w:val="auto"/>
          <w:highlight w:val="none"/>
        </w:rPr>
        <w:t>3. 产品”系指供方按招标文件规定，须向采购人提供的一切设备、保险、税金、备品备件、工具、手册及其它有关技术资料和材料。</w:t>
      </w:r>
    </w:p>
    <w:p w14:paraId="51D13F1B">
      <w:pPr>
        <w:spacing w:line="400" w:lineRule="exact"/>
        <w:ind w:firstLine="420" w:firstLineChars="200"/>
        <w:rPr>
          <w:rFonts w:ascii="宋体" w:hAnsi="宋体"/>
          <w:color w:val="auto"/>
          <w:highlight w:val="none"/>
        </w:rPr>
      </w:pPr>
      <w:r>
        <w:rPr>
          <w:rFonts w:hint="eastAsia" w:ascii="宋体" w:hAnsi="宋体"/>
          <w:color w:val="auto"/>
          <w:highlight w:val="none"/>
        </w:rPr>
        <w:t>4.“服务”系指招标文件规定投标人须承担的安装、调试、技术协助、校准、培训、技术指导以及其他类似的义务。</w:t>
      </w:r>
    </w:p>
    <w:p w14:paraId="3C0D3479">
      <w:pPr>
        <w:spacing w:line="400" w:lineRule="exact"/>
        <w:ind w:firstLine="420" w:firstLineChars="200"/>
        <w:rPr>
          <w:rFonts w:ascii="宋体" w:hAnsi="宋体"/>
          <w:color w:val="auto"/>
          <w:highlight w:val="none"/>
        </w:rPr>
      </w:pPr>
      <w:r>
        <w:rPr>
          <w:rFonts w:hint="eastAsia" w:ascii="宋体" w:hAnsi="宋体"/>
          <w:color w:val="auto"/>
          <w:highlight w:val="none"/>
        </w:rPr>
        <w:t>5.“项目”系指投标人按招标文件规定向采购人提供的产品和服务。</w:t>
      </w:r>
    </w:p>
    <w:p w14:paraId="66B7D459">
      <w:pPr>
        <w:spacing w:line="400" w:lineRule="exact"/>
        <w:ind w:firstLine="420" w:firstLineChars="200"/>
        <w:rPr>
          <w:rFonts w:ascii="宋体" w:hAnsi="宋体"/>
          <w:color w:val="auto"/>
          <w:highlight w:val="none"/>
        </w:rPr>
      </w:pPr>
      <w:r>
        <w:rPr>
          <w:rFonts w:hint="eastAsia" w:ascii="宋体" w:hAnsi="宋体"/>
          <w:color w:val="auto"/>
          <w:highlight w:val="none"/>
        </w:rPr>
        <w:t>6.“书面形式”包括信函、传真、电报等。</w:t>
      </w:r>
    </w:p>
    <w:p w14:paraId="16BD346B">
      <w:pPr>
        <w:spacing w:line="400" w:lineRule="exact"/>
        <w:ind w:firstLine="420" w:firstLineChars="200"/>
        <w:rPr>
          <w:rFonts w:ascii="宋体" w:hAnsi="宋体"/>
          <w:color w:val="auto"/>
          <w:highlight w:val="none"/>
        </w:rPr>
      </w:pPr>
      <w:r>
        <w:rPr>
          <w:rFonts w:hint="eastAsia" w:ascii="宋体" w:hAnsi="宋体"/>
          <w:color w:val="auto"/>
          <w:highlight w:val="none"/>
        </w:rPr>
        <w:t>7.“</w:t>
      </w:r>
      <w:r>
        <w:rPr>
          <w:rFonts w:hint="eastAsia" w:ascii="宋体" w:hAnsi="宋体" w:cs="宋体"/>
          <w:bCs/>
          <w:color w:val="auto"/>
          <w:szCs w:val="21"/>
          <w:highlight w:val="none"/>
        </w:rPr>
        <w:t>★</w:t>
      </w:r>
      <w:r>
        <w:rPr>
          <w:rFonts w:hint="eastAsia" w:ascii="宋体" w:hAnsi="宋体"/>
          <w:color w:val="auto"/>
          <w:highlight w:val="none"/>
        </w:rPr>
        <w:t>”系指实质性要求条款。</w:t>
      </w:r>
    </w:p>
    <w:p w14:paraId="3E184D94">
      <w:pPr>
        <w:spacing w:line="400" w:lineRule="exact"/>
        <w:rPr>
          <w:rFonts w:ascii="宋体" w:hAnsi="宋体"/>
          <w:b/>
          <w:bCs/>
          <w:color w:val="auto"/>
          <w:sz w:val="24"/>
          <w:highlight w:val="none"/>
        </w:rPr>
      </w:pPr>
      <w:bookmarkStart w:id="20" w:name="_Toc397325819"/>
      <w:r>
        <w:rPr>
          <w:rFonts w:hint="eastAsia" w:ascii="宋体" w:hAnsi="宋体"/>
          <w:b/>
          <w:bCs/>
          <w:color w:val="auto"/>
          <w:sz w:val="24"/>
          <w:highlight w:val="none"/>
        </w:rPr>
        <w:t>（三）招标方式</w:t>
      </w:r>
      <w:bookmarkEnd w:id="20"/>
    </w:p>
    <w:p w14:paraId="4034DDD5">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本次招标采用公开招标方式进行。</w:t>
      </w:r>
    </w:p>
    <w:p w14:paraId="7CD2FE9D">
      <w:pPr>
        <w:spacing w:line="400" w:lineRule="exact"/>
        <w:rPr>
          <w:rFonts w:ascii="宋体" w:hAnsi="宋体"/>
          <w:b/>
          <w:bCs/>
          <w:color w:val="auto"/>
          <w:sz w:val="24"/>
          <w:highlight w:val="none"/>
        </w:rPr>
      </w:pPr>
      <w:bookmarkStart w:id="21" w:name="_Toc397325820"/>
      <w:r>
        <w:rPr>
          <w:rFonts w:hint="eastAsia" w:ascii="宋体" w:hAnsi="宋体"/>
          <w:b/>
          <w:bCs/>
          <w:color w:val="auto"/>
          <w:sz w:val="24"/>
          <w:highlight w:val="none"/>
        </w:rPr>
        <w:t>（四）投标委托</w:t>
      </w:r>
      <w:bookmarkEnd w:id="21"/>
    </w:p>
    <w:p w14:paraId="751E272A">
      <w:pPr>
        <w:spacing w:line="400" w:lineRule="exact"/>
        <w:ind w:firstLine="420" w:firstLineChars="200"/>
        <w:rPr>
          <w:rFonts w:ascii="宋体" w:hAnsi="宋体"/>
          <w:bCs/>
          <w:color w:val="auto"/>
          <w:szCs w:val="21"/>
          <w:highlight w:val="none"/>
        </w:rPr>
      </w:pPr>
      <w:bookmarkStart w:id="22" w:name="_Toc397325821"/>
      <w:r>
        <w:rPr>
          <w:rFonts w:hint="eastAsia" w:ascii="宋体" w:hAnsi="宋体"/>
          <w:bCs/>
          <w:color w:val="auto"/>
          <w:szCs w:val="21"/>
          <w:highlight w:val="none"/>
        </w:rPr>
        <w:t>投标人代表须附有效身份证件。投标人代表须为投标人的在职员工，如投标人代表不是法定代表人，须有法定代表人出具的授权委托书并在投标文件中提供投标人代表身份证正反面复印件（格式见第六部分）。</w:t>
      </w:r>
    </w:p>
    <w:p w14:paraId="7504ABEA">
      <w:pPr>
        <w:spacing w:line="400" w:lineRule="exact"/>
        <w:rPr>
          <w:rFonts w:ascii="宋体" w:hAnsi="宋体"/>
          <w:b/>
          <w:bCs/>
          <w:color w:val="auto"/>
          <w:sz w:val="24"/>
          <w:highlight w:val="none"/>
        </w:rPr>
      </w:pPr>
      <w:r>
        <w:rPr>
          <w:rFonts w:hint="eastAsia" w:ascii="宋体" w:hAnsi="宋体"/>
          <w:b/>
          <w:bCs/>
          <w:color w:val="auto"/>
          <w:sz w:val="24"/>
          <w:highlight w:val="none"/>
        </w:rPr>
        <w:t>（五）投标费用</w:t>
      </w:r>
      <w:bookmarkEnd w:id="22"/>
    </w:p>
    <w:p w14:paraId="64C25AD9">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不论投标结果如何，投标人均应自行承担所有与投标有关的全部费用（招标文件有相反规定除外）。</w:t>
      </w:r>
    </w:p>
    <w:p w14:paraId="51C593D8">
      <w:pPr>
        <w:spacing w:line="400" w:lineRule="exact"/>
        <w:rPr>
          <w:rFonts w:ascii="宋体" w:hAnsi="宋体"/>
          <w:b/>
          <w:bCs/>
          <w:color w:val="auto"/>
          <w:sz w:val="24"/>
          <w:highlight w:val="none"/>
        </w:rPr>
      </w:pPr>
      <w:r>
        <w:rPr>
          <w:rFonts w:hint="eastAsia" w:ascii="宋体" w:hAnsi="宋体"/>
          <w:b/>
          <w:bCs/>
          <w:color w:val="auto"/>
          <w:sz w:val="24"/>
          <w:highlight w:val="none"/>
        </w:rPr>
        <w:t>（六）联合体投标</w:t>
      </w:r>
    </w:p>
    <w:p w14:paraId="3185A37C">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 xml:space="preserve">  本项目</w:t>
      </w:r>
      <w:r>
        <w:rPr>
          <w:rFonts w:hint="eastAsia" w:ascii="宋体" w:hAnsi="宋体"/>
          <w:b/>
          <w:bCs w:val="0"/>
          <w:color w:val="auto"/>
          <w:szCs w:val="21"/>
          <w:highlight w:val="none"/>
        </w:rPr>
        <w:t>不接受</w:t>
      </w:r>
      <w:r>
        <w:rPr>
          <w:rFonts w:hint="eastAsia" w:ascii="宋体" w:hAnsi="宋体"/>
          <w:bCs/>
          <w:color w:val="auto"/>
          <w:szCs w:val="21"/>
          <w:highlight w:val="none"/>
        </w:rPr>
        <w:t>联合体投标。</w:t>
      </w:r>
    </w:p>
    <w:p w14:paraId="342BE493">
      <w:pPr>
        <w:spacing w:line="400" w:lineRule="exact"/>
        <w:rPr>
          <w:rFonts w:ascii="宋体" w:hAnsi="宋体"/>
          <w:b/>
          <w:bCs/>
          <w:color w:val="auto"/>
          <w:sz w:val="24"/>
          <w:highlight w:val="none"/>
        </w:rPr>
      </w:pPr>
      <w:r>
        <w:rPr>
          <w:rFonts w:hint="eastAsia" w:ascii="宋体" w:hAnsi="宋体"/>
          <w:b/>
          <w:bCs/>
          <w:color w:val="auto"/>
          <w:sz w:val="24"/>
          <w:highlight w:val="none"/>
        </w:rPr>
        <w:t>（七）转包与分包</w:t>
      </w:r>
      <w:bookmarkStart w:id="23" w:name="_Toc397325822"/>
    </w:p>
    <w:p w14:paraId="7C9DACB2">
      <w:pPr>
        <w:spacing w:line="400" w:lineRule="exact"/>
        <w:rPr>
          <w:rFonts w:ascii="宋体" w:hAnsi="宋体"/>
          <w:bCs/>
          <w:color w:val="auto"/>
          <w:szCs w:val="21"/>
          <w:highlight w:val="none"/>
        </w:rPr>
      </w:pPr>
      <w:r>
        <w:rPr>
          <w:rFonts w:hint="eastAsia" w:ascii="宋体" w:hAnsi="宋体"/>
          <w:b/>
          <w:bCs/>
          <w:color w:val="auto"/>
          <w:sz w:val="24"/>
          <w:highlight w:val="none"/>
        </w:rPr>
        <w:t xml:space="preserve">   </w:t>
      </w:r>
      <w:r>
        <w:rPr>
          <w:rFonts w:hint="eastAsia" w:ascii="宋体" w:hAnsi="宋体"/>
          <w:bCs/>
          <w:color w:val="auto"/>
          <w:szCs w:val="21"/>
          <w:highlight w:val="none"/>
        </w:rPr>
        <w:t>本项目不得转包，未经发包人书面同意不得分包。</w:t>
      </w:r>
    </w:p>
    <w:p w14:paraId="0CED60BC">
      <w:pPr>
        <w:spacing w:line="400" w:lineRule="exact"/>
        <w:rPr>
          <w:rFonts w:ascii="宋体" w:hAnsi="宋体"/>
          <w:b/>
          <w:bCs/>
          <w:color w:val="auto"/>
          <w:sz w:val="24"/>
          <w:highlight w:val="none"/>
        </w:rPr>
      </w:pPr>
      <w:r>
        <w:rPr>
          <w:rFonts w:hint="eastAsia" w:ascii="宋体" w:hAnsi="宋体"/>
          <w:b/>
          <w:bCs/>
          <w:color w:val="auto"/>
          <w:sz w:val="24"/>
          <w:highlight w:val="none"/>
        </w:rPr>
        <w:t>（八）特别说明：</w:t>
      </w:r>
      <w:bookmarkEnd w:id="23"/>
      <w:bookmarkStart w:id="24" w:name="_Toc397325826"/>
    </w:p>
    <w:p w14:paraId="24661A02">
      <w:pPr>
        <w:spacing w:line="400" w:lineRule="exact"/>
        <w:rPr>
          <w:rFonts w:ascii="宋体" w:hAnsi="宋体"/>
          <w:b/>
          <w:bCs/>
          <w:color w:val="auto"/>
          <w:sz w:val="24"/>
          <w:highlight w:val="none"/>
        </w:rPr>
      </w:pPr>
      <w:r>
        <w:rPr>
          <w:rFonts w:hint="eastAsia" w:ascii="宋体" w:hAnsi="宋体"/>
          <w:b/>
          <w:bCs/>
          <w:color w:val="auto"/>
          <w:sz w:val="24"/>
          <w:highlight w:val="none"/>
        </w:rPr>
        <w:t xml:space="preserve">    </w:t>
      </w:r>
      <w:r>
        <w:rPr>
          <w:rFonts w:hint="eastAsia" w:ascii="宋体" w:hAnsi="宋体"/>
          <w:bCs/>
          <w:color w:val="auto"/>
          <w:szCs w:val="21"/>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85EC20F">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AE580E5">
      <w:pPr>
        <w:spacing w:line="400" w:lineRule="exact"/>
        <w:ind w:firstLine="420" w:firstLineChars="200"/>
        <w:outlineLvl w:val="1"/>
        <w:rPr>
          <w:rFonts w:hint="eastAsia" w:ascii="宋体" w:hAnsi="宋体" w:eastAsia="宋体"/>
          <w:bCs/>
          <w:color w:val="auto"/>
          <w:szCs w:val="21"/>
          <w:highlight w:val="none"/>
          <w:lang w:eastAsia="zh-CN"/>
        </w:rPr>
      </w:pPr>
      <w:r>
        <w:rPr>
          <w:rFonts w:hint="eastAsia" w:ascii="宋体" w:hAnsi="宋体"/>
          <w:bCs/>
          <w:color w:val="auto"/>
          <w:szCs w:val="21"/>
          <w:highlight w:val="none"/>
        </w:rPr>
        <w:t>非单一产品采购项目，多家投标人提供的核心产品品牌相同的，按前款处理。</w:t>
      </w:r>
    </w:p>
    <w:p w14:paraId="399F60EF">
      <w:pPr>
        <w:spacing w:line="400" w:lineRule="exact"/>
        <w:ind w:firstLine="420" w:firstLineChars="200"/>
        <w:rPr>
          <w:rFonts w:ascii="宋体" w:hAnsi="宋体"/>
          <w:bCs/>
          <w:color w:val="auto"/>
          <w:szCs w:val="21"/>
          <w:highlight w:val="none"/>
        </w:rPr>
      </w:pPr>
      <w:r>
        <w:rPr>
          <w:rFonts w:hint="eastAsia" w:ascii="宋体" w:hAnsi="宋体" w:cs="宋体"/>
          <w:bCs/>
          <w:color w:val="auto"/>
          <w:szCs w:val="21"/>
          <w:highlight w:val="none"/>
        </w:rPr>
        <w:t>★</w:t>
      </w:r>
      <w:r>
        <w:rPr>
          <w:rFonts w:hint="eastAsia" w:ascii="宋体" w:hAnsi="宋体"/>
          <w:bCs/>
          <w:color w:val="auto"/>
          <w:szCs w:val="21"/>
          <w:highlight w:val="none"/>
        </w:rPr>
        <w:t>2.投标人应仔细阅读招标文件的所有内容，按照招标文件的要求提交投标文件，并对所提供的全部资料的真实性承担法律责任。</w:t>
      </w:r>
    </w:p>
    <w:p w14:paraId="6AF802C7">
      <w:pPr>
        <w:spacing w:line="400" w:lineRule="exact"/>
        <w:ind w:firstLine="420" w:firstLineChars="200"/>
        <w:rPr>
          <w:rFonts w:ascii="宋体" w:hAnsi="宋体"/>
          <w:bCs/>
          <w:color w:val="auto"/>
          <w:szCs w:val="21"/>
          <w:highlight w:val="none"/>
        </w:rPr>
      </w:pPr>
      <w:r>
        <w:rPr>
          <w:rFonts w:hint="eastAsia" w:ascii="宋体" w:hAnsi="宋体" w:cs="宋体"/>
          <w:bCs/>
          <w:color w:val="auto"/>
          <w:szCs w:val="21"/>
          <w:highlight w:val="none"/>
        </w:rPr>
        <w:t>★</w:t>
      </w:r>
      <w:r>
        <w:rPr>
          <w:rFonts w:hint="eastAsia" w:ascii="宋体" w:hAnsi="宋体"/>
          <w:bCs/>
          <w:color w:val="auto"/>
          <w:szCs w:val="21"/>
          <w:highlight w:val="none"/>
        </w:rPr>
        <w:t>3.投标人在投标活动中提供任何虚假材料，其投标无效，并报监管部门查处。</w:t>
      </w:r>
    </w:p>
    <w:p w14:paraId="5993BCE2">
      <w:pPr>
        <w:spacing w:line="400" w:lineRule="exact"/>
        <w:rPr>
          <w:rFonts w:ascii="宋体" w:hAnsi="宋体"/>
          <w:b/>
          <w:bCs/>
          <w:color w:val="auto"/>
          <w:sz w:val="24"/>
          <w:highlight w:val="none"/>
        </w:rPr>
      </w:pPr>
      <w:r>
        <w:rPr>
          <w:rFonts w:hint="eastAsia" w:ascii="宋体" w:hAnsi="宋体"/>
          <w:b/>
          <w:bCs/>
          <w:color w:val="auto"/>
          <w:sz w:val="24"/>
          <w:highlight w:val="none"/>
        </w:rPr>
        <w:t>（九）质疑和投诉</w:t>
      </w:r>
      <w:bookmarkEnd w:id="24"/>
    </w:p>
    <w:p w14:paraId="2C02D59B">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供应商应知其权益受到损害之日，是指：</w:t>
      </w:r>
    </w:p>
    <w:p w14:paraId="42832DD4">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（1）对可以质疑的招标文件提出质疑的，为获取招标文件之日（公告期限届满后获取采购文件的，以公告期限届满之日为准）。</w:t>
      </w:r>
    </w:p>
    <w:p w14:paraId="7533BBF6">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（2）对招标过程提出质疑的，为各招标程序环节结束之日。</w:t>
      </w:r>
    </w:p>
    <w:p w14:paraId="0A464FFC">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（3）对中标结果提出质疑的，为中标结果公告期限届满之日。</w:t>
      </w:r>
    </w:p>
    <w:p w14:paraId="70F7B18D">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14:paraId="52043FB1">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3.供应商提出质疑应当提交质疑函和必要的证明材料，质疑函应当面以书面形式提出，质疑函格式和内容须符合财政部《质疑函范本》要求，供应商可到中国政府采购网自行下载财政部《质疑函范本》。</w:t>
      </w:r>
    </w:p>
    <w:p w14:paraId="2D92E887">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部分有关联系方式。</w:t>
      </w:r>
    </w:p>
    <w:p w14:paraId="2A79A94F">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5.</w:t>
      </w:r>
      <w:r>
        <w:rPr>
          <w:rFonts w:hint="eastAsia" w:ascii="宋体" w:hAnsi="宋体" w:cs="宋体"/>
          <w:color w:val="auto"/>
          <w:szCs w:val="21"/>
          <w:highlight w:val="none"/>
        </w:rPr>
        <w:t>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14:paraId="7C97A436">
      <w:pPr>
        <w:spacing w:line="520" w:lineRule="exact"/>
        <w:jc w:val="center"/>
        <w:rPr>
          <w:rFonts w:ascii="宋体" w:hAnsi="宋体"/>
          <w:b/>
          <w:bCs/>
          <w:color w:val="auto"/>
          <w:sz w:val="32"/>
          <w:highlight w:val="none"/>
        </w:rPr>
      </w:pPr>
      <w:r>
        <w:rPr>
          <w:rFonts w:hint="eastAsia" w:ascii="宋体" w:hAnsi="宋体"/>
          <w:b/>
          <w:bCs/>
          <w:color w:val="auto"/>
          <w:sz w:val="32"/>
          <w:highlight w:val="none"/>
        </w:rPr>
        <w:t>二、招标文件</w:t>
      </w:r>
    </w:p>
    <w:p w14:paraId="55452050">
      <w:pPr>
        <w:spacing w:line="400" w:lineRule="exact"/>
        <w:rPr>
          <w:rFonts w:ascii="宋体" w:hAnsi="宋体"/>
          <w:b/>
          <w:bCs/>
          <w:color w:val="auto"/>
          <w:sz w:val="24"/>
          <w:highlight w:val="none"/>
        </w:rPr>
      </w:pPr>
      <w:r>
        <w:rPr>
          <w:rFonts w:hint="eastAsia" w:ascii="宋体" w:hAnsi="宋体"/>
          <w:b/>
          <w:bCs/>
          <w:color w:val="auto"/>
          <w:sz w:val="24"/>
          <w:highlight w:val="none"/>
        </w:rPr>
        <w:t>（一）招标文件的构成。本招标文件由以下部分组成：</w:t>
      </w:r>
    </w:p>
    <w:p w14:paraId="49F31443">
      <w:pPr>
        <w:spacing w:line="400" w:lineRule="exact"/>
        <w:ind w:firstLine="420" w:firstLineChars="200"/>
        <w:rPr>
          <w:rFonts w:ascii="宋体" w:hAnsi="宋体"/>
          <w:color w:val="auto"/>
          <w:highlight w:val="none"/>
        </w:rPr>
      </w:pPr>
      <w:r>
        <w:rPr>
          <w:rFonts w:ascii="宋体" w:hAnsi="宋体"/>
          <w:color w:val="auto"/>
          <w:highlight w:val="none"/>
        </w:rPr>
        <w:t>第</w:t>
      </w:r>
      <w:r>
        <w:rPr>
          <w:rFonts w:hint="eastAsia" w:ascii="宋体" w:hAnsi="宋体"/>
          <w:color w:val="auto"/>
          <w:highlight w:val="none"/>
        </w:rPr>
        <w:t>一</w:t>
      </w:r>
      <w:r>
        <w:rPr>
          <w:rFonts w:ascii="宋体" w:hAnsi="宋体"/>
          <w:color w:val="auto"/>
          <w:highlight w:val="none"/>
        </w:rPr>
        <w:t xml:space="preserve">部分 </w:t>
      </w:r>
      <w:r>
        <w:rPr>
          <w:rFonts w:hint="eastAsia" w:ascii="宋体" w:hAnsi="宋体"/>
          <w:color w:val="auto"/>
          <w:highlight w:val="none"/>
        </w:rPr>
        <w:t xml:space="preserve"> 招标公告</w:t>
      </w:r>
    </w:p>
    <w:p w14:paraId="0E150C08">
      <w:pPr>
        <w:spacing w:line="400" w:lineRule="exact"/>
        <w:ind w:firstLine="420" w:firstLineChars="200"/>
        <w:rPr>
          <w:rFonts w:ascii="宋体" w:hAnsi="宋体"/>
          <w:color w:val="auto"/>
          <w:highlight w:val="none"/>
        </w:rPr>
      </w:pPr>
      <w:r>
        <w:rPr>
          <w:rFonts w:ascii="宋体" w:hAnsi="宋体"/>
          <w:color w:val="auto"/>
          <w:highlight w:val="none"/>
        </w:rPr>
        <w:t>第</w:t>
      </w:r>
      <w:r>
        <w:rPr>
          <w:rFonts w:hint="eastAsia" w:ascii="宋体" w:hAnsi="宋体"/>
          <w:color w:val="auto"/>
          <w:highlight w:val="none"/>
        </w:rPr>
        <w:t>二</w:t>
      </w:r>
      <w:r>
        <w:rPr>
          <w:rFonts w:ascii="宋体" w:hAnsi="宋体"/>
          <w:color w:val="auto"/>
          <w:highlight w:val="none"/>
        </w:rPr>
        <w:t xml:space="preserve">部分 </w:t>
      </w:r>
      <w:r>
        <w:rPr>
          <w:rFonts w:hint="eastAsia" w:ascii="宋体" w:hAnsi="宋体"/>
          <w:color w:val="auto"/>
          <w:highlight w:val="none"/>
        </w:rPr>
        <w:t xml:space="preserve"> 投标人须知及前附表</w:t>
      </w:r>
    </w:p>
    <w:p w14:paraId="09BB858D">
      <w:pPr>
        <w:spacing w:line="400" w:lineRule="exact"/>
        <w:ind w:firstLine="420" w:firstLineChars="200"/>
        <w:rPr>
          <w:rFonts w:ascii="宋体" w:hAnsi="宋体"/>
          <w:color w:val="auto"/>
          <w:highlight w:val="none"/>
        </w:rPr>
      </w:pPr>
      <w:r>
        <w:rPr>
          <w:rFonts w:ascii="宋体" w:hAnsi="宋体"/>
          <w:color w:val="auto"/>
          <w:highlight w:val="none"/>
        </w:rPr>
        <w:t>第</w:t>
      </w:r>
      <w:r>
        <w:rPr>
          <w:rFonts w:hint="eastAsia" w:ascii="宋体" w:hAnsi="宋体"/>
          <w:color w:val="auto"/>
          <w:highlight w:val="none"/>
        </w:rPr>
        <w:t>三</w:t>
      </w:r>
      <w:r>
        <w:rPr>
          <w:rFonts w:ascii="宋体" w:hAnsi="宋体"/>
          <w:color w:val="auto"/>
          <w:highlight w:val="none"/>
        </w:rPr>
        <w:t xml:space="preserve">部分 </w:t>
      </w:r>
      <w:r>
        <w:rPr>
          <w:rFonts w:hint="eastAsia" w:ascii="宋体" w:hAnsi="宋体"/>
          <w:color w:val="auto"/>
          <w:highlight w:val="none"/>
        </w:rPr>
        <w:t xml:space="preserve"> 项目内容及要求</w:t>
      </w:r>
    </w:p>
    <w:p w14:paraId="5A1F4ADF">
      <w:pPr>
        <w:spacing w:line="400" w:lineRule="exact"/>
        <w:ind w:firstLine="420" w:firstLineChars="200"/>
        <w:rPr>
          <w:rFonts w:ascii="宋体" w:hAnsi="宋体"/>
          <w:color w:val="auto"/>
          <w:highlight w:val="none"/>
        </w:rPr>
      </w:pPr>
      <w:r>
        <w:rPr>
          <w:rFonts w:ascii="宋体" w:hAnsi="宋体"/>
          <w:color w:val="auto"/>
          <w:highlight w:val="none"/>
        </w:rPr>
        <w:t>第</w:t>
      </w:r>
      <w:r>
        <w:rPr>
          <w:rFonts w:hint="eastAsia" w:ascii="宋体" w:hAnsi="宋体"/>
          <w:color w:val="auto"/>
          <w:highlight w:val="none"/>
        </w:rPr>
        <w:t>四</w:t>
      </w:r>
      <w:r>
        <w:rPr>
          <w:rFonts w:ascii="宋体" w:hAnsi="宋体"/>
          <w:color w:val="auto"/>
          <w:highlight w:val="none"/>
        </w:rPr>
        <w:t>部分</w:t>
      </w:r>
      <w:r>
        <w:rPr>
          <w:rFonts w:hint="eastAsia" w:ascii="宋体" w:hAnsi="宋体"/>
          <w:color w:val="auto"/>
          <w:highlight w:val="none"/>
        </w:rPr>
        <w:t xml:space="preserve">  </w:t>
      </w:r>
      <w:r>
        <w:rPr>
          <w:rFonts w:hint="eastAsia" w:ascii="宋体" w:hAnsi="宋体" w:cs="宋体"/>
          <w:color w:val="auto"/>
          <w:szCs w:val="21"/>
          <w:highlight w:val="none"/>
        </w:rPr>
        <w:t>评标办法及标准</w:t>
      </w:r>
    </w:p>
    <w:p w14:paraId="0A76D760">
      <w:pPr>
        <w:spacing w:line="400" w:lineRule="exact"/>
        <w:ind w:firstLine="420" w:firstLineChars="200"/>
        <w:rPr>
          <w:rFonts w:ascii="宋体" w:hAnsi="宋体"/>
          <w:color w:val="auto"/>
          <w:highlight w:val="none"/>
        </w:rPr>
      </w:pPr>
      <w:r>
        <w:rPr>
          <w:rFonts w:hint="eastAsia" w:ascii="宋体" w:hAnsi="宋体"/>
          <w:color w:val="auto"/>
          <w:highlight w:val="none"/>
        </w:rPr>
        <w:t>第五部分</w:t>
      </w:r>
      <w:r>
        <w:rPr>
          <w:rFonts w:ascii="宋体" w:hAnsi="宋体"/>
          <w:color w:val="auto"/>
          <w:highlight w:val="none"/>
        </w:rPr>
        <w:t xml:space="preserve">  </w:t>
      </w:r>
      <w:r>
        <w:rPr>
          <w:rFonts w:hint="eastAsia" w:ascii="宋体" w:hAnsi="宋体"/>
          <w:color w:val="auto"/>
          <w:highlight w:val="none"/>
        </w:rPr>
        <w:t>合同条款及合同格式</w:t>
      </w:r>
    </w:p>
    <w:p w14:paraId="36B556CD">
      <w:pPr>
        <w:spacing w:line="400" w:lineRule="exact"/>
        <w:ind w:firstLine="420" w:firstLineChars="200"/>
        <w:rPr>
          <w:rFonts w:ascii="宋体" w:hAnsi="宋体"/>
          <w:color w:val="auto"/>
          <w:highlight w:val="none"/>
        </w:rPr>
      </w:pPr>
      <w:r>
        <w:rPr>
          <w:rFonts w:hint="eastAsia" w:ascii="宋体" w:hAnsi="宋体"/>
          <w:color w:val="auto"/>
          <w:highlight w:val="none"/>
        </w:rPr>
        <w:t>第六部分  投标文件格式</w:t>
      </w:r>
    </w:p>
    <w:p w14:paraId="46771670">
      <w:pPr>
        <w:spacing w:line="400" w:lineRule="exact"/>
        <w:ind w:firstLine="420" w:firstLineChars="200"/>
        <w:rPr>
          <w:rFonts w:ascii="宋体" w:hAnsi="宋体"/>
          <w:color w:val="auto"/>
          <w:highlight w:val="none"/>
        </w:rPr>
      </w:pPr>
      <w:r>
        <w:rPr>
          <w:rFonts w:hint="eastAsia" w:ascii="宋体" w:hAnsi="宋体"/>
          <w:color w:val="auto"/>
          <w:highlight w:val="none"/>
        </w:rPr>
        <w:t>第七部分  本项目招标文件的澄清、答复、修改、补充的内容（如有）</w:t>
      </w:r>
    </w:p>
    <w:p w14:paraId="0ED40925">
      <w:pPr>
        <w:spacing w:line="400" w:lineRule="exact"/>
        <w:rPr>
          <w:rFonts w:ascii="宋体" w:hAnsi="宋体"/>
          <w:b/>
          <w:bCs/>
          <w:color w:val="auto"/>
          <w:sz w:val="24"/>
          <w:highlight w:val="none"/>
        </w:rPr>
      </w:pPr>
      <w:r>
        <w:rPr>
          <w:rFonts w:hint="eastAsia" w:ascii="宋体" w:hAnsi="宋体"/>
          <w:b/>
          <w:bCs/>
          <w:color w:val="auto"/>
          <w:sz w:val="24"/>
          <w:highlight w:val="none"/>
        </w:rPr>
        <w:t>（二）投标人的风险</w:t>
      </w:r>
    </w:p>
    <w:p w14:paraId="090996BB">
      <w:pPr>
        <w:spacing w:line="400" w:lineRule="exact"/>
        <w:ind w:firstLine="420" w:firstLineChars="200"/>
        <w:rPr>
          <w:rFonts w:ascii="宋体" w:hAnsi="宋体"/>
          <w:color w:val="auto"/>
          <w:highlight w:val="none"/>
        </w:rPr>
      </w:pPr>
      <w:r>
        <w:rPr>
          <w:rFonts w:hint="eastAsia" w:ascii="宋体" w:hAnsi="宋体"/>
          <w:color w:val="auto"/>
          <w:highlight w:val="none"/>
        </w:rPr>
        <w:t>投标人没有按照招标文件要求提供全部资料，或者投标人没有对招标文件在各方面作出实质性响应是投标人的风险，并可能导致其投标被拒绝。</w:t>
      </w:r>
    </w:p>
    <w:p w14:paraId="472C88AC">
      <w:pPr>
        <w:spacing w:line="400" w:lineRule="exact"/>
        <w:rPr>
          <w:rFonts w:ascii="宋体" w:hAnsi="宋体"/>
          <w:b/>
          <w:bCs/>
          <w:color w:val="auto"/>
          <w:sz w:val="24"/>
          <w:highlight w:val="none"/>
        </w:rPr>
      </w:pPr>
      <w:r>
        <w:rPr>
          <w:rFonts w:hint="eastAsia" w:ascii="宋体" w:hAnsi="宋体"/>
          <w:b/>
          <w:bCs/>
          <w:color w:val="auto"/>
          <w:sz w:val="24"/>
          <w:highlight w:val="none"/>
        </w:rPr>
        <w:t>（三）招标文件的澄清与修改</w:t>
      </w:r>
    </w:p>
    <w:p w14:paraId="4363B881">
      <w:pPr>
        <w:spacing w:line="400" w:lineRule="exact"/>
        <w:ind w:firstLine="420" w:firstLineChars="200"/>
        <w:rPr>
          <w:rFonts w:ascii="宋体" w:hAnsi="宋体"/>
          <w:color w:val="auto"/>
          <w:highlight w:val="none"/>
        </w:rPr>
      </w:pPr>
      <w:r>
        <w:rPr>
          <w:rFonts w:hint="eastAsia" w:ascii="宋体" w:hAnsi="宋体"/>
          <w:color w:val="auto"/>
          <w:highlight w:val="none"/>
        </w:rPr>
        <w:t>1.采购人或者采购代理机构对招标文件进行必要的澄清或者修改的，澄清或者修改在原公告发布媒体上发布澄清公告。澄清或者修改的内容可能影响投标文件编制的，将在招标公告规定的投标截止时间至少15日前，以书面形式通知所有获取招标文件的潜在投标人；不足15日的，顺延提交投标文件的截止时间。</w:t>
      </w:r>
    </w:p>
    <w:p w14:paraId="79B49351">
      <w:pPr>
        <w:spacing w:line="400" w:lineRule="exact"/>
        <w:ind w:firstLine="420" w:firstLineChars="200"/>
        <w:rPr>
          <w:rFonts w:ascii="宋体" w:hAnsi="宋体"/>
          <w:color w:val="auto"/>
          <w:highlight w:val="none"/>
        </w:rPr>
      </w:pPr>
      <w:r>
        <w:rPr>
          <w:rFonts w:hint="eastAsia" w:ascii="宋体" w:hAnsi="宋体"/>
          <w:color w:val="auto"/>
          <w:highlight w:val="none"/>
        </w:rPr>
        <w:t>2.澄清公告为招标文件的组成部分，一经在网站发布，视同已通知所有招标文件的收受人，不再采用其它方式传达相关信息, 若因未能及时了解到上述网站上发布的相关信息而导致的一切后果自行承担。</w:t>
      </w:r>
    </w:p>
    <w:p w14:paraId="052969EF">
      <w:pPr>
        <w:spacing w:line="400" w:lineRule="exact"/>
        <w:ind w:firstLine="420" w:firstLineChars="200"/>
        <w:rPr>
          <w:rFonts w:ascii="宋体" w:hAnsi="宋体"/>
          <w:color w:val="auto"/>
          <w:highlight w:val="none"/>
        </w:rPr>
      </w:pPr>
      <w:r>
        <w:rPr>
          <w:rFonts w:hint="eastAsia" w:ascii="宋体" w:hAnsi="宋体"/>
          <w:color w:val="auto"/>
          <w:highlight w:val="none"/>
        </w:rPr>
        <w:t>3.招标文件澄清、答复、修改、补充的内容为招标文件的组成部分。当招标文件与招标文件的答复、澄清、修改、补充通知就同一内容的表述不一致时，以最后发出的书面文件为准。</w:t>
      </w:r>
    </w:p>
    <w:p w14:paraId="37B065EE">
      <w:pPr>
        <w:spacing w:line="400" w:lineRule="exact"/>
        <w:ind w:firstLine="420" w:firstLineChars="200"/>
        <w:rPr>
          <w:rFonts w:ascii="宋体" w:hAnsi="宋体"/>
          <w:color w:val="auto"/>
          <w:highlight w:val="none"/>
        </w:rPr>
      </w:pPr>
      <w:r>
        <w:rPr>
          <w:rFonts w:hint="eastAsia" w:ascii="宋体" w:hAnsi="宋体"/>
          <w:color w:val="auto"/>
          <w:highlight w:val="none"/>
        </w:rPr>
        <w:t>4.招标文件的澄清、答复、修改或补充都应该通过本代理机构以法定形式发布，采购人非通过本机构，不得擅自澄清、答复、修改或补充招标文件。</w:t>
      </w:r>
    </w:p>
    <w:p w14:paraId="7988A886">
      <w:pPr>
        <w:spacing w:line="520" w:lineRule="exact"/>
        <w:jc w:val="center"/>
        <w:outlineLvl w:val="1"/>
        <w:rPr>
          <w:rFonts w:ascii="宋体" w:hAnsi="宋体"/>
          <w:b/>
          <w:bCs/>
          <w:color w:val="auto"/>
          <w:sz w:val="32"/>
          <w:highlight w:val="none"/>
        </w:rPr>
      </w:pPr>
      <w:r>
        <w:rPr>
          <w:rFonts w:hint="eastAsia" w:ascii="宋体" w:hAnsi="宋体"/>
          <w:b/>
          <w:bCs/>
          <w:color w:val="auto"/>
          <w:sz w:val="32"/>
          <w:highlight w:val="none"/>
        </w:rPr>
        <w:t>三、投标文件的编制</w:t>
      </w:r>
    </w:p>
    <w:p w14:paraId="078C57C0">
      <w:pPr>
        <w:spacing w:line="400" w:lineRule="exact"/>
        <w:rPr>
          <w:rFonts w:hint="eastAsia" w:ascii="宋体" w:hAnsi="宋体"/>
          <w:b/>
          <w:bCs/>
          <w:color w:val="auto"/>
          <w:sz w:val="24"/>
          <w:highlight w:val="none"/>
        </w:rPr>
      </w:pPr>
      <w:r>
        <w:rPr>
          <w:rFonts w:hint="eastAsia" w:ascii="宋体" w:hAnsi="宋体"/>
          <w:b/>
          <w:bCs/>
          <w:color w:val="auto"/>
          <w:sz w:val="24"/>
          <w:highlight w:val="none"/>
        </w:rPr>
        <w:t>（一）投标文件的组成（资格证明文件、报价及商务技术文件组成），其中电子投标文件中所须加盖公章部分均采用CA签章。</w:t>
      </w:r>
    </w:p>
    <w:p w14:paraId="2983AE7E">
      <w:pPr>
        <w:spacing w:line="400" w:lineRule="exact"/>
        <w:rPr>
          <w:rFonts w:ascii="宋体" w:hAnsi="宋体"/>
          <w:b/>
          <w:bCs/>
          <w:color w:val="auto"/>
          <w:highlight w:val="none"/>
        </w:rPr>
      </w:pPr>
      <w:r>
        <w:rPr>
          <w:rFonts w:hint="eastAsia" w:ascii="宋体" w:hAnsi="宋体"/>
          <w:b/>
          <w:bCs/>
          <w:color w:val="auto"/>
          <w:highlight w:val="none"/>
        </w:rPr>
        <w:t>1.资格证明文件：</w:t>
      </w:r>
    </w:p>
    <w:p w14:paraId="20140751">
      <w:pPr>
        <w:spacing w:line="400" w:lineRule="exact"/>
        <w:rPr>
          <w:rFonts w:ascii="宋体" w:hAnsi="宋体"/>
          <w:color w:val="auto"/>
          <w:highlight w:val="none"/>
        </w:rPr>
      </w:pPr>
      <w:r>
        <w:rPr>
          <w:rFonts w:hint="eastAsia" w:ascii="宋体" w:hAnsi="宋体"/>
          <w:color w:val="auto"/>
          <w:highlight w:val="none"/>
        </w:rPr>
        <w:t>（1）投标人资格条件自查表（</w:t>
      </w:r>
      <w:r>
        <w:rPr>
          <w:rFonts w:hint="eastAsia"/>
          <w:color w:val="auto"/>
          <w:highlight w:val="none"/>
        </w:rPr>
        <w:t>格式见第六</w:t>
      </w:r>
      <w:r>
        <w:rPr>
          <w:rFonts w:hint="eastAsia"/>
          <w:color w:val="auto"/>
          <w:highlight w:val="none"/>
          <w:lang w:val="en-US" w:eastAsia="zh-CN"/>
        </w:rPr>
        <w:t>部分</w:t>
      </w:r>
      <w:r>
        <w:rPr>
          <w:rFonts w:hint="eastAsia"/>
          <w:color w:val="auto"/>
          <w:highlight w:val="none"/>
        </w:rPr>
        <w:t xml:space="preserve"> 投标文件格式</w:t>
      </w:r>
      <w:r>
        <w:rPr>
          <w:rFonts w:hint="eastAsia" w:ascii="宋体" w:hAnsi="宋体"/>
          <w:color w:val="auto"/>
          <w:highlight w:val="none"/>
        </w:rPr>
        <w:t>）；</w:t>
      </w:r>
    </w:p>
    <w:p w14:paraId="21CDCDF5">
      <w:pPr>
        <w:spacing w:line="400" w:lineRule="exact"/>
        <w:rPr>
          <w:rFonts w:ascii="宋体" w:hAnsi="宋体"/>
          <w:color w:val="auto"/>
          <w:highlight w:val="none"/>
        </w:rPr>
      </w:pPr>
      <w:r>
        <w:rPr>
          <w:rFonts w:hint="eastAsia" w:ascii="宋体" w:hAnsi="宋体"/>
          <w:color w:val="auto"/>
          <w:highlight w:val="none"/>
        </w:rPr>
        <w:t>（2）投标人资格声明函（</w:t>
      </w:r>
      <w:r>
        <w:rPr>
          <w:rFonts w:hint="eastAsia"/>
          <w:color w:val="auto"/>
          <w:highlight w:val="none"/>
        </w:rPr>
        <w:t>格式见第六</w:t>
      </w:r>
      <w:r>
        <w:rPr>
          <w:rFonts w:hint="eastAsia"/>
          <w:color w:val="auto"/>
          <w:highlight w:val="none"/>
          <w:lang w:val="en-US" w:eastAsia="zh-CN"/>
        </w:rPr>
        <w:t>部分</w:t>
      </w:r>
      <w:r>
        <w:rPr>
          <w:rFonts w:hint="eastAsia"/>
          <w:color w:val="auto"/>
          <w:highlight w:val="none"/>
        </w:rPr>
        <w:t xml:space="preserve"> 投标文件格式</w:t>
      </w:r>
      <w:r>
        <w:rPr>
          <w:rFonts w:hint="eastAsia" w:ascii="宋体" w:hAnsi="宋体"/>
          <w:color w:val="auto"/>
          <w:highlight w:val="none"/>
        </w:rPr>
        <w:t>）；</w:t>
      </w:r>
    </w:p>
    <w:p w14:paraId="58A9D4AB">
      <w:pPr>
        <w:spacing w:line="400" w:lineRule="exact"/>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有效的企业法人营业执照（或事业法人登记证）、其他组织（个体工商户）的营业执照或者民办非企业单位登记证书复印件（复印件加盖公章）；（供应商如果有名称变更的，应提供由行政主管部门出具的变更证明文件复印件加盖供应商公章）；</w:t>
      </w:r>
    </w:p>
    <w:p w14:paraId="3C45443F">
      <w:pPr>
        <w:spacing w:line="400" w:lineRule="exact"/>
        <w:rPr>
          <w:rFonts w:hint="eastAsia" w:ascii="宋体" w:hAnsi="宋体" w:eastAsia="宋体" w:cs="Times New Roman"/>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4</w:t>
      </w:r>
      <w:r>
        <w:rPr>
          <w:rFonts w:hint="eastAsia" w:ascii="宋体" w:hAnsi="宋体"/>
          <w:color w:val="auto"/>
          <w:highlight w:val="none"/>
        </w:rPr>
        <w:t>）</w:t>
      </w:r>
      <w:r>
        <w:rPr>
          <w:rFonts w:hint="eastAsia" w:ascii="宋体" w:hAnsi="宋体" w:eastAsia="宋体" w:cs="Times New Roman"/>
          <w:color w:val="auto"/>
          <w:highlight w:val="none"/>
        </w:rPr>
        <w:t>投标人控股股东名称、控股公司的名称和存在管理、被管理关系的单位名称说明</w:t>
      </w:r>
      <w:r>
        <w:rPr>
          <w:rFonts w:hint="eastAsia" w:ascii="宋体" w:hAnsi="宋体"/>
          <w:color w:val="auto"/>
          <w:highlight w:val="none"/>
        </w:rPr>
        <w:t>（</w:t>
      </w:r>
      <w:r>
        <w:rPr>
          <w:rFonts w:hint="eastAsia"/>
          <w:color w:val="auto"/>
          <w:highlight w:val="none"/>
        </w:rPr>
        <w:t>格式见第六</w:t>
      </w:r>
      <w:r>
        <w:rPr>
          <w:rFonts w:hint="eastAsia"/>
          <w:color w:val="auto"/>
          <w:highlight w:val="none"/>
          <w:lang w:val="en-US" w:eastAsia="zh-CN"/>
        </w:rPr>
        <w:t>部分</w:t>
      </w:r>
      <w:r>
        <w:rPr>
          <w:rFonts w:hint="eastAsia"/>
          <w:color w:val="auto"/>
          <w:highlight w:val="none"/>
        </w:rPr>
        <w:t xml:space="preserve"> 投标文件格式</w:t>
      </w:r>
      <w:r>
        <w:rPr>
          <w:rFonts w:hint="eastAsia" w:ascii="宋体" w:hAnsi="宋体"/>
          <w:color w:val="auto"/>
          <w:highlight w:val="none"/>
        </w:rPr>
        <w:t>）；</w:t>
      </w:r>
    </w:p>
    <w:p w14:paraId="633556A1">
      <w:pPr>
        <w:spacing w:line="400" w:lineRule="exact"/>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5</w:t>
      </w:r>
      <w:r>
        <w:rPr>
          <w:rFonts w:hint="eastAsia" w:ascii="宋体" w:hAnsi="宋体"/>
          <w:color w:val="auto"/>
          <w:highlight w:val="none"/>
          <w:lang w:eastAsia="zh-CN"/>
        </w:rPr>
        <w:t>）</w:t>
      </w:r>
      <w:r>
        <w:rPr>
          <w:rFonts w:hint="eastAsia" w:ascii="宋体" w:hAnsi="宋体"/>
          <w:color w:val="auto"/>
          <w:highlight w:val="none"/>
        </w:rPr>
        <w:t>投标人认为需要提供的其他资格证明材料（复印件加盖公章）。</w:t>
      </w:r>
    </w:p>
    <w:p w14:paraId="071D09B2">
      <w:pPr>
        <w:spacing w:line="400" w:lineRule="exact"/>
        <w:rPr>
          <w:rFonts w:hint="eastAsia" w:ascii="宋体" w:hAnsi="宋体"/>
          <w:color w:val="auto"/>
          <w:highlight w:val="none"/>
        </w:rPr>
      </w:pPr>
      <w:r>
        <w:rPr>
          <w:rFonts w:hint="eastAsia" w:ascii="宋体" w:hAnsi="宋体"/>
          <w:b/>
          <w:color w:val="auto"/>
          <w:highlight w:val="none"/>
        </w:rPr>
        <w:t>备注：银行、保险、石油石化、电力、通信运营等行业，允许分公司投标。</w:t>
      </w:r>
    </w:p>
    <w:p w14:paraId="66B732DB">
      <w:pPr>
        <w:spacing w:line="400" w:lineRule="exact"/>
        <w:rPr>
          <w:rFonts w:ascii="宋体" w:hAnsi="宋体"/>
          <w:color w:val="auto"/>
          <w:highlight w:val="none"/>
        </w:rPr>
      </w:pPr>
      <w:r>
        <w:rPr>
          <w:rFonts w:hint="eastAsia" w:ascii="宋体" w:hAnsi="宋体"/>
          <w:b/>
          <w:color w:val="auto"/>
          <w:highlight w:val="none"/>
        </w:rPr>
        <w:t>2.报价文件：</w:t>
      </w:r>
    </w:p>
    <w:p w14:paraId="79CF644B">
      <w:pPr>
        <w:spacing w:line="400" w:lineRule="exact"/>
        <w:rPr>
          <w:rFonts w:ascii="宋体" w:hAnsi="宋体"/>
          <w:color w:val="auto"/>
          <w:highlight w:val="none"/>
        </w:rPr>
      </w:pPr>
      <w:r>
        <w:rPr>
          <w:rFonts w:hint="eastAsia" w:ascii="宋体" w:hAnsi="宋体"/>
          <w:color w:val="auto"/>
          <w:highlight w:val="none"/>
        </w:rPr>
        <w:t>（1）投标函（</w:t>
      </w:r>
      <w:r>
        <w:rPr>
          <w:rFonts w:hint="eastAsia"/>
          <w:color w:val="auto"/>
          <w:highlight w:val="none"/>
        </w:rPr>
        <w:t>格式见第六</w:t>
      </w:r>
      <w:r>
        <w:rPr>
          <w:rFonts w:hint="eastAsia"/>
          <w:color w:val="auto"/>
          <w:highlight w:val="none"/>
          <w:lang w:val="en-US" w:eastAsia="zh-CN"/>
        </w:rPr>
        <w:t>部分</w:t>
      </w:r>
      <w:r>
        <w:rPr>
          <w:rFonts w:hint="eastAsia"/>
          <w:color w:val="auto"/>
          <w:highlight w:val="none"/>
        </w:rPr>
        <w:t xml:space="preserve"> 投标文件格式</w:t>
      </w:r>
      <w:r>
        <w:rPr>
          <w:rFonts w:hint="eastAsia" w:ascii="宋体" w:hAnsi="宋体"/>
          <w:color w:val="auto"/>
          <w:highlight w:val="none"/>
        </w:rPr>
        <w:t>）；</w:t>
      </w:r>
    </w:p>
    <w:p w14:paraId="2EBD7649">
      <w:pPr>
        <w:spacing w:line="400" w:lineRule="exact"/>
        <w:rPr>
          <w:rFonts w:ascii="宋体" w:hAnsi="宋体"/>
          <w:color w:val="auto"/>
          <w:highlight w:val="none"/>
        </w:rPr>
      </w:pPr>
      <w:r>
        <w:rPr>
          <w:rFonts w:hint="eastAsia" w:ascii="宋体" w:hAnsi="宋体"/>
          <w:color w:val="auto"/>
          <w:highlight w:val="none"/>
        </w:rPr>
        <w:t>（2）开标一览表（</w:t>
      </w:r>
      <w:r>
        <w:rPr>
          <w:rFonts w:hint="eastAsia"/>
          <w:color w:val="auto"/>
          <w:highlight w:val="none"/>
        </w:rPr>
        <w:t>格式见第六</w:t>
      </w:r>
      <w:r>
        <w:rPr>
          <w:rFonts w:hint="eastAsia"/>
          <w:color w:val="auto"/>
          <w:highlight w:val="none"/>
          <w:lang w:val="en-US" w:eastAsia="zh-CN"/>
        </w:rPr>
        <w:t>部分</w:t>
      </w:r>
      <w:r>
        <w:rPr>
          <w:rFonts w:hint="eastAsia"/>
          <w:color w:val="auto"/>
          <w:highlight w:val="none"/>
        </w:rPr>
        <w:t xml:space="preserve"> 投标文件格式</w:t>
      </w:r>
      <w:r>
        <w:rPr>
          <w:rFonts w:hint="eastAsia" w:ascii="宋体" w:hAnsi="宋体"/>
          <w:color w:val="auto"/>
          <w:highlight w:val="none"/>
        </w:rPr>
        <w:t>）；</w:t>
      </w:r>
    </w:p>
    <w:p w14:paraId="6880B274">
      <w:pPr>
        <w:spacing w:line="400" w:lineRule="exact"/>
        <w:rPr>
          <w:rFonts w:hint="eastAsia" w:ascii="宋体" w:hAnsi="宋体"/>
          <w:color w:val="auto"/>
          <w:highlight w:val="none"/>
        </w:rPr>
      </w:pPr>
      <w:r>
        <w:rPr>
          <w:rFonts w:hint="eastAsia" w:ascii="宋体" w:hAnsi="宋体"/>
          <w:color w:val="auto"/>
          <w:highlight w:val="none"/>
        </w:rPr>
        <w:t>（3）投标报价明细表（</w:t>
      </w:r>
      <w:r>
        <w:rPr>
          <w:rFonts w:hint="eastAsia"/>
          <w:color w:val="auto"/>
          <w:highlight w:val="none"/>
        </w:rPr>
        <w:t>格式见第六</w:t>
      </w:r>
      <w:r>
        <w:rPr>
          <w:rFonts w:hint="eastAsia"/>
          <w:color w:val="auto"/>
          <w:highlight w:val="none"/>
          <w:lang w:val="en-US" w:eastAsia="zh-CN"/>
        </w:rPr>
        <w:t>部分</w:t>
      </w:r>
      <w:r>
        <w:rPr>
          <w:rFonts w:hint="eastAsia"/>
          <w:color w:val="auto"/>
          <w:highlight w:val="none"/>
        </w:rPr>
        <w:t xml:space="preserve"> 投标文件格式</w:t>
      </w:r>
      <w:r>
        <w:rPr>
          <w:rFonts w:hint="eastAsia" w:ascii="宋体" w:hAnsi="宋体"/>
          <w:color w:val="auto"/>
          <w:highlight w:val="none"/>
        </w:rPr>
        <w:t>）；</w:t>
      </w:r>
    </w:p>
    <w:p w14:paraId="319F0CEC">
      <w:pPr>
        <w:spacing w:line="400" w:lineRule="exact"/>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4</w:t>
      </w:r>
      <w:r>
        <w:rPr>
          <w:rFonts w:hint="eastAsia" w:ascii="宋体" w:hAnsi="宋体"/>
          <w:color w:val="auto"/>
          <w:highlight w:val="none"/>
        </w:rPr>
        <w:t>）中小企业声明函（</w:t>
      </w:r>
      <w:r>
        <w:rPr>
          <w:rFonts w:hint="eastAsia"/>
          <w:color w:val="auto"/>
          <w:highlight w:val="none"/>
        </w:rPr>
        <w:t>格式见第六</w:t>
      </w:r>
      <w:r>
        <w:rPr>
          <w:rFonts w:hint="eastAsia"/>
          <w:color w:val="auto"/>
          <w:highlight w:val="none"/>
          <w:lang w:val="en-US" w:eastAsia="zh-CN"/>
        </w:rPr>
        <w:t>部分</w:t>
      </w:r>
      <w:r>
        <w:rPr>
          <w:rFonts w:hint="eastAsia"/>
          <w:color w:val="auto"/>
          <w:highlight w:val="none"/>
        </w:rPr>
        <w:t xml:space="preserve"> 投标文件格式</w:t>
      </w:r>
      <w:r>
        <w:rPr>
          <w:rFonts w:hint="eastAsia" w:ascii="宋体" w:hAnsi="宋体"/>
          <w:color w:val="auto"/>
          <w:highlight w:val="none"/>
        </w:rPr>
        <w:t>，如符合请提供）；</w:t>
      </w:r>
    </w:p>
    <w:p w14:paraId="17FC523B">
      <w:pPr>
        <w:spacing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5</w:t>
      </w:r>
      <w:r>
        <w:rPr>
          <w:rFonts w:hint="eastAsia" w:ascii="宋体" w:hAnsi="宋体"/>
          <w:color w:val="auto"/>
          <w:highlight w:val="none"/>
        </w:rPr>
        <w:t>）</w:t>
      </w:r>
      <w:r>
        <w:rPr>
          <w:rFonts w:hint="eastAsia"/>
          <w:color w:val="auto"/>
          <w:highlight w:val="none"/>
        </w:rPr>
        <w:t>残疾人福利性单位声明函或监狱企业声明函（若有）</w:t>
      </w:r>
      <w:r>
        <w:rPr>
          <w:rFonts w:hint="eastAsia" w:ascii="宋体" w:hAnsi="宋体"/>
          <w:color w:val="auto"/>
          <w:highlight w:val="none"/>
        </w:rPr>
        <w:t>（</w:t>
      </w:r>
      <w:r>
        <w:rPr>
          <w:rFonts w:hint="eastAsia"/>
          <w:color w:val="auto"/>
          <w:highlight w:val="none"/>
        </w:rPr>
        <w:t>格式见第六</w:t>
      </w:r>
      <w:r>
        <w:rPr>
          <w:rFonts w:hint="eastAsia"/>
          <w:color w:val="auto"/>
          <w:highlight w:val="none"/>
          <w:lang w:val="en-US" w:eastAsia="zh-CN"/>
        </w:rPr>
        <w:t>部分</w:t>
      </w:r>
      <w:r>
        <w:rPr>
          <w:rFonts w:hint="eastAsia"/>
          <w:color w:val="auto"/>
          <w:highlight w:val="none"/>
        </w:rPr>
        <w:t xml:space="preserve"> 投标文件格式</w:t>
      </w:r>
      <w:r>
        <w:rPr>
          <w:rFonts w:hint="eastAsia" w:ascii="宋体" w:hAnsi="宋体"/>
          <w:color w:val="auto"/>
          <w:highlight w:val="none"/>
        </w:rPr>
        <w:t>）；</w:t>
      </w:r>
    </w:p>
    <w:p w14:paraId="29F4DC66">
      <w:pPr>
        <w:spacing w:line="400" w:lineRule="exact"/>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6</w:t>
      </w:r>
      <w:r>
        <w:rPr>
          <w:rFonts w:hint="eastAsia" w:ascii="宋体" w:hAnsi="宋体"/>
          <w:color w:val="auto"/>
          <w:highlight w:val="none"/>
        </w:rPr>
        <w:t>）投标人针对报价需要说明的其他文件和说明。</w:t>
      </w:r>
    </w:p>
    <w:p w14:paraId="5C0D5D65">
      <w:pPr>
        <w:spacing w:line="400" w:lineRule="exact"/>
        <w:rPr>
          <w:rFonts w:ascii="宋体" w:hAnsi="宋体"/>
          <w:color w:val="auto"/>
          <w:highlight w:val="none"/>
        </w:rPr>
      </w:pPr>
      <w:r>
        <w:rPr>
          <w:rFonts w:hint="eastAsia" w:ascii="宋体" w:hAnsi="宋体" w:cs="宋体"/>
          <w:b/>
          <w:bCs/>
          <w:color w:val="auto"/>
          <w:szCs w:val="21"/>
          <w:highlight w:val="none"/>
        </w:rPr>
        <w:t>3.商务技术文件：</w:t>
      </w:r>
    </w:p>
    <w:p w14:paraId="488F024C">
      <w:pPr>
        <w:spacing w:line="400" w:lineRule="exact"/>
        <w:rPr>
          <w:rFonts w:hint="eastAsia" w:ascii="宋体" w:hAnsi="宋体" w:eastAsia="宋体"/>
          <w:color w:val="auto"/>
          <w:highlight w:val="none"/>
        </w:rPr>
      </w:pPr>
      <w:r>
        <w:rPr>
          <w:rFonts w:hint="eastAsia" w:ascii="宋体" w:hAnsi="宋体" w:eastAsia="宋体"/>
          <w:color w:val="auto"/>
          <w:highlight w:val="none"/>
        </w:rPr>
        <w:t>（1）法定代表人</w:t>
      </w:r>
      <w:r>
        <w:rPr>
          <w:rFonts w:hint="eastAsia" w:ascii="宋体" w:hAnsi="宋体" w:eastAsia="宋体"/>
          <w:color w:val="auto"/>
          <w:highlight w:val="none"/>
          <w:lang w:val="en-US" w:eastAsia="zh-CN"/>
        </w:rPr>
        <w:t>身份</w:t>
      </w:r>
      <w:r>
        <w:rPr>
          <w:rFonts w:hint="eastAsia" w:ascii="宋体" w:hAnsi="宋体" w:eastAsia="宋体"/>
          <w:color w:val="auto"/>
          <w:highlight w:val="none"/>
        </w:rPr>
        <w:t>证明书</w:t>
      </w:r>
      <w:r>
        <w:rPr>
          <w:rFonts w:hint="eastAsia" w:ascii="宋体" w:hAnsi="宋体" w:eastAsia="宋体"/>
          <w:color w:val="auto"/>
          <w:highlight w:val="none"/>
          <w:lang w:val="en-US" w:eastAsia="zh-CN"/>
        </w:rPr>
        <w:t>或</w:t>
      </w:r>
      <w:r>
        <w:rPr>
          <w:rFonts w:hint="eastAsia" w:ascii="宋体" w:hAnsi="宋体" w:eastAsia="宋体"/>
          <w:color w:val="auto"/>
          <w:highlight w:val="none"/>
        </w:rPr>
        <w:t>法定代表人授权书（格式见第六章 投标文件格式）；</w:t>
      </w:r>
    </w:p>
    <w:p w14:paraId="46CB431D">
      <w:pPr>
        <w:spacing w:line="400" w:lineRule="exact"/>
        <w:rPr>
          <w:rFonts w:hint="eastAsia" w:ascii="宋体" w:hAnsi="宋体" w:eastAsia="宋体"/>
          <w:color w:val="auto"/>
          <w:highlight w:val="none"/>
        </w:rPr>
      </w:pPr>
      <w:r>
        <w:rPr>
          <w:rFonts w:hint="eastAsia" w:ascii="宋体" w:hAnsi="宋体" w:eastAsia="宋体"/>
          <w:color w:val="auto"/>
          <w:highlight w:val="none"/>
        </w:rPr>
        <w:t>（</w:t>
      </w:r>
      <w:r>
        <w:rPr>
          <w:rFonts w:hint="eastAsia" w:ascii="宋体" w:hAnsi="宋体" w:eastAsia="宋体"/>
          <w:color w:val="auto"/>
          <w:highlight w:val="none"/>
          <w:lang w:val="en-US" w:eastAsia="zh-CN"/>
        </w:rPr>
        <w:t>2</w:t>
      </w:r>
      <w:r>
        <w:rPr>
          <w:rFonts w:hint="eastAsia" w:ascii="宋体" w:hAnsi="宋体" w:eastAsia="宋体"/>
          <w:color w:val="auto"/>
          <w:highlight w:val="none"/>
        </w:rPr>
        <w:t>）技术条款偏离表（格式见第六</w:t>
      </w:r>
      <w:r>
        <w:rPr>
          <w:rFonts w:hint="eastAsia" w:ascii="宋体" w:hAnsi="宋体" w:eastAsia="宋体"/>
          <w:color w:val="auto"/>
          <w:highlight w:val="none"/>
          <w:lang w:val="en-US" w:eastAsia="zh-CN"/>
        </w:rPr>
        <w:t>部分</w:t>
      </w:r>
      <w:r>
        <w:rPr>
          <w:rFonts w:hint="eastAsia" w:ascii="宋体" w:hAnsi="宋体" w:eastAsia="宋体"/>
          <w:color w:val="auto"/>
          <w:highlight w:val="none"/>
        </w:rPr>
        <w:t xml:space="preserve"> 投标文件格式）；</w:t>
      </w:r>
    </w:p>
    <w:p w14:paraId="13A4D269">
      <w:pPr>
        <w:spacing w:line="400" w:lineRule="exact"/>
        <w:rPr>
          <w:rFonts w:hint="eastAsia" w:ascii="宋体" w:hAnsi="宋体" w:eastAsia="宋体"/>
          <w:color w:val="auto"/>
          <w:highlight w:val="none"/>
        </w:rPr>
      </w:pPr>
      <w:r>
        <w:rPr>
          <w:rFonts w:hint="eastAsia" w:ascii="宋体" w:hAnsi="宋体" w:eastAsia="宋体"/>
          <w:color w:val="auto"/>
          <w:highlight w:val="none"/>
        </w:rPr>
        <w:t>（</w:t>
      </w:r>
      <w:r>
        <w:rPr>
          <w:rFonts w:hint="eastAsia" w:ascii="宋体" w:hAnsi="宋体" w:eastAsia="宋体"/>
          <w:color w:val="auto"/>
          <w:highlight w:val="none"/>
          <w:lang w:val="en-US" w:eastAsia="zh-CN"/>
        </w:rPr>
        <w:t>3</w:t>
      </w:r>
      <w:r>
        <w:rPr>
          <w:rFonts w:hint="eastAsia" w:ascii="宋体" w:hAnsi="宋体" w:eastAsia="宋体"/>
          <w:color w:val="auto"/>
          <w:highlight w:val="none"/>
        </w:rPr>
        <w:t>）商务条款偏离表（格式见第六</w:t>
      </w:r>
      <w:r>
        <w:rPr>
          <w:rFonts w:hint="eastAsia" w:ascii="宋体" w:hAnsi="宋体" w:eastAsia="宋体"/>
          <w:color w:val="auto"/>
          <w:highlight w:val="none"/>
          <w:lang w:val="en-US" w:eastAsia="zh-CN"/>
        </w:rPr>
        <w:t>部分</w:t>
      </w:r>
      <w:r>
        <w:rPr>
          <w:rFonts w:hint="eastAsia" w:ascii="宋体" w:hAnsi="宋体" w:eastAsia="宋体"/>
          <w:color w:val="auto"/>
          <w:highlight w:val="none"/>
        </w:rPr>
        <w:t xml:space="preserve"> 投标文件格式）；</w:t>
      </w:r>
    </w:p>
    <w:p w14:paraId="6902D7DF">
      <w:pPr>
        <w:spacing w:line="400" w:lineRule="exact"/>
        <w:rPr>
          <w:rFonts w:hint="eastAsia" w:ascii="宋体" w:hAnsi="宋体" w:eastAsia="宋体"/>
          <w:color w:val="auto"/>
          <w:highlight w:val="none"/>
        </w:rPr>
      </w:pPr>
      <w:r>
        <w:rPr>
          <w:rFonts w:hint="eastAsia" w:ascii="宋体" w:hAnsi="宋体" w:eastAsia="宋体"/>
          <w:color w:val="auto"/>
          <w:highlight w:val="none"/>
        </w:rPr>
        <w:t>（</w:t>
      </w:r>
      <w:r>
        <w:rPr>
          <w:rFonts w:hint="eastAsia" w:ascii="宋体" w:hAnsi="宋体" w:eastAsia="宋体"/>
          <w:color w:val="auto"/>
          <w:highlight w:val="none"/>
          <w:lang w:val="en-US" w:eastAsia="zh-CN"/>
        </w:rPr>
        <w:t>4</w:t>
      </w:r>
      <w:r>
        <w:rPr>
          <w:rFonts w:hint="eastAsia" w:ascii="宋体" w:hAnsi="宋体" w:eastAsia="宋体"/>
          <w:color w:val="auto"/>
          <w:highlight w:val="none"/>
        </w:rPr>
        <w:t>）类似项目业绩表（格式见第六</w:t>
      </w:r>
      <w:r>
        <w:rPr>
          <w:rFonts w:hint="eastAsia" w:ascii="宋体" w:hAnsi="宋体" w:eastAsia="宋体"/>
          <w:color w:val="auto"/>
          <w:highlight w:val="none"/>
          <w:lang w:val="en-US" w:eastAsia="zh-CN"/>
        </w:rPr>
        <w:t>部分</w:t>
      </w:r>
      <w:r>
        <w:rPr>
          <w:rFonts w:hint="eastAsia" w:ascii="宋体" w:hAnsi="宋体" w:eastAsia="宋体"/>
          <w:color w:val="auto"/>
          <w:highlight w:val="none"/>
        </w:rPr>
        <w:t xml:space="preserve"> 投标文件格式）；</w:t>
      </w:r>
    </w:p>
    <w:p w14:paraId="67BE72ED">
      <w:pPr>
        <w:spacing w:line="400" w:lineRule="exact"/>
        <w:rPr>
          <w:rFonts w:hint="eastAsia" w:ascii="宋体" w:hAnsi="宋体" w:eastAsia="宋体"/>
          <w:color w:val="auto"/>
          <w:highlight w:val="none"/>
        </w:rPr>
      </w:pPr>
      <w:r>
        <w:rPr>
          <w:rFonts w:hint="eastAsia" w:ascii="宋体" w:hAnsi="宋体" w:eastAsia="宋体"/>
          <w:color w:val="auto"/>
          <w:highlight w:val="none"/>
        </w:rPr>
        <w:t>（</w:t>
      </w:r>
      <w:r>
        <w:rPr>
          <w:rFonts w:hint="eastAsia" w:ascii="宋体" w:hAnsi="宋体" w:eastAsia="宋体"/>
          <w:color w:val="auto"/>
          <w:highlight w:val="none"/>
          <w:lang w:val="en-US" w:eastAsia="zh-CN"/>
        </w:rPr>
        <w:t>5</w:t>
      </w:r>
      <w:r>
        <w:rPr>
          <w:rFonts w:hint="eastAsia" w:ascii="宋体" w:hAnsi="宋体" w:eastAsia="宋体"/>
          <w:color w:val="auto"/>
          <w:highlight w:val="none"/>
        </w:rPr>
        <w:t>）评分标准或采购文件需要提供的证明材料及文字说明</w:t>
      </w:r>
      <w:r>
        <w:rPr>
          <w:rFonts w:hint="eastAsia" w:ascii="宋体" w:hAnsi="宋体" w:eastAsia="宋体"/>
          <w:color w:val="auto"/>
          <w:highlight w:val="none"/>
          <w:lang w:val="en-US" w:eastAsia="zh-CN"/>
        </w:rPr>
        <w:t>(格式自拟)</w:t>
      </w:r>
      <w:r>
        <w:rPr>
          <w:rFonts w:hint="eastAsia" w:ascii="宋体" w:hAnsi="宋体" w:eastAsia="宋体"/>
          <w:color w:val="auto"/>
          <w:highlight w:val="none"/>
        </w:rPr>
        <w:t>；</w:t>
      </w:r>
    </w:p>
    <w:p w14:paraId="12418F6B">
      <w:pPr>
        <w:spacing w:line="400" w:lineRule="exact"/>
        <w:rPr>
          <w:rFonts w:hint="eastAsia" w:ascii="宋体" w:hAnsi="宋体" w:eastAsia="宋体"/>
          <w:color w:val="auto"/>
          <w:highlight w:val="none"/>
        </w:rPr>
      </w:pPr>
      <w:r>
        <w:rPr>
          <w:rFonts w:hint="eastAsia" w:ascii="宋体" w:hAnsi="宋体" w:eastAsia="宋体"/>
          <w:color w:val="auto"/>
          <w:highlight w:val="none"/>
        </w:rPr>
        <w:t>（</w:t>
      </w:r>
      <w:r>
        <w:rPr>
          <w:rFonts w:hint="eastAsia" w:ascii="宋体" w:hAnsi="宋体" w:eastAsia="宋体"/>
          <w:color w:val="auto"/>
          <w:highlight w:val="none"/>
          <w:lang w:val="en-US" w:eastAsia="zh-CN"/>
        </w:rPr>
        <w:t>6</w:t>
      </w:r>
      <w:r>
        <w:rPr>
          <w:rFonts w:hint="eastAsia" w:ascii="宋体" w:hAnsi="宋体" w:eastAsia="宋体"/>
          <w:color w:val="auto"/>
          <w:highlight w:val="none"/>
        </w:rPr>
        <w:t>）投标人认为需要提供的其他材料。</w:t>
      </w:r>
    </w:p>
    <w:p w14:paraId="7526E41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b/>
          <w:color w:val="auto"/>
          <w:highlight w:val="none"/>
        </w:rPr>
      </w:pPr>
      <w:r>
        <w:rPr>
          <w:rFonts w:hint="eastAsia" w:ascii="宋体" w:hAnsi="宋体" w:cs="宋体"/>
          <w:bCs/>
          <w:color w:val="auto"/>
          <w:szCs w:val="21"/>
          <w:highlight w:val="none"/>
        </w:rPr>
        <w:t>★</w:t>
      </w:r>
      <w:r>
        <w:rPr>
          <w:rFonts w:hint="eastAsia" w:ascii="宋体" w:hAnsi="宋体"/>
          <w:b/>
          <w:color w:val="auto"/>
          <w:highlight w:val="none"/>
        </w:rPr>
        <w:t>重要说明：商务技术中不得出现本项目的投标总价，否则为无效投标。</w:t>
      </w:r>
    </w:p>
    <w:p w14:paraId="3BE335DF">
      <w:pPr>
        <w:spacing w:line="400" w:lineRule="exact"/>
        <w:rPr>
          <w:rFonts w:ascii="宋体" w:hAnsi="宋体"/>
          <w:b/>
          <w:bCs/>
          <w:color w:val="auto"/>
          <w:sz w:val="24"/>
          <w:highlight w:val="none"/>
        </w:rPr>
      </w:pPr>
      <w:r>
        <w:rPr>
          <w:rFonts w:hint="eastAsia" w:ascii="宋体" w:hAnsi="宋体"/>
          <w:b/>
          <w:bCs/>
          <w:color w:val="auto"/>
          <w:sz w:val="24"/>
          <w:highlight w:val="none"/>
        </w:rPr>
        <w:t>（二）投标文件的语言及计量</w:t>
      </w:r>
    </w:p>
    <w:p w14:paraId="5CC6447F">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Cs/>
          <w:color w:val="auto"/>
          <w:szCs w:val="21"/>
          <w:highlight w:val="none"/>
        </w:rPr>
        <w:t>★</w:t>
      </w:r>
      <w:r>
        <w:rPr>
          <w:rFonts w:hint="eastAsia" w:ascii="宋体" w:hAnsi="宋体" w:cs="宋体"/>
          <w:color w:val="auto"/>
          <w:szCs w:val="21"/>
          <w:highlight w:val="none"/>
        </w:rPr>
        <w:t>1.投标文件以及投标人与招标单位就有关投标事宜的所有来往函电，均应以中文汉语书写。除签名、盖章、专用名称等特殊情形外，以中文汉语以外的文字表述的投标文件视同未提供。</w:t>
      </w:r>
    </w:p>
    <w:p w14:paraId="1390C31C">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Cs/>
          <w:color w:val="auto"/>
          <w:szCs w:val="21"/>
          <w:highlight w:val="none"/>
        </w:rPr>
        <w:t>★</w:t>
      </w:r>
      <w:r>
        <w:rPr>
          <w:rFonts w:hint="eastAsia" w:ascii="宋体" w:hAnsi="宋体" w:cs="宋体"/>
          <w:color w:val="auto"/>
          <w:szCs w:val="21"/>
          <w:highlight w:val="none"/>
        </w:rPr>
        <w:t>2.投标计量单位，招标文件已有明确规定的，使用招标文件规定的计量单位；招标文件没有规定的，应采用中华人民共和国法定计量单位（例如货币单位：人民币元），否则视同未响应。</w:t>
      </w:r>
    </w:p>
    <w:bookmarkEnd w:id="8"/>
    <w:p w14:paraId="105CE53C">
      <w:pPr>
        <w:spacing w:line="400" w:lineRule="exact"/>
        <w:rPr>
          <w:rFonts w:ascii="宋体" w:hAnsi="宋体"/>
          <w:b/>
          <w:bCs/>
          <w:color w:val="auto"/>
          <w:sz w:val="24"/>
          <w:highlight w:val="none"/>
        </w:rPr>
      </w:pPr>
      <w:bookmarkStart w:id="25" w:name="_Toc397325830"/>
      <w:r>
        <w:rPr>
          <w:rFonts w:hint="eastAsia" w:ascii="宋体" w:hAnsi="宋体"/>
          <w:b/>
          <w:bCs/>
          <w:color w:val="auto"/>
          <w:sz w:val="24"/>
          <w:highlight w:val="none"/>
        </w:rPr>
        <w:t>（三）投标报价</w:t>
      </w:r>
      <w:bookmarkEnd w:id="25"/>
    </w:p>
    <w:p w14:paraId="204138B0">
      <w:pPr>
        <w:spacing w:line="400" w:lineRule="exact"/>
        <w:rPr>
          <w:rFonts w:hint="eastAsia" w:ascii="宋体" w:hAnsi="宋体" w:eastAsia="宋体" w:cs="宋体"/>
          <w:color w:val="auto"/>
          <w:szCs w:val="21"/>
          <w:highlight w:val="none"/>
        </w:rPr>
      </w:pPr>
      <w:r>
        <w:rPr>
          <w:rFonts w:hint="eastAsia" w:ascii="宋体" w:hAnsi="宋体" w:cs="宋体"/>
          <w:color w:val="auto"/>
          <w:szCs w:val="21"/>
          <w:highlight w:val="none"/>
        </w:rPr>
        <w:tab/>
      </w:r>
      <w:bookmarkStart w:id="26" w:name="_Toc397325831"/>
      <w:r>
        <w:rPr>
          <w:rFonts w:hint="eastAsia" w:ascii="宋体" w:hAnsi="宋体" w:eastAsia="宋体" w:cs="宋体"/>
          <w:color w:val="auto"/>
          <w:szCs w:val="21"/>
          <w:highlight w:val="none"/>
        </w:rPr>
        <w:t>1.投标报价应按招标文件中相关附表格式填写。</w:t>
      </w:r>
      <w:bookmarkEnd w:id="26"/>
    </w:p>
    <w:p w14:paraId="4601A527">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ab/>
      </w:r>
      <w:bookmarkStart w:id="27" w:name="_Toc397325832"/>
      <w:r>
        <w:rPr>
          <w:rFonts w:hint="eastAsia" w:ascii="宋体" w:hAnsi="宋体" w:eastAsia="宋体" w:cs="宋体"/>
          <w:color w:val="auto"/>
          <w:szCs w:val="21"/>
          <w:highlight w:val="none"/>
        </w:rPr>
        <w:t>★2.报价</w:t>
      </w:r>
      <w:bookmarkEnd w:id="27"/>
      <w:r>
        <w:rPr>
          <w:rFonts w:hint="eastAsia" w:ascii="宋体" w:hAnsi="宋体" w:eastAsia="宋体" w:cs="宋体"/>
          <w:color w:val="auto"/>
          <w:szCs w:val="21"/>
          <w:highlight w:val="none"/>
        </w:rPr>
        <w:t>要求：详见招标文第三部分</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投标人须知前附表。</w:t>
      </w:r>
    </w:p>
    <w:p w14:paraId="7E3DA10B">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ab/>
      </w:r>
      <w:bookmarkStart w:id="28" w:name="_Toc397325833"/>
      <w:r>
        <w:rPr>
          <w:rFonts w:hint="eastAsia" w:ascii="宋体" w:hAnsi="宋体" w:eastAsia="宋体" w:cs="宋体"/>
          <w:color w:val="auto"/>
          <w:szCs w:val="21"/>
          <w:highlight w:val="none"/>
        </w:rPr>
        <w:t>★3.投标文件针对同一内容只允许有一个报价，有选择的或有条件的报价将不予接受。</w:t>
      </w:r>
      <w:bookmarkEnd w:id="28"/>
    </w:p>
    <w:p w14:paraId="1E6A00AA">
      <w:pPr>
        <w:spacing w:line="400" w:lineRule="exact"/>
        <w:rPr>
          <w:rFonts w:ascii="宋体" w:hAnsi="宋体"/>
          <w:b/>
          <w:bCs/>
          <w:color w:val="auto"/>
          <w:sz w:val="24"/>
          <w:highlight w:val="none"/>
        </w:rPr>
      </w:pPr>
      <w:bookmarkStart w:id="29" w:name="_Toc397325834"/>
      <w:r>
        <w:rPr>
          <w:rFonts w:hint="eastAsia" w:ascii="宋体" w:hAnsi="宋体"/>
          <w:b/>
          <w:bCs/>
          <w:color w:val="auto"/>
          <w:sz w:val="24"/>
          <w:highlight w:val="none"/>
        </w:rPr>
        <w:t>（四）投标文件的有效期</w:t>
      </w:r>
      <w:bookmarkEnd w:id="29"/>
    </w:p>
    <w:p w14:paraId="1FA16CEC">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Cs/>
          <w:color w:val="auto"/>
          <w:szCs w:val="21"/>
          <w:highlight w:val="none"/>
        </w:rPr>
        <w:t>★</w:t>
      </w:r>
      <w:r>
        <w:rPr>
          <w:rFonts w:hint="eastAsia" w:ascii="宋体" w:hAnsi="宋体" w:cs="宋体"/>
          <w:color w:val="auto"/>
          <w:szCs w:val="21"/>
          <w:highlight w:val="none"/>
        </w:rPr>
        <w:t>1.自投标截止日起90天投标文件应保持有效。有效期不足的投标文件将被拒绝。</w:t>
      </w:r>
    </w:p>
    <w:p w14:paraId="554E2ED0">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2.在特殊情况下，采购人可与投标人协商延长投标书的有效期，这种要求和答复均以书面形式进行。</w:t>
      </w:r>
    </w:p>
    <w:p w14:paraId="30D8B587">
      <w:pPr>
        <w:spacing w:line="400" w:lineRule="exact"/>
        <w:rPr>
          <w:rFonts w:ascii="宋体" w:hAnsi="宋体" w:cs="宋体"/>
          <w:color w:val="auto"/>
          <w:szCs w:val="21"/>
          <w:highlight w:val="none"/>
        </w:rPr>
      </w:pPr>
      <w:bookmarkStart w:id="30" w:name="_Toc397325836"/>
      <w:r>
        <w:rPr>
          <w:rFonts w:hint="eastAsia" w:ascii="宋体" w:hAnsi="宋体" w:cs="宋体"/>
          <w:color w:val="auto"/>
          <w:szCs w:val="21"/>
          <w:highlight w:val="none"/>
        </w:rPr>
        <w:t xml:space="preserve">    </w:t>
      </w:r>
      <w:r>
        <w:rPr>
          <w:rFonts w:ascii="宋体" w:hAnsi="宋体" w:cs="宋体"/>
          <w:color w:val="auto"/>
          <w:szCs w:val="21"/>
          <w:highlight w:val="none"/>
        </w:rPr>
        <w:t>3</w:t>
      </w:r>
      <w:r>
        <w:rPr>
          <w:rFonts w:hint="eastAsia" w:ascii="宋体" w:hAnsi="宋体" w:cs="宋体"/>
          <w:color w:val="auto"/>
          <w:szCs w:val="21"/>
          <w:highlight w:val="none"/>
        </w:rPr>
        <w:t>.中标人的投标文件自开标之日起至合同履行完毕止均应保持有效。</w:t>
      </w:r>
      <w:bookmarkEnd w:id="30"/>
      <w:bookmarkStart w:id="31" w:name="_Toc397325838"/>
    </w:p>
    <w:p w14:paraId="041F5BC1">
      <w:pPr>
        <w:spacing w:line="400" w:lineRule="exact"/>
        <w:rPr>
          <w:rFonts w:ascii="宋体" w:hAnsi="宋体"/>
          <w:b/>
          <w:bCs/>
          <w:color w:val="auto"/>
          <w:sz w:val="24"/>
          <w:highlight w:val="none"/>
        </w:rPr>
      </w:pPr>
      <w:r>
        <w:rPr>
          <w:rFonts w:hint="eastAsia" w:ascii="宋体" w:hAnsi="宋体"/>
          <w:b/>
          <w:bCs/>
          <w:color w:val="auto"/>
          <w:sz w:val="24"/>
          <w:highlight w:val="none"/>
        </w:rPr>
        <w:t>（五）投标文件的签署和份数</w:t>
      </w:r>
      <w:bookmarkEnd w:id="31"/>
    </w:p>
    <w:p w14:paraId="363503AB">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1.投标人应按本招标文件规定的格式和顺序编制、装订投标文件并标注页码，投标文件内容不完整、编排混乱导致投标文件被误读、漏读或者查找不到相关内容的，是投标人的责任。</w:t>
      </w:r>
    </w:p>
    <w:p w14:paraId="08E571C8">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2.投标文件的份数：</w:t>
      </w:r>
    </w:p>
    <w:p w14:paraId="30508F55">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本项目实行网上投标，供应商应准备以下投标文件：</w:t>
      </w:r>
    </w:p>
    <w:p w14:paraId="18CFDE16">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（1）上传到政府采购云平台的电子投标文件（含资格证明文件、商务技术文件、报价文件）1份。</w:t>
      </w:r>
    </w:p>
    <w:p w14:paraId="6F611440">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（2）以U盘存储的电子备份投标文件（含资格证明文件、商务技术文件、报价文件）1份</w:t>
      </w:r>
      <w:r>
        <w:rPr>
          <w:color w:val="auto"/>
          <w:szCs w:val="21"/>
          <w:highlight w:val="none"/>
        </w:rPr>
        <w:t>（不作强制要求，投标人自行决定是否提供）</w:t>
      </w:r>
      <w:r>
        <w:rPr>
          <w:rFonts w:hint="eastAsia" w:ascii="宋体" w:hAnsi="宋体" w:cs="宋体"/>
          <w:color w:val="auto"/>
          <w:szCs w:val="21"/>
          <w:highlight w:val="none"/>
        </w:rPr>
        <w:t>。</w:t>
      </w:r>
    </w:p>
    <w:p w14:paraId="711E798A">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3.电子投标文件：</w:t>
      </w:r>
    </w:p>
    <w:p w14:paraId="494E1CDA">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3.1供应商应根据政府采购云平台的要求及本招标文件规定的格式和顺序编制电子投标文件并进行关联定位。</w:t>
      </w:r>
    </w:p>
    <w:p w14:paraId="07B0AA1A">
      <w:pPr>
        <w:spacing w:line="400" w:lineRule="exact"/>
        <w:rPr>
          <w:rFonts w:ascii="宋体" w:hAnsi="宋体"/>
          <w:b/>
          <w:bCs/>
          <w:color w:val="auto"/>
          <w:sz w:val="24"/>
          <w:highlight w:val="none"/>
        </w:rPr>
      </w:pPr>
      <w:r>
        <w:rPr>
          <w:rFonts w:hint="eastAsia" w:ascii="宋体" w:hAnsi="宋体"/>
          <w:b/>
          <w:bCs/>
          <w:color w:val="auto"/>
          <w:sz w:val="24"/>
          <w:highlight w:val="none"/>
        </w:rPr>
        <w:t>（六）投标文件的包装、递交、修改和撤回</w:t>
      </w:r>
    </w:p>
    <w:p w14:paraId="05309142">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1.以U盘存储的电子备份投标文件用封袋密封后递交。</w:t>
      </w:r>
    </w:p>
    <w:p w14:paraId="3528E0E4">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2.投标文件的包装封面上应注明供应商名称、供应商地址、投标文件名称(电子备份投标文件)、投标项目名称、项目编号，并加盖供应商公章。</w:t>
      </w:r>
    </w:p>
    <w:p w14:paraId="10C16146">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3.未按规定密封或标记的电子备份投标文件将被拒绝，由此造成电子备份投标文件被误投或提前拆封的风险由投标人承担。</w:t>
      </w:r>
    </w:p>
    <w:p w14:paraId="710BB68C">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4.投标人在投标截止时间之前，可以对已提交的电子备份投标文件进行修改或撤回，并书面通知招标采购单位；投标截止时间后，投标人不得撤回、修改投标文件。修改后重新递交的电子备份投标文件应当按本招标文件的要求签署、盖章和密封。</w:t>
      </w:r>
    </w:p>
    <w:p w14:paraId="1135712F">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5.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p>
    <w:p w14:paraId="1417CEA8">
      <w:pPr>
        <w:pStyle w:val="75"/>
        <w:keepNext w:val="0"/>
        <w:keepLines w:val="0"/>
        <w:pageBreakBefore w:val="0"/>
        <w:widowControl w:val="0"/>
        <w:kinsoku/>
        <w:wordWrap/>
        <w:overflowPunct/>
        <w:topLinePunct w:val="0"/>
        <w:autoSpaceDE/>
        <w:autoSpaceDN/>
        <w:bidi w:val="0"/>
        <w:adjustRightInd/>
        <w:snapToGrid/>
        <w:spacing w:before="157" w:beforeLines="50"/>
        <w:ind w:firstLine="1928" w:firstLineChars="600"/>
        <w:textAlignment w:val="auto"/>
        <w:outlineLvl w:val="1"/>
        <w:rPr>
          <w:rFonts w:ascii="宋体" w:hAnsi="宋体" w:cs="宋体"/>
          <w:b/>
          <w:color w:val="auto"/>
          <w:sz w:val="32"/>
          <w:highlight w:val="none"/>
        </w:rPr>
      </w:pPr>
      <w:bookmarkStart w:id="32" w:name="_Toc24357"/>
      <w:bookmarkStart w:id="33" w:name="_Toc397325839"/>
      <w:r>
        <w:rPr>
          <w:rFonts w:hint="eastAsia" w:ascii="宋体" w:hAnsi="宋体" w:cs="宋体"/>
          <w:b/>
          <w:color w:val="auto"/>
          <w:sz w:val="32"/>
          <w:highlight w:val="none"/>
        </w:rPr>
        <w:t>四、开标、资格审查与信用信息查询</w:t>
      </w:r>
      <w:bookmarkEnd w:id="32"/>
    </w:p>
    <w:p w14:paraId="66714D77">
      <w:pPr>
        <w:pStyle w:val="7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一</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52C73077">
      <w:pPr>
        <w:pStyle w:val="76"/>
        <w:spacing w:before="0" w:line="360" w:lineRule="auto"/>
        <w:ind w:left="0" w:firstLine="420" w:firstLineChars="200"/>
        <w:contextualSpacing/>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1.采购代理机构按照招标文件规定的时间通过电子交易平台组织开标，所有投标人均应当准时在线参加。投标人不足3家的，不得开标。</w:t>
      </w:r>
    </w:p>
    <w:p w14:paraId="0E93891B">
      <w:pPr>
        <w:pStyle w:val="76"/>
        <w:spacing w:before="0" w:line="360" w:lineRule="auto"/>
        <w:ind w:left="0" w:firstLine="210" w:firstLineChars="100"/>
        <w:contextualSpacing/>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2.开标时，电子交易平台按开标时间自动提取所有投标文件。采购代理机构依托电子交易平台发起开始解密指令，投标人按照平台提示和招标文件的规定在半小时内完成在线解密。</w:t>
      </w:r>
    </w:p>
    <w:p w14:paraId="34F8F2C1">
      <w:pPr>
        <w:pStyle w:val="76"/>
        <w:spacing w:before="0" w:line="360" w:lineRule="auto"/>
        <w:ind w:left="0" w:firstLine="210" w:firstLineChars="100"/>
        <w:contextualSpacing/>
        <w:rPr>
          <w:rFonts w:ascii="宋体" w:hAnsi="宋体" w:cs="宋体"/>
          <w:b/>
          <w:color w:val="auto"/>
          <w:sz w:val="24"/>
          <w:highlight w:val="none"/>
        </w:rPr>
      </w:pPr>
      <w:r>
        <w:rPr>
          <w:rFonts w:hint="eastAsia" w:ascii="宋体" w:hAnsi="宋体" w:eastAsia="宋体" w:cs="宋体"/>
          <w:color w:val="auto"/>
          <w:kern w:val="2"/>
          <w:sz w:val="21"/>
          <w:szCs w:val="21"/>
          <w:highlight w:val="none"/>
          <w:lang w:val="en-US" w:eastAsia="zh-CN" w:bidi="ar-SA"/>
        </w:rPr>
        <w:t>　 3.投标文件未按时解密，投标人提供了备份投标文件的，以备份投标文件作为依据，否则视为投标文件撤回。投标文件已按时解密的，备份投标文件自动失效。</w:t>
      </w:r>
    </w:p>
    <w:p w14:paraId="1E72E560">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　</w:t>
      </w:r>
      <w:r>
        <w:rPr>
          <w:rFonts w:hint="eastAsia" w:ascii="宋体" w:hAnsi="宋体" w:cs="宋体"/>
          <w:b/>
          <w:color w:val="auto"/>
          <w:sz w:val="24"/>
          <w:szCs w:val="20"/>
          <w:highlight w:val="none"/>
          <w:lang w:eastAsia="zh-CN"/>
        </w:rPr>
        <w:t>（</w:t>
      </w:r>
      <w:r>
        <w:rPr>
          <w:rFonts w:hint="eastAsia" w:ascii="宋体" w:hAnsi="宋体" w:cs="宋体"/>
          <w:b/>
          <w:color w:val="auto"/>
          <w:sz w:val="24"/>
          <w:szCs w:val="20"/>
          <w:highlight w:val="none"/>
          <w:lang w:val="en-US" w:eastAsia="zh-CN"/>
        </w:rPr>
        <w:t>二</w:t>
      </w:r>
      <w:r>
        <w:rPr>
          <w:rFonts w:hint="eastAsia" w:ascii="宋体" w:hAnsi="宋体" w:cs="宋体"/>
          <w:b/>
          <w:color w:val="auto"/>
          <w:sz w:val="24"/>
          <w:szCs w:val="20"/>
          <w:highlight w:val="none"/>
          <w:lang w:eastAsia="zh-CN"/>
        </w:rPr>
        <w:t>）</w:t>
      </w:r>
      <w:r>
        <w:rPr>
          <w:rFonts w:hint="eastAsia" w:ascii="宋体" w:hAnsi="宋体" w:cs="宋体"/>
          <w:b/>
          <w:color w:val="auto"/>
          <w:sz w:val="24"/>
          <w:szCs w:val="20"/>
          <w:highlight w:val="none"/>
        </w:rPr>
        <w:t>资格审查</w:t>
      </w:r>
    </w:p>
    <w:p w14:paraId="4A36F2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1.采购人或采购代理机构依据法律法规和招标文件的规定，对投标人的资格进行审查。</w:t>
      </w:r>
    </w:p>
    <w:p w14:paraId="5B8B4F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.投标人未按照招标文件要求提供与资格条件相应的有效资格证明材料的，视为投标人不具备招标文件中规定的资格要求，其投标无效。</w:t>
      </w:r>
    </w:p>
    <w:p w14:paraId="566006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3</w:t>
      </w:r>
      <w:r>
        <w:rPr>
          <w:rFonts w:hint="eastAsia" w:ascii="宋体" w:hAnsi="宋体" w:eastAsia="宋体" w:cs="宋体"/>
          <w:color w:val="auto"/>
          <w:szCs w:val="21"/>
          <w:highlight w:val="none"/>
        </w:rPr>
        <w:t>.对未通过资格审查的投标人，采购人或采购代理机构告知其未通过的原因。</w:t>
      </w:r>
    </w:p>
    <w:p w14:paraId="48F3BD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.合格投标人不足3家的，不再评标。</w:t>
      </w:r>
    </w:p>
    <w:p w14:paraId="0B3A783D">
      <w:pPr>
        <w:pStyle w:val="7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lang w:eastAsia="zh-CN"/>
        </w:rPr>
        <w:t>（</w:t>
      </w:r>
      <w:r>
        <w:rPr>
          <w:rFonts w:hint="eastAsia" w:ascii="宋体" w:hAnsi="宋体" w:cs="宋体"/>
          <w:b/>
          <w:color w:val="auto"/>
          <w:szCs w:val="24"/>
          <w:highlight w:val="none"/>
          <w:lang w:val="en-US" w:eastAsia="zh-CN"/>
        </w:rPr>
        <w:t>三</w:t>
      </w:r>
      <w:r>
        <w:rPr>
          <w:rFonts w:hint="eastAsia" w:ascii="宋体" w:hAnsi="宋体" w:cs="宋体"/>
          <w:b/>
          <w:color w:val="auto"/>
          <w:szCs w:val="24"/>
          <w:highlight w:val="none"/>
          <w:lang w:eastAsia="zh-CN"/>
        </w:rPr>
        <w:t>）</w:t>
      </w:r>
      <w:r>
        <w:rPr>
          <w:rFonts w:hint="eastAsia" w:ascii="宋体" w:hAnsi="宋体" w:cs="宋体"/>
          <w:b/>
          <w:color w:val="auto"/>
          <w:szCs w:val="24"/>
          <w:highlight w:val="none"/>
        </w:rPr>
        <w:t>信用信息查询</w:t>
      </w:r>
    </w:p>
    <w:p w14:paraId="1EF5A5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1.信用信息查询渠道及截止时间：采购代理机构将在资格审查时通过“信用中国”网站(www.creditchina.gov.cn)、中国政府采购网(www.ccgp.gov.cn)渠道查询投标人接受资格审查时的信用记录。</w:t>
      </w:r>
    </w:p>
    <w:p w14:paraId="30D324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.信用信息查询记录和证据留存的具体方式：现场查询的投标人的信用记录、查询结果经确认后将与采购文件一起存档。</w:t>
      </w:r>
    </w:p>
    <w:p w14:paraId="4E2101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.信用信息的使用规则：经查询列入失信被执行人名单、重大税收违法失信主体、政府采购严重违法失信行为记录名单的投标人将被拒绝参与政府采购活动。</w:t>
      </w:r>
    </w:p>
    <w:p w14:paraId="1092E8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13B6D37">
      <w:pPr>
        <w:spacing w:line="400" w:lineRule="exact"/>
        <w:jc w:val="center"/>
        <w:rPr>
          <w:rFonts w:ascii="宋体" w:hAnsi="宋体"/>
          <w:b/>
          <w:bCs/>
          <w:color w:val="auto"/>
          <w:sz w:val="32"/>
          <w:highlight w:val="none"/>
        </w:rPr>
      </w:pPr>
      <w:r>
        <w:rPr>
          <w:rFonts w:hint="eastAsia" w:ascii="宋体" w:hAnsi="宋体"/>
          <w:b/>
          <w:bCs/>
          <w:color w:val="auto"/>
          <w:sz w:val="32"/>
          <w:highlight w:val="none"/>
        </w:rPr>
        <w:t>五、评标</w:t>
      </w:r>
    </w:p>
    <w:p w14:paraId="56BD60AF">
      <w:pPr>
        <w:pStyle w:val="17"/>
        <w:snapToGrid w:val="0"/>
        <w:spacing w:line="400" w:lineRule="exact"/>
        <w:ind w:left="690" w:leftChars="228" w:hanging="211" w:hangingChars="100"/>
        <w:jc w:val="left"/>
        <w:rPr>
          <w:rFonts w:hAnsi="宋体" w:cs="宋体"/>
          <w:b/>
          <w:color w:val="auto"/>
          <w:szCs w:val="21"/>
          <w:highlight w:val="none"/>
        </w:rPr>
      </w:pPr>
      <w:r>
        <w:rPr>
          <w:rFonts w:hint="eastAsia" w:hAnsi="宋体" w:cs="宋体"/>
          <w:b/>
          <w:color w:val="auto"/>
          <w:szCs w:val="21"/>
          <w:highlight w:val="none"/>
        </w:rPr>
        <w:t>（一）组建评标委员会</w:t>
      </w:r>
    </w:p>
    <w:p w14:paraId="4659A746">
      <w:pPr>
        <w:pStyle w:val="17"/>
        <w:spacing w:line="400" w:lineRule="exact"/>
        <w:rPr>
          <w:rFonts w:hAnsi="宋体" w:cs="宋体"/>
          <w:color w:val="auto"/>
          <w:szCs w:val="21"/>
          <w:highlight w:val="none"/>
        </w:rPr>
      </w:pPr>
      <w:r>
        <w:rPr>
          <w:rFonts w:hint="eastAsia" w:hAnsi="宋体" w:cs="宋体"/>
          <w:b/>
          <w:color w:val="auto"/>
          <w:szCs w:val="21"/>
          <w:highlight w:val="none"/>
        </w:rPr>
        <w:t xml:space="preserve">    </w:t>
      </w:r>
      <w:r>
        <w:rPr>
          <w:rFonts w:hint="eastAsia" w:hAnsi="宋体" w:cs="宋体"/>
          <w:color w:val="auto"/>
          <w:szCs w:val="21"/>
          <w:highlight w:val="none"/>
        </w:rPr>
        <w:t>本项目评标委员会依法组建。</w:t>
      </w:r>
    </w:p>
    <w:p w14:paraId="54F13F43">
      <w:pPr>
        <w:pStyle w:val="17"/>
        <w:snapToGrid w:val="0"/>
        <w:spacing w:line="400" w:lineRule="exact"/>
        <w:ind w:left="690" w:leftChars="228" w:hanging="211" w:hangingChars="100"/>
        <w:jc w:val="left"/>
        <w:rPr>
          <w:rFonts w:hAnsi="宋体" w:cs="宋体"/>
          <w:b/>
          <w:color w:val="auto"/>
          <w:szCs w:val="21"/>
          <w:highlight w:val="none"/>
        </w:rPr>
      </w:pPr>
      <w:r>
        <w:rPr>
          <w:rFonts w:hint="eastAsia" w:hAnsi="宋体" w:cs="宋体"/>
          <w:b/>
          <w:color w:val="auto"/>
          <w:szCs w:val="21"/>
          <w:highlight w:val="none"/>
        </w:rPr>
        <w:t>（二）评标的方式</w:t>
      </w:r>
    </w:p>
    <w:p w14:paraId="240A3BF0">
      <w:pPr>
        <w:pStyle w:val="17"/>
        <w:snapToGrid w:val="0"/>
        <w:spacing w:line="400" w:lineRule="exact"/>
        <w:ind w:left="689" w:leftChars="228" w:hanging="210" w:hangingChars="100"/>
        <w:jc w:val="left"/>
        <w:rPr>
          <w:rFonts w:hAnsi="宋体" w:cs="宋体"/>
          <w:color w:val="auto"/>
          <w:szCs w:val="21"/>
          <w:highlight w:val="none"/>
        </w:rPr>
      </w:pPr>
      <w:r>
        <w:rPr>
          <w:rFonts w:hint="eastAsia" w:hAnsi="宋体" w:cs="宋体"/>
          <w:color w:val="auto"/>
          <w:szCs w:val="21"/>
          <w:highlight w:val="none"/>
        </w:rPr>
        <w:t>本项目采用不公开方式评标，评标的依据为招标文件和投标文件。</w:t>
      </w:r>
    </w:p>
    <w:p w14:paraId="7AE3523D">
      <w:pPr>
        <w:pStyle w:val="17"/>
        <w:snapToGrid w:val="0"/>
        <w:spacing w:line="400" w:lineRule="exact"/>
        <w:ind w:left="690" w:leftChars="228" w:hanging="211" w:hangingChars="100"/>
        <w:jc w:val="left"/>
        <w:rPr>
          <w:rFonts w:hAnsi="宋体" w:cs="宋体"/>
          <w:b/>
          <w:color w:val="auto"/>
          <w:szCs w:val="21"/>
          <w:highlight w:val="none"/>
        </w:rPr>
      </w:pPr>
      <w:r>
        <w:rPr>
          <w:rFonts w:hint="eastAsia" w:hAnsi="宋体" w:cs="宋体"/>
          <w:b/>
          <w:color w:val="auto"/>
          <w:szCs w:val="21"/>
          <w:highlight w:val="none"/>
        </w:rPr>
        <w:t>（三）</w:t>
      </w:r>
      <w:r>
        <w:rPr>
          <w:rFonts w:hint="eastAsia" w:hAnsi="宋体" w:cs="宋体"/>
          <w:b/>
          <w:bCs/>
          <w:color w:val="auto"/>
          <w:szCs w:val="21"/>
          <w:highlight w:val="none"/>
        </w:rPr>
        <w:t>评标程序</w:t>
      </w:r>
    </w:p>
    <w:p w14:paraId="04820AE9">
      <w:pPr>
        <w:pStyle w:val="17"/>
        <w:snapToGrid w:val="0"/>
        <w:spacing w:line="400" w:lineRule="exact"/>
        <w:ind w:left="689" w:leftChars="228" w:hanging="210" w:hangingChars="100"/>
        <w:jc w:val="left"/>
        <w:rPr>
          <w:rFonts w:hAnsi="宋体" w:cs="宋体"/>
          <w:color w:val="auto"/>
          <w:szCs w:val="21"/>
          <w:highlight w:val="none"/>
        </w:rPr>
      </w:pPr>
      <w:r>
        <w:rPr>
          <w:rFonts w:hint="eastAsia" w:hAnsi="宋体" w:cs="宋体"/>
          <w:color w:val="auto"/>
          <w:szCs w:val="21"/>
          <w:highlight w:val="none"/>
        </w:rPr>
        <w:t>按招标文件评标办法中规定的。</w:t>
      </w:r>
    </w:p>
    <w:p w14:paraId="1AE7B49E">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（四）投标无效的情形</w:t>
      </w:r>
    </w:p>
    <w:p w14:paraId="317D957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实质上没有响应招标文件要求的投标将被视为无效投标。</w:t>
      </w:r>
    </w:p>
    <w:p w14:paraId="57F093B9">
      <w:pPr>
        <w:spacing w:line="40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1.资格条件评审时，如发现下列情形之一的，投标文件将被视为无效：</w:t>
      </w:r>
    </w:p>
    <w:p w14:paraId="773F7A15">
      <w:pPr>
        <w:spacing w:line="400" w:lineRule="exact"/>
        <w:ind w:firstLine="735" w:firstLineChars="350"/>
        <w:rPr>
          <w:rFonts w:ascii="宋体" w:hAnsi="宋体" w:cs="宋体"/>
          <w:color w:val="auto"/>
          <w:szCs w:val="21"/>
          <w:highlight w:val="none"/>
        </w:rPr>
      </w:pPr>
      <w:r>
        <w:rPr>
          <w:rFonts w:hint="eastAsia" w:ascii="宋体" w:hAnsi="宋体" w:cs="宋体"/>
          <w:color w:val="auto"/>
          <w:szCs w:val="21"/>
          <w:highlight w:val="none"/>
        </w:rPr>
        <w:t>资格证明文件不全的，或者不符合招标文件标明的资格要求的。</w:t>
      </w:r>
    </w:p>
    <w:p w14:paraId="625569E5">
      <w:pPr>
        <w:spacing w:line="40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2.在符合性审查评审时，如发现下列情形之一的，投标文件将被视为无效：</w:t>
      </w:r>
    </w:p>
    <w:p w14:paraId="368F60E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w:t>
      </w:r>
      <w:r>
        <w:rPr>
          <w:rFonts w:hint="eastAsia" w:hAnsi="宋体" w:cs="宋体"/>
          <w:bCs/>
          <w:color w:val="auto"/>
          <w:szCs w:val="21"/>
          <w:highlight w:val="none"/>
        </w:rPr>
        <w:t>投标文件未按招标文件要求签署、签章的；</w:t>
      </w:r>
      <w:r>
        <w:rPr>
          <w:rFonts w:hint="eastAsia" w:ascii="宋体" w:hAnsi="宋体" w:cs="宋体"/>
          <w:color w:val="auto"/>
          <w:szCs w:val="21"/>
          <w:highlight w:val="none"/>
        </w:rPr>
        <w:t xml:space="preserve"> </w:t>
      </w:r>
    </w:p>
    <w:p w14:paraId="31C1656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2.2投标代表人未能出具身份证明或与法定代表人（负责人）授权委托人身份不符的或委托人未提供法定代表人（负责人）授权委托书、填写项目不齐全的； </w:t>
      </w:r>
    </w:p>
    <w:p w14:paraId="67AEFA6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2.3投标文件项目不齐全或者内容虚假的；</w:t>
      </w:r>
    </w:p>
    <w:p w14:paraId="05F8DCB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2.4投标文件的实质性内容未使用中文表述、意思表述不明确、前后矛盾或者使用计量单位不符合招标文件要求的（经评标委员会认定并允许其当场更正的笔误除外）；</w:t>
      </w:r>
    </w:p>
    <w:p w14:paraId="1CC36DB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2.5投标有效期等商务条款不能满足招标文件要求的；</w:t>
      </w:r>
    </w:p>
    <w:p w14:paraId="5C02186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2.6带“</w:t>
      </w:r>
      <w:r>
        <w:rPr>
          <w:rFonts w:hint="eastAsia" w:ascii="宋体" w:hAnsi="宋体" w:cs="宋体"/>
          <w:bCs/>
          <w:color w:val="auto"/>
          <w:szCs w:val="21"/>
          <w:highlight w:val="none"/>
        </w:rPr>
        <w:t>★</w:t>
      </w:r>
      <w:r>
        <w:rPr>
          <w:rFonts w:hint="eastAsia" w:ascii="宋体" w:hAnsi="宋体" w:cs="宋体"/>
          <w:color w:val="auto"/>
          <w:szCs w:val="21"/>
          <w:highlight w:val="none"/>
        </w:rPr>
        <w:t>”的条款不能满足招标文件要求、未实质性响应招标文件要求或者投标文件有采购方不能接受的附加条件的；</w:t>
      </w:r>
    </w:p>
    <w:p w14:paraId="2036CCA1">
      <w:pPr>
        <w:spacing w:line="400" w:lineRule="exact"/>
        <w:ind w:left="420"/>
        <w:rPr>
          <w:rFonts w:ascii="宋体" w:hAnsi="宋体" w:cs="宋体"/>
          <w:color w:val="auto"/>
          <w:szCs w:val="21"/>
          <w:highlight w:val="none"/>
        </w:rPr>
      </w:pPr>
      <w:r>
        <w:rPr>
          <w:rFonts w:hint="eastAsia" w:ascii="宋体" w:hAnsi="宋体" w:cs="宋体"/>
          <w:color w:val="auto"/>
          <w:szCs w:val="21"/>
          <w:highlight w:val="none"/>
        </w:rPr>
        <w:t>2.7投标文件标明的响应或偏离与事实不符或虚假投标的；</w:t>
      </w:r>
    </w:p>
    <w:p w14:paraId="7CD9E59C">
      <w:pPr>
        <w:spacing w:line="400" w:lineRule="exact"/>
        <w:ind w:left="420"/>
        <w:rPr>
          <w:rFonts w:ascii="宋体" w:hAnsi="宋体" w:cs="宋体"/>
          <w:color w:val="auto"/>
          <w:szCs w:val="21"/>
          <w:highlight w:val="none"/>
        </w:rPr>
      </w:pPr>
      <w:r>
        <w:rPr>
          <w:rFonts w:hint="eastAsia" w:ascii="宋体" w:hAnsi="宋体" w:cs="宋体"/>
          <w:color w:val="auto"/>
          <w:szCs w:val="21"/>
          <w:highlight w:val="none"/>
        </w:rPr>
        <w:t>2.8与其他参加本次供应商的投标文件（技术文件）的文字表述内容差错相同3处以上的。</w:t>
      </w:r>
    </w:p>
    <w:p w14:paraId="17AC9564">
      <w:pPr>
        <w:spacing w:line="400" w:lineRule="exact"/>
        <w:ind w:firstLine="417" w:firstLineChars="198"/>
        <w:rPr>
          <w:rFonts w:ascii="宋体" w:hAnsi="宋体" w:cs="宋体"/>
          <w:b/>
          <w:bCs/>
          <w:color w:val="auto"/>
          <w:szCs w:val="21"/>
          <w:highlight w:val="none"/>
        </w:rPr>
      </w:pPr>
      <w:r>
        <w:rPr>
          <w:rFonts w:hint="eastAsia" w:ascii="宋体" w:hAnsi="宋体" w:cs="宋体"/>
          <w:b/>
          <w:bCs/>
          <w:color w:val="auto"/>
          <w:szCs w:val="21"/>
          <w:highlight w:val="none"/>
        </w:rPr>
        <w:t>3.在报价评审时，如发现下列情形之一的，投标文件将被视为无效：</w:t>
      </w:r>
    </w:p>
    <w:p w14:paraId="78E9C88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3.1未采用人民币报价或者未按照招标文件标明的币种报价的；</w:t>
      </w:r>
    </w:p>
    <w:p w14:paraId="20DEF08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3.2报价超出最高限价，或者超出采购预算金额，采购人不能支付的；</w:t>
      </w:r>
    </w:p>
    <w:p w14:paraId="472C6AA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3.3投标报价具有选择性的；</w:t>
      </w:r>
    </w:p>
    <w:p w14:paraId="03B4A91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3.4投标报价中出现重大缺项、漏项；</w:t>
      </w:r>
    </w:p>
    <w:p w14:paraId="7E0272E8">
      <w:pPr>
        <w:spacing w:line="4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3.5评标委员会认为供应商的报价明显低于其他通过符合性审查供应商的报价，有可能影响产品质量或者不能诚信履约的，且不能在评标现场合理时间内提供相关证明材料说明其报价的合理性的。</w:t>
      </w:r>
    </w:p>
    <w:p w14:paraId="6B630338">
      <w:pPr>
        <w:snapToGrid w:val="0"/>
        <w:spacing w:line="400" w:lineRule="exact"/>
        <w:ind w:firstLine="422" w:firstLineChars="200"/>
        <w:jc w:val="left"/>
        <w:rPr>
          <w:rFonts w:ascii="宋体" w:hAnsi="宋体" w:cs="宋体"/>
          <w:b/>
          <w:bCs/>
          <w:color w:val="auto"/>
          <w:szCs w:val="21"/>
          <w:highlight w:val="none"/>
        </w:rPr>
      </w:pPr>
      <w:r>
        <w:rPr>
          <w:rFonts w:hint="eastAsia" w:ascii="宋体" w:hAnsi="宋体"/>
          <w:b/>
          <w:color w:val="auto"/>
          <w:szCs w:val="21"/>
          <w:highlight w:val="none"/>
        </w:rPr>
        <w:t>4.</w:t>
      </w:r>
      <w:r>
        <w:rPr>
          <w:rFonts w:ascii="宋体" w:hAnsi="宋体"/>
          <w:b/>
          <w:color w:val="auto"/>
          <w:szCs w:val="21"/>
          <w:highlight w:val="none"/>
        </w:rPr>
        <w:t>不同投标人的投标文件出自同一终端设备或在相同Internet主机分配地址（相同IP地址）网上报名投标</w:t>
      </w:r>
      <w:r>
        <w:rPr>
          <w:rFonts w:hint="eastAsia" w:ascii="宋体" w:hAnsi="宋体"/>
          <w:b/>
          <w:color w:val="auto"/>
          <w:szCs w:val="21"/>
          <w:highlight w:val="none"/>
        </w:rPr>
        <w:t>。</w:t>
      </w:r>
      <w:r>
        <w:rPr>
          <w:rFonts w:hint="eastAsia" w:ascii="宋体" w:hAnsi="宋体" w:cs="宋体"/>
          <w:b/>
          <w:bCs/>
          <w:color w:val="auto"/>
          <w:szCs w:val="21"/>
          <w:highlight w:val="none"/>
        </w:rPr>
        <w:t>法律、法规和招标文件规定的其他无效情形。</w:t>
      </w:r>
    </w:p>
    <w:p w14:paraId="210E4DCA">
      <w:pPr>
        <w:snapToGrid w:val="0"/>
        <w:spacing w:line="400" w:lineRule="exact"/>
        <w:ind w:left="420" w:leftChars="200"/>
        <w:jc w:val="left"/>
        <w:rPr>
          <w:rFonts w:ascii="宋体" w:hAnsi="宋体" w:cs="宋体"/>
          <w:b/>
          <w:bCs/>
          <w:color w:val="auto"/>
          <w:szCs w:val="21"/>
          <w:highlight w:val="none"/>
        </w:rPr>
      </w:pPr>
      <w:r>
        <w:rPr>
          <w:rFonts w:hint="eastAsia" w:ascii="宋体" w:hAnsi="宋体" w:cs="宋体"/>
          <w:b/>
          <w:bCs/>
          <w:color w:val="auto"/>
          <w:szCs w:val="21"/>
          <w:highlight w:val="none"/>
        </w:rPr>
        <w:t>（五）澄清问题的形式</w:t>
      </w:r>
    </w:p>
    <w:p w14:paraId="28111B95">
      <w:pPr>
        <w:widowControl/>
        <w:spacing w:line="400" w:lineRule="exact"/>
        <w:ind w:firstLine="420" w:firstLineChars="200"/>
        <w:jc w:val="left"/>
        <w:outlineLvl w:val="9"/>
        <w:rPr>
          <w:rFonts w:ascii="宋体" w:hAnsi="宋体" w:cs="宋体"/>
          <w:color w:val="auto"/>
          <w:szCs w:val="21"/>
          <w:highlight w:val="none"/>
        </w:rPr>
      </w:pPr>
      <w:bookmarkStart w:id="34" w:name="_Toc2358"/>
      <w:bookmarkStart w:id="35" w:name="_Toc65753666"/>
      <w:bookmarkStart w:id="36" w:name="_Toc9457"/>
      <w:r>
        <w:rPr>
          <w:rFonts w:hint="eastAsia" w:ascii="宋体" w:hAnsi="宋体" w:cs="宋体"/>
          <w:color w:val="auto"/>
          <w:szCs w:val="21"/>
          <w:highlight w:val="none"/>
        </w:rPr>
        <w:t>对于投标文件中含义不明确、同类问题表述不一致或者有明显文字和计算错误的内容，评标委员会可要求投标人以书面形式作出必要的澄清、说明或者补正。</w:t>
      </w:r>
      <w:bookmarkEnd w:id="34"/>
      <w:bookmarkEnd w:id="35"/>
      <w:bookmarkEnd w:id="36"/>
    </w:p>
    <w:p w14:paraId="3B4825BF">
      <w:pPr>
        <w:widowControl/>
        <w:spacing w:line="400" w:lineRule="exact"/>
        <w:ind w:firstLine="420" w:firstLineChars="200"/>
        <w:jc w:val="left"/>
        <w:outlineLvl w:val="9"/>
        <w:rPr>
          <w:rFonts w:ascii="宋体" w:hAnsi="宋体" w:cs="宋体"/>
          <w:color w:val="auto"/>
          <w:szCs w:val="21"/>
          <w:highlight w:val="none"/>
        </w:rPr>
      </w:pPr>
      <w:bookmarkStart w:id="37" w:name="_Toc65753667"/>
      <w:bookmarkStart w:id="38" w:name="_Toc14838"/>
      <w:bookmarkStart w:id="39" w:name="_Toc21581"/>
      <w:r>
        <w:rPr>
          <w:rFonts w:hint="eastAsia" w:ascii="宋体" w:hAnsi="宋体" w:cs="宋体"/>
          <w:color w:val="auto"/>
          <w:szCs w:val="21"/>
          <w:highlight w:val="none"/>
        </w:rPr>
        <w:t>投标人的澄清、说明或者补正应当采用书面形式，并加盖公章，或者由法定代表人或其授权代表签字确认，投标人的澄清、说明或者补正不得超出投标文件的范围或者改变投标文件的实质性内容。</w:t>
      </w:r>
      <w:bookmarkEnd w:id="37"/>
      <w:bookmarkEnd w:id="38"/>
      <w:bookmarkEnd w:id="39"/>
    </w:p>
    <w:p w14:paraId="2DDF6B4D">
      <w:pPr>
        <w:snapToGrid w:val="0"/>
        <w:spacing w:line="4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（六）错误修正</w:t>
      </w:r>
    </w:p>
    <w:p w14:paraId="50A87910">
      <w:pPr>
        <w:pStyle w:val="54"/>
        <w:keepNext w:val="0"/>
        <w:keepLines w:val="0"/>
        <w:pageBreakBefore w:val="0"/>
        <w:widowControl/>
        <w:kinsoku/>
        <w:overflowPunct/>
        <w:topLinePunct w:val="0"/>
        <w:autoSpaceDE/>
        <w:autoSpaceDN/>
        <w:bidi w:val="0"/>
        <w:adjustRightInd/>
        <w:spacing w:beforeLines="0" w:afterLines="0" w:line="400" w:lineRule="exact"/>
        <w:ind w:left="689" w:leftChars="228" w:hanging="210" w:hangingChars="100"/>
        <w:jc w:val="left"/>
        <w:textAlignment w:val="auto"/>
        <w:rPr>
          <w:rFonts w:hAnsi="宋体" w:cs="宋体"/>
          <w:color w:val="auto"/>
          <w:sz w:val="21"/>
          <w:szCs w:val="21"/>
          <w:highlight w:val="none"/>
        </w:rPr>
      </w:pPr>
      <w:r>
        <w:rPr>
          <w:rFonts w:hint="eastAsia" w:hAnsi="宋体" w:cs="宋体"/>
          <w:color w:val="auto"/>
          <w:sz w:val="21"/>
          <w:szCs w:val="21"/>
          <w:highlight w:val="none"/>
        </w:rPr>
        <w:t>投标文件报价出现前后不一致的，除招标文件另有规定外，按照下列规定修正：</w:t>
      </w:r>
    </w:p>
    <w:p w14:paraId="1B28653C">
      <w:pPr>
        <w:keepNext w:val="0"/>
        <w:keepLines w:val="0"/>
        <w:pageBreakBefore w:val="0"/>
        <w:widowControl/>
        <w:numPr>
          <w:ilvl w:val="0"/>
          <w:numId w:val="0"/>
        </w:numPr>
        <w:kinsoku/>
        <w:overflowPunct/>
        <w:topLinePunct w:val="0"/>
        <w:autoSpaceDE/>
        <w:autoSpaceDN/>
        <w:bidi w:val="0"/>
        <w:adjustRightInd/>
        <w:spacing w:line="400" w:lineRule="exact"/>
        <w:ind w:firstLine="420" w:firstLineChars="200"/>
        <w:jc w:val="left"/>
        <w:textAlignment w:val="auto"/>
        <w:rPr>
          <w:rFonts w:ascii="宋体" w:hAnsi="宋体" w:cs="宋体"/>
          <w:color w:val="auto"/>
          <w:szCs w:val="21"/>
          <w:highlight w:val="none"/>
        </w:rPr>
      </w:pPr>
      <w:r>
        <w:rPr>
          <w:rFonts w:ascii="宋体" w:hAnsi="宋体" w:cs="宋体"/>
          <w:color w:val="auto"/>
          <w:kern w:val="2"/>
          <w:sz w:val="21"/>
          <w:szCs w:val="21"/>
          <w:highlight w:val="none"/>
          <w:lang w:val="en-US" w:eastAsia="zh-CN" w:bidi="ar-SA"/>
        </w:rPr>
        <w:t>1.</w:t>
      </w:r>
      <w:r>
        <w:rPr>
          <w:rFonts w:hint="eastAsia" w:ascii="宋体" w:hAnsi="宋体" w:cs="宋体"/>
          <w:color w:val="auto"/>
          <w:szCs w:val="21"/>
          <w:highlight w:val="none"/>
        </w:rPr>
        <w:t>投标文件中开标一览表（报价表）内容与投标文件中相应内容不一致的，以开标一览表（报价表）为准；</w:t>
      </w:r>
    </w:p>
    <w:p w14:paraId="6D4C9E1C">
      <w:pPr>
        <w:keepNext w:val="0"/>
        <w:keepLines w:val="0"/>
        <w:pageBreakBefore w:val="0"/>
        <w:widowControl/>
        <w:numPr>
          <w:ilvl w:val="0"/>
          <w:numId w:val="0"/>
        </w:numPr>
        <w:kinsoku/>
        <w:overflowPunct/>
        <w:topLinePunct w:val="0"/>
        <w:autoSpaceDE/>
        <w:autoSpaceDN/>
        <w:bidi w:val="0"/>
        <w:adjustRightInd/>
        <w:spacing w:line="400" w:lineRule="exact"/>
        <w:ind w:firstLine="420" w:firstLineChars="200"/>
        <w:jc w:val="left"/>
        <w:textAlignment w:val="auto"/>
        <w:rPr>
          <w:rFonts w:ascii="宋体" w:hAnsi="宋体" w:cs="宋体"/>
          <w:color w:val="auto"/>
          <w:szCs w:val="21"/>
          <w:highlight w:val="none"/>
        </w:rPr>
      </w:pPr>
      <w:r>
        <w:rPr>
          <w:rFonts w:ascii="宋体" w:hAnsi="宋体" w:cs="宋体"/>
          <w:color w:val="auto"/>
          <w:kern w:val="2"/>
          <w:sz w:val="21"/>
          <w:szCs w:val="21"/>
          <w:highlight w:val="none"/>
          <w:lang w:val="en-US" w:eastAsia="zh-CN" w:bidi="ar-SA"/>
        </w:rPr>
        <w:t>2.</w:t>
      </w:r>
      <w:r>
        <w:rPr>
          <w:rFonts w:hint="eastAsia" w:ascii="宋体" w:hAnsi="宋体" w:cs="宋体"/>
          <w:color w:val="auto"/>
          <w:szCs w:val="21"/>
          <w:highlight w:val="none"/>
        </w:rPr>
        <w:t>政采云平台填报的开标一览表中的价格与上传的报价文件中开标一览表的报价不一致的，以上传的报价文件为准；</w:t>
      </w:r>
    </w:p>
    <w:p w14:paraId="257A4767">
      <w:pPr>
        <w:keepNext w:val="0"/>
        <w:keepLines w:val="0"/>
        <w:pageBreakBefore w:val="0"/>
        <w:widowControl/>
        <w:numPr>
          <w:ilvl w:val="0"/>
          <w:numId w:val="0"/>
        </w:numPr>
        <w:kinsoku/>
        <w:overflowPunct/>
        <w:topLinePunct w:val="0"/>
        <w:autoSpaceDE/>
        <w:autoSpaceDN/>
        <w:bidi w:val="0"/>
        <w:adjustRightInd/>
        <w:spacing w:line="400" w:lineRule="exact"/>
        <w:ind w:firstLine="420" w:firstLineChars="200"/>
        <w:jc w:val="left"/>
        <w:textAlignment w:val="auto"/>
        <w:rPr>
          <w:rFonts w:ascii="宋体" w:hAnsi="宋体" w:cs="宋体"/>
          <w:color w:val="auto"/>
          <w:szCs w:val="21"/>
          <w:highlight w:val="none"/>
        </w:rPr>
      </w:pPr>
      <w:r>
        <w:rPr>
          <w:rFonts w:ascii="宋体" w:hAnsi="宋体" w:cs="宋体"/>
          <w:color w:val="auto"/>
          <w:kern w:val="2"/>
          <w:sz w:val="21"/>
          <w:szCs w:val="21"/>
          <w:highlight w:val="none"/>
          <w:lang w:val="en-US" w:eastAsia="zh-CN" w:bidi="ar-SA"/>
        </w:rPr>
        <w:t>3.</w:t>
      </w:r>
      <w:r>
        <w:rPr>
          <w:rFonts w:hint="eastAsia" w:ascii="宋体" w:hAnsi="宋体" w:cs="宋体"/>
          <w:color w:val="auto"/>
          <w:szCs w:val="21"/>
          <w:highlight w:val="none"/>
        </w:rPr>
        <w:t>大写金额和小写金额不一致的，以大写金额为准；</w:t>
      </w:r>
    </w:p>
    <w:p w14:paraId="2D391EDA">
      <w:pPr>
        <w:keepNext w:val="0"/>
        <w:keepLines w:val="0"/>
        <w:pageBreakBefore w:val="0"/>
        <w:widowControl/>
        <w:numPr>
          <w:ilvl w:val="0"/>
          <w:numId w:val="0"/>
        </w:numPr>
        <w:kinsoku/>
        <w:overflowPunct/>
        <w:topLinePunct w:val="0"/>
        <w:autoSpaceDE/>
        <w:autoSpaceDN/>
        <w:bidi w:val="0"/>
        <w:adjustRightInd/>
        <w:spacing w:line="400" w:lineRule="exact"/>
        <w:ind w:firstLine="420" w:firstLineChars="200"/>
        <w:jc w:val="left"/>
        <w:textAlignment w:val="auto"/>
        <w:rPr>
          <w:rFonts w:ascii="宋体" w:hAnsi="宋体" w:cs="宋体"/>
          <w:color w:val="auto"/>
          <w:szCs w:val="21"/>
          <w:highlight w:val="none"/>
        </w:rPr>
      </w:pPr>
      <w:r>
        <w:rPr>
          <w:rFonts w:ascii="宋体" w:hAnsi="宋体" w:cs="宋体"/>
          <w:color w:val="auto"/>
          <w:kern w:val="2"/>
          <w:sz w:val="21"/>
          <w:szCs w:val="21"/>
          <w:highlight w:val="none"/>
          <w:lang w:val="en-US" w:eastAsia="zh-CN" w:bidi="ar-SA"/>
        </w:rPr>
        <w:t>4.</w:t>
      </w:r>
      <w:r>
        <w:rPr>
          <w:rFonts w:hint="eastAsia" w:ascii="宋体" w:hAnsi="宋体" w:cs="宋体"/>
          <w:color w:val="auto"/>
          <w:szCs w:val="21"/>
          <w:highlight w:val="none"/>
        </w:rPr>
        <w:t>单价金额小数点或者百分比有明显错位的，以开标一览表的总价为准，并修改单价；</w:t>
      </w:r>
    </w:p>
    <w:p w14:paraId="7F3954FF">
      <w:pPr>
        <w:keepNext w:val="0"/>
        <w:keepLines w:val="0"/>
        <w:pageBreakBefore w:val="0"/>
        <w:widowControl/>
        <w:numPr>
          <w:ilvl w:val="0"/>
          <w:numId w:val="0"/>
        </w:numPr>
        <w:kinsoku/>
        <w:overflowPunct/>
        <w:topLinePunct w:val="0"/>
        <w:autoSpaceDE/>
        <w:autoSpaceDN/>
        <w:bidi w:val="0"/>
        <w:adjustRightInd/>
        <w:spacing w:line="400" w:lineRule="exact"/>
        <w:ind w:firstLine="420" w:firstLineChars="200"/>
        <w:jc w:val="left"/>
        <w:textAlignment w:val="auto"/>
        <w:rPr>
          <w:rFonts w:ascii="宋体" w:hAnsi="宋体" w:cs="宋体"/>
          <w:color w:val="auto"/>
          <w:szCs w:val="21"/>
          <w:highlight w:val="none"/>
        </w:rPr>
      </w:pPr>
      <w:r>
        <w:rPr>
          <w:rFonts w:ascii="宋体" w:hAnsi="宋体" w:cs="宋体"/>
          <w:color w:val="auto"/>
          <w:kern w:val="2"/>
          <w:sz w:val="21"/>
          <w:szCs w:val="21"/>
          <w:highlight w:val="none"/>
          <w:lang w:val="en-US" w:eastAsia="zh-CN" w:bidi="ar-SA"/>
        </w:rPr>
        <w:t>5.</w:t>
      </w:r>
      <w:r>
        <w:rPr>
          <w:rFonts w:hint="eastAsia" w:ascii="宋体" w:hAnsi="宋体" w:cs="宋体"/>
          <w:color w:val="auto"/>
          <w:szCs w:val="21"/>
          <w:highlight w:val="none"/>
        </w:rPr>
        <w:t>总价金额与按单价汇总金额不一致的，以单价金额计算结果为准；</w:t>
      </w:r>
    </w:p>
    <w:p w14:paraId="35C2A3CB">
      <w:pPr>
        <w:pStyle w:val="54"/>
        <w:keepNext w:val="0"/>
        <w:keepLines w:val="0"/>
        <w:pageBreakBefore w:val="0"/>
        <w:widowControl/>
        <w:kinsoku/>
        <w:overflowPunct/>
        <w:topLinePunct w:val="0"/>
        <w:autoSpaceDE/>
        <w:autoSpaceDN/>
        <w:bidi w:val="0"/>
        <w:adjustRightInd/>
        <w:spacing w:beforeLines="0" w:afterLines="0" w:line="400" w:lineRule="exact"/>
        <w:ind w:firstLine="422" w:firstLineChars="200"/>
        <w:jc w:val="left"/>
        <w:textAlignment w:val="auto"/>
        <w:rPr>
          <w:rFonts w:hint="eastAsia" w:hAnsi="宋体" w:cs="宋体"/>
          <w:b/>
          <w:bCs/>
          <w:color w:val="auto"/>
          <w:sz w:val="21"/>
          <w:szCs w:val="21"/>
          <w:highlight w:val="none"/>
        </w:rPr>
      </w:pPr>
      <w:r>
        <w:rPr>
          <w:rFonts w:hint="eastAsia" w:hAnsi="宋体" w:cs="宋体"/>
          <w:b/>
          <w:bCs/>
          <w:color w:val="auto"/>
          <w:sz w:val="21"/>
          <w:szCs w:val="21"/>
          <w:highlight w:val="none"/>
        </w:rPr>
        <w:t>同时出现两种以上不一致的，按照前款规定的顺序修正。修正后的报价经投标人确认后具有约束力，若投标人不确认的，则其投标无效。</w:t>
      </w:r>
    </w:p>
    <w:p w14:paraId="24D01B48">
      <w:pPr>
        <w:pStyle w:val="17"/>
        <w:keepNext w:val="0"/>
        <w:keepLines w:val="0"/>
        <w:pageBreakBefore w:val="0"/>
        <w:kinsoku/>
        <w:wordWrap w:val="0"/>
        <w:overflowPunct/>
        <w:topLinePunct w:val="0"/>
        <w:autoSpaceDE/>
        <w:autoSpaceDN/>
        <w:bidi w:val="0"/>
        <w:adjustRightInd/>
        <w:snapToGrid w:val="0"/>
        <w:spacing w:line="400" w:lineRule="exact"/>
        <w:ind w:firstLine="422" w:firstLineChars="200"/>
        <w:textAlignment w:val="auto"/>
        <w:rPr>
          <w:rFonts w:hint="eastAsia" w:hAnsi="宋体"/>
          <w:b/>
          <w:color w:val="auto"/>
          <w:szCs w:val="21"/>
          <w:highlight w:val="none"/>
        </w:rPr>
      </w:pPr>
      <w:r>
        <w:rPr>
          <w:rFonts w:hint="eastAsia" w:hAnsi="宋体"/>
          <w:b/>
          <w:color w:val="auto"/>
          <w:szCs w:val="21"/>
          <w:highlight w:val="none"/>
        </w:rPr>
        <w:t>合同履行过程中，若发现投标人的投标文件中有投标价错误的，按不利于投标人的原则修正、调整相关价格，合同总价有变化的签订补充协议后作相应调整。</w:t>
      </w:r>
    </w:p>
    <w:p w14:paraId="43F4C6F2">
      <w:pPr>
        <w:pStyle w:val="17"/>
        <w:tabs>
          <w:tab w:val="left" w:pos="630"/>
        </w:tabs>
        <w:snapToGrid w:val="0"/>
        <w:spacing w:line="400" w:lineRule="exact"/>
        <w:ind w:firstLine="413" w:firstLineChars="196"/>
        <w:jc w:val="left"/>
        <w:rPr>
          <w:rFonts w:hAnsi="宋体" w:cs="宋体"/>
          <w:b/>
          <w:color w:val="auto"/>
          <w:szCs w:val="21"/>
          <w:highlight w:val="none"/>
        </w:rPr>
      </w:pPr>
      <w:r>
        <w:rPr>
          <w:rFonts w:hint="eastAsia" w:hAnsi="宋体" w:cs="宋体"/>
          <w:b/>
          <w:color w:val="auto"/>
          <w:szCs w:val="21"/>
          <w:highlight w:val="none"/>
        </w:rPr>
        <w:t>（六）评标原则和评标办法</w:t>
      </w:r>
    </w:p>
    <w:p w14:paraId="4BB51E45">
      <w:pPr>
        <w:pStyle w:val="17"/>
        <w:snapToGrid w:val="0"/>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78290C8">
      <w:pPr>
        <w:pStyle w:val="17"/>
        <w:snapToGrid w:val="0"/>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rPr>
        <w:t>2.评标办法。本项目评标办法是</w:t>
      </w:r>
      <w:r>
        <w:rPr>
          <w:rFonts w:hint="eastAsia" w:hAnsi="宋体" w:cs="宋体"/>
          <w:color w:val="auto"/>
          <w:szCs w:val="21"/>
          <w:highlight w:val="none"/>
          <w:u w:val="single"/>
        </w:rPr>
        <w:t xml:space="preserve"> </w:t>
      </w:r>
      <w:r>
        <w:rPr>
          <w:rFonts w:hint="eastAsia" w:hAnsi="宋体" w:cs="宋体"/>
          <w:b/>
          <w:color w:val="auto"/>
          <w:szCs w:val="21"/>
          <w:highlight w:val="none"/>
          <w:u w:val="single"/>
        </w:rPr>
        <w:t>综合评分法</w:t>
      </w:r>
      <w:r>
        <w:rPr>
          <w:rFonts w:hint="eastAsia" w:hAnsi="宋体" w:cs="宋体"/>
          <w:color w:val="auto"/>
          <w:szCs w:val="21"/>
          <w:highlight w:val="none"/>
          <w:u w:val="single"/>
        </w:rPr>
        <w:t xml:space="preserve"> </w:t>
      </w:r>
      <w:r>
        <w:rPr>
          <w:rFonts w:hint="eastAsia" w:hAnsi="宋体" w:cs="宋体"/>
          <w:color w:val="auto"/>
          <w:szCs w:val="21"/>
          <w:highlight w:val="none"/>
        </w:rPr>
        <w:t>，具体评标内容及评分标准等详见《第四部分：评标办法及评分标准》。</w:t>
      </w:r>
    </w:p>
    <w:p w14:paraId="441FAFF7">
      <w:pPr>
        <w:pStyle w:val="17"/>
        <w:snapToGrid w:val="0"/>
        <w:spacing w:line="400" w:lineRule="exact"/>
        <w:ind w:firstLine="413" w:firstLineChars="196"/>
        <w:jc w:val="left"/>
        <w:rPr>
          <w:rFonts w:hAnsi="宋体" w:cs="宋体"/>
          <w:b/>
          <w:color w:val="auto"/>
          <w:szCs w:val="21"/>
          <w:highlight w:val="none"/>
        </w:rPr>
      </w:pPr>
      <w:r>
        <w:rPr>
          <w:rFonts w:hint="eastAsia" w:hAnsi="宋体" w:cs="宋体"/>
          <w:b/>
          <w:color w:val="auto"/>
          <w:szCs w:val="21"/>
          <w:highlight w:val="none"/>
        </w:rPr>
        <w:t>（七）评审专家有下列情形之一的，受到邀请应主动提出回避，采购当事人也可以要求该评审专家回避：</w:t>
      </w:r>
    </w:p>
    <w:p w14:paraId="3156D262">
      <w:pPr>
        <w:pStyle w:val="17"/>
        <w:snapToGrid w:val="0"/>
        <w:spacing w:line="400" w:lineRule="exact"/>
        <w:ind w:firstLine="411" w:firstLineChars="196"/>
        <w:jc w:val="left"/>
        <w:rPr>
          <w:rFonts w:hint="eastAsia" w:hAnsi="宋体" w:cs="宋体"/>
          <w:color w:val="auto"/>
          <w:szCs w:val="21"/>
          <w:highlight w:val="none"/>
        </w:rPr>
      </w:pPr>
      <w:r>
        <w:rPr>
          <w:rFonts w:hint="eastAsia" w:hAnsi="宋体" w:cs="宋体"/>
          <w:color w:val="auto"/>
          <w:szCs w:val="21"/>
          <w:highlight w:val="none"/>
        </w:rPr>
        <w:t>1.参加采购活动前三年内，与供应商存在劳动关系，或者担任过供应商的董事、监事，或者是供应商的控股股东或实际控制人；</w:t>
      </w:r>
    </w:p>
    <w:p w14:paraId="4FBD4D40">
      <w:pPr>
        <w:pStyle w:val="17"/>
        <w:snapToGrid w:val="0"/>
        <w:spacing w:line="400" w:lineRule="exact"/>
        <w:ind w:firstLine="411" w:firstLineChars="196"/>
        <w:jc w:val="left"/>
        <w:rPr>
          <w:rFonts w:hint="eastAsia" w:hAnsi="宋体" w:cs="宋体"/>
          <w:color w:val="auto"/>
          <w:szCs w:val="21"/>
          <w:highlight w:val="none"/>
        </w:rPr>
      </w:pPr>
      <w:r>
        <w:rPr>
          <w:rFonts w:hint="eastAsia" w:hAnsi="宋体" w:cs="宋体"/>
          <w:color w:val="auto"/>
          <w:szCs w:val="21"/>
          <w:highlight w:val="none"/>
        </w:rPr>
        <w:t>2.与供应商的法定代表人或者负责人有夫妻、直系血亲、三代以内旁系血亲或者近姻亲关系；</w:t>
      </w:r>
    </w:p>
    <w:p w14:paraId="22BC9468">
      <w:pPr>
        <w:pStyle w:val="17"/>
        <w:snapToGrid w:val="0"/>
        <w:spacing w:line="400" w:lineRule="exact"/>
        <w:ind w:firstLine="411" w:firstLineChars="196"/>
        <w:jc w:val="left"/>
        <w:rPr>
          <w:rFonts w:hint="eastAsia" w:hAnsi="宋体" w:cs="宋体"/>
          <w:color w:val="auto"/>
          <w:szCs w:val="21"/>
          <w:highlight w:val="none"/>
        </w:rPr>
      </w:pPr>
      <w:r>
        <w:rPr>
          <w:rFonts w:hint="eastAsia" w:hAnsi="宋体" w:cs="宋体"/>
          <w:color w:val="auto"/>
          <w:szCs w:val="21"/>
          <w:highlight w:val="none"/>
        </w:rPr>
        <w:t>3.与供应商有其他可能影响政府采购活动公平、公正进行的关系；</w:t>
      </w:r>
    </w:p>
    <w:p w14:paraId="6271FB95">
      <w:pPr>
        <w:pStyle w:val="17"/>
        <w:snapToGrid w:val="0"/>
        <w:spacing w:line="400" w:lineRule="exact"/>
        <w:ind w:firstLine="411" w:firstLineChars="196"/>
        <w:jc w:val="left"/>
        <w:rPr>
          <w:rFonts w:hint="eastAsia" w:hAnsi="宋体" w:cs="宋体"/>
          <w:color w:val="auto"/>
          <w:szCs w:val="21"/>
          <w:highlight w:val="none"/>
        </w:rPr>
      </w:pPr>
      <w:r>
        <w:rPr>
          <w:rFonts w:hint="eastAsia" w:hAnsi="宋体" w:cs="宋体"/>
          <w:color w:val="auto"/>
          <w:szCs w:val="21"/>
          <w:highlight w:val="none"/>
        </w:rPr>
        <w:t>4.曾经参加过该采购项目的进口产品论证工作；</w:t>
      </w:r>
    </w:p>
    <w:p w14:paraId="102F5E18">
      <w:pPr>
        <w:pStyle w:val="17"/>
        <w:snapToGrid w:val="0"/>
        <w:spacing w:line="400" w:lineRule="exact"/>
        <w:ind w:firstLine="411" w:firstLineChars="196"/>
        <w:jc w:val="left"/>
        <w:rPr>
          <w:rFonts w:hint="eastAsia" w:hAnsi="宋体" w:cs="宋体"/>
          <w:color w:val="auto"/>
          <w:szCs w:val="21"/>
          <w:highlight w:val="none"/>
        </w:rPr>
      </w:pPr>
      <w:r>
        <w:rPr>
          <w:rFonts w:hint="eastAsia" w:hAnsi="宋体" w:cs="宋体"/>
          <w:color w:val="auto"/>
          <w:szCs w:val="21"/>
          <w:highlight w:val="none"/>
        </w:rPr>
        <w:t>5.通过随机抽到本单位的评审专家，采购人已经指定了采购人代表，该评审专家应当回避，采购人自行选定相应专业领域评审专家情形除外；</w:t>
      </w:r>
    </w:p>
    <w:p w14:paraId="3F84D4A4">
      <w:pPr>
        <w:pStyle w:val="17"/>
        <w:snapToGrid w:val="0"/>
        <w:spacing w:line="400" w:lineRule="exact"/>
        <w:ind w:firstLine="411" w:firstLineChars="196"/>
        <w:jc w:val="left"/>
        <w:rPr>
          <w:rFonts w:hint="eastAsia" w:hAnsi="宋体" w:cs="宋体"/>
          <w:color w:val="auto"/>
          <w:szCs w:val="21"/>
          <w:highlight w:val="none"/>
        </w:rPr>
      </w:pPr>
      <w:r>
        <w:rPr>
          <w:rFonts w:hint="eastAsia" w:hAnsi="宋体" w:cs="宋体"/>
          <w:color w:val="auto"/>
          <w:szCs w:val="21"/>
          <w:highlight w:val="none"/>
        </w:rPr>
        <w:t>6.法律、法规、规章规定应当回避以及其他可能影响公正评审的。</w:t>
      </w:r>
    </w:p>
    <w:p w14:paraId="3941AF18">
      <w:pPr>
        <w:pStyle w:val="17"/>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（八）评标委员会判断投标文件的有效性、合格性和响应情况，仅依据供应商所递交一切文件的真实表述，不受与本项目无直接关联的外部信息、传言而影响自身的专业判断。</w:t>
      </w:r>
    </w:p>
    <w:p w14:paraId="338071F0">
      <w:pPr>
        <w:pStyle w:val="17"/>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九）评委依法独立评审，并对评审意见承担个人责任。评委对需要共同认定的事项存在争议的，按照少数服从多数的原则做出结论。持不同意见的评委应当在评审报告上签署不同意见并说明理由，否则视为同意。</w:t>
      </w:r>
    </w:p>
    <w:p w14:paraId="43CA7823">
      <w:pPr>
        <w:pStyle w:val="17"/>
        <w:snapToGrid w:val="0"/>
        <w:spacing w:line="400" w:lineRule="exact"/>
        <w:ind w:firstLine="411" w:firstLineChars="196"/>
        <w:jc w:val="left"/>
        <w:rPr>
          <w:rFonts w:hAnsi="宋体" w:cs="宋体"/>
          <w:b w:val="0"/>
          <w:bCs/>
          <w:color w:val="auto"/>
          <w:szCs w:val="21"/>
          <w:highlight w:val="none"/>
        </w:rPr>
      </w:pPr>
      <w:r>
        <w:rPr>
          <w:rFonts w:hint="eastAsia" w:hAnsi="宋体" w:cs="宋体"/>
          <w:b w:val="0"/>
          <w:bCs/>
          <w:color w:val="auto"/>
          <w:szCs w:val="21"/>
          <w:highlight w:val="none"/>
        </w:rPr>
        <w:t>（十）评标过程的监控与保密要求</w:t>
      </w:r>
    </w:p>
    <w:p w14:paraId="4611670E">
      <w:pPr>
        <w:pStyle w:val="17"/>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1.本项目评标过程实行全程录音、录像监控，供应商在评标过程中所进行的试图影响评标结果的不公正活动，可能导致其投标被拒绝。</w:t>
      </w:r>
    </w:p>
    <w:p w14:paraId="12630418">
      <w:pPr>
        <w:pStyle w:val="17"/>
        <w:snapToGrid w:val="0"/>
        <w:spacing w:line="400" w:lineRule="exact"/>
        <w:ind w:firstLine="411" w:firstLineChars="196"/>
        <w:jc w:val="left"/>
        <w:rPr>
          <w:rFonts w:hAnsi="宋体" w:cs="宋体"/>
          <w:color w:val="auto"/>
          <w:szCs w:val="21"/>
          <w:highlight w:val="none"/>
        </w:rPr>
      </w:pPr>
      <w:r>
        <w:rPr>
          <w:rFonts w:hint="eastAsia" w:hAnsi="宋体" w:cs="宋体"/>
          <w:color w:val="auto"/>
          <w:szCs w:val="21"/>
          <w:highlight w:val="none"/>
        </w:rPr>
        <w:t>2.开标后到中标通知书发出之前，所有涉及评标委员会名单以及对投标文件的澄清、评价、比较等情况，评标委员会成员、采购人和采购代理机构的有关人员均不得向供应商或其他无关人员透露。</w:t>
      </w:r>
    </w:p>
    <w:p w14:paraId="6D03FADC">
      <w:pPr>
        <w:spacing w:line="520" w:lineRule="exact"/>
        <w:jc w:val="center"/>
        <w:rPr>
          <w:rFonts w:ascii="宋体" w:hAnsi="宋体"/>
          <w:b/>
          <w:bCs/>
          <w:color w:val="auto"/>
          <w:sz w:val="32"/>
          <w:highlight w:val="none"/>
        </w:rPr>
      </w:pPr>
      <w:r>
        <w:rPr>
          <w:rFonts w:hint="eastAsia" w:ascii="宋体" w:hAnsi="宋体"/>
          <w:b/>
          <w:bCs/>
          <w:color w:val="auto"/>
          <w:sz w:val="32"/>
          <w:highlight w:val="none"/>
        </w:rPr>
        <w:t>六、定标</w:t>
      </w:r>
    </w:p>
    <w:p w14:paraId="20E20F7B">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1.确定中标人。本项目由评标委员会推荐中标候选人，采购人不得在评标委员会推荐的中标候选人以外确定中标候选人。</w:t>
      </w:r>
    </w:p>
    <w:p w14:paraId="02FC272F">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43AC6BA4">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3.采购代理机构自中标人确定之日起2个工作日内，采购代理机构以书面形式发出《中标通知书》,并同时在相关网站上发布中标公告。不在中标名单之列者即为落标人，采购代理机构不再以其它方式另行通知。</w:t>
      </w:r>
    </w:p>
    <w:p w14:paraId="2A62853A">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4.凡发现中标人有下列行为之一的，将移交政府采购监督管理部门依法处理：</w:t>
      </w:r>
    </w:p>
    <w:p w14:paraId="2294E7E0">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rPr>
        <w:tab/>
      </w:r>
      <w:r>
        <w:rPr>
          <w:rFonts w:hint="eastAsia" w:ascii="宋体" w:hAnsi="宋体" w:cs="宋体"/>
          <w:color w:val="auto"/>
          <w:szCs w:val="21"/>
          <w:highlight w:val="none"/>
        </w:rPr>
        <w:t>提供虚假材料谋取中标的；</w:t>
      </w:r>
    </w:p>
    <w:p w14:paraId="03D83466">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rPr>
        <w:tab/>
      </w:r>
      <w:r>
        <w:rPr>
          <w:rFonts w:hint="eastAsia" w:ascii="宋体" w:hAnsi="宋体" w:cs="宋体"/>
          <w:color w:val="auto"/>
          <w:szCs w:val="21"/>
          <w:highlight w:val="none"/>
        </w:rPr>
        <w:t>采取不正当手段诋毁、排挤其他投标人的；</w:t>
      </w:r>
    </w:p>
    <w:p w14:paraId="57F1FF52">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rPr>
        <w:tab/>
      </w:r>
      <w:r>
        <w:rPr>
          <w:rFonts w:hint="eastAsia" w:ascii="宋体" w:hAnsi="宋体" w:cs="宋体"/>
          <w:color w:val="auto"/>
          <w:szCs w:val="21"/>
          <w:highlight w:val="none"/>
        </w:rPr>
        <w:t>与采购人、其他投标人或者采购代理机构工作人员恶意串通的；</w:t>
      </w:r>
    </w:p>
    <w:p w14:paraId="665C29DB">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rPr>
        <w:tab/>
      </w:r>
      <w:r>
        <w:rPr>
          <w:rFonts w:hint="eastAsia" w:ascii="宋体" w:hAnsi="宋体" w:cs="宋体"/>
          <w:color w:val="auto"/>
          <w:szCs w:val="21"/>
          <w:highlight w:val="none"/>
        </w:rPr>
        <w:t>向采购人或采购代理机构人员行贿或者提供其他不正当利益的；</w:t>
      </w:r>
    </w:p>
    <w:p w14:paraId="0A8181DF">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rPr>
        <w:tab/>
      </w:r>
      <w:r>
        <w:rPr>
          <w:rFonts w:hint="eastAsia" w:ascii="宋体" w:hAnsi="宋体" w:cs="宋体"/>
          <w:color w:val="auto"/>
          <w:szCs w:val="21"/>
          <w:highlight w:val="none"/>
        </w:rPr>
        <w:t>拒绝有关部门监督检查或者提供虚假情况的；</w:t>
      </w:r>
    </w:p>
    <w:p w14:paraId="75619DDC">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rPr>
        <w:tab/>
      </w:r>
      <w:r>
        <w:rPr>
          <w:rFonts w:hint="eastAsia" w:ascii="宋体" w:hAnsi="宋体" w:cs="宋体"/>
          <w:color w:val="auto"/>
          <w:szCs w:val="21"/>
          <w:highlight w:val="none"/>
        </w:rPr>
        <w:t>有法律、法规规定的其他损害采购人利益和社会公共利益情形的。</w:t>
      </w:r>
    </w:p>
    <w:p w14:paraId="366EF682">
      <w:pPr>
        <w:spacing w:line="520" w:lineRule="exact"/>
        <w:ind w:firstLine="403"/>
        <w:jc w:val="center"/>
        <w:rPr>
          <w:rFonts w:ascii="宋体" w:hAnsi="宋体" w:cs="宋体"/>
          <w:color w:val="auto"/>
          <w:szCs w:val="21"/>
          <w:highlight w:val="none"/>
        </w:rPr>
      </w:pPr>
      <w:r>
        <w:rPr>
          <w:rFonts w:hint="eastAsia" w:ascii="宋体" w:hAnsi="宋体"/>
          <w:b/>
          <w:bCs/>
          <w:color w:val="auto"/>
          <w:sz w:val="32"/>
          <w:highlight w:val="none"/>
        </w:rPr>
        <w:t>七、合同授予</w:t>
      </w:r>
    </w:p>
    <w:p w14:paraId="0C1CA60F">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（一）签订合同</w:t>
      </w:r>
    </w:p>
    <w:p w14:paraId="02BF78C3">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1.采购人应当自中标通知书发出之日起30日内，按照招标文件和中标人投标文件的规定，与中标人签订书面合同。所签订的合同不得对招标文件确定的事项和中标人投标文件作实质性修改。</w:t>
      </w:r>
    </w:p>
    <w:p w14:paraId="0980D848">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采购人不得向中标人提出任何不合理的要求作为签订合同的条件。</w:t>
      </w:r>
    </w:p>
    <w:p w14:paraId="0A559AFB">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2.采购人在签订合同时，在合同金额变更范围内，如需审批的办理相关审批手续。有权变更采购项目的数量和服务内容，但不能对单价或其他条款和条件作任何改变。</w:t>
      </w:r>
    </w:p>
    <w:p w14:paraId="524038E5">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3.招标文件、中标供应商的投标文件及评标过程中有关的澄清文件均应作为合同签订的附件。</w:t>
      </w:r>
    </w:p>
    <w:p w14:paraId="07504EC4">
      <w:pPr>
        <w:spacing w:line="400" w:lineRule="exact"/>
        <w:ind w:firstLine="403"/>
        <w:jc w:val="left"/>
        <w:rPr>
          <w:rFonts w:ascii="宋体" w:hAnsi="宋体" w:cs="宋体"/>
          <w:color w:val="auto"/>
          <w:szCs w:val="21"/>
          <w:highlight w:val="none"/>
        </w:rPr>
      </w:pPr>
      <w:r>
        <w:rPr>
          <w:rFonts w:hint="eastAsia" w:ascii="宋体" w:hAnsi="宋体" w:cs="宋体"/>
          <w:color w:val="auto"/>
          <w:szCs w:val="21"/>
          <w:highlight w:val="none"/>
        </w:rPr>
        <w:t>4.中标或者成交供应商拒绝与采购人签订合同的，采购人应重新招标。</w:t>
      </w:r>
    </w:p>
    <w:p w14:paraId="7291DD0D">
      <w:pPr>
        <w:spacing w:line="400" w:lineRule="exact"/>
        <w:ind w:firstLine="403"/>
        <w:jc w:val="left"/>
        <w:rPr>
          <w:rFonts w:hint="eastAsia" w:ascii="宋体" w:hAnsi="宋体" w:cs="宋体"/>
          <w:color w:val="auto"/>
          <w:szCs w:val="21"/>
          <w:highlight w:val="none"/>
        </w:rPr>
      </w:pPr>
      <w:r>
        <w:rPr>
          <w:rFonts w:hint="eastAsia" w:ascii="宋体" w:hAnsi="宋体" w:cs="宋体"/>
          <w:color w:val="auto"/>
          <w:szCs w:val="21"/>
          <w:highlight w:val="none"/>
        </w:rPr>
        <w:t>5.中标人无正当理由拖延、拒签合同的,将被取消中标资格并承担相应法律责任。给采购人造成的损失的还应当予以赔偿。</w:t>
      </w:r>
    </w:p>
    <w:p w14:paraId="4821B2E7">
      <w:pPr>
        <w:pStyle w:val="56"/>
        <w:rPr>
          <w:color w:val="auto"/>
          <w:highlight w:val="none"/>
        </w:rPr>
      </w:pPr>
    </w:p>
    <w:p w14:paraId="779C072F">
      <w:pPr>
        <w:spacing w:line="520" w:lineRule="exact"/>
        <w:jc w:val="center"/>
        <w:rPr>
          <w:rFonts w:ascii="宋体" w:hAnsi="宋体"/>
          <w:b/>
          <w:bCs/>
          <w:color w:val="auto"/>
          <w:sz w:val="32"/>
          <w:highlight w:val="none"/>
        </w:rPr>
      </w:pPr>
      <w:r>
        <w:rPr>
          <w:rFonts w:hint="eastAsia" w:ascii="宋体" w:hAnsi="宋体"/>
          <w:b/>
          <w:bCs/>
          <w:color w:val="auto"/>
          <w:sz w:val="32"/>
          <w:highlight w:val="none"/>
        </w:rPr>
        <w:t>八、履约验收</w:t>
      </w:r>
    </w:p>
    <w:p w14:paraId="540D1718">
      <w:pPr>
        <w:spacing w:line="400" w:lineRule="exact"/>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 xml:space="preserve"> 采购人负责对中标供应商的履约行为进行验收。政府向社会公众提供的公共服务项目，验收时应当邀请服务对象参与并出具意见，验收结果应当向社会公告。</w:t>
      </w:r>
    </w:p>
    <w:p w14:paraId="5814F3EA">
      <w:pPr>
        <w:numPr>
          <w:ilvl w:val="0"/>
          <w:numId w:val="3"/>
        </w:numPr>
        <w:spacing w:line="520" w:lineRule="exact"/>
        <w:jc w:val="center"/>
        <w:rPr>
          <w:rFonts w:ascii="宋体" w:hAnsi="宋体"/>
          <w:b/>
          <w:bCs/>
          <w:color w:val="auto"/>
          <w:sz w:val="32"/>
          <w:highlight w:val="none"/>
        </w:rPr>
      </w:pPr>
      <w:r>
        <w:rPr>
          <w:rFonts w:hint="eastAsia" w:ascii="宋体" w:hAnsi="宋体"/>
          <w:b/>
          <w:bCs/>
          <w:color w:val="auto"/>
          <w:sz w:val="32"/>
          <w:highlight w:val="none"/>
        </w:rPr>
        <w:t>特别说明</w:t>
      </w:r>
    </w:p>
    <w:p w14:paraId="18F06F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1"/>
        <w:rPr>
          <w:rFonts w:hAnsi="宋体" w:cs="宋体"/>
          <w:b/>
          <w:color w:val="auto"/>
          <w:szCs w:val="21"/>
          <w:highlight w:val="none"/>
        </w:rPr>
      </w:pPr>
      <w:r>
        <w:rPr>
          <w:rFonts w:hint="eastAsia" w:hAnsi="宋体" w:cs="宋体"/>
          <w:b/>
          <w:color w:val="auto"/>
          <w:szCs w:val="21"/>
          <w:highlight w:val="none"/>
          <w:lang w:val="en-US" w:eastAsia="zh-CN"/>
        </w:rPr>
        <w:t>1.</w:t>
      </w:r>
      <w:r>
        <w:rPr>
          <w:rFonts w:hint="eastAsia" w:hAnsi="宋体" w:cs="宋体"/>
          <w:b/>
          <w:color w:val="auto"/>
          <w:szCs w:val="21"/>
          <w:highlight w:val="none"/>
        </w:rPr>
        <w:t>本项目</w:t>
      </w:r>
      <w:r>
        <w:rPr>
          <w:rFonts w:hint="eastAsia" w:hAnsi="宋体" w:cs="宋体"/>
          <w:b/>
          <w:color w:val="auto"/>
          <w:szCs w:val="21"/>
          <w:highlight w:val="none"/>
          <w:u w:val="single"/>
        </w:rPr>
        <w:t>非</w:t>
      </w:r>
      <w:r>
        <w:rPr>
          <w:rFonts w:hint="eastAsia" w:hAnsi="宋体" w:cs="宋体"/>
          <w:b/>
          <w:color w:val="auto"/>
          <w:szCs w:val="21"/>
          <w:highlight w:val="none"/>
        </w:rPr>
        <w:t>专门面向中小企业采购。</w:t>
      </w:r>
      <w:r>
        <w:rPr>
          <w:rFonts w:hint="eastAsia" w:ascii="宋体" w:hAnsi="宋体" w:cs="宋体"/>
          <w:b/>
          <w:bCs/>
          <w:color w:val="000000" w:themeColor="text1"/>
          <w:sz w:val="21"/>
          <w:szCs w:val="21"/>
          <w14:textFill>
            <w14:solidFill>
              <w14:schemeClr w14:val="tx1"/>
            </w14:solidFill>
          </w14:textFill>
        </w:rPr>
        <w:t>本项目对应的中小企业划分标准所属行业：</w:t>
      </w:r>
      <w:r>
        <w:rPr>
          <w:rFonts w:hint="eastAsia" w:ascii="宋体" w:hAnsi="宋体" w:cs="宋体"/>
          <w:b/>
          <w:bCs/>
          <w:color w:val="000000" w:themeColor="text1"/>
          <w:sz w:val="21"/>
          <w:szCs w:val="21"/>
          <w:u w:val="single"/>
          <w:lang w:val="en-US" w:eastAsia="zh-CN"/>
          <w14:textFill>
            <w14:solidFill>
              <w14:schemeClr w14:val="tx1"/>
            </w14:solidFill>
          </w14:textFill>
        </w:rPr>
        <w:t>软件和信息技术服务业</w:t>
      </w:r>
      <w:r>
        <w:rPr>
          <w:b/>
          <w:bCs/>
          <w:color w:val="auto"/>
          <w:highlight w:val="none"/>
        </w:rPr>
        <w:t>，</w:t>
      </w:r>
      <w:r>
        <w:rPr>
          <w:rFonts w:hint="eastAsia" w:hAnsi="宋体" w:cs="宋体"/>
          <w:b/>
          <w:bCs/>
          <w:color w:val="auto"/>
          <w:szCs w:val="21"/>
          <w:highlight w:val="none"/>
        </w:rPr>
        <w:t>本次</w:t>
      </w:r>
      <w:r>
        <w:rPr>
          <w:rFonts w:hint="eastAsia" w:hAnsi="宋体" w:cs="宋体"/>
          <w:b/>
          <w:color w:val="auto"/>
          <w:szCs w:val="21"/>
          <w:highlight w:val="none"/>
        </w:rPr>
        <w:t>评标将对中小企业声明函满足招标文件要求的</w:t>
      </w:r>
      <w:r>
        <w:rPr>
          <w:rFonts w:hint="eastAsia" w:hAnsi="宋体" w:cs="宋体"/>
          <w:b/>
          <w:color w:val="auto"/>
          <w:szCs w:val="21"/>
          <w:highlight w:val="none"/>
          <w:lang w:val="en-US" w:eastAsia="zh-CN"/>
        </w:rPr>
        <w:t>服务供应商</w:t>
      </w:r>
      <w:r>
        <w:rPr>
          <w:rFonts w:hint="eastAsia" w:hAnsi="宋体" w:cs="宋体"/>
          <w:b/>
          <w:color w:val="auto"/>
          <w:szCs w:val="21"/>
          <w:highlight w:val="none"/>
        </w:rPr>
        <w:t>为小微企业的价格给予10%的扣除，用扣除后的价格参与评审。价格扣除只用于评审过程，如中标，中标价格仍按照其投标价格进行公示。</w:t>
      </w:r>
    </w:p>
    <w:p w14:paraId="606E32B2">
      <w:pPr>
        <w:pStyle w:val="17"/>
        <w:numPr>
          <w:ilvl w:val="0"/>
          <w:numId w:val="0"/>
        </w:numPr>
        <w:wordWrap w:val="0"/>
        <w:snapToGrid w:val="0"/>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lang w:val="en-US" w:eastAsia="zh-CN"/>
        </w:rPr>
        <w:t>2.</w:t>
      </w:r>
      <w:r>
        <w:rPr>
          <w:rFonts w:hint="eastAsia" w:hAnsi="宋体" w:cs="宋体"/>
          <w:b/>
          <w:color w:val="auto"/>
          <w:szCs w:val="21"/>
          <w:highlight w:val="none"/>
        </w:rPr>
        <w:t>执行财政部、工业和信息化部《政府采购促进中小企业发展管理办法》（财库〔2020〕46号）。政府采购活动中有关中小企业的相关规定如下：</w:t>
      </w:r>
    </w:p>
    <w:p w14:paraId="2B301269">
      <w:pPr>
        <w:pStyle w:val="17"/>
        <w:wordWrap w:val="0"/>
        <w:snapToGrid w:val="0"/>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rPr>
        <w:t>2.1中小企业，是指在中华人民共和国境内依法设立，依据国务院批准的中小企业划分标准确定的中型企业、小型企业和微型企业，但与大企业的负责人为同一人，或者与大企业存在直接控股、管理关系的除外。</w:t>
      </w:r>
    </w:p>
    <w:p w14:paraId="640C8557">
      <w:pPr>
        <w:pStyle w:val="17"/>
        <w:wordWrap w:val="0"/>
        <w:snapToGrid w:val="0"/>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rPr>
        <w:t>符合中小企业划分标准的个体工商户，在政府采购活动中视同中小企业。</w:t>
      </w:r>
    </w:p>
    <w:p w14:paraId="25AA0240">
      <w:pPr>
        <w:pStyle w:val="17"/>
        <w:wordWrap w:val="0"/>
        <w:snapToGrid w:val="0"/>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rPr>
        <w:t>国务院批准的中小企业划分标准：具体见工信部联企业[2011]300号。</w:t>
      </w:r>
    </w:p>
    <w:p w14:paraId="4A54AD3B">
      <w:pPr>
        <w:pStyle w:val="17"/>
        <w:wordWrap w:val="0"/>
        <w:snapToGrid w:val="0"/>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rPr>
        <w:t>2.2在政府采购活动中，供应商提供的货物、工程或者服务符合下列情形的，享受《政府采购促进中小企业发展管理办法》规定的中小企业扶持政策：</w:t>
      </w:r>
    </w:p>
    <w:p w14:paraId="22E79F7A">
      <w:pPr>
        <w:pStyle w:val="17"/>
        <w:wordWrap w:val="0"/>
        <w:snapToGrid w:val="0"/>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rPr>
        <w:t>（1）在货物采购项目中，货物由中小企业制造，即货物由中小企业生产且使用该中小企业商号或者注册商标；</w:t>
      </w:r>
    </w:p>
    <w:p w14:paraId="2A90A26D">
      <w:pPr>
        <w:pStyle w:val="17"/>
        <w:wordWrap w:val="0"/>
        <w:snapToGrid w:val="0"/>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rPr>
        <w:t>（2）在工程采购项目中，工程由中小企业承建，即工程施工单位为中小企业；</w:t>
      </w:r>
    </w:p>
    <w:p w14:paraId="28885CCF">
      <w:pPr>
        <w:pStyle w:val="17"/>
        <w:wordWrap w:val="0"/>
        <w:snapToGrid w:val="0"/>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rPr>
        <w:t>（3）在服务采购项目中，服务由中小企业承接，即提供服务的人员为中小企业订立劳动合同的从业人员。</w:t>
      </w:r>
    </w:p>
    <w:p w14:paraId="3E9A216A">
      <w:pPr>
        <w:pStyle w:val="17"/>
        <w:wordWrap w:val="0"/>
        <w:snapToGrid w:val="0"/>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rPr>
        <w:t>在货物采购项目中，供应商提供的货物既有中小企业制造货物，也有大型企业制造货物的，不享受《政府采购促进中小企业发展管理办法》规定的中小企业扶持政策。</w:t>
      </w:r>
    </w:p>
    <w:p w14:paraId="2139F952">
      <w:pPr>
        <w:pStyle w:val="17"/>
        <w:wordWrap w:val="0"/>
        <w:snapToGrid w:val="0"/>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rPr>
        <w:t>以联合体形式参加政府采购活动，联合体各方均为中小企业的，联合体视同中小企业。其中，联合体各方均为小微企业的，联合体视同小微企业。</w:t>
      </w:r>
    </w:p>
    <w:p w14:paraId="6E500072">
      <w:pPr>
        <w:pStyle w:val="17"/>
        <w:wordWrap w:val="0"/>
        <w:snapToGrid w:val="0"/>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rPr>
        <w:t>2.3中小企业参加政府采购活动，应当出具《政府采购促进中小企业发展管理办法》规定的《中小企业声明函》（格式见本采购文件附件），否则不得享受相关中小企业扶持政策。</w:t>
      </w:r>
    </w:p>
    <w:p w14:paraId="7E4917CC">
      <w:pPr>
        <w:pStyle w:val="17"/>
        <w:wordWrap w:val="0"/>
        <w:snapToGrid w:val="0"/>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rPr>
        <w:t>2.4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764C28B7">
      <w:pPr>
        <w:pStyle w:val="17"/>
        <w:wordWrap w:val="0"/>
        <w:snapToGrid w:val="0"/>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rPr>
        <w:t>供应商提供声明函内容不实的，属于提供虚假材料谋取中标、成交，依照《中华人民共和国政府采购法》等国家有关规定追究相应责任。</w:t>
      </w:r>
    </w:p>
    <w:p w14:paraId="693536B7">
      <w:pPr>
        <w:pStyle w:val="17"/>
        <w:wordWrap w:val="0"/>
        <w:snapToGrid w:val="0"/>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rPr>
        <w:t>适用招标投标法的政府采购工程建设项目，投标人提供声明函内容不实的，属于弄虚作假骗取中标，依照《中华人民共和国招标投标法》等国家有关规定追究相应责任。</w:t>
      </w:r>
    </w:p>
    <w:p w14:paraId="799DF973">
      <w:pPr>
        <w:pStyle w:val="17"/>
        <w:wordWrap w:val="0"/>
        <w:snapToGrid w:val="0"/>
        <w:spacing w:line="360" w:lineRule="auto"/>
        <w:ind w:firstLine="422" w:firstLineChars="200"/>
        <w:jc w:val="left"/>
        <w:rPr>
          <w:rFonts w:hAnsi="宋体" w:cs="宋体"/>
          <w:b/>
          <w:color w:val="auto"/>
          <w:szCs w:val="21"/>
          <w:highlight w:val="none"/>
        </w:rPr>
      </w:pPr>
      <w:r>
        <w:rPr>
          <w:rFonts w:hint="eastAsia" w:hAnsi="宋体" w:cs="宋体"/>
          <w:b/>
          <w:color w:val="auto"/>
          <w:szCs w:val="21"/>
          <w:highlight w:val="none"/>
        </w:rPr>
        <w:t>2.5 《中小企业声明函》由参加投标的供应商提交，如供应商为代理商，须自行采集制造商的中小企业划分类型信息填入相应栏目并对其真实性负责。</w:t>
      </w:r>
    </w:p>
    <w:p w14:paraId="4E762DCC">
      <w:pPr>
        <w:keepNext w:val="0"/>
        <w:keepLines w:val="0"/>
        <w:pageBreakBefore w:val="0"/>
        <w:widowControl w:val="0"/>
        <w:tabs>
          <w:tab w:val="left" w:pos="518"/>
        </w:tabs>
        <w:kinsoku/>
        <w:wordWrap/>
        <w:overflowPunct/>
        <w:topLinePunct w:val="0"/>
        <w:autoSpaceDE/>
        <w:autoSpaceDN/>
        <w:bidi w:val="0"/>
        <w:adjustRightInd w:val="0"/>
        <w:snapToGrid w:val="0"/>
        <w:spacing w:line="40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3.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w:t>
      </w:r>
    </w:p>
    <w:p w14:paraId="59E0BB20">
      <w:pPr>
        <w:keepNext w:val="0"/>
        <w:keepLines w:val="0"/>
        <w:pageBreakBefore w:val="0"/>
        <w:widowControl w:val="0"/>
        <w:tabs>
          <w:tab w:val="left" w:pos="518"/>
        </w:tabs>
        <w:kinsoku/>
        <w:wordWrap/>
        <w:overflowPunct/>
        <w:topLinePunct w:val="0"/>
        <w:autoSpaceDE/>
        <w:autoSpaceDN/>
        <w:bidi w:val="0"/>
        <w:adjustRightInd w:val="0"/>
        <w:snapToGrid w:val="0"/>
        <w:spacing w:line="40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4.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14:paraId="47B6959F">
      <w:pPr>
        <w:tabs>
          <w:tab w:val="left" w:pos="518"/>
        </w:tabs>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.投标人应仔细阅读招标文件的所有内容，按照招标文件的要求提交投标文件，并对所提供的全部资料的真实性承担法律责任。</w:t>
      </w:r>
    </w:p>
    <w:p w14:paraId="050B2192">
      <w:pPr>
        <w:keepNext w:val="0"/>
        <w:keepLines w:val="0"/>
        <w:pageBreakBefore w:val="0"/>
        <w:widowControl w:val="0"/>
        <w:kinsoku/>
        <w:wordWrap/>
        <w:overflowPunct/>
        <w:topLinePunct w:val="0"/>
        <w:autoSpaceDE/>
        <w:autoSpaceDN/>
        <w:bidi w:val="0"/>
        <w:spacing w:line="400" w:lineRule="exact"/>
        <w:ind w:firstLine="403"/>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.投标人在投标活动中提供任何虚假材料，其投标无效。</w:t>
      </w:r>
    </w:p>
    <w:p w14:paraId="7A7BCC6D">
      <w:pPr>
        <w:pStyle w:val="41"/>
        <w:rPr>
          <w:rFonts w:hint="eastAsia"/>
          <w:color w:val="auto"/>
          <w:highlight w:val="none"/>
        </w:rPr>
      </w:pPr>
    </w:p>
    <w:p w14:paraId="389428A8">
      <w:pPr>
        <w:pStyle w:val="41"/>
        <w:rPr>
          <w:rFonts w:hint="eastAsia"/>
          <w:color w:val="auto"/>
          <w:highlight w:val="none"/>
        </w:rPr>
      </w:pPr>
    </w:p>
    <w:p w14:paraId="1C031363">
      <w:pPr>
        <w:pStyle w:val="41"/>
        <w:rPr>
          <w:rFonts w:hint="eastAsia"/>
          <w:color w:val="auto"/>
          <w:highlight w:val="none"/>
        </w:rPr>
      </w:pPr>
    </w:p>
    <w:p w14:paraId="0DA5C308">
      <w:pPr>
        <w:pStyle w:val="41"/>
        <w:rPr>
          <w:color w:val="auto"/>
          <w:highlight w:val="none"/>
        </w:rPr>
      </w:pPr>
    </w:p>
    <w:bookmarkEnd w:id="33"/>
    <w:p w14:paraId="4D89A18B">
      <w:pPr>
        <w:pStyle w:val="2"/>
        <w:outlineLvl w:val="9"/>
        <w:rPr>
          <w:rFonts w:ascii="宋体" w:hAnsi="宋体" w:cs="宋体"/>
          <w:color w:val="auto"/>
          <w:kern w:val="2"/>
          <w:sz w:val="21"/>
          <w:szCs w:val="21"/>
          <w:highlight w:val="none"/>
        </w:rPr>
        <w:sectPr>
          <w:footerReference r:id="rId5" w:type="default"/>
          <w:pgSz w:w="11906" w:h="16838"/>
          <w:pgMar w:top="1247" w:right="1134" w:bottom="1134" w:left="1247" w:header="851" w:footer="851" w:gutter="0"/>
          <w:cols w:space="720" w:num="1"/>
          <w:docGrid w:linePitch="312" w:charSpace="0"/>
        </w:sectPr>
      </w:pPr>
    </w:p>
    <w:p w14:paraId="504F765A">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ascii="Times New Roman" w:hAnsi="Times New Roman" w:eastAsia="宋体" w:cs="Times New Roman"/>
          <w:b/>
          <w:bCs/>
          <w:color w:val="auto"/>
          <w:kern w:val="44"/>
          <w:sz w:val="32"/>
          <w:szCs w:val="44"/>
          <w:highlight w:val="none"/>
          <w:lang w:val="en-US" w:eastAsia="zh-CN" w:bidi="ar-SA"/>
        </w:rPr>
      </w:pPr>
      <w:bookmarkStart w:id="40" w:name="_Toc19815"/>
      <w:bookmarkStart w:id="41" w:name="_Toc5744"/>
      <w:r>
        <w:rPr>
          <w:rFonts w:hint="eastAsia" w:ascii="Times New Roman" w:hAnsi="Times New Roman" w:eastAsia="宋体" w:cs="Times New Roman"/>
          <w:b/>
          <w:bCs/>
          <w:color w:val="auto"/>
          <w:kern w:val="44"/>
          <w:sz w:val="32"/>
          <w:szCs w:val="44"/>
          <w:highlight w:val="none"/>
          <w:lang w:val="en-US" w:eastAsia="zh-CN" w:bidi="ar-SA"/>
        </w:rPr>
        <w:t>第三部分  项目内容及要求</w:t>
      </w:r>
    </w:p>
    <w:p w14:paraId="4E68278F">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0"/>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一、项目概况</w:t>
      </w:r>
      <w:bookmarkEnd w:id="40"/>
    </w:p>
    <w:p w14:paraId="2A17F644">
      <w:pPr>
        <w:keepNext w:val="0"/>
        <w:keepLines w:val="0"/>
        <w:pageBreakBefore w:val="0"/>
        <w:widowControl w:val="0"/>
        <w:kinsoku/>
        <w:wordWrap/>
        <w:overflowPunct/>
        <w:topLinePunct w:val="0"/>
        <w:autoSpaceDE/>
        <w:autoSpaceDN/>
        <w:bidi w:val="0"/>
        <w:adjustRightInd/>
        <w:snapToGrid/>
        <w:spacing w:before="157" w:beforeLines="50" w:after="157" w:afterLines="50"/>
        <w:ind w:firstLine="482" w:firstLineChars="200"/>
        <w:textAlignment w:val="auto"/>
        <w:outlineLvl w:val="1"/>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1.1项目背景</w:t>
      </w:r>
    </w:p>
    <w:p w14:paraId="2E57AF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近年来，体育赛事活动在全球范围内蓬勃开展，不仅在推动全民健身、竞技体育、体育产业发展方面发挥了重要作用，而且成为展示国家和地区形象、提高影响力、激发经济发展和区域消费、增加就业岗位等重要措施之一。随着体育赛事规模的扩大和影响力的提升，组织、筹办和举办过程中会面临许多不确定性因素或事件，如社会治安、公共安全、交通运输、信息安全等。因此，需要加强赛事的安全风险管理，确保赛事的顺利进行。国际上，大型体育赛事的安全管理已经成为一个重要的议题，各国各地区政府为了保障赛事的安全运营，不惜投入巨大的人力、物力和财力，大型运动会的举办往往超出比赛本身的意义，尤其是国际性比赛涉及政治、经济、文化、宗教等一系列问题,成为众多社会问题、国际问题进发的“火山口”因此，在新的国际形势下重新考量大型体育赛事的公共安全问题显得尤为迫切。‌</w:t>
      </w:r>
    </w:p>
    <w:p w14:paraId="6ADF89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国家体育总局2024年7月发布的《体育场馆智慧化信息系统配置要求》政策文件指出：体育场馆向智慧化发展是新一代信息技术发展背景下体育场馆新建、改建、扩建的必经之路。体育场馆智慧化信息系统配置要求标准的制定，重点考虑了专业赛事、运营管理、运维管理、公共安全智慧化要素，明确了不同功能信息系统的配置要求。通过对体育场馆信息系统配置提出要求，厘清体育场馆智慧化建设思路，统一场馆智慧化建设要求，为场馆智慧化建设定基础并提供技术依据。</w:t>
      </w:r>
    </w:p>
    <w:p w14:paraId="6109FF4B">
      <w:pPr>
        <w:keepNext w:val="0"/>
        <w:keepLines w:val="0"/>
        <w:pageBreakBefore w:val="0"/>
        <w:widowControl w:val="0"/>
        <w:kinsoku/>
        <w:wordWrap/>
        <w:overflowPunct/>
        <w:topLinePunct w:val="0"/>
        <w:autoSpaceDE/>
        <w:autoSpaceDN/>
        <w:bidi w:val="0"/>
        <w:adjustRightInd/>
        <w:snapToGrid/>
        <w:spacing w:before="157" w:beforeLines="50" w:after="157" w:afterLines="50"/>
        <w:ind w:firstLine="482" w:firstLineChars="200"/>
        <w:textAlignment w:val="auto"/>
        <w:outlineLvl w:val="1"/>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1.2建设目标</w:t>
      </w:r>
    </w:p>
    <w:p w14:paraId="69172342">
      <w:pPr>
        <w:pStyle w:val="5"/>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北仑区体育赛事数字化应用项目通过构建数字化应用平台，实现体育赛事的信息化、智能化管理，提高赛事监管力度、服务保障水平和安全管理能力，推动体育赛事与数字技术的深度融合，促进体育产业数字化转型与高质量发展，构建智慧体育公共服务体系，加强体育数据安全与隐私保护，带动放大社会效益，有力提升北仑区体育赛事品牌形象。</w:t>
      </w:r>
    </w:p>
    <w:p w14:paraId="5F95D671">
      <w:pPr>
        <w:pStyle w:val="5"/>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预期绩效目标：强化政府在体育赛事管理中的监管与服务能力，实现整体场馆的孪生建模、物理设备可视化、智能安防建设、赛事网络安全保障等。鼓励并实践新技术在赛事管理中的应用，推动业务模式创新，提升体育赛事的智能化、个性化服务水平。构建全面的赛事安防体系，为运营单位提供实时、精准的数据支持，提高决策制定的科学性和针对性。</w:t>
      </w:r>
    </w:p>
    <w:p w14:paraId="248E1AFF">
      <w:pPr>
        <w:keepNext w:val="0"/>
        <w:keepLines w:val="0"/>
        <w:pageBreakBefore w:val="0"/>
        <w:widowControl w:val="0"/>
        <w:kinsoku/>
        <w:wordWrap/>
        <w:overflowPunct/>
        <w:topLinePunct w:val="0"/>
        <w:autoSpaceDE/>
        <w:autoSpaceDN/>
        <w:bidi w:val="0"/>
        <w:adjustRightInd/>
        <w:snapToGrid/>
        <w:spacing w:before="157" w:beforeLines="50" w:after="157" w:afterLines="50"/>
        <w:ind w:firstLine="482" w:firstLineChars="200"/>
        <w:textAlignment w:val="auto"/>
        <w:outlineLvl w:val="1"/>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1.3建设内容</w:t>
      </w:r>
    </w:p>
    <w:p w14:paraId="3EAFD8B2">
      <w:pPr>
        <w:pStyle w:val="5"/>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本项目建设内容主要包括业务应用层、应用支撑层、数据资源层、基础设施层、信息安全保障体系等内容。</w:t>
      </w:r>
    </w:p>
    <w:p w14:paraId="6C4C8FDE">
      <w:pPr>
        <w:pStyle w:val="5"/>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（1）业务应用层建设</w:t>
      </w:r>
    </w:p>
    <w:p w14:paraId="06987351">
      <w:pPr>
        <w:pStyle w:val="5"/>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Times New Roman" w:hAnsi="Times New Roman" w:eastAsia="宋体" w:cs="Times New Roman"/>
          <w:color w:val="auto"/>
          <w:kern w:val="2"/>
          <w:sz w:val="21"/>
          <w:szCs w:val="22"/>
          <w:highlight w:val="none"/>
          <w:lang w:val="en-US" w:eastAsia="zh-CN" w:bidi="ar-SA"/>
        </w:rPr>
      </w:pPr>
      <w:bookmarkStart w:id="42" w:name="_Hlk165884269"/>
      <w:r>
        <w:rPr>
          <w:rFonts w:hint="eastAsia" w:ascii="Times New Roman" w:hAnsi="Times New Roman" w:eastAsia="宋体" w:cs="Times New Roman"/>
          <w:color w:val="auto"/>
          <w:kern w:val="2"/>
          <w:sz w:val="21"/>
          <w:szCs w:val="22"/>
          <w:highlight w:val="none"/>
          <w:lang w:val="en-US" w:eastAsia="zh-CN" w:bidi="ar-SA"/>
        </w:rPr>
        <w:t>全面贯彻落实智慧体育场馆建设、国产化的新形势、新要求，建设北仑区体育赛事数字化应用，孪生应用包含体艺中心场馆人工建筑、体艺中心场馆设备、体艺中心场馆小品等方面的建模与渲染；可视化应用包含综合态势、场馆安防、人员态势、车流态势等方面的驾驶舱建设；物联网应用包含设备管理与图层管理的图上作业；应用管理包含安防、人员、车辆等方面管理；移动端应用包含人员与车辆等方面的消息推送。</w:t>
      </w:r>
    </w:p>
    <w:bookmarkEnd w:id="42"/>
    <w:p w14:paraId="4A4C7BED">
      <w:pPr>
        <w:pStyle w:val="5"/>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（2）应用支撑层建设</w:t>
      </w:r>
    </w:p>
    <w:p w14:paraId="5249FA77">
      <w:pPr>
        <w:pStyle w:val="5"/>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基于用户管理、权限管理、日志管理等方面搭建应用支撑层，其中用户管理包含机构管理、角色管理、账号管理等方面；权限管理包含服务授权、专题组织管理等方面，通过应用支撑层的搭建实现本级自建应用全面集成及从上至下的业务纵向贯通。</w:t>
      </w:r>
    </w:p>
    <w:p w14:paraId="6D6F04A2">
      <w:pPr>
        <w:pStyle w:val="5"/>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（3）数据资源层建设</w:t>
      </w:r>
    </w:p>
    <w:p w14:paraId="3F95CA1E">
      <w:pPr>
        <w:pStyle w:val="5"/>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按照项目产生的核心业务数据、项目共享外部数据、时空地理数据采集、业务专题数据、数据上报对接等维度搭建数据资源层，其中项目产生的核心业务数据包含安防建设基础信息、物联网设备信息、告警及报表数据等方面内容；时空地理数据采集采用DEM数据、DOM数据与OSGB数据；项目产生的物联网专题数据库与安防专题数据库全部可受限开放进行共享。</w:t>
      </w:r>
    </w:p>
    <w:p w14:paraId="493CFB07">
      <w:pPr>
        <w:pStyle w:val="5"/>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（4）基础设施层建设</w:t>
      </w:r>
    </w:p>
    <w:p w14:paraId="54CE1DA7">
      <w:pPr>
        <w:pStyle w:val="5"/>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kern w:val="2"/>
          <w:sz w:val="21"/>
          <w:szCs w:val="22"/>
          <w:highlight w:val="none"/>
          <w:lang w:val="en-US" w:eastAsia="zh-CN" w:bidi="ar-SA"/>
        </w:rPr>
        <w:t>以赛事指挥中心建设、网络安全建设、物联感知设备建设、安防系统建设为切入点开展基础设施层建设。赛事指挥中心建设主要包含赛事指挥中心大屏等配套内容，能实时反馈赛事及场所所发生的各类感知事件，实现实时应急指挥与调度；网络安全建设包含网络架构安全、传输安全和系统应用安全等方面；物联感知设备建设实现体育馆水、电、温度、空气质量等方面的监测与可控性，对于异常情况及时报警；安防系统建设主要涉及门禁、人闸、车辆轨迹等方面，通过技防的手段实现对体艺中心各个安防场景进行有效管控和实施监测。</w:t>
      </w:r>
    </w:p>
    <w:p w14:paraId="5A4A23ED">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textAlignment w:val="auto"/>
        <w:outlineLvl w:val="0"/>
        <w:rPr>
          <w:rFonts w:hint="eastAsia" w:ascii="Times New Roman" w:hAnsi="Times New Roman" w:eastAsia="宋体" w:cs="Times New Roman"/>
          <w:b/>
          <w:bCs/>
          <w:color w:val="auto"/>
          <w:kern w:val="2"/>
          <w:sz w:val="24"/>
          <w:szCs w:val="24"/>
          <w:highlight w:val="none"/>
          <w:lang w:val="en-US" w:eastAsia="zh-CN" w:bidi="ar-SA"/>
        </w:rPr>
      </w:pPr>
      <w:bookmarkStart w:id="43" w:name="_Toc25428"/>
      <w:r>
        <w:rPr>
          <w:rFonts w:hint="eastAsia" w:ascii="Times New Roman" w:hAnsi="Times New Roman" w:eastAsia="宋体" w:cs="Times New Roman"/>
          <w:b/>
          <w:bCs/>
          <w:color w:val="auto"/>
          <w:kern w:val="2"/>
          <w:sz w:val="24"/>
          <w:szCs w:val="24"/>
          <w:highlight w:val="none"/>
          <w:lang w:val="en-US" w:eastAsia="zh-CN" w:bidi="ar-SA"/>
        </w:rPr>
        <w:t>应用开发采购清单</w:t>
      </w:r>
      <w:bookmarkEnd w:id="43"/>
    </w:p>
    <w:tbl>
      <w:tblPr>
        <w:tblStyle w:val="28"/>
        <w:tblW w:w="491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7"/>
        <w:gridCol w:w="1499"/>
        <w:gridCol w:w="2042"/>
        <w:gridCol w:w="2299"/>
        <w:gridCol w:w="2594"/>
      </w:tblGrid>
      <w:tr w14:paraId="44749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547" w:type="pct"/>
            <w:tcBorders>
              <w:top w:val="single" w:color="000000" w:sz="4" w:space="0"/>
              <w:left w:val="single" w:color="000000" w:sz="4" w:space="0"/>
              <w:bottom w:val="single" w:color="000000" w:sz="4" w:space="0"/>
              <w:right w:val="single" w:color="000000" w:sz="4" w:space="0"/>
            </w:tcBorders>
            <w:noWrap w:val="0"/>
            <w:vAlign w:val="center"/>
          </w:tcPr>
          <w:p w14:paraId="70F039EF">
            <w:pPr>
              <w:keepNext w:val="0"/>
              <w:keepLines w:val="0"/>
              <w:widowControl/>
              <w:suppressLineNumbers w:val="0"/>
              <w:spacing w:line="240" w:lineRule="auto"/>
              <w:jc w:val="center"/>
              <w:textAlignment w:val="center"/>
              <w:rPr>
                <w:rFonts w:hint="eastAsia" w:ascii="Times New Roman" w:hAnsi="Times New Roman" w:eastAsia="宋体" w:cs="Times New Roman"/>
                <w:b/>
                <w:bCs/>
                <w:i w:val="0"/>
                <w:iCs w:val="0"/>
                <w:color w:val="auto"/>
                <w:sz w:val="20"/>
                <w:szCs w:val="20"/>
                <w:highlight w:val="none"/>
                <w:u w:val="none"/>
              </w:rPr>
            </w:pPr>
            <w:r>
              <w:rPr>
                <w:rFonts w:hint="eastAsia" w:ascii="Times New Roman" w:hAnsi="Times New Roman" w:eastAsia="宋体" w:cs="Times New Roman"/>
                <w:b/>
                <w:bCs/>
                <w:i w:val="0"/>
                <w:iCs w:val="0"/>
                <w:color w:val="auto"/>
                <w:kern w:val="0"/>
                <w:sz w:val="20"/>
                <w:szCs w:val="20"/>
                <w:highlight w:val="none"/>
                <w:u w:val="none"/>
                <w:lang w:val="en-US" w:eastAsia="zh-CN" w:bidi="ar"/>
              </w:rPr>
              <w:t>序号</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0D8FC1F">
            <w:pPr>
              <w:keepNext w:val="0"/>
              <w:keepLines w:val="0"/>
              <w:widowControl/>
              <w:suppressLineNumbers w:val="0"/>
              <w:spacing w:line="240" w:lineRule="auto"/>
              <w:jc w:val="center"/>
              <w:textAlignment w:val="center"/>
              <w:rPr>
                <w:rFonts w:hint="eastAsia" w:ascii="Times New Roman" w:hAnsi="Times New Roman" w:eastAsia="宋体" w:cs="Times New Roman"/>
                <w:b/>
                <w:bCs/>
                <w:i w:val="0"/>
                <w:iCs w:val="0"/>
                <w:color w:val="auto"/>
                <w:sz w:val="20"/>
                <w:szCs w:val="20"/>
                <w:highlight w:val="none"/>
                <w:u w:val="none"/>
              </w:rPr>
            </w:pPr>
            <w:r>
              <w:rPr>
                <w:rFonts w:hint="eastAsia" w:ascii="Times New Roman" w:hAnsi="Times New Roman" w:eastAsia="宋体" w:cs="Times New Roman"/>
                <w:b/>
                <w:bCs/>
                <w:i w:val="0"/>
                <w:iCs w:val="0"/>
                <w:color w:val="auto"/>
                <w:kern w:val="0"/>
                <w:sz w:val="20"/>
                <w:szCs w:val="20"/>
                <w:highlight w:val="none"/>
                <w:u w:val="none"/>
                <w:lang w:val="en-US" w:eastAsia="zh-CN" w:bidi="ar"/>
              </w:rPr>
              <w:t>系统/功能模块</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14:paraId="1EE03E19">
            <w:pPr>
              <w:keepNext w:val="0"/>
              <w:keepLines w:val="0"/>
              <w:widowControl/>
              <w:suppressLineNumbers w:val="0"/>
              <w:spacing w:line="240" w:lineRule="auto"/>
              <w:jc w:val="center"/>
              <w:textAlignment w:val="center"/>
              <w:rPr>
                <w:rFonts w:hint="eastAsia" w:ascii="Times New Roman" w:hAnsi="Times New Roman" w:eastAsia="宋体" w:cs="Times New Roman"/>
                <w:b/>
                <w:bCs/>
                <w:i w:val="0"/>
                <w:iCs w:val="0"/>
                <w:color w:val="auto"/>
                <w:sz w:val="20"/>
                <w:szCs w:val="20"/>
                <w:highlight w:val="none"/>
                <w:u w:val="none"/>
              </w:rPr>
            </w:pPr>
            <w:r>
              <w:rPr>
                <w:rFonts w:hint="eastAsia" w:ascii="Times New Roman" w:hAnsi="Times New Roman" w:eastAsia="宋体" w:cs="Times New Roman"/>
                <w:b/>
                <w:bCs/>
                <w:i w:val="0"/>
                <w:iCs w:val="0"/>
                <w:color w:val="auto"/>
                <w:kern w:val="0"/>
                <w:sz w:val="20"/>
                <w:szCs w:val="20"/>
                <w:highlight w:val="none"/>
                <w:u w:val="none"/>
                <w:lang w:val="en-US" w:eastAsia="zh-CN" w:bidi="ar"/>
              </w:rPr>
              <w:t>一级功能</w:t>
            </w: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11F777F1">
            <w:pPr>
              <w:keepNext w:val="0"/>
              <w:keepLines w:val="0"/>
              <w:widowControl/>
              <w:suppressLineNumbers w:val="0"/>
              <w:spacing w:line="240" w:lineRule="auto"/>
              <w:jc w:val="center"/>
              <w:textAlignment w:val="center"/>
              <w:rPr>
                <w:rFonts w:hint="eastAsia" w:ascii="Times New Roman" w:hAnsi="Times New Roman" w:eastAsia="宋体" w:cs="Times New Roman"/>
                <w:b/>
                <w:bCs/>
                <w:i w:val="0"/>
                <w:iCs w:val="0"/>
                <w:color w:val="auto"/>
                <w:sz w:val="20"/>
                <w:szCs w:val="20"/>
                <w:highlight w:val="none"/>
                <w:u w:val="none"/>
              </w:rPr>
            </w:pPr>
            <w:r>
              <w:rPr>
                <w:rFonts w:hint="eastAsia" w:ascii="Times New Roman" w:hAnsi="Times New Roman" w:eastAsia="宋体" w:cs="Times New Roman"/>
                <w:b/>
                <w:bCs/>
                <w:i w:val="0"/>
                <w:iCs w:val="0"/>
                <w:color w:val="auto"/>
                <w:kern w:val="0"/>
                <w:sz w:val="20"/>
                <w:szCs w:val="20"/>
                <w:highlight w:val="none"/>
                <w:u w:val="none"/>
                <w:lang w:val="en-US" w:eastAsia="zh-CN" w:bidi="ar"/>
              </w:rPr>
              <w:t>二级功能</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4F9052F6">
            <w:pPr>
              <w:keepNext w:val="0"/>
              <w:keepLines w:val="0"/>
              <w:widowControl/>
              <w:suppressLineNumbers w:val="0"/>
              <w:spacing w:line="240" w:lineRule="auto"/>
              <w:jc w:val="center"/>
              <w:textAlignment w:val="center"/>
              <w:rPr>
                <w:rFonts w:hint="eastAsia" w:ascii="Times New Roman" w:hAnsi="Times New Roman" w:eastAsia="宋体" w:cs="Times New Roman"/>
                <w:b/>
                <w:bCs/>
                <w:i w:val="0"/>
                <w:iCs w:val="0"/>
                <w:color w:val="auto"/>
                <w:sz w:val="20"/>
                <w:szCs w:val="20"/>
                <w:highlight w:val="none"/>
                <w:u w:val="none"/>
              </w:rPr>
            </w:pPr>
            <w:r>
              <w:rPr>
                <w:rFonts w:hint="eastAsia" w:ascii="Times New Roman" w:hAnsi="Times New Roman" w:eastAsia="宋体" w:cs="Times New Roman"/>
                <w:b/>
                <w:bCs/>
                <w:i w:val="0"/>
                <w:iCs w:val="0"/>
                <w:color w:val="auto"/>
                <w:kern w:val="0"/>
                <w:sz w:val="20"/>
                <w:szCs w:val="20"/>
                <w:highlight w:val="none"/>
                <w:u w:val="none"/>
                <w:lang w:val="en-US" w:eastAsia="zh-CN" w:bidi="ar"/>
              </w:rPr>
              <w:t>三级功能</w:t>
            </w:r>
          </w:p>
        </w:tc>
      </w:tr>
      <w:tr w14:paraId="4F364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547" w:type="pct"/>
            <w:tcBorders>
              <w:top w:val="single" w:color="000000" w:sz="4" w:space="0"/>
              <w:left w:val="single" w:color="000000" w:sz="4" w:space="0"/>
              <w:bottom w:val="single" w:color="000000" w:sz="4" w:space="0"/>
              <w:right w:val="single" w:color="000000" w:sz="4" w:space="0"/>
            </w:tcBorders>
            <w:noWrap/>
            <w:vAlign w:val="center"/>
          </w:tcPr>
          <w:p w14:paraId="20B63505">
            <w:pPr>
              <w:keepNext w:val="0"/>
              <w:keepLines w:val="0"/>
              <w:widowControl/>
              <w:suppressLineNumbers w:val="0"/>
              <w:spacing w:line="240" w:lineRule="auto"/>
              <w:jc w:val="center"/>
              <w:textAlignment w:val="center"/>
              <w:rPr>
                <w:rFonts w:hint="eastAsia" w:ascii="Times New Roman" w:hAnsi="Times New Roman" w:eastAsia="宋体" w:cs="Times New Roman"/>
                <w:b/>
                <w:bCs/>
                <w:i w:val="0"/>
                <w:iCs w:val="0"/>
                <w:color w:val="auto"/>
                <w:sz w:val="20"/>
                <w:szCs w:val="20"/>
                <w:highlight w:val="none"/>
                <w:u w:val="none"/>
              </w:rPr>
            </w:pPr>
            <w:r>
              <w:rPr>
                <w:rFonts w:hint="eastAsia" w:ascii="Times New Roman" w:hAnsi="Times New Roman" w:eastAsia="宋体" w:cs="Times New Roman"/>
                <w:b/>
                <w:bCs/>
                <w:i w:val="0"/>
                <w:iCs w:val="0"/>
                <w:color w:val="auto"/>
                <w:kern w:val="0"/>
                <w:sz w:val="20"/>
                <w:szCs w:val="20"/>
                <w:highlight w:val="none"/>
                <w:u w:val="none"/>
                <w:lang w:val="en-US" w:eastAsia="zh-CN" w:bidi="ar"/>
              </w:rPr>
              <w:t>一</w:t>
            </w:r>
          </w:p>
        </w:tc>
        <w:tc>
          <w:tcPr>
            <w:tcW w:w="4452" w:type="pct"/>
            <w:gridSpan w:val="4"/>
            <w:tcBorders>
              <w:top w:val="single" w:color="000000" w:sz="4" w:space="0"/>
              <w:left w:val="single" w:color="000000" w:sz="4" w:space="0"/>
              <w:bottom w:val="single" w:color="000000" w:sz="4" w:space="0"/>
              <w:right w:val="single" w:color="000000" w:sz="4" w:space="0"/>
            </w:tcBorders>
            <w:noWrap w:val="0"/>
            <w:vAlign w:val="center"/>
          </w:tcPr>
          <w:p w14:paraId="5F5DF0C7">
            <w:pPr>
              <w:keepNext w:val="0"/>
              <w:keepLines w:val="0"/>
              <w:widowControl/>
              <w:suppressLineNumbers w:val="0"/>
              <w:spacing w:line="240" w:lineRule="auto"/>
              <w:jc w:val="center"/>
              <w:textAlignment w:val="center"/>
              <w:rPr>
                <w:rFonts w:hint="eastAsia" w:ascii="Times New Roman" w:hAnsi="Times New Roman" w:eastAsia="宋体" w:cs="Times New Roman"/>
                <w:b/>
                <w:bCs/>
                <w:i w:val="0"/>
                <w:iCs w:val="0"/>
                <w:color w:val="auto"/>
                <w:kern w:val="0"/>
                <w:sz w:val="20"/>
                <w:szCs w:val="20"/>
                <w:highlight w:val="none"/>
                <w:u w:val="none"/>
                <w:lang w:val="en-US" w:eastAsia="zh-CN" w:bidi="ar"/>
              </w:rPr>
            </w:pPr>
            <w:r>
              <w:rPr>
                <w:rFonts w:hint="eastAsia" w:ascii="Times New Roman" w:hAnsi="Times New Roman" w:eastAsia="宋体" w:cs="Times New Roman"/>
                <w:b/>
                <w:bCs/>
                <w:i w:val="0"/>
                <w:iCs w:val="0"/>
                <w:color w:val="auto"/>
                <w:kern w:val="0"/>
                <w:sz w:val="20"/>
                <w:szCs w:val="20"/>
                <w:highlight w:val="none"/>
                <w:u w:val="none"/>
                <w:lang w:val="en-US" w:eastAsia="zh-CN" w:bidi="ar"/>
              </w:rPr>
              <w:t>业务应用层建设</w:t>
            </w:r>
          </w:p>
        </w:tc>
      </w:tr>
      <w:tr w14:paraId="4BA16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47" w:type="pct"/>
            <w:vMerge w:val="restart"/>
            <w:tcBorders>
              <w:top w:val="single" w:color="000000" w:sz="4" w:space="0"/>
              <w:left w:val="single" w:color="000000" w:sz="4" w:space="0"/>
              <w:bottom w:val="single" w:color="000000" w:sz="4" w:space="0"/>
              <w:right w:val="single" w:color="000000" w:sz="4" w:space="0"/>
            </w:tcBorders>
            <w:noWrap/>
            <w:vAlign w:val="center"/>
          </w:tcPr>
          <w:p w14:paraId="75DE1883">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1</w:t>
            </w:r>
          </w:p>
        </w:tc>
        <w:tc>
          <w:tcPr>
            <w:tcW w:w="791" w:type="pct"/>
            <w:vMerge w:val="restart"/>
            <w:tcBorders>
              <w:top w:val="single" w:color="000000" w:sz="4" w:space="0"/>
              <w:left w:val="single" w:color="000000" w:sz="4" w:space="0"/>
              <w:bottom w:val="single" w:color="000000" w:sz="4" w:space="0"/>
              <w:right w:val="single" w:color="000000" w:sz="4" w:space="0"/>
            </w:tcBorders>
            <w:noWrap w:val="0"/>
            <w:vAlign w:val="center"/>
          </w:tcPr>
          <w:p w14:paraId="02D7FB55">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数字孪生</w:t>
            </w:r>
          </w:p>
        </w:tc>
        <w:tc>
          <w:tcPr>
            <w:tcW w:w="1077" w:type="pct"/>
            <w:vMerge w:val="restart"/>
            <w:tcBorders>
              <w:top w:val="single" w:color="000000" w:sz="4" w:space="0"/>
              <w:left w:val="single" w:color="000000" w:sz="4" w:space="0"/>
              <w:bottom w:val="single" w:color="000000" w:sz="4" w:space="0"/>
              <w:right w:val="single" w:color="000000" w:sz="4" w:space="0"/>
            </w:tcBorders>
            <w:noWrap w:val="0"/>
            <w:vAlign w:val="center"/>
          </w:tcPr>
          <w:p w14:paraId="19B1A186">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孪生引擎</w:t>
            </w: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1654C5CE">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引擎库</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2A6B6328">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4C41A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20BFC771">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D2EBFC">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7EAC11">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2F6856D7">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三维数据引擎</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3E0DB5AF">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6DE99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3A646666">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38DFCA">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324B46">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1F9BCDC0">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二维数据引擎</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5971327A">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3308B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0BFF6415">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01C0D3">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FEEB72">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684EF689">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数据批次</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552CD541">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45E0F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0F0B6846">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709A27">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restart"/>
            <w:tcBorders>
              <w:top w:val="single" w:color="000000" w:sz="4" w:space="0"/>
              <w:left w:val="single" w:color="000000" w:sz="4" w:space="0"/>
              <w:bottom w:val="single" w:color="000000" w:sz="4" w:space="0"/>
              <w:right w:val="single" w:color="000000" w:sz="4" w:space="0"/>
            </w:tcBorders>
            <w:noWrap w:val="0"/>
            <w:vAlign w:val="center"/>
          </w:tcPr>
          <w:p w14:paraId="1A280E1B">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孪生建模</w:t>
            </w:r>
          </w:p>
        </w:tc>
        <w:tc>
          <w:tcPr>
            <w:tcW w:w="1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3C8F7505">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体艺中心场馆人工建筑模型</w:t>
            </w:r>
          </w:p>
        </w:tc>
        <w:tc>
          <w:tcPr>
            <w:tcW w:w="1369" w:type="pct"/>
            <w:tcBorders>
              <w:top w:val="single" w:color="000000" w:sz="4" w:space="0"/>
              <w:left w:val="single" w:color="000000" w:sz="4" w:space="0"/>
              <w:bottom w:val="single" w:color="000000" w:sz="4" w:space="0"/>
              <w:right w:val="single" w:color="000000" w:sz="4" w:space="0"/>
            </w:tcBorders>
            <w:noWrap/>
            <w:vAlign w:val="center"/>
          </w:tcPr>
          <w:p w14:paraId="3F2B906A">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数字孪生模型</w:t>
            </w:r>
          </w:p>
        </w:tc>
      </w:tr>
      <w:tr w14:paraId="2FAE9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272E4AF7">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25CF91">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50F2C9">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8DF333">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369" w:type="pct"/>
            <w:tcBorders>
              <w:top w:val="single" w:color="000000" w:sz="4" w:space="0"/>
              <w:left w:val="single" w:color="000000" w:sz="4" w:space="0"/>
              <w:bottom w:val="single" w:color="000000" w:sz="4" w:space="0"/>
              <w:right w:val="single" w:color="000000" w:sz="4" w:space="0"/>
            </w:tcBorders>
            <w:noWrap/>
            <w:vAlign w:val="center"/>
          </w:tcPr>
          <w:p w14:paraId="640CA252">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建筑贴图模型</w:t>
            </w:r>
          </w:p>
        </w:tc>
      </w:tr>
      <w:tr w14:paraId="3E8A3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55311E37">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613F28">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058ADE">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5CF8C4C5">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体艺中心场馆设备模型</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4DF20824">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435BD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7D2D837B">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C8C7E3">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A32FA2">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3B83ED0A">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体艺中心场馆小品模型</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259B1C60">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24740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23FABF06">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6743D7">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restart"/>
            <w:tcBorders>
              <w:top w:val="single" w:color="000000" w:sz="4" w:space="0"/>
              <w:left w:val="single" w:color="000000" w:sz="4" w:space="0"/>
              <w:bottom w:val="single" w:color="000000" w:sz="4" w:space="0"/>
              <w:right w:val="single" w:color="000000" w:sz="4" w:space="0"/>
            </w:tcBorders>
            <w:noWrap w:val="0"/>
            <w:vAlign w:val="center"/>
          </w:tcPr>
          <w:p w14:paraId="5D436BF1">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孪生渲染</w:t>
            </w: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5CD6F829">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数据渲染</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33524FE5">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3735E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4E7130E7">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77234D">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C3E614">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59AC3132">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特效渲染</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5516582D">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4061E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2D51F8F5">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79EFBA">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9D5BA3">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38B6815E">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动态天气</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04F32E51">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42559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708B1C1F">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48FE7C">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7C65E6">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526AF6DF">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起伏体态热力图</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6BE47BF0">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4F323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6E12558C">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9181DF">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F413D2">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32F5CFA3">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PBR材质渲染</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00DF6791">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29701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1B34797D">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63C8F2">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DAFFF7">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6E385F58">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楼层拆分动画</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79C6F4E9">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11AC4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53D81B02">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7B5925">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BAD2D9">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46D4F574">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实时光照渲染</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4FA45C5A">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516DB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6773AA29">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05B642">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C53178">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0FAB22ED">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静态场景融合动态视频</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6C4F2813">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08C13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6FF38A1B">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FFC808">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tcBorders>
              <w:top w:val="single" w:color="000000" w:sz="4" w:space="0"/>
              <w:left w:val="single" w:color="000000" w:sz="4" w:space="0"/>
              <w:bottom w:val="single" w:color="000000" w:sz="4" w:space="0"/>
              <w:right w:val="single" w:color="000000" w:sz="4" w:space="0"/>
            </w:tcBorders>
            <w:noWrap w:val="0"/>
            <w:vAlign w:val="center"/>
          </w:tcPr>
          <w:p w14:paraId="02C0152A">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 xml:space="preserve"> </w:t>
            </w:r>
            <w:r>
              <w:rPr>
                <w:rStyle w:val="44"/>
                <w:rFonts w:hint="eastAsia" w:ascii="Times New Roman" w:hAnsi="Times New Roman" w:eastAsia="宋体" w:cs="Times New Roman"/>
                <w:b w:val="0"/>
                <w:bCs w:val="0"/>
                <w:color w:val="auto"/>
                <w:sz w:val="20"/>
                <w:szCs w:val="20"/>
                <w:highlight w:val="none"/>
                <w:lang w:val="en-US" w:eastAsia="zh-CN" w:bidi="ar"/>
              </w:rPr>
              <w:t>孪生页面转换</w:t>
            </w: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6A40F6B0">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1A791324">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08BE0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0DD06C77">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660A8D">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tcBorders>
              <w:top w:val="single" w:color="000000" w:sz="4" w:space="0"/>
              <w:left w:val="single" w:color="000000" w:sz="4" w:space="0"/>
              <w:bottom w:val="single" w:color="000000" w:sz="4" w:space="0"/>
              <w:right w:val="single" w:color="000000" w:sz="4" w:space="0"/>
            </w:tcBorders>
            <w:noWrap w:val="0"/>
            <w:vAlign w:val="center"/>
          </w:tcPr>
          <w:p w14:paraId="4B7AEF47">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 xml:space="preserve"> </w:t>
            </w:r>
            <w:r>
              <w:rPr>
                <w:rStyle w:val="44"/>
                <w:rFonts w:hint="eastAsia" w:ascii="Times New Roman" w:hAnsi="Times New Roman" w:eastAsia="宋体" w:cs="Times New Roman"/>
                <w:b w:val="0"/>
                <w:bCs w:val="0"/>
                <w:color w:val="auto"/>
                <w:sz w:val="20"/>
                <w:szCs w:val="20"/>
                <w:highlight w:val="none"/>
                <w:lang w:val="en-US" w:eastAsia="zh-CN" w:bidi="ar"/>
              </w:rPr>
              <w:t>周边信息展示</w:t>
            </w: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1D41D318">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18B6799A">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4D93C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47" w:type="pct"/>
            <w:vMerge w:val="restart"/>
            <w:tcBorders>
              <w:top w:val="single" w:color="000000" w:sz="4" w:space="0"/>
              <w:left w:val="single" w:color="000000" w:sz="4" w:space="0"/>
              <w:bottom w:val="single" w:color="000000" w:sz="4" w:space="0"/>
              <w:right w:val="single" w:color="000000" w:sz="4" w:space="0"/>
            </w:tcBorders>
            <w:noWrap/>
            <w:vAlign w:val="center"/>
          </w:tcPr>
          <w:p w14:paraId="6D292F5F">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2</w:t>
            </w:r>
          </w:p>
        </w:tc>
        <w:tc>
          <w:tcPr>
            <w:tcW w:w="791" w:type="pct"/>
            <w:vMerge w:val="restart"/>
            <w:tcBorders>
              <w:top w:val="single" w:color="000000" w:sz="4" w:space="0"/>
              <w:left w:val="single" w:color="000000" w:sz="4" w:space="0"/>
              <w:bottom w:val="single" w:color="000000" w:sz="4" w:space="0"/>
              <w:right w:val="single" w:color="000000" w:sz="4" w:space="0"/>
            </w:tcBorders>
            <w:noWrap w:val="0"/>
            <w:vAlign w:val="center"/>
          </w:tcPr>
          <w:p w14:paraId="5A1FC65A">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孪生展示</w:t>
            </w:r>
          </w:p>
        </w:tc>
        <w:tc>
          <w:tcPr>
            <w:tcW w:w="1077" w:type="pct"/>
            <w:vMerge w:val="restart"/>
            <w:tcBorders>
              <w:top w:val="single" w:color="000000" w:sz="4" w:space="0"/>
              <w:left w:val="single" w:color="000000" w:sz="4" w:space="0"/>
              <w:bottom w:val="single" w:color="000000" w:sz="4" w:space="0"/>
              <w:right w:val="single" w:color="000000" w:sz="4" w:space="0"/>
            </w:tcBorders>
            <w:noWrap w:val="0"/>
            <w:vAlign w:val="center"/>
          </w:tcPr>
          <w:p w14:paraId="6CF376EE">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综合态势可视化</w:t>
            </w:r>
          </w:p>
        </w:tc>
        <w:tc>
          <w:tcPr>
            <w:tcW w:w="1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467B89B6">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日常管理</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0EB29065">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场馆概况</w:t>
            </w:r>
          </w:p>
        </w:tc>
      </w:tr>
      <w:tr w14:paraId="794F6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3003ABE5">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2CB27C">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B28121">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EF8E4C">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5328E29A">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运行总览</w:t>
            </w:r>
          </w:p>
        </w:tc>
      </w:tr>
      <w:tr w14:paraId="276D8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5AC177F7">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3ED685">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4750AD">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53F71A">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62CA0F77">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今日事件</w:t>
            </w:r>
          </w:p>
        </w:tc>
      </w:tr>
      <w:tr w14:paraId="73FE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3ED1692B">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3CC2CB">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DBE827">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vMerge w:val="restart"/>
            <w:tcBorders>
              <w:top w:val="single" w:color="000000" w:sz="4" w:space="0"/>
              <w:left w:val="single" w:color="000000" w:sz="4" w:space="0"/>
              <w:bottom w:val="single" w:color="000000" w:sz="4" w:space="0"/>
              <w:right w:val="single" w:color="000000" w:sz="4" w:space="0"/>
            </w:tcBorders>
            <w:noWrap w:val="0"/>
            <w:vAlign w:val="center"/>
          </w:tcPr>
          <w:p w14:paraId="176D0DDA">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告警信息</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667CDDE4">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 xml:space="preserve"> </w:t>
            </w:r>
            <w:r>
              <w:rPr>
                <w:rStyle w:val="44"/>
                <w:rFonts w:hint="eastAsia" w:ascii="Times New Roman" w:hAnsi="Times New Roman" w:eastAsia="宋体" w:cs="Times New Roman"/>
                <w:b w:val="0"/>
                <w:bCs w:val="0"/>
                <w:color w:val="auto"/>
                <w:sz w:val="20"/>
                <w:szCs w:val="20"/>
                <w:highlight w:val="none"/>
                <w:lang w:val="en-US" w:eastAsia="zh-CN" w:bidi="ar"/>
              </w:rPr>
              <w:t>设备告警</w:t>
            </w:r>
          </w:p>
        </w:tc>
      </w:tr>
      <w:tr w14:paraId="0AF0E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40161F97">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AC6AAC">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B34FEB">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70524A">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149E29E7">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 xml:space="preserve"> </w:t>
            </w:r>
            <w:r>
              <w:rPr>
                <w:rStyle w:val="44"/>
                <w:rFonts w:hint="eastAsia" w:ascii="Times New Roman" w:hAnsi="Times New Roman" w:eastAsia="宋体" w:cs="Times New Roman"/>
                <w:b w:val="0"/>
                <w:bCs w:val="0"/>
                <w:color w:val="auto"/>
                <w:sz w:val="20"/>
                <w:szCs w:val="20"/>
                <w:highlight w:val="none"/>
                <w:lang w:val="en-US" w:eastAsia="zh-CN" w:bidi="ar"/>
              </w:rPr>
              <w:t>告警联动</w:t>
            </w:r>
          </w:p>
        </w:tc>
      </w:tr>
      <w:tr w14:paraId="21AEC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5B8497D4">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9BDF85">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F266A9">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299E8128">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 xml:space="preserve"> </w:t>
            </w:r>
            <w:r>
              <w:rPr>
                <w:rStyle w:val="44"/>
                <w:rFonts w:hint="eastAsia" w:ascii="Times New Roman" w:hAnsi="Times New Roman" w:eastAsia="宋体" w:cs="Times New Roman"/>
                <w:b w:val="0"/>
                <w:bCs w:val="0"/>
                <w:color w:val="auto"/>
                <w:sz w:val="20"/>
                <w:szCs w:val="20"/>
                <w:highlight w:val="none"/>
                <w:lang w:val="en-US" w:eastAsia="zh-CN" w:bidi="ar"/>
              </w:rPr>
              <w:t>设备信息</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535E65AF">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2FFF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2B2451FF">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04432C">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D8E269">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33CD2428">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 xml:space="preserve"> </w:t>
            </w:r>
            <w:r>
              <w:rPr>
                <w:rStyle w:val="44"/>
                <w:rFonts w:hint="eastAsia" w:ascii="Times New Roman" w:hAnsi="Times New Roman" w:eastAsia="宋体" w:cs="Times New Roman"/>
                <w:b w:val="0"/>
                <w:bCs w:val="0"/>
                <w:color w:val="auto"/>
                <w:sz w:val="20"/>
                <w:szCs w:val="20"/>
                <w:highlight w:val="none"/>
                <w:lang w:val="en-US" w:eastAsia="zh-CN" w:bidi="ar"/>
              </w:rPr>
              <w:t>人员信息</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0E399A34">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7EBB8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67EA34BC">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96F91F">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7536FB">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4189C4B1">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 xml:space="preserve"> </w:t>
            </w:r>
            <w:r>
              <w:rPr>
                <w:rStyle w:val="44"/>
                <w:rFonts w:hint="eastAsia" w:ascii="Times New Roman" w:hAnsi="Times New Roman" w:eastAsia="宋体" w:cs="Times New Roman"/>
                <w:b w:val="0"/>
                <w:bCs w:val="0"/>
                <w:color w:val="auto"/>
                <w:sz w:val="20"/>
                <w:szCs w:val="20"/>
                <w:highlight w:val="none"/>
                <w:lang w:val="en-US" w:eastAsia="zh-CN" w:bidi="ar"/>
              </w:rPr>
              <w:t>车辆信息</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203945AE">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5D314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51730D17">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018C55">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05992E">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5E9A1780">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 xml:space="preserve"> </w:t>
            </w:r>
            <w:r>
              <w:rPr>
                <w:rStyle w:val="45"/>
                <w:rFonts w:hint="eastAsia" w:ascii="Times New Roman" w:hAnsi="Times New Roman" w:eastAsia="宋体" w:cs="Times New Roman"/>
                <w:b w:val="0"/>
                <w:bCs w:val="0"/>
                <w:color w:val="auto"/>
                <w:sz w:val="20"/>
                <w:szCs w:val="20"/>
                <w:highlight w:val="none"/>
                <w:lang w:val="en-US" w:eastAsia="zh-CN" w:bidi="ar"/>
              </w:rPr>
              <w:t>座位信息</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125643EB">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32663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04662624">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F749A8">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restart"/>
            <w:tcBorders>
              <w:top w:val="single" w:color="000000" w:sz="4" w:space="0"/>
              <w:left w:val="single" w:color="000000" w:sz="4" w:space="0"/>
              <w:bottom w:val="single" w:color="000000" w:sz="4" w:space="0"/>
              <w:right w:val="single" w:color="000000" w:sz="4" w:space="0"/>
            </w:tcBorders>
            <w:noWrap w:val="0"/>
            <w:vAlign w:val="center"/>
          </w:tcPr>
          <w:p w14:paraId="11897DD2">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场馆安防可视化</w:t>
            </w: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2289779A">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 xml:space="preserve"> </w:t>
            </w:r>
            <w:r>
              <w:rPr>
                <w:rStyle w:val="44"/>
                <w:rFonts w:hint="eastAsia" w:ascii="Times New Roman" w:hAnsi="Times New Roman" w:eastAsia="宋体" w:cs="Times New Roman"/>
                <w:b w:val="0"/>
                <w:bCs w:val="0"/>
                <w:color w:val="auto"/>
                <w:sz w:val="20"/>
                <w:szCs w:val="20"/>
                <w:highlight w:val="none"/>
                <w:lang w:val="en-US" w:eastAsia="zh-CN" w:bidi="ar"/>
              </w:rPr>
              <w:t>实时监控</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32633B75">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62066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089080FF">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1305FD">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665E30">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77A1641B">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 xml:space="preserve"> </w:t>
            </w:r>
            <w:r>
              <w:rPr>
                <w:rStyle w:val="44"/>
                <w:rFonts w:hint="eastAsia" w:ascii="Times New Roman" w:hAnsi="Times New Roman" w:eastAsia="宋体" w:cs="Times New Roman"/>
                <w:b w:val="0"/>
                <w:bCs w:val="0"/>
                <w:color w:val="auto"/>
                <w:sz w:val="20"/>
                <w:szCs w:val="20"/>
                <w:highlight w:val="none"/>
                <w:lang w:val="en-US" w:eastAsia="zh-CN" w:bidi="ar"/>
              </w:rPr>
              <w:t>风险预警</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13358914">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5DFA9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5DF41E4C">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FA00AD">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6BF419">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23D7B8E4">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 xml:space="preserve"> </w:t>
            </w:r>
            <w:r>
              <w:rPr>
                <w:rStyle w:val="44"/>
                <w:rFonts w:hint="eastAsia" w:ascii="Times New Roman" w:hAnsi="Times New Roman" w:eastAsia="宋体" w:cs="Times New Roman"/>
                <w:b w:val="0"/>
                <w:bCs w:val="0"/>
                <w:color w:val="auto"/>
                <w:sz w:val="20"/>
                <w:szCs w:val="20"/>
                <w:highlight w:val="none"/>
                <w:lang w:val="en-US" w:eastAsia="zh-CN" w:bidi="ar"/>
              </w:rPr>
              <w:t>决策支持</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1EA2F471">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1D79E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7B6F3FF8">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B98222">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E3F579">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3E7F593C">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 xml:space="preserve"> </w:t>
            </w:r>
            <w:r>
              <w:rPr>
                <w:rStyle w:val="44"/>
                <w:rFonts w:hint="eastAsia" w:ascii="Times New Roman" w:hAnsi="Times New Roman" w:eastAsia="宋体" w:cs="Times New Roman"/>
                <w:b w:val="0"/>
                <w:bCs w:val="0"/>
                <w:color w:val="auto"/>
                <w:sz w:val="20"/>
                <w:szCs w:val="20"/>
                <w:highlight w:val="none"/>
                <w:lang w:val="en-US" w:eastAsia="zh-CN" w:bidi="ar"/>
              </w:rPr>
              <w:t>统一指挥</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6D35AC84">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58108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5B20FD91">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8B512A">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restart"/>
            <w:tcBorders>
              <w:top w:val="single" w:color="000000" w:sz="4" w:space="0"/>
              <w:left w:val="single" w:color="000000" w:sz="4" w:space="0"/>
              <w:bottom w:val="single" w:color="000000" w:sz="4" w:space="0"/>
              <w:right w:val="single" w:color="000000" w:sz="4" w:space="0"/>
            </w:tcBorders>
            <w:noWrap w:val="0"/>
            <w:vAlign w:val="center"/>
          </w:tcPr>
          <w:p w14:paraId="360C0888">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人员态势可视化</w:t>
            </w: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43C38F6C">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热力分布</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314B53AE">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097E4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5C787FBA">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A20BA7">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CF10D8">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53800C53">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 xml:space="preserve"> </w:t>
            </w:r>
            <w:r>
              <w:rPr>
                <w:rStyle w:val="44"/>
                <w:rFonts w:hint="eastAsia" w:ascii="Times New Roman" w:hAnsi="Times New Roman" w:eastAsia="宋体" w:cs="Times New Roman"/>
                <w:b w:val="0"/>
                <w:bCs w:val="0"/>
                <w:color w:val="auto"/>
                <w:sz w:val="20"/>
                <w:szCs w:val="20"/>
                <w:highlight w:val="none"/>
                <w:lang w:val="en-US" w:eastAsia="zh-CN" w:bidi="ar"/>
              </w:rPr>
              <w:t>人员统计</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6AF7F960">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0F037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215914C3">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2C9835">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3DD4D1">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640FC296">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 xml:space="preserve"> </w:t>
            </w:r>
            <w:r>
              <w:rPr>
                <w:rStyle w:val="44"/>
                <w:rFonts w:hint="eastAsia" w:ascii="Times New Roman" w:hAnsi="Times New Roman" w:eastAsia="宋体" w:cs="Times New Roman"/>
                <w:b w:val="0"/>
                <w:bCs w:val="0"/>
                <w:color w:val="auto"/>
                <w:sz w:val="20"/>
                <w:szCs w:val="20"/>
                <w:highlight w:val="none"/>
                <w:lang w:val="en-US" w:eastAsia="zh-CN" w:bidi="ar"/>
              </w:rPr>
              <w:t>趋势指标</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451F16C0">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37FE8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398C960D">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1B1EC6">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restart"/>
            <w:tcBorders>
              <w:top w:val="single" w:color="000000" w:sz="4" w:space="0"/>
              <w:left w:val="single" w:color="000000" w:sz="4" w:space="0"/>
              <w:bottom w:val="single" w:color="000000" w:sz="4" w:space="0"/>
              <w:right w:val="single" w:color="000000" w:sz="4" w:space="0"/>
            </w:tcBorders>
            <w:noWrap w:val="0"/>
            <w:vAlign w:val="center"/>
          </w:tcPr>
          <w:p w14:paraId="1334B048">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车流态势可视化</w:t>
            </w: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5E01AB28">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 xml:space="preserve"> </w:t>
            </w:r>
            <w:r>
              <w:rPr>
                <w:rStyle w:val="44"/>
                <w:rFonts w:hint="eastAsia" w:ascii="Times New Roman" w:hAnsi="Times New Roman" w:eastAsia="宋体" w:cs="Times New Roman"/>
                <w:b w:val="0"/>
                <w:bCs w:val="0"/>
                <w:color w:val="auto"/>
                <w:sz w:val="20"/>
                <w:szCs w:val="20"/>
                <w:highlight w:val="none"/>
                <w:lang w:val="en-US" w:eastAsia="zh-CN" w:bidi="ar"/>
              </w:rPr>
              <w:t>停车场车位管理</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39D54ECD">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5490B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42866D46">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168C39">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03DB87">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114E89BD">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 xml:space="preserve"> </w:t>
            </w:r>
            <w:r>
              <w:rPr>
                <w:rStyle w:val="44"/>
                <w:rFonts w:hint="eastAsia" w:ascii="Times New Roman" w:hAnsi="Times New Roman" w:eastAsia="宋体" w:cs="Times New Roman"/>
                <w:b w:val="0"/>
                <w:bCs w:val="0"/>
                <w:color w:val="auto"/>
                <w:sz w:val="20"/>
                <w:szCs w:val="20"/>
                <w:highlight w:val="none"/>
                <w:lang w:val="en-US" w:eastAsia="zh-CN" w:bidi="ar"/>
              </w:rPr>
              <w:t>赛事车辆可视化</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4E705547">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53AE8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64EC3A25">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297DED">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tcBorders>
              <w:top w:val="single" w:color="000000" w:sz="4" w:space="0"/>
              <w:left w:val="single" w:color="000000" w:sz="4" w:space="0"/>
              <w:bottom w:val="single" w:color="000000" w:sz="4" w:space="0"/>
              <w:right w:val="single" w:color="000000" w:sz="4" w:space="0"/>
            </w:tcBorders>
            <w:noWrap w:val="0"/>
            <w:vAlign w:val="center"/>
          </w:tcPr>
          <w:p w14:paraId="1F380755">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孪生工具可视化</w:t>
            </w: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3BDA312E">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6816B06D">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51A7A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547" w:type="pct"/>
            <w:vMerge w:val="restart"/>
            <w:tcBorders>
              <w:top w:val="single" w:color="000000" w:sz="4" w:space="0"/>
              <w:left w:val="single" w:color="000000" w:sz="4" w:space="0"/>
              <w:bottom w:val="single" w:color="000000" w:sz="4" w:space="0"/>
              <w:right w:val="single" w:color="000000" w:sz="4" w:space="0"/>
            </w:tcBorders>
            <w:noWrap/>
            <w:vAlign w:val="center"/>
          </w:tcPr>
          <w:p w14:paraId="676A5132">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3</w:t>
            </w:r>
          </w:p>
        </w:tc>
        <w:tc>
          <w:tcPr>
            <w:tcW w:w="791" w:type="pct"/>
            <w:vMerge w:val="restart"/>
            <w:tcBorders>
              <w:top w:val="single" w:color="000000" w:sz="4" w:space="0"/>
              <w:left w:val="single" w:color="000000" w:sz="4" w:space="0"/>
              <w:bottom w:val="single" w:color="000000" w:sz="4" w:space="0"/>
              <w:right w:val="single" w:color="000000" w:sz="4" w:space="0"/>
            </w:tcBorders>
            <w:noWrap w:val="0"/>
            <w:vAlign w:val="center"/>
          </w:tcPr>
          <w:p w14:paraId="35A249C9">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物联网管理</w:t>
            </w:r>
          </w:p>
        </w:tc>
        <w:tc>
          <w:tcPr>
            <w:tcW w:w="1077" w:type="pct"/>
            <w:vMerge w:val="restart"/>
            <w:tcBorders>
              <w:top w:val="single" w:color="000000" w:sz="4" w:space="0"/>
              <w:left w:val="single" w:color="000000" w:sz="4" w:space="0"/>
              <w:bottom w:val="single" w:color="000000" w:sz="4" w:space="0"/>
              <w:right w:val="single" w:color="000000" w:sz="4" w:space="0"/>
            </w:tcBorders>
            <w:noWrap w:val="0"/>
            <w:vAlign w:val="center"/>
          </w:tcPr>
          <w:p w14:paraId="1829DBF9">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总体设备管理</w:t>
            </w: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64325ADF">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设备告警概览</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07C8FA66">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02CB5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6422D7F0">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5C1663">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C3D64D">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65D582A6">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 xml:space="preserve"> </w:t>
            </w:r>
            <w:r>
              <w:rPr>
                <w:rStyle w:val="44"/>
                <w:rFonts w:hint="eastAsia" w:ascii="Times New Roman" w:hAnsi="Times New Roman" w:eastAsia="宋体" w:cs="Times New Roman"/>
                <w:b w:val="0"/>
                <w:bCs w:val="0"/>
                <w:color w:val="auto"/>
                <w:sz w:val="20"/>
                <w:szCs w:val="20"/>
                <w:highlight w:val="none"/>
                <w:lang w:val="en-US" w:eastAsia="zh-CN" w:bidi="ar"/>
              </w:rPr>
              <w:t>设备分类统计</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1A275191">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1BB30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41A5B1CB">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683698">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8448DA">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36B17BC1">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 xml:space="preserve"> </w:t>
            </w:r>
            <w:r>
              <w:rPr>
                <w:rStyle w:val="44"/>
                <w:rFonts w:hint="eastAsia" w:ascii="Times New Roman" w:hAnsi="Times New Roman" w:eastAsia="宋体" w:cs="Times New Roman"/>
                <w:b w:val="0"/>
                <w:bCs w:val="0"/>
                <w:color w:val="auto"/>
                <w:sz w:val="20"/>
                <w:szCs w:val="20"/>
                <w:highlight w:val="none"/>
                <w:lang w:val="en-US" w:eastAsia="zh-CN" w:bidi="ar"/>
              </w:rPr>
              <w:t>设备台账信息</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702EAB4F">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564A8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6E0A08B9">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67F802">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restart"/>
            <w:tcBorders>
              <w:top w:val="single" w:color="000000" w:sz="4" w:space="0"/>
              <w:left w:val="single" w:color="000000" w:sz="4" w:space="0"/>
              <w:bottom w:val="single" w:color="000000" w:sz="4" w:space="0"/>
              <w:right w:val="single" w:color="000000" w:sz="4" w:space="0"/>
            </w:tcBorders>
            <w:noWrap w:val="0"/>
            <w:vAlign w:val="center"/>
          </w:tcPr>
          <w:p w14:paraId="602E00BC">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图层管理</w:t>
            </w: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53875C56">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 xml:space="preserve"> </w:t>
            </w:r>
            <w:r>
              <w:rPr>
                <w:rStyle w:val="44"/>
                <w:rFonts w:hint="eastAsia" w:ascii="Times New Roman" w:hAnsi="Times New Roman" w:eastAsia="宋体" w:cs="Times New Roman"/>
                <w:b w:val="0"/>
                <w:bCs w:val="0"/>
                <w:color w:val="auto"/>
                <w:sz w:val="20"/>
                <w:szCs w:val="20"/>
                <w:highlight w:val="none"/>
                <w:lang w:val="en-US" w:eastAsia="zh-CN" w:bidi="ar"/>
              </w:rPr>
              <w:t>门禁孪生管理</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06AFA260">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10407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68549458">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2D567B">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808496">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29F5A750">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工作人员通行</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728AD410">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1151A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022B3428">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6F9BB3">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C5D954">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161F95E7">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能耗管理</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4853AECA">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1E9CE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47" w:type="pct"/>
            <w:vMerge w:val="restart"/>
            <w:tcBorders>
              <w:top w:val="single" w:color="000000" w:sz="4" w:space="0"/>
              <w:left w:val="single" w:color="000000" w:sz="4" w:space="0"/>
              <w:bottom w:val="single" w:color="000000" w:sz="4" w:space="0"/>
              <w:right w:val="single" w:color="000000" w:sz="4" w:space="0"/>
            </w:tcBorders>
            <w:noWrap/>
            <w:vAlign w:val="center"/>
          </w:tcPr>
          <w:p w14:paraId="48BE96EE">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4</w:t>
            </w:r>
          </w:p>
        </w:tc>
        <w:tc>
          <w:tcPr>
            <w:tcW w:w="791" w:type="pct"/>
            <w:vMerge w:val="restart"/>
            <w:tcBorders>
              <w:top w:val="single" w:color="000000" w:sz="4" w:space="0"/>
              <w:left w:val="single" w:color="000000" w:sz="4" w:space="0"/>
              <w:bottom w:val="single" w:color="000000" w:sz="4" w:space="0"/>
              <w:right w:val="single" w:color="000000" w:sz="4" w:space="0"/>
            </w:tcBorders>
            <w:noWrap w:val="0"/>
            <w:vAlign w:val="center"/>
          </w:tcPr>
          <w:p w14:paraId="059386DB">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应用管理</w:t>
            </w:r>
          </w:p>
        </w:tc>
        <w:tc>
          <w:tcPr>
            <w:tcW w:w="1077" w:type="pct"/>
            <w:vMerge w:val="restart"/>
            <w:tcBorders>
              <w:top w:val="single" w:color="000000" w:sz="4" w:space="0"/>
              <w:left w:val="single" w:color="000000" w:sz="4" w:space="0"/>
              <w:bottom w:val="single" w:color="000000" w:sz="4" w:space="0"/>
              <w:right w:val="single" w:color="000000" w:sz="4" w:space="0"/>
            </w:tcBorders>
            <w:noWrap w:val="0"/>
            <w:vAlign w:val="center"/>
          </w:tcPr>
          <w:p w14:paraId="200F7F0C">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安防管理</w:t>
            </w: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2B8D122E">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 xml:space="preserve"> </w:t>
            </w:r>
            <w:r>
              <w:rPr>
                <w:rStyle w:val="44"/>
                <w:rFonts w:hint="eastAsia" w:ascii="Times New Roman" w:hAnsi="Times New Roman" w:eastAsia="宋体" w:cs="Times New Roman"/>
                <w:b w:val="0"/>
                <w:bCs w:val="0"/>
                <w:color w:val="auto"/>
                <w:sz w:val="20"/>
                <w:szCs w:val="20"/>
                <w:highlight w:val="none"/>
                <w:lang w:val="en-US" w:eastAsia="zh-CN" w:bidi="ar"/>
              </w:rPr>
              <w:t>监控搜索</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59BB4686">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379F3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59096635">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81939E">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801E24">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4C3B2141">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 xml:space="preserve"> </w:t>
            </w:r>
            <w:r>
              <w:rPr>
                <w:rStyle w:val="44"/>
                <w:rFonts w:hint="eastAsia" w:ascii="Times New Roman" w:hAnsi="Times New Roman" w:eastAsia="宋体" w:cs="Times New Roman"/>
                <w:b w:val="0"/>
                <w:bCs w:val="0"/>
                <w:color w:val="auto"/>
                <w:sz w:val="20"/>
                <w:szCs w:val="20"/>
                <w:highlight w:val="none"/>
                <w:lang w:val="en-US" w:eastAsia="zh-CN" w:bidi="ar"/>
              </w:rPr>
              <w:t>视频管理</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55247BA0">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0A908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3F221CB5">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596291">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5485CE">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5FDCDCA8">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 xml:space="preserve"> </w:t>
            </w:r>
            <w:r>
              <w:rPr>
                <w:rStyle w:val="44"/>
                <w:rFonts w:hint="eastAsia" w:ascii="Times New Roman" w:hAnsi="Times New Roman" w:eastAsia="宋体" w:cs="Times New Roman"/>
                <w:b w:val="0"/>
                <w:bCs w:val="0"/>
                <w:color w:val="auto"/>
                <w:sz w:val="20"/>
                <w:szCs w:val="20"/>
                <w:highlight w:val="none"/>
                <w:lang w:val="en-US" w:eastAsia="zh-CN" w:bidi="ar"/>
              </w:rPr>
              <w:t>视频融合</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797CB646">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3AE57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0D1AA088">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060879">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BE9294">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6557E408">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 xml:space="preserve"> </w:t>
            </w:r>
            <w:r>
              <w:rPr>
                <w:rStyle w:val="44"/>
                <w:rFonts w:hint="eastAsia" w:ascii="Times New Roman" w:hAnsi="Times New Roman" w:eastAsia="宋体" w:cs="Times New Roman"/>
                <w:b w:val="0"/>
                <w:bCs w:val="0"/>
                <w:color w:val="auto"/>
                <w:sz w:val="20"/>
                <w:szCs w:val="20"/>
                <w:highlight w:val="none"/>
                <w:lang w:val="en-US" w:eastAsia="zh-CN" w:bidi="ar"/>
              </w:rPr>
              <w:t>融合回溯</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5BCA6826">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7C36B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67FD627E">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03FE18">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restart"/>
            <w:tcBorders>
              <w:top w:val="single" w:color="000000" w:sz="4" w:space="0"/>
              <w:left w:val="single" w:color="000000" w:sz="4" w:space="0"/>
              <w:bottom w:val="single" w:color="000000" w:sz="4" w:space="0"/>
              <w:right w:val="single" w:color="000000" w:sz="4" w:space="0"/>
            </w:tcBorders>
            <w:noWrap w:val="0"/>
            <w:vAlign w:val="center"/>
          </w:tcPr>
          <w:p w14:paraId="4FED5C9F">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人员管理</w:t>
            </w: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3B65F7CC">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人证合一检测</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2F9E39CB">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406E6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3464B89F">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9DC130">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521B0E">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39D52EF5">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人证刷卡记录</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755C439B">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719C0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3A229B80">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912D31">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restart"/>
            <w:tcBorders>
              <w:top w:val="single" w:color="000000" w:sz="4" w:space="0"/>
              <w:left w:val="single" w:color="000000" w:sz="4" w:space="0"/>
              <w:bottom w:val="single" w:color="000000" w:sz="4" w:space="0"/>
              <w:right w:val="single" w:color="000000" w:sz="4" w:space="0"/>
            </w:tcBorders>
            <w:noWrap w:val="0"/>
            <w:vAlign w:val="center"/>
          </w:tcPr>
          <w:p w14:paraId="44917076">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车辆管理</w:t>
            </w: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4A9346B1">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停车数量超限预警</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6F86A61B">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7A729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498F7535">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748B44">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D2374A">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7A7DF24E">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赛事车辆轨迹定位</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2966D4CB">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26A53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30A70557">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569F29">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tcBorders>
              <w:top w:val="single" w:color="000000" w:sz="4" w:space="0"/>
              <w:left w:val="single" w:color="000000" w:sz="4" w:space="0"/>
              <w:bottom w:val="single" w:color="000000" w:sz="4" w:space="0"/>
              <w:right w:val="single" w:color="000000" w:sz="4" w:space="0"/>
            </w:tcBorders>
            <w:noWrap w:val="0"/>
            <w:vAlign w:val="center"/>
          </w:tcPr>
          <w:p w14:paraId="177668CB">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客流管理</w:t>
            </w: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694A3F47">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759B8C7A">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55B6D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7" w:type="pct"/>
            <w:vMerge w:val="restart"/>
            <w:tcBorders>
              <w:top w:val="single" w:color="000000" w:sz="4" w:space="0"/>
              <w:left w:val="single" w:color="000000" w:sz="4" w:space="0"/>
              <w:bottom w:val="single" w:color="000000" w:sz="4" w:space="0"/>
              <w:right w:val="single" w:color="000000" w:sz="4" w:space="0"/>
            </w:tcBorders>
            <w:noWrap/>
            <w:vAlign w:val="center"/>
          </w:tcPr>
          <w:p w14:paraId="55178352">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5</w:t>
            </w:r>
          </w:p>
        </w:tc>
        <w:tc>
          <w:tcPr>
            <w:tcW w:w="791" w:type="pct"/>
            <w:vMerge w:val="restart"/>
            <w:tcBorders>
              <w:top w:val="single" w:color="000000" w:sz="4" w:space="0"/>
              <w:left w:val="single" w:color="000000" w:sz="4" w:space="0"/>
              <w:bottom w:val="single" w:color="000000" w:sz="4" w:space="0"/>
              <w:right w:val="single" w:color="000000" w:sz="4" w:space="0"/>
            </w:tcBorders>
            <w:noWrap w:val="0"/>
            <w:vAlign w:val="center"/>
          </w:tcPr>
          <w:p w14:paraId="23AE4091">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移动端应用</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14:paraId="0EFF2133">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 xml:space="preserve"> </w:t>
            </w:r>
            <w:r>
              <w:rPr>
                <w:rStyle w:val="44"/>
                <w:rFonts w:hint="eastAsia" w:ascii="Times New Roman" w:hAnsi="Times New Roman" w:eastAsia="宋体" w:cs="Times New Roman"/>
                <w:b w:val="0"/>
                <w:bCs w:val="0"/>
                <w:color w:val="auto"/>
                <w:sz w:val="20"/>
                <w:szCs w:val="20"/>
                <w:highlight w:val="none"/>
                <w:lang w:val="en-US" w:eastAsia="zh-CN" w:bidi="ar"/>
              </w:rPr>
              <w:t>人员管理</w:t>
            </w: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62CD5C38">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6B76520C">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1CF7C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3CCF6CDB">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FE3FB4">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tcBorders>
              <w:top w:val="single" w:color="000000" w:sz="4" w:space="0"/>
              <w:left w:val="single" w:color="000000" w:sz="4" w:space="0"/>
              <w:bottom w:val="single" w:color="000000" w:sz="4" w:space="0"/>
              <w:right w:val="single" w:color="000000" w:sz="4" w:space="0"/>
            </w:tcBorders>
            <w:noWrap w:val="0"/>
            <w:vAlign w:val="center"/>
          </w:tcPr>
          <w:p w14:paraId="76F6C8B2">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 xml:space="preserve"> </w:t>
            </w:r>
            <w:r>
              <w:rPr>
                <w:rStyle w:val="44"/>
                <w:rFonts w:hint="eastAsia" w:ascii="Times New Roman" w:hAnsi="Times New Roman" w:eastAsia="宋体" w:cs="Times New Roman"/>
                <w:b w:val="0"/>
                <w:bCs w:val="0"/>
                <w:color w:val="auto"/>
                <w:sz w:val="20"/>
                <w:szCs w:val="20"/>
                <w:highlight w:val="none"/>
                <w:lang w:val="en-US" w:eastAsia="zh-CN" w:bidi="ar"/>
              </w:rPr>
              <w:t>车辆管理</w:t>
            </w: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67BB7B53">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17DE74B8">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06E31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4A5E40B3">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0A1A11">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tcBorders>
              <w:top w:val="single" w:color="000000" w:sz="4" w:space="0"/>
              <w:left w:val="single" w:color="000000" w:sz="4" w:space="0"/>
              <w:bottom w:val="single" w:color="000000" w:sz="4" w:space="0"/>
              <w:right w:val="single" w:color="000000" w:sz="4" w:space="0"/>
            </w:tcBorders>
            <w:noWrap w:val="0"/>
            <w:vAlign w:val="center"/>
          </w:tcPr>
          <w:p w14:paraId="3F9A41AB">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 xml:space="preserve"> </w:t>
            </w:r>
            <w:r>
              <w:rPr>
                <w:rStyle w:val="44"/>
                <w:rFonts w:hint="eastAsia" w:ascii="Times New Roman" w:hAnsi="Times New Roman" w:eastAsia="宋体" w:cs="Times New Roman"/>
                <w:b w:val="0"/>
                <w:bCs w:val="0"/>
                <w:color w:val="auto"/>
                <w:sz w:val="20"/>
                <w:szCs w:val="20"/>
                <w:highlight w:val="none"/>
                <w:lang w:val="en-US" w:eastAsia="zh-CN" w:bidi="ar"/>
              </w:rPr>
              <w:t>消息推送</w:t>
            </w: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43A942B7">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172FBC8B">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47E74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547" w:type="pct"/>
            <w:tcBorders>
              <w:top w:val="single" w:color="000000" w:sz="4" w:space="0"/>
              <w:left w:val="single" w:color="000000" w:sz="4" w:space="0"/>
              <w:bottom w:val="single" w:color="000000" w:sz="4" w:space="0"/>
              <w:right w:val="single" w:color="000000" w:sz="4" w:space="0"/>
            </w:tcBorders>
            <w:noWrap/>
            <w:vAlign w:val="center"/>
          </w:tcPr>
          <w:p w14:paraId="608C5F56">
            <w:pPr>
              <w:keepNext w:val="0"/>
              <w:keepLines w:val="0"/>
              <w:widowControl/>
              <w:suppressLineNumbers w:val="0"/>
              <w:spacing w:line="240" w:lineRule="auto"/>
              <w:jc w:val="center"/>
              <w:textAlignment w:val="center"/>
              <w:rPr>
                <w:rFonts w:hint="eastAsia" w:ascii="Times New Roman" w:hAnsi="Times New Roman" w:eastAsia="宋体" w:cs="Times New Roman"/>
                <w:b/>
                <w:bCs/>
                <w:i w:val="0"/>
                <w:iCs w:val="0"/>
                <w:color w:val="auto"/>
                <w:sz w:val="20"/>
                <w:szCs w:val="20"/>
                <w:highlight w:val="none"/>
                <w:u w:val="none"/>
              </w:rPr>
            </w:pPr>
            <w:r>
              <w:rPr>
                <w:rFonts w:hint="eastAsia" w:ascii="Times New Roman" w:hAnsi="Times New Roman" w:eastAsia="宋体" w:cs="Times New Roman"/>
                <w:b/>
                <w:bCs/>
                <w:i w:val="0"/>
                <w:iCs w:val="0"/>
                <w:color w:val="auto"/>
                <w:kern w:val="0"/>
                <w:sz w:val="20"/>
                <w:szCs w:val="20"/>
                <w:highlight w:val="none"/>
                <w:u w:val="none"/>
                <w:lang w:val="en-US" w:eastAsia="zh-CN" w:bidi="ar"/>
              </w:rPr>
              <w:t>二</w:t>
            </w:r>
          </w:p>
        </w:tc>
        <w:tc>
          <w:tcPr>
            <w:tcW w:w="4452" w:type="pct"/>
            <w:gridSpan w:val="4"/>
            <w:tcBorders>
              <w:top w:val="single" w:color="000000" w:sz="4" w:space="0"/>
              <w:left w:val="single" w:color="000000" w:sz="4" w:space="0"/>
              <w:bottom w:val="single" w:color="000000" w:sz="4" w:space="0"/>
              <w:right w:val="single" w:color="000000" w:sz="4" w:space="0"/>
            </w:tcBorders>
            <w:noWrap w:val="0"/>
            <w:vAlign w:val="center"/>
          </w:tcPr>
          <w:p w14:paraId="1B6A6D83">
            <w:pPr>
              <w:keepNext w:val="0"/>
              <w:keepLines w:val="0"/>
              <w:widowControl/>
              <w:suppressLineNumbers w:val="0"/>
              <w:spacing w:line="240" w:lineRule="auto"/>
              <w:jc w:val="center"/>
              <w:textAlignment w:val="center"/>
              <w:rPr>
                <w:rFonts w:hint="eastAsia" w:ascii="Times New Roman" w:hAnsi="Times New Roman" w:eastAsia="宋体" w:cs="Times New Roman"/>
                <w:b/>
                <w:bCs/>
                <w:i w:val="0"/>
                <w:iCs w:val="0"/>
                <w:color w:val="auto"/>
                <w:kern w:val="0"/>
                <w:sz w:val="20"/>
                <w:szCs w:val="20"/>
                <w:highlight w:val="none"/>
                <w:u w:val="none"/>
                <w:lang w:val="en-US" w:eastAsia="zh-CN" w:bidi="ar"/>
              </w:rPr>
            </w:pPr>
            <w:r>
              <w:rPr>
                <w:rFonts w:hint="eastAsia" w:ascii="Times New Roman" w:hAnsi="Times New Roman" w:eastAsia="宋体" w:cs="Times New Roman"/>
                <w:b/>
                <w:bCs/>
                <w:i w:val="0"/>
                <w:iCs w:val="0"/>
                <w:color w:val="auto"/>
                <w:kern w:val="0"/>
                <w:sz w:val="20"/>
                <w:szCs w:val="20"/>
                <w:highlight w:val="none"/>
                <w:u w:val="none"/>
                <w:lang w:val="en-US" w:eastAsia="zh-CN" w:bidi="ar"/>
              </w:rPr>
              <w:t>应用支撑层建设</w:t>
            </w:r>
          </w:p>
        </w:tc>
      </w:tr>
      <w:tr w14:paraId="6ADDB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47" w:type="pct"/>
            <w:vMerge w:val="restart"/>
            <w:tcBorders>
              <w:top w:val="single" w:color="000000" w:sz="4" w:space="0"/>
              <w:left w:val="single" w:color="000000" w:sz="4" w:space="0"/>
              <w:bottom w:val="single" w:color="000000" w:sz="4" w:space="0"/>
              <w:right w:val="single" w:color="000000" w:sz="4" w:space="0"/>
            </w:tcBorders>
            <w:noWrap/>
            <w:vAlign w:val="center"/>
          </w:tcPr>
          <w:p w14:paraId="0CC0E57E">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1</w:t>
            </w:r>
          </w:p>
        </w:tc>
        <w:tc>
          <w:tcPr>
            <w:tcW w:w="791" w:type="pct"/>
            <w:vMerge w:val="restart"/>
            <w:tcBorders>
              <w:top w:val="single" w:color="000000" w:sz="4" w:space="0"/>
              <w:left w:val="single" w:color="000000" w:sz="4" w:space="0"/>
              <w:bottom w:val="single" w:color="000000" w:sz="4" w:space="0"/>
              <w:right w:val="single" w:color="000000" w:sz="4" w:space="0"/>
            </w:tcBorders>
            <w:noWrap w:val="0"/>
            <w:vAlign w:val="center"/>
          </w:tcPr>
          <w:p w14:paraId="7798C64B">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用户管理</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14:paraId="269DE181">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用户管理</w:t>
            </w: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69F661C2">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7B013934">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32830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5C196C1A">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5C539C">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tcBorders>
              <w:top w:val="single" w:color="000000" w:sz="4" w:space="0"/>
              <w:left w:val="single" w:color="000000" w:sz="4" w:space="0"/>
              <w:bottom w:val="single" w:color="000000" w:sz="4" w:space="0"/>
              <w:right w:val="single" w:color="000000" w:sz="4" w:space="0"/>
            </w:tcBorders>
            <w:noWrap w:val="0"/>
            <w:vAlign w:val="center"/>
          </w:tcPr>
          <w:p w14:paraId="34C57D2A">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组织管理</w:t>
            </w: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3716F4FC">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08BDD44E">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2F151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05E4F0E3">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FC3743">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tcBorders>
              <w:top w:val="single" w:color="000000" w:sz="4" w:space="0"/>
              <w:left w:val="single" w:color="000000" w:sz="4" w:space="0"/>
              <w:bottom w:val="single" w:color="000000" w:sz="4" w:space="0"/>
              <w:right w:val="single" w:color="000000" w:sz="4" w:space="0"/>
            </w:tcBorders>
            <w:noWrap w:val="0"/>
            <w:vAlign w:val="center"/>
          </w:tcPr>
          <w:p w14:paraId="4FAEBC4B">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账号管理</w:t>
            </w: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4C571602">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0FB3DE6F">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54234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547" w:type="pct"/>
            <w:vMerge w:val="restart"/>
            <w:tcBorders>
              <w:top w:val="single" w:color="000000" w:sz="4" w:space="0"/>
              <w:left w:val="single" w:color="000000" w:sz="4" w:space="0"/>
              <w:bottom w:val="single" w:color="000000" w:sz="4" w:space="0"/>
              <w:right w:val="single" w:color="000000" w:sz="4" w:space="0"/>
            </w:tcBorders>
            <w:noWrap/>
            <w:vAlign w:val="center"/>
          </w:tcPr>
          <w:p w14:paraId="02EB65EF">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2</w:t>
            </w:r>
          </w:p>
        </w:tc>
        <w:tc>
          <w:tcPr>
            <w:tcW w:w="791" w:type="pct"/>
            <w:vMerge w:val="restart"/>
            <w:tcBorders>
              <w:top w:val="single" w:color="000000" w:sz="4" w:space="0"/>
              <w:left w:val="single" w:color="000000" w:sz="4" w:space="0"/>
              <w:bottom w:val="single" w:color="000000" w:sz="4" w:space="0"/>
              <w:right w:val="single" w:color="000000" w:sz="4" w:space="0"/>
            </w:tcBorders>
            <w:noWrap w:val="0"/>
            <w:vAlign w:val="center"/>
          </w:tcPr>
          <w:p w14:paraId="7D4D3ABB">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权限管理</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14:paraId="3172449E">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服务授权</w:t>
            </w: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3145E352">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72059FF3">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58A74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294ED2D4">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9B8AAA">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tcBorders>
              <w:top w:val="single" w:color="000000" w:sz="4" w:space="0"/>
              <w:left w:val="single" w:color="000000" w:sz="4" w:space="0"/>
              <w:bottom w:val="single" w:color="000000" w:sz="4" w:space="0"/>
              <w:right w:val="single" w:color="000000" w:sz="4" w:space="0"/>
            </w:tcBorders>
            <w:noWrap w:val="0"/>
            <w:vAlign w:val="center"/>
          </w:tcPr>
          <w:p w14:paraId="18591D59">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专题组织管理</w:t>
            </w: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4681AFE2">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1252FAAB">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58648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547" w:type="pct"/>
            <w:tcBorders>
              <w:top w:val="single" w:color="000000" w:sz="4" w:space="0"/>
              <w:left w:val="single" w:color="000000" w:sz="4" w:space="0"/>
              <w:bottom w:val="single" w:color="000000" w:sz="4" w:space="0"/>
              <w:right w:val="single" w:color="000000" w:sz="4" w:space="0"/>
            </w:tcBorders>
            <w:noWrap/>
            <w:vAlign w:val="center"/>
          </w:tcPr>
          <w:p w14:paraId="504DF5FF">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B45DB25">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日志管理</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14:paraId="2F2DE4F8">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日志管理</w:t>
            </w: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0BA1B26B">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4F8B5B01">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45747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547" w:type="pct"/>
            <w:tcBorders>
              <w:top w:val="single" w:color="000000" w:sz="4" w:space="0"/>
              <w:left w:val="single" w:color="000000" w:sz="4" w:space="0"/>
              <w:bottom w:val="single" w:color="000000" w:sz="4" w:space="0"/>
              <w:right w:val="single" w:color="000000" w:sz="4" w:space="0"/>
            </w:tcBorders>
            <w:noWrap/>
            <w:vAlign w:val="center"/>
          </w:tcPr>
          <w:p w14:paraId="1AFB72A0">
            <w:pPr>
              <w:keepNext w:val="0"/>
              <w:keepLines w:val="0"/>
              <w:widowControl/>
              <w:suppressLineNumbers w:val="0"/>
              <w:spacing w:line="240" w:lineRule="auto"/>
              <w:jc w:val="center"/>
              <w:textAlignment w:val="center"/>
              <w:rPr>
                <w:rFonts w:hint="eastAsia" w:ascii="Times New Roman" w:hAnsi="Times New Roman" w:eastAsia="宋体" w:cs="Times New Roman"/>
                <w:b/>
                <w:bCs/>
                <w:i w:val="0"/>
                <w:iCs w:val="0"/>
                <w:color w:val="auto"/>
                <w:sz w:val="20"/>
                <w:szCs w:val="20"/>
                <w:highlight w:val="none"/>
                <w:u w:val="none"/>
              </w:rPr>
            </w:pPr>
            <w:r>
              <w:rPr>
                <w:rFonts w:hint="eastAsia" w:ascii="Times New Roman" w:hAnsi="Times New Roman" w:eastAsia="宋体" w:cs="Times New Roman"/>
                <w:b/>
                <w:bCs/>
                <w:i w:val="0"/>
                <w:iCs w:val="0"/>
                <w:color w:val="auto"/>
                <w:kern w:val="0"/>
                <w:sz w:val="20"/>
                <w:szCs w:val="20"/>
                <w:highlight w:val="none"/>
                <w:u w:val="none"/>
                <w:lang w:val="en-US" w:eastAsia="zh-CN" w:bidi="ar"/>
              </w:rPr>
              <w:t>三</w:t>
            </w:r>
          </w:p>
        </w:tc>
        <w:tc>
          <w:tcPr>
            <w:tcW w:w="4452" w:type="pct"/>
            <w:gridSpan w:val="4"/>
            <w:tcBorders>
              <w:top w:val="single" w:color="000000" w:sz="4" w:space="0"/>
              <w:left w:val="single" w:color="000000" w:sz="4" w:space="0"/>
              <w:bottom w:val="single" w:color="000000" w:sz="4" w:space="0"/>
              <w:right w:val="single" w:color="000000" w:sz="4" w:space="0"/>
            </w:tcBorders>
            <w:noWrap w:val="0"/>
            <w:vAlign w:val="center"/>
          </w:tcPr>
          <w:p w14:paraId="1149918F">
            <w:pPr>
              <w:keepNext w:val="0"/>
              <w:keepLines w:val="0"/>
              <w:widowControl/>
              <w:suppressLineNumbers w:val="0"/>
              <w:spacing w:line="240" w:lineRule="auto"/>
              <w:jc w:val="center"/>
              <w:textAlignment w:val="center"/>
              <w:rPr>
                <w:rFonts w:hint="eastAsia" w:ascii="Times New Roman" w:hAnsi="Times New Roman" w:eastAsia="宋体" w:cs="Times New Roman"/>
                <w:b/>
                <w:bCs/>
                <w:i w:val="0"/>
                <w:iCs w:val="0"/>
                <w:color w:val="auto"/>
                <w:kern w:val="0"/>
                <w:sz w:val="20"/>
                <w:szCs w:val="20"/>
                <w:highlight w:val="none"/>
                <w:u w:val="none"/>
                <w:lang w:val="en-US" w:eastAsia="zh-CN" w:bidi="ar"/>
              </w:rPr>
            </w:pPr>
            <w:r>
              <w:rPr>
                <w:rFonts w:hint="eastAsia" w:ascii="Times New Roman" w:hAnsi="Times New Roman" w:eastAsia="宋体" w:cs="Times New Roman"/>
                <w:b/>
                <w:bCs/>
                <w:i w:val="0"/>
                <w:iCs w:val="0"/>
                <w:color w:val="auto"/>
                <w:kern w:val="0"/>
                <w:sz w:val="20"/>
                <w:szCs w:val="20"/>
                <w:highlight w:val="none"/>
                <w:u w:val="none"/>
                <w:lang w:val="en-US" w:eastAsia="zh-CN" w:bidi="ar"/>
              </w:rPr>
              <w:t>数据资源层建设</w:t>
            </w:r>
          </w:p>
        </w:tc>
      </w:tr>
      <w:tr w14:paraId="09499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7" w:type="pct"/>
            <w:vMerge w:val="restart"/>
            <w:tcBorders>
              <w:top w:val="single" w:color="000000" w:sz="4" w:space="0"/>
              <w:left w:val="single" w:color="000000" w:sz="4" w:space="0"/>
              <w:bottom w:val="single" w:color="000000" w:sz="4" w:space="0"/>
              <w:right w:val="single" w:color="000000" w:sz="4" w:space="0"/>
            </w:tcBorders>
            <w:noWrap/>
            <w:vAlign w:val="center"/>
          </w:tcPr>
          <w:p w14:paraId="70D6E929">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1</w:t>
            </w:r>
          </w:p>
        </w:tc>
        <w:tc>
          <w:tcPr>
            <w:tcW w:w="791" w:type="pct"/>
            <w:vMerge w:val="restart"/>
            <w:tcBorders>
              <w:top w:val="single" w:color="000000" w:sz="4" w:space="0"/>
              <w:left w:val="single" w:color="000000" w:sz="4" w:space="0"/>
              <w:bottom w:val="single" w:color="000000" w:sz="4" w:space="0"/>
              <w:right w:val="single" w:color="000000" w:sz="4" w:space="0"/>
            </w:tcBorders>
            <w:noWrap w:val="0"/>
            <w:vAlign w:val="center"/>
          </w:tcPr>
          <w:p w14:paraId="7ECC763A">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时空地理数据采集</w:t>
            </w:r>
          </w:p>
        </w:tc>
        <w:tc>
          <w:tcPr>
            <w:tcW w:w="1077" w:type="pct"/>
            <w:tcBorders>
              <w:top w:val="single" w:color="000000" w:sz="4" w:space="0"/>
              <w:left w:val="single" w:color="000000" w:sz="4" w:space="0"/>
              <w:bottom w:val="single" w:color="000000" w:sz="4" w:space="0"/>
              <w:right w:val="single" w:color="000000" w:sz="4" w:space="0"/>
            </w:tcBorders>
            <w:noWrap/>
            <w:vAlign w:val="center"/>
          </w:tcPr>
          <w:p w14:paraId="51C8D133">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 xml:space="preserve"> DEM 数据</w:t>
            </w: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01A64CF5">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37DD8F54">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5EE0E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78B321FB">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FE4547">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tcBorders>
              <w:top w:val="single" w:color="000000" w:sz="4" w:space="0"/>
              <w:left w:val="single" w:color="000000" w:sz="4" w:space="0"/>
              <w:bottom w:val="single" w:color="000000" w:sz="4" w:space="0"/>
              <w:right w:val="single" w:color="000000" w:sz="4" w:space="0"/>
            </w:tcBorders>
            <w:noWrap/>
            <w:vAlign w:val="center"/>
          </w:tcPr>
          <w:p w14:paraId="2FAD344E">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 xml:space="preserve"> DOM 数据</w:t>
            </w: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1EA5E64B">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57A28F90">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3CA18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29A5135F">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C72BC6">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tcBorders>
              <w:top w:val="single" w:color="000000" w:sz="4" w:space="0"/>
              <w:left w:val="single" w:color="000000" w:sz="4" w:space="0"/>
              <w:bottom w:val="single" w:color="000000" w:sz="4" w:space="0"/>
              <w:right w:val="single" w:color="000000" w:sz="4" w:space="0"/>
            </w:tcBorders>
            <w:noWrap/>
            <w:vAlign w:val="center"/>
          </w:tcPr>
          <w:p w14:paraId="0233D84D">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 xml:space="preserve"> OSGB 数据</w:t>
            </w: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6213C030">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334C6BB2">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4CD9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547" w:type="pct"/>
            <w:vMerge w:val="restart"/>
            <w:tcBorders>
              <w:top w:val="single" w:color="000000" w:sz="4" w:space="0"/>
              <w:left w:val="single" w:color="000000" w:sz="4" w:space="0"/>
              <w:bottom w:val="single" w:color="000000" w:sz="4" w:space="0"/>
              <w:right w:val="single" w:color="000000" w:sz="4" w:space="0"/>
            </w:tcBorders>
            <w:noWrap/>
            <w:vAlign w:val="center"/>
          </w:tcPr>
          <w:p w14:paraId="109C637A">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2</w:t>
            </w:r>
          </w:p>
        </w:tc>
        <w:tc>
          <w:tcPr>
            <w:tcW w:w="791" w:type="pct"/>
            <w:vMerge w:val="restart"/>
            <w:tcBorders>
              <w:top w:val="single" w:color="000000" w:sz="4" w:space="0"/>
              <w:left w:val="single" w:color="000000" w:sz="4" w:space="0"/>
              <w:bottom w:val="single" w:color="000000" w:sz="4" w:space="0"/>
              <w:right w:val="single" w:color="000000" w:sz="4" w:space="0"/>
            </w:tcBorders>
            <w:noWrap w:val="0"/>
            <w:vAlign w:val="center"/>
          </w:tcPr>
          <w:p w14:paraId="0FE943E0">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业务专题数据</w:t>
            </w:r>
          </w:p>
        </w:tc>
        <w:tc>
          <w:tcPr>
            <w:tcW w:w="1077" w:type="pct"/>
            <w:tcBorders>
              <w:top w:val="single" w:color="000000" w:sz="4" w:space="0"/>
              <w:left w:val="single" w:color="000000" w:sz="4" w:space="0"/>
              <w:bottom w:val="single" w:color="000000" w:sz="4" w:space="0"/>
              <w:right w:val="single" w:color="000000" w:sz="4" w:space="0"/>
            </w:tcBorders>
            <w:noWrap/>
            <w:vAlign w:val="center"/>
          </w:tcPr>
          <w:p w14:paraId="5343EA0F">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物联网专题数据</w:t>
            </w: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6B8ED7AD">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59532763">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r w14:paraId="6369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547" w:type="pct"/>
            <w:vMerge w:val="continue"/>
            <w:tcBorders>
              <w:top w:val="single" w:color="000000" w:sz="4" w:space="0"/>
              <w:left w:val="single" w:color="000000" w:sz="4" w:space="0"/>
              <w:bottom w:val="single" w:color="000000" w:sz="4" w:space="0"/>
              <w:right w:val="single" w:color="000000" w:sz="4" w:space="0"/>
            </w:tcBorders>
            <w:noWrap/>
            <w:vAlign w:val="center"/>
          </w:tcPr>
          <w:p w14:paraId="71FD0C0E">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79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67B588">
            <w:pPr>
              <w:spacing w:line="240" w:lineRule="auto"/>
              <w:jc w:val="center"/>
              <w:rPr>
                <w:rFonts w:hint="eastAsia" w:ascii="Times New Roman" w:hAnsi="Times New Roman" w:eastAsia="宋体" w:cs="Times New Roman"/>
                <w:b w:val="0"/>
                <w:bCs w:val="0"/>
                <w:i w:val="0"/>
                <w:iCs w:val="0"/>
                <w:color w:val="auto"/>
                <w:sz w:val="20"/>
                <w:szCs w:val="20"/>
                <w:highlight w:val="none"/>
                <w:u w:val="none"/>
              </w:rPr>
            </w:pPr>
          </w:p>
        </w:tc>
        <w:tc>
          <w:tcPr>
            <w:tcW w:w="1077" w:type="pct"/>
            <w:tcBorders>
              <w:top w:val="single" w:color="000000" w:sz="4" w:space="0"/>
              <w:left w:val="single" w:color="000000" w:sz="4" w:space="0"/>
              <w:bottom w:val="single" w:color="000000" w:sz="4" w:space="0"/>
              <w:right w:val="single" w:color="000000" w:sz="4" w:space="0"/>
            </w:tcBorders>
            <w:noWrap/>
            <w:vAlign w:val="center"/>
          </w:tcPr>
          <w:p w14:paraId="57F65ECF">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安防专题数据</w:t>
            </w:r>
          </w:p>
        </w:tc>
        <w:tc>
          <w:tcPr>
            <w:tcW w:w="1213" w:type="pct"/>
            <w:tcBorders>
              <w:top w:val="single" w:color="000000" w:sz="4" w:space="0"/>
              <w:left w:val="single" w:color="000000" w:sz="4" w:space="0"/>
              <w:bottom w:val="single" w:color="000000" w:sz="4" w:space="0"/>
              <w:right w:val="single" w:color="000000" w:sz="4" w:space="0"/>
            </w:tcBorders>
            <w:noWrap w:val="0"/>
            <w:vAlign w:val="center"/>
          </w:tcPr>
          <w:p w14:paraId="7C1DA5E4">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c>
          <w:tcPr>
            <w:tcW w:w="1369" w:type="pct"/>
            <w:tcBorders>
              <w:top w:val="single" w:color="000000" w:sz="4" w:space="0"/>
              <w:left w:val="single" w:color="000000" w:sz="4" w:space="0"/>
              <w:bottom w:val="single" w:color="000000" w:sz="4" w:space="0"/>
              <w:right w:val="single" w:color="000000" w:sz="4" w:space="0"/>
            </w:tcBorders>
            <w:noWrap w:val="0"/>
            <w:vAlign w:val="center"/>
          </w:tcPr>
          <w:p w14:paraId="75467116">
            <w:pPr>
              <w:keepNext w:val="0"/>
              <w:keepLines w:val="0"/>
              <w:widowControl/>
              <w:suppressLineNumbers w:val="0"/>
              <w:spacing w:line="240" w:lineRule="auto"/>
              <w:jc w:val="center"/>
              <w:textAlignment w:val="center"/>
              <w:rPr>
                <w:rFonts w:hint="eastAsia" w:ascii="Times New Roman" w:hAnsi="Times New Roman" w:eastAsia="宋体" w:cs="Times New Roman"/>
                <w:b w:val="0"/>
                <w:bCs w:val="0"/>
                <w:i w:val="0"/>
                <w:iCs w:val="0"/>
                <w:color w:val="auto"/>
                <w:sz w:val="20"/>
                <w:szCs w:val="20"/>
                <w:highlight w:val="none"/>
                <w:u w:val="none"/>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w:t>
            </w:r>
          </w:p>
        </w:tc>
      </w:tr>
    </w:tbl>
    <w:p w14:paraId="4D1DD17E">
      <w:pPr>
        <w:ind w:firstLine="0" w:firstLineChars="0"/>
        <w:outlineLvl w:val="0"/>
        <w:rPr>
          <w:color w:val="auto"/>
          <w:highlight w:val="none"/>
        </w:rPr>
      </w:pPr>
      <w:bookmarkStart w:id="44" w:name="_Toc27552"/>
      <w:bookmarkStart w:id="45" w:name="_Hlk152872123"/>
      <w:bookmarkStart w:id="46" w:name="_Toc156219921"/>
      <w:r>
        <w:rPr>
          <w:rFonts w:hint="eastAsia" w:ascii="Times New Roman" w:hAnsi="Times New Roman" w:eastAsia="宋体" w:cs="Times New Roman"/>
          <w:b/>
          <w:bCs/>
          <w:color w:val="auto"/>
          <w:kern w:val="2"/>
          <w:sz w:val="24"/>
          <w:szCs w:val="24"/>
          <w:highlight w:val="none"/>
          <w:lang w:val="en-US" w:eastAsia="zh-CN" w:bidi="ar-SA"/>
        </w:rPr>
        <w:t>三、应用开发建设要求</w:t>
      </w:r>
      <w:bookmarkEnd w:id="44"/>
    </w:p>
    <w:p w14:paraId="7C29B56A">
      <w:pPr>
        <w:keepNext w:val="0"/>
        <w:keepLines w:val="0"/>
        <w:pageBreakBefore w:val="0"/>
        <w:widowControl w:val="0"/>
        <w:kinsoku/>
        <w:wordWrap/>
        <w:overflowPunct/>
        <w:topLinePunct w:val="0"/>
        <w:autoSpaceDE/>
        <w:autoSpaceDN/>
        <w:bidi w:val="0"/>
        <w:adjustRightInd/>
        <w:snapToGrid/>
        <w:spacing w:before="157" w:beforeLines="50" w:after="157" w:afterLines="50"/>
        <w:ind w:firstLine="482" w:firstLineChars="200"/>
        <w:textAlignment w:val="auto"/>
        <w:outlineLvl w:val="1"/>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3.1部署及信创要求</w:t>
      </w:r>
    </w:p>
    <w:p w14:paraId="29A875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系统要求部署于</w:t>
      </w:r>
      <w:r>
        <w:rPr>
          <w:rFonts w:hint="eastAsia"/>
          <w:color w:val="auto"/>
          <w:sz w:val="21"/>
          <w:szCs w:val="21"/>
          <w:highlight w:val="none"/>
          <w:lang w:val="zh-CN"/>
        </w:rPr>
        <w:t>宁波市一体化智能化公共数据平台（信创云），</w:t>
      </w:r>
      <w:r>
        <w:rPr>
          <w:rFonts w:hint="eastAsia"/>
          <w:color w:val="auto"/>
          <w:sz w:val="21"/>
          <w:szCs w:val="21"/>
          <w:highlight w:val="none"/>
        </w:rPr>
        <w:t>本次建设的相关系统</w:t>
      </w:r>
      <w:r>
        <w:rPr>
          <w:rFonts w:hint="eastAsia"/>
          <w:color w:val="auto"/>
          <w:sz w:val="21"/>
          <w:szCs w:val="21"/>
          <w:highlight w:val="none"/>
          <w:lang w:val="en-US" w:eastAsia="zh-CN"/>
        </w:rPr>
        <w:t>基于</w:t>
      </w:r>
      <w:r>
        <w:rPr>
          <w:rFonts w:hint="eastAsia"/>
          <w:color w:val="auto"/>
          <w:sz w:val="21"/>
          <w:szCs w:val="21"/>
          <w:highlight w:val="none"/>
        </w:rPr>
        <w:t>信创</w:t>
      </w:r>
      <w:r>
        <w:rPr>
          <w:rFonts w:hint="eastAsia"/>
          <w:color w:val="auto"/>
          <w:sz w:val="21"/>
          <w:szCs w:val="21"/>
          <w:highlight w:val="none"/>
          <w:lang w:val="en-US" w:eastAsia="zh-CN"/>
        </w:rPr>
        <w:t>化建设。</w:t>
      </w:r>
    </w:p>
    <w:p w14:paraId="5B024D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配合采购人做好系统所需云资源的申请、部署、调试工作。</w:t>
      </w:r>
    </w:p>
    <w:p w14:paraId="14CD5F7C">
      <w:pPr>
        <w:keepNext w:val="0"/>
        <w:keepLines w:val="0"/>
        <w:pageBreakBefore w:val="0"/>
        <w:widowControl w:val="0"/>
        <w:kinsoku/>
        <w:wordWrap/>
        <w:overflowPunct/>
        <w:topLinePunct w:val="0"/>
        <w:autoSpaceDE/>
        <w:autoSpaceDN/>
        <w:bidi w:val="0"/>
        <w:adjustRightInd/>
        <w:snapToGrid/>
        <w:spacing w:before="157" w:beforeLines="50" w:after="157" w:afterLines="50"/>
        <w:ind w:firstLine="482" w:firstLineChars="200"/>
        <w:textAlignment w:val="auto"/>
        <w:outlineLvl w:val="1"/>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3.2测评要求</w:t>
      </w:r>
    </w:p>
    <w:p w14:paraId="598BC730">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为落实《中华人民共和国网络安全法》，实施国家信息安全等级保护制度，实行信息系统按等级保护分级管理，保障网络信息安全，保护患者隐私。推动系统运行维护的规范化管理，落实突发事件响应机制，保证业务的连续性。软件要求满足网络安全等保二级要求、代码审计要求，并根据意见进行整改。</w:t>
      </w:r>
    </w:p>
    <w:bookmarkEnd w:id="45"/>
    <w:bookmarkEnd w:id="46"/>
    <w:p w14:paraId="4A2831DA">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0"/>
        <w:rPr>
          <w:rFonts w:hint="eastAsia" w:ascii="Times New Roman" w:hAnsi="Times New Roman" w:eastAsia="宋体" w:cs="Times New Roman"/>
          <w:b/>
          <w:bCs/>
          <w:color w:val="auto"/>
          <w:kern w:val="2"/>
          <w:sz w:val="24"/>
          <w:szCs w:val="24"/>
          <w:highlight w:val="none"/>
          <w:lang w:val="en-US" w:eastAsia="zh-CN" w:bidi="ar-SA"/>
        </w:rPr>
      </w:pPr>
      <w:bookmarkStart w:id="47" w:name="_Toc14836"/>
      <w:r>
        <w:rPr>
          <w:rFonts w:hint="eastAsia" w:ascii="Times New Roman" w:hAnsi="Times New Roman" w:eastAsia="宋体" w:cs="Times New Roman"/>
          <w:b/>
          <w:bCs/>
          <w:color w:val="auto"/>
          <w:kern w:val="2"/>
          <w:sz w:val="24"/>
          <w:szCs w:val="24"/>
          <w:highlight w:val="none"/>
          <w:lang w:val="en-US" w:eastAsia="zh-CN" w:bidi="ar-SA"/>
        </w:rPr>
        <w:t>四、应用开发详细技术要求</w:t>
      </w:r>
      <w:bookmarkEnd w:id="47"/>
    </w:p>
    <w:p w14:paraId="7CFA9B04">
      <w:pPr>
        <w:keepNext w:val="0"/>
        <w:keepLines w:val="0"/>
        <w:pageBreakBefore w:val="0"/>
        <w:widowControl w:val="0"/>
        <w:kinsoku/>
        <w:wordWrap/>
        <w:overflowPunct/>
        <w:topLinePunct w:val="0"/>
        <w:autoSpaceDE/>
        <w:autoSpaceDN/>
        <w:bidi w:val="0"/>
        <w:adjustRightInd/>
        <w:snapToGrid/>
        <w:spacing w:before="157" w:beforeLines="50" w:after="157" w:afterLines="50"/>
        <w:ind w:firstLine="482" w:firstLineChars="200"/>
        <w:textAlignment w:val="auto"/>
        <w:outlineLvl w:val="1"/>
        <w:rPr>
          <w:rFonts w:hint="eastAsia" w:ascii="Times New Roman" w:hAnsi="Times New Roman" w:eastAsia="宋体" w:cs="Times New Roman"/>
          <w:b/>
          <w:bCs/>
          <w:color w:val="auto"/>
          <w:kern w:val="2"/>
          <w:sz w:val="24"/>
          <w:szCs w:val="24"/>
          <w:highlight w:val="none"/>
          <w:lang w:val="en-US" w:eastAsia="zh-CN" w:bidi="ar-SA"/>
        </w:rPr>
      </w:pPr>
      <w:bookmarkStart w:id="48" w:name="_Toc150462224"/>
      <w:bookmarkStart w:id="49" w:name="_Toc157087584"/>
      <w:r>
        <w:rPr>
          <w:rFonts w:hint="eastAsia" w:ascii="Times New Roman" w:hAnsi="Times New Roman" w:eastAsia="宋体" w:cs="Times New Roman"/>
          <w:b/>
          <w:bCs/>
          <w:color w:val="auto"/>
          <w:kern w:val="2"/>
          <w:sz w:val="24"/>
          <w:szCs w:val="24"/>
          <w:highlight w:val="none"/>
          <w:lang w:val="en-US" w:eastAsia="zh-CN" w:bidi="ar-SA"/>
        </w:rPr>
        <w:t>4.1技术标准</w:t>
      </w:r>
    </w:p>
    <w:p w14:paraId="4658EB24">
      <w:pPr>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rPr>
        <w:t>本次采购内容需执行包括但不限于以下的国家标准、地方标准、行业标准或其他标准规范，包括：</w:t>
      </w:r>
    </w:p>
    <w:p w14:paraId="0C0B7BEE">
      <w:pPr>
        <w:pStyle w:val="5"/>
        <w:pageBreakBefore w:val="0"/>
        <w:numPr>
          <w:ilvl w:val="0"/>
          <w:numId w:val="5"/>
        </w:numPr>
        <w:kinsoku/>
        <w:wordWrap/>
        <w:overflowPunct/>
        <w:topLinePunct w:val="0"/>
        <w:autoSpaceDE/>
        <w:autoSpaceDN/>
        <w:bidi w:val="0"/>
        <w:adjustRightInd/>
        <w:snapToGrid/>
        <w:spacing w:line="360" w:lineRule="auto"/>
        <w:ind w:left="840" w:leftChars="0" w:firstLineChars="0"/>
        <w:textAlignment w:val="auto"/>
        <w:rPr>
          <w:color w:val="auto"/>
          <w:sz w:val="21"/>
          <w:szCs w:val="21"/>
          <w:highlight w:val="none"/>
        </w:rPr>
      </w:pPr>
      <w:r>
        <w:rPr>
          <w:rFonts w:hint="eastAsia"/>
          <w:color w:val="auto"/>
          <w:sz w:val="21"/>
          <w:szCs w:val="21"/>
          <w:highlight w:val="none"/>
        </w:rPr>
        <w:t>《计算机信息系统安全专用产品分类原则》(GA163-1997)；</w:t>
      </w:r>
    </w:p>
    <w:p w14:paraId="162EC4A3">
      <w:pPr>
        <w:pStyle w:val="5"/>
        <w:pageBreakBefore w:val="0"/>
        <w:numPr>
          <w:ilvl w:val="0"/>
          <w:numId w:val="5"/>
        </w:numPr>
        <w:kinsoku/>
        <w:wordWrap/>
        <w:overflowPunct/>
        <w:topLinePunct w:val="0"/>
        <w:autoSpaceDE/>
        <w:autoSpaceDN/>
        <w:bidi w:val="0"/>
        <w:adjustRightInd/>
        <w:snapToGrid/>
        <w:spacing w:line="360" w:lineRule="auto"/>
        <w:ind w:left="840" w:leftChars="0" w:firstLineChars="0"/>
        <w:textAlignment w:val="auto"/>
        <w:rPr>
          <w:color w:val="auto"/>
          <w:sz w:val="21"/>
          <w:szCs w:val="21"/>
          <w:highlight w:val="none"/>
        </w:rPr>
      </w:pPr>
      <w:r>
        <w:rPr>
          <w:rFonts w:hint="eastAsia"/>
          <w:color w:val="auto"/>
          <w:sz w:val="21"/>
          <w:szCs w:val="21"/>
          <w:highlight w:val="none"/>
        </w:rPr>
        <w:t>《计算机信息系统安全产品部件(安全功能检测)》(GA216.1-1999)；</w:t>
      </w:r>
    </w:p>
    <w:p w14:paraId="47C6386E">
      <w:pPr>
        <w:pStyle w:val="5"/>
        <w:pageBreakBefore w:val="0"/>
        <w:numPr>
          <w:ilvl w:val="0"/>
          <w:numId w:val="5"/>
        </w:numPr>
        <w:kinsoku/>
        <w:wordWrap/>
        <w:overflowPunct/>
        <w:topLinePunct w:val="0"/>
        <w:autoSpaceDE/>
        <w:autoSpaceDN/>
        <w:bidi w:val="0"/>
        <w:adjustRightInd/>
        <w:snapToGrid/>
        <w:spacing w:line="360" w:lineRule="auto"/>
        <w:ind w:left="840" w:leftChars="0" w:firstLineChars="0"/>
        <w:textAlignment w:val="auto"/>
        <w:rPr>
          <w:color w:val="auto"/>
          <w:sz w:val="21"/>
          <w:szCs w:val="21"/>
          <w:highlight w:val="none"/>
        </w:rPr>
      </w:pPr>
      <w:r>
        <w:rPr>
          <w:rFonts w:hint="eastAsia"/>
          <w:color w:val="auto"/>
          <w:sz w:val="21"/>
          <w:szCs w:val="21"/>
          <w:highlight w:val="none"/>
        </w:rPr>
        <w:t>《计算机信息系统安全保护等级划分准则》(GB17859-1999)；</w:t>
      </w:r>
    </w:p>
    <w:p w14:paraId="0144B127">
      <w:pPr>
        <w:pStyle w:val="5"/>
        <w:pageBreakBefore w:val="0"/>
        <w:numPr>
          <w:ilvl w:val="0"/>
          <w:numId w:val="5"/>
        </w:numPr>
        <w:kinsoku/>
        <w:wordWrap/>
        <w:overflowPunct/>
        <w:topLinePunct w:val="0"/>
        <w:autoSpaceDE/>
        <w:autoSpaceDN/>
        <w:bidi w:val="0"/>
        <w:adjustRightInd/>
        <w:snapToGrid/>
        <w:spacing w:line="360" w:lineRule="auto"/>
        <w:ind w:left="840" w:leftChars="0" w:firstLineChars="0"/>
        <w:textAlignment w:val="auto"/>
        <w:rPr>
          <w:color w:val="auto"/>
          <w:sz w:val="21"/>
          <w:szCs w:val="21"/>
          <w:highlight w:val="none"/>
        </w:rPr>
      </w:pPr>
      <w:r>
        <w:rPr>
          <w:rFonts w:hint="eastAsia"/>
          <w:color w:val="auto"/>
          <w:sz w:val="21"/>
          <w:szCs w:val="21"/>
          <w:highlight w:val="none"/>
        </w:rPr>
        <w:t>《计算机软件需求规格说明规范》(GB/T9385-2008) ；</w:t>
      </w:r>
    </w:p>
    <w:p w14:paraId="5F4DB983">
      <w:pPr>
        <w:pStyle w:val="5"/>
        <w:pageBreakBefore w:val="0"/>
        <w:numPr>
          <w:ilvl w:val="0"/>
          <w:numId w:val="5"/>
        </w:numPr>
        <w:kinsoku/>
        <w:wordWrap/>
        <w:overflowPunct/>
        <w:topLinePunct w:val="0"/>
        <w:autoSpaceDE/>
        <w:autoSpaceDN/>
        <w:bidi w:val="0"/>
        <w:adjustRightInd/>
        <w:snapToGrid/>
        <w:spacing w:line="360" w:lineRule="auto"/>
        <w:ind w:left="840" w:leftChars="0" w:firstLineChars="0"/>
        <w:textAlignment w:val="auto"/>
        <w:rPr>
          <w:color w:val="auto"/>
          <w:sz w:val="21"/>
          <w:szCs w:val="21"/>
          <w:highlight w:val="none"/>
        </w:rPr>
      </w:pPr>
      <w:r>
        <w:rPr>
          <w:rFonts w:hint="eastAsia"/>
          <w:color w:val="auto"/>
          <w:sz w:val="21"/>
          <w:szCs w:val="21"/>
          <w:highlight w:val="none"/>
        </w:rPr>
        <w:t>《计算机软件测试文件编制规范》(GB/T9386-2008) ；</w:t>
      </w:r>
    </w:p>
    <w:p w14:paraId="49797DE7">
      <w:pPr>
        <w:pStyle w:val="5"/>
        <w:pageBreakBefore w:val="0"/>
        <w:numPr>
          <w:ilvl w:val="0"/>
          <w:numId w:val="5"/>
        </w:numPr>
        <w:kinsoku/>
        <w:wordWrap/>
        <w:overflowPunct/>
        <w:topLinePunct w:val="0"/>
        <w:autoSpaceDE/>
        <w:autoSpaceDN/>
        <w:bidi w:val="0"/>
        <w:adjustRightInd/>
        <w:snapToGrid/>
        <w:spacing w:line="360" w:lineRule="auto"/>
        <w:ind w:left="840" w:leftChars="0" w:firstLineChars="0"/>
        <w:textAlignment w:val="auto"/>
        <w:rPr>
          <w:color w:val="auto"/>
          <w:sz w:val="21"/>
          <w:szCs w:val="21"/>
          <w:highlight w:val="none"/>
        </w:rPr>
      </w:pPr>
      <w:r>
        <w:rPr>
          <w:rFonts w:hint="eastAsia"/>
          <w:color w:val="auto"/>
          <w:sz w:val="21"/>
          <w:szCs w:val="21"/>
          <w:highlight w:val="none"/>
        </w:rPr>
        <w:t>《计算机软件可靠性和可维护性管理》 (GB/T14394-2008) ；</w:t>
      </w:r>
    </w:p>
    <w:p w14:paraId="3EEBEC35">
      <w:pPr>
        <w:pStyle w:val="5"/>
        <w:pageBreakBefore w:val="0"/>
        <w:numPr>
          <w:ilvl w:val="0"/>
          <w:numId w:val="5"/>
        </w:numPr>
        <w:kinsoku/>
        <w:wordWrap/>
        <w:overflowPunct/>
        <w:topLinePunct w:val="0"/>
        <w:autoSpaceDE/>
        <w:autoSpaceDN/>
        <w:bidi w:val="0"/>
        <w:adjustRightInd/>
        <w:snapToGrid/>
        <w:spacing w:line="360" w:lineRule="auto"/>
        <w:ind w:left="840" w:leftChars="0" w:firstLineChars="0"/>
        <w:textAlignment w:val="auto"/>
        <w:rPr>
          <w:color w:val="auto"/>
          <w:sz w:val="21"/>
          <w:szCs w:val="21"/>
          <w:highlight w:val="none"/>
        </w:rPr>
      </w:pPr>
      <w:r>
        <w:rPr>
          <w:rFonts w:hint="eastAsia"/>
          <w:color w:val="auto"/>
          <w:sz w:val="21"/>
          <w:szCs w:val="21"/>
          <w:highlight w:val="none"/>
        </w:rPr>
        <w:t>《接入政务外网的局域网安全技术规范》（GW0206-2014）；</w:t>
      </w:r>
    </w:p>
    <w:p w14:paraId="2A06EAE3">
      <w:pPr>
        <w:pStyle w:val="5"/>
        <w:pageBreakBefore w:val="0"/>
        <w:numPr>
          <w:ilvl w:val="0"/>
          <w:numId w:val="5"/>
        </w:numPr>
        <w:kinsoku/>
        <w:wordWrap/>
        <w:overflowPunct/>
        <w:topLinePunct w:val="0"/>
        <w:autoSpaceDE/>
        <w:autoSpaceDN/>
        <w:bidi w:val="0"/>
        <w:adjustRightInd/>
        <w:snapToGrid/>
        <w:spacing w:line="360" w:lineRule="auto"/>
        <w:ind w:left="840" w:leftChars="0" w:firstLineChars="0"/>
        <w:textAlignment w:val="auto"/>
        <w:rPr>
          <w:color w:val="auto"/>
          <w:sz w:val="21"/>
          <w:szCs w:val="21"/>
          <w:highlight w:val="none"/>
        </w:rPr>
      </w:pPr>
      <w:r>
        <w:rPr>
          <w:rFonts w:hint="eastAsia"/>
          <w:color w:val="auto"/>
          <w:sz w:val="21"/>
          <w:szCs w:val="21"/>
          <w:highlight w:val="none"/>
        </w:rPr>
        <w:t>《信息安全技术云计算服务安全能力要求》 (GB/T31168-2014)；</w:t>
      </w:r>
    </w:p>
    <w:p w14:paraId="7EFBD4EC">
      <w:pPr>
        <w:pStyle w:val="5"/>
        <w:pageBreakBefore w:val="0"/>
        <w:numPr>
          <w:ilvl w:val="0"/>
          <w:numId w:val="5"/>
        </w:numPr>
        <w:kinsoku/>
        <w:wordWrap/>
        <w:overflowPunct/>
        <w:topLinePunct w:val="0"/>
        <w:autoSpaceDE/>
        <w:autoSpaceDN/>
        <w:bidi w:val="0"/>
        <w:adjustRightInd/>
        <w:snapToGrid/>
        <w:spacing w:line="360" w:lineRule="auto"/>
        <w:ind w:left="840" w:leftChars="0" w:firstLineChars="0"/>
        <w:textAlignment w:val="auto"/>
        <w:rPr>
          <w:color w:val="auto"/>
          <w:sz w:val="21"/>
          <w:szCs w:val="21"/>
          <w:highlight w:val="none"/>
        </w:rPr>
      </w:pPr>
      <w:r>
        <w:rPr>
          <w:rFonts w:hint="eastAsia"/>
          <w:color w:val="auto"/>
          <w:sz w:val="21"/>
          <w:szCs w:val="21"/>
          <w:highlight w:val="none"/>
        </w:rPr>
        <w:t>《信息技术云数据存储和管理》（GB/T31916-2015）；</w:t>
      </w:r>
    </w:p>
    <w:p w14:paraId="128938DB">
      <w:pPr>
        <w:pStyle w:val="5"/>
        <w:pageBreakBefore w:val="0"/>
        <w:numPr>
          <w:ilvl w:val="0"/>
          <w:numId w:val="5"/>
        </w:numPr>
        <w:kinsoku/>
        <w:wordWrap/>
        <w:overflowPunct/>
        <w:topLinePunct w:val="0"/>
        <w:autoSpaceDE/>
        <w:autoSpaceDN/>
        <w:bidi w:val="0"/>
        <w:adjustRightInd/>
        <w:snapToGrid/>
        <w:spacing w:line="360" w:lineRule="auto"/>
        <w:ind w:left="840" w:leftChars="0" w:firstLineChars="0"/>
        <w:textAlignment w:val="auto"/>
        <w:rPr>
          <w:color w:val="auto"/>
          <w:sz w:val="21"/>
          <w:szCs w:val="21"/>
          <w:highlight w:val="none"/>
        </w:rPr>
      </w:pPr>
      <w:r>
        <w:rPr>
          <w:rFonts w:hint="eastAsia"/>
          <w:color w:val="auto"/>
          <w:sz w:val="21"/>
          <w:szCs w:val="21"/>
          <w:highlight w:val="none"/>
        </w:rPr>
        <w:t>《云资源管理技术要求》（GB/T31916-2015）；</w:t>
      </w:r>
    </w:p>
    <w:p w14:paraId="091AD85A">
      <w:pPr>
        <w:pStyle w:val="5"/>
        <w:pageBreakBefore w:val="0"/>
        <w:numPr>
          <w:ilvl w:val="0"/>
          <w:numId w:val="5"/>
        </w:numPr>
        <w:kinsoku/>
        <w:wordWrap/>
        <w:overflowPunct/>
        <w:topLinePunct w:val="0"/>
        <w:autoSpaceDE/>
        <w:autoSpaceDN/>
        <w:bidi w:val="0"/>
        <w:adjustRightInd/>
        <w:snapToGrid/>
        <w:spacing w:line="360" w:lineRule="auto"/>
        <w:ind w:left="840" w:leftChars="0" w:firstLineChars="0"/>
        <w:textAlignment w:val="auto"/>
        <w:rPr>
          <w:color w:val="auto"/>
          <w:sz w:val="21"/>
          <w:szCs w:val="21"/>
          <w:highlight w:val="none"/>
        </w:rPr>
      </w:pPr>
      <w:r>
        <w:rPr>
          <w:rFonts w:hint="eastAsia"/>
          <w:color w:val="auto"/>
          <w:sz w:val="21"/>
          <w:szCs w:val="21"/>
          <w:highlight w:val="none"/>
        </w:rPr>
        <w:t>《信息安全技术 网络安全等级保护测试评估技术指南》(GB/T36627-2018)；</w:t>
      </w:r>
    </w:p>
    <w:p w14:paraId="59834972">
      <w:pPr>
        <w:pStyle w:val="5"/>
        <w:pageBreakBefore w:val="0"/>
        <w:numPr>
          <w:ilvl w:val="0"/>
          <w:numId w:val="5"/>
        </w:numPr>
        <w:kinsoku/>
        <w:wordWrap/>
        <w:overflowPunct/>
        <w:topLinePunct w:val="0"/>
        <w:autoSpaceDE/>
        <w:autoSpaceDN/>
        <w:bidi w:val="0"/>
        <w:adjustRightInd/>
        <w:snapToGrid/>
        <w:spacing w:line="360" w:lineRule="auto"/>
        <w:ind w:left="840" w:leftChars="0" w:firstLineChars="0"/>
        <w:textAlignment w:val="auto"/>
        <w:rPr>
          <w:color w:val="auto"/>
          <w:sz w:val="21"/>
          <w:szCs w:val="21"/>
          <w:highlight w:val="none"/>
        </w:rPr>
      </w:pPr>
      <w:r>
        <w:rPr>
          <w:rFonts w:hint="eastAsia"/>
          <w:color w:val="auto"/>
          <w:sz w:val="21"/>
          <w:szCs w:val="21"/>
          <w:highlight w:val="none"/>
        </w:rPr>
        <w:t>《软件工程软件开发成本度量规范》(GB/T 36964-2018)；</w:t>
      </w:r>
    </w:p>
    <w:p w14:paraId="208A76AA">
      <w:pPr>
        <w:pStyle w:val="5"/>
        <w:pageBreakBefore w:val="0"/>
        <w:numPr>
          <w:ilvl w:val="0"/>
          <w:numId w:val="5"/>
        </w:numPr>
        <w:kinsoku/>
        <w:wordWrap/>
        <w:overflowPunct/>
        <w:topLinePunct w:val="0"/>
        <w:autoSpaceDE/>
        <w:autoSpaceDN/>
        <w:bidi w:val="0"/>
        <w:adjustRightInd/>
        <w:snapToGrid/>
        <w:spacing w:line="360" w:lineRule="auto"/>
        <w:ind w:left="840" w:leftChars="0" w:firstLineChars="0"/>
        <w:textAlignment w:val="auto"/>
        <w:rPr>
          <w:color w:val="auto"/>
          <w:sz w:val="21"/>
          <w:szCs w:val="21"/>
          <w:highlight w:val="none"/>
        </w:rPr>
      </w:pPr>
      <w:r>
        <w:rPr>
          <w:rFonts w:hint="eastAsia"/>
          <w:color w:val="auto"/>
          <w:sz w:val="21"/>
          <w:szCs w:val="21"/>
          <w:highlight w:val="none"/>
        </w:rPr>
        <w:t>《信息安全技术网络安全等级保护基本要求》(GB/T22239-2019)；</w:t>
      </w:r>
    </w:p>
    <w:p w14:paraId="35B69766">
      <w:pPr>
        <w:pStyle w:val="5"/>
        <w:pageBreakBefore w:val="0"/>
        <w:numPr>
          <w:ilvl w:val="0"/>
          <w:numId w:val="5"/>
        </w:numPr>
        <w:kinsoku/>
        <w:wordWrap/>
        <w:overflowPunct/>
        <w:topLinePunct w:val="0"/>
        <w:autoSpaceDE/>
        <w:autoSpaceDN/>
        <w:bidi w:val="0"/>
        <w:adjustRightInd/>
        <w:snapToGrid/>
        <w:spacing w:line="360" w:lineRule="auto"/>
        <w:ind w:left="840" w:leftChars="0" w:firstLineChars="0"/>
        <w:textAlignment w:val="auto"/>
        <w:rPr>
          <w:color w:val="auto"/>
          <w:sz w:val="21"/>
          <w:szCs w:val="21"/>
          <w:highlight w:val="none"/>
        </w:rPr>
      </w:pPr>
      <w:r>
        <w:rPr>
          <w:rFonts w:hint="eastAsia"/>
          <w:color w:val="auto"/>
          <w:sz w:val="21"/>
          <w:szCs w:val="21"/>
          <w:highlight w:val="none"/>
        </w:rPr>
        <w:t>《信息安全技术网络安全等级保护测评要求》(GB/T28448-2019)；</w:t>
      </w:r>
    </w:p>
    <w:p w14:paraId="56931000">
      <w:pPr>
        <w:pStyle w:val="5"/>
        <w:pageBreakBefore w:val="0"/>
        <w:numPr>
          <w:ilvl w:val="0"/>
          <w:numId w:val="5"/>
        </w:numPr>
        <w:kinsoku/>
        <w:wordWrap/>
        <w:overflowPunct/>
        <w:topLinePunct w:val="0"/>
        <w:autoSpaceDE/>
        <w:autoSpaceDN/>
        <w:bidi w:val="0"/>
        <w:adjustRightInd/>
        <w:snapToGrid/>
        <w:spacing w:line="360" w:lineRule="auto"/>
        <w:ind w:left="840" w:leftChars="0" w:firstLineChars="0"/>
        <w:textAlignment w:val="auto"/>
        <w:rPr>
          <w:color w:val="auto"/>
          <w:sz w:val="21"/>
          <w:szCs w:val="21"/>
          <w:highlight w:val="none"/>
        </w:rPr>
      </w:pPr>
      <w:r>
        <w:rPr>
          <w:rFonts w:hint="eastAsia"/>
          <w:color w:val="auto"/>
          <w:sz w:val="21"/>
          <w:szCs w:val="21"/>
          <w:highlight w:val="none"/>
        </w:rPr>
        <w:t>《信息安全技术 网络安全等级保护安全设计技术要求》(GB∕T25070-2019)；</w:t>
      </w:r>
    </w:p>
    <w:p w14:paraId="5E2ABD2F">
      <w:pPr>
        <w:pStyle w:val="5"/>
        <w:pageBreakBefore w:val="0"/>
        <w:numPr>
          <w:ilvl w:val="0"/>
          <w:numId w:val="5"/>
        </w:numPr>
        <w:kinsoku/>
        <w:wordWrap/>
        <w:overflowPunct/>
        <w:topLinePunct w:val="0"/>
        <w:autoSpaceDE/>
        <w:autoSpaceDN/>
        <w:bidi w:val="0"/>
        <w:adjustRightInd/>
        <w:snapToGrid/>
        <w:spacing w:line="360" w:lineRule="auto"/>
        <w:ind w:left="840" w:leftChars="0" w:firstLineChars="0"/>
        <w:textAlignment w:val="auto"/>
        <w:rPr>
          <w:color w:val="auto"/>
          <w:sz w:val="21"/>
          <w:szCs w:val="21"/>
          <w:highlight w:val="none"/>
        </w:rPr>
      </w:pPr>
      <w:r>
        <w:rPr>
          <w:rFonts w:hint="eastAsia"/>
          <w:color w:val="auto"/>
          <w:sz w:val="21"/>
          <w:szCs w:val="21"/>
          <w:highlight w:val="none"/>
        </w:rPr>
        <w:t>《信息安全技术 网络安全等级保护定级指南》(GB/T22240-2020)；</w:t>
      </w:r>
    </w:p>
    <w:p w14:paraId="65F277FC">
      <w:pPr>
        <w:pStyle w:val="5"/>
        <w:pageBreakBefore w:val="0"/>
        <w:numPr>
          <w:ilvl w:val="0"/>
          <w:numId w:val="5"/>
        </w:numPr>
        <w:kinsoku/>
        <w:wordWrap/>
        <w:overflowPunct/>
        <w:topLinePunct w:val="0"/>
        <w:autoSpaceDE/>
        <w:autoSpaceDN/>
        <w:bidi w:val="0"/>
        <w:adjustRightInd/>
        <w:snapToGrid/>
        <w:spacing w:line="360" w:lineRule="auto"/>
        <w:ind w:left="840" w:leftChars="0" w:firstLineChars="0"/>
        <w:textAlignment w:val="auto"/>
        <w:rPr>
          <w:color w:val="auto"/>
          <w:sz w:val="21"/>
          <w:szCs w:val="21"/>
          <w:highlight w:val="none"/>
        </w:rPr>
      </w:pPr>
      <w:r>
        <w:rPr>
          <w:rFonts w:hint="eastAsia"/>
          <w:color w:val="auto"/>
          <w:sz w:val="21"/>
          <w:szCs w:val="21"/>
          <w:highlight w:val="none"/>
        </w:rPr>
        <w:t>《系统与软件工程 软件生存周期过程》（GB/T8566-2022）；</w:t>
      </w:r>
    </w:p>
    <w:p w14:paraId="7D1E6742">
      <w:pPr>
        <w:pStyle w:val="5"/>
        <w:pageBreakBefore w:val="0"/>
        <w:numPr>
          <w:ilvl w:val="0"/>
          <w:numId w:val="5"/>
        </w:numPr>
        <w:kinsoku/>
        <w:wordWrap/>
        <w:overflowPunct/>
        <w:topLinePunct w:val="0"/>
        <w:autoSpaceDE/>
        <w:autoSpaceDN/>
        <w:bidi w:val="0"/>
        <w:adjustRightInd/>
        <w:snapToGrid/>
        <w:spacing w:line="360" w:lineRule="auto"/>
        <w:ind w:left="840" w:leftChars="0" w:firstLineChars="0"/>
        <w:textAlignment w:val="auto"/>
        <w:rPr>
          <w:rFonts w:ascii="宋体" w:hAnsi="宋体"/>
          <w:color w:val="auto"/>
          <w:sz w:val="21"/>
          <w:szCs w:val="21"/>
          <w:highlight w:val="none"/>
        </w:rPr>
      </w:pPr>
      <w:r>
        <w:rPr>
          <w:rFonts w:hint="eastAsia"/>
          <w:color w:val="auto"/>
          <w:sz w:val="21"/>
          <w:szCs w:val="21"/>
          <w:highlight w:val="none"/>
        </w:rPr>
        <w:t>《体育赛事信息化 软件测试规范》（TY/T1007-2024）。</w:t>
      </w:r>
    </w:p>
    <w:p w14:paraId="3EE33BF0">
      <w:pPr>
        <w:pStyle w:val="3"/>
        <w:pageBreakBefore w:val="0"/>
        <w:numPr>
          <w:ilvl w:val="1"/>
          <w:numId w:val="0"/>
        </w:numPr>
        <w:kinsoku/>
        <w:wordWrap/>
        <w:overflowPunct/>
        <w:topLinePunct w:val="0"/>
        <w:autoSpaceDE/>
        <w:autoSpaceDN/>
        <w:bidi w:val="0"/>
        <w:adjustRightInd/>
        <w:snapToGrid/>
        <w:spacing w:before="0" w:after="0" w:line="360" w:lineRule="auto"/>
        <w:ind w:firstLine="482" w:firstLineChars="200"/>
        <w:jc w:val="both"/>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4.2性能要求</w:t>
      </w:r>
    </w:p>
    <w:p w14:paraId="408B4561">
      <w:pPr>
        <w:pStyle w:val="5"/>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rPr>
        <w:t>项目建设所涉及软件系统属于具有高可靠性、可用性、开放的、多种交互方式的综合应用平台。系统开发时需要满足以下的功能及性能需求：</w:t>
      </w:r>
    </w:p>
    <w:p w14:paraId="03FE7D11">
      <w:pPr>
        <w:pStyle w:val="5"/>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rPr>
        <w:t>1、系统的统一性：系统所有应用需要符合平台的统一规划和部署要求，能够统一使用平台提供的虚化资源及大数据分析接口。</w:t>
      </w:r>
    </w:p>
    <w:p w14:paraId="30851BDA">
      <w:pPr>
        <w:pStyle w:val="5"/>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rPr>
        <w:t>2、系统的规范与标准性：系统的建设需要符合国家电子政务中心制定的规范和要求。</w:t>
      </w:r>
    </w:p>
    <w:p w14:paraId="47ECC365">
      <w:pPr>
        <w:pStyle w:val="5"/>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rPr>
        <w:t>3、系统的开放性：基于目前先进开发技术和开放标准，具备信息共享，接口交互的能力，能够充分考虑到和云平台大数据计算、分析、挖掘及数据开发工具之间的接口开放。</w:t>
      </w:r>
    </w:p>
    <w:p w14:paraId="3467C3A5">
      <w:pPr>
        <w:pStyle w:val="5"/>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rPr>
        <w:t>4、系统的易用性：能够提供友好的GUI界面，满足管理人员日常管理监控业务的需求，同时满足相关业务人员在可视化界面下灵活方便地实现数据交换的各种方式（直接交换、安全交换、授权交换等）。</w:t>
      </w:r>
    </w:p>
    <w:p w14:paraId="4BDEDA38">
      <w:pPr>
        <w:pStyle w:val="5"/>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rPr>
        <w:t>5、系统的可扩展性：支持现有环境下使用人员并发量、存储量等平滑扩展和硬件随需扩展需求，在未来信息量、使用人员量不断扩大的情况下，系统能够同步扩展增长。</w:t>
      </w:r>
    </w:p>
    <w:p w14:paraId="5F71F0E6">
      <w:pPr>
        <w:pStyle w:val="5"/>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rPr>
        <w:t>6、系统的可移植性、可重用性：具有较强的可移植性、可重用性，保证在将来发展中迅速采用最新出现的技术、适应硬件系统升级以后的平台、长期保持系统的先进。</w:t>
      </w:r>
    </w:p>
    <w:p w14:paraId="5DEA9C12">
      <w:pPr>
        <w:pStyle w:val="5"/>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rPr>
        <w:t>7、系统兼容性：兼容多种主流国产浏览器模式。</w:t>
      </w:r>
    </w:p>
    <w:p w14:paraId="6014E095">
      <w:pPr>
        <w:pStyle w:val="5"/>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rPr>
        <w:t>8、项目系统、平台响应时间应满足的基本原则是：</w:t>
      </w:r>
    </w:p>
    <w:p w14:paraId="57D4680C">
      <w:pPr>
        <w:pStyle w:val="5"/>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rPr>
        <w:t xml:space="preserve">1）响应速度不致影响业务工作、造成业务工作的低效率。通常情况下，浏览响应时间＜2秒，查询处理响应时间＜2秒。 </w:t>
      </w:r>
    </w:p>
    <w:p w14:paraId="510B33A0">
      <w:pPr>
        <w:pStyle w:val="5"/>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rPr>
        <w:t xml:space="preserve">2）用户进行页面浏览操作，系统页面打开速度不超过2秒。 </w:t>
      </w:r>
    </w:p>
    <w:p w14:paraId="042DFC6C">
      <w:pPr>
        <w:pStyle w:val="5"/>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rPr>
        <w:t xml:space="preserve">3）用户进行查询操作，系统页面打开速度不超过2秒。 </w:t>
      </w:r>
    </w:p>
    <w:p w14:paraId="03B072D5">
      <w:pPr>
        <w:pStyle w:val="5"/>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rPr>
        <w:t>4）业务应用相关系统支持多用户并发访问，可满足20位用户并发访问，并且系统能够稳定可靠地运行。</w:t>
      </w:r>
    </w:p>
    <w:p w14:paraId="292C56E0">
      <w:pPr>
        <w:pStyle w:val="5"/>
        <w:pageBreakBefore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rPr>
        <w:t>5）软件应用系统年平均无故障运行时间＞8700小时。</w:t>
      </w:r>
    </w:p>
    <w:p w14:paraId="6E7E25A2">
      <w:pPr>
        <w:pStyle w:val="3"/>
        <w:pageBreakBefore w:val="0"/>
        <w:numPr>
          <w:ilvl w:val="1"/>
          <w:numId w:val="0"/>
        </w:numPr>
        <w:kinsoku/>
        <w:wordWrap/>
        <w:overflowPunct/>
        <w:topLinePunct w:val="0"/>
        <w:autoSpaceDE/>
        <w:autoSpaceDN/>
        <w:bidi w:val="0"/>
        <w:adjustRightInd/>
        <w:snapToGrid/>
        <w:spacing w:before="0" w:after="0" w:line="360" w:lineRule="auto"/>
        <w:ind w:firstLine="482" w:firstLineChars="200"/>
        <w:jc w:val="both"/>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4.3详细功能要求</w:t>
      </w:r>
    </w:p>
    <w:bookmarkEnd w:id="48"/>
    <w:bookmarkEnd w:id="49"/>
    <w:p w14:paraId="1E5DFE55">
      <w:pPr>
        <w:pStyle w:val="4"/>
        <w:pageBreakBefore w:val="0"/>
        <w:numPr>
          <w:ilvl w:val="2"/>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bookmarkStart w:id="50" w:name="_Toc996"/>
      <w:bookmarkStart w:id="51" w:name="_Toc29310"/>
      <w:bookmarkStart w:id="52" w:name="_Toc15199"/>
      <w:r>
        <w:rPr>
          <w:rFonts w:hint="eastAsia" w:ascii="宋体" w:hAnsi="宋体" w:eastAsia="宋体" w:cs="宋体"/>
          <w:b/>
          <w:bCs w:val="0"/>
          <w:i w:val="0"/>
          <w:color w:val="auto"/>
          <w:kern w:val="2"/>
          <w:sz w:val="21"/>
          <w:szCs w:val="21"/>
          <w:highlight w:val="none"/>
          <w:lang w:val="en-US" w:eastAsia="zh-CN" w:bidi="ar-SA"/>
        </w:rPr>
        <w:t>4.3.1</w:t>
      </w:r>
      <w:r>
        <w:rPr>
          <w:rFonts w:hint="eastAsia" w:ascii="宋体" w:hAnsi="宋体" w:eastAsia="宋体" w:cs="宋体"/>
          <w:color w:val="auto"/>
          <w:sz w:val="21"/>
          <w:szCs w:val="21"/>
          <w:highlight w:val="none"/>
        </w:rPr>
        <w:t>业务应用层设计</w:t>
      </w:r>
      <w:bookmarkEnd w:id="50"/>
      <w:bookmarkEnd w:id="51"/>
      <w:bookmarkEnd w:id="52"/>
    </w:p>
    <w:p w14:paraId="0E46488B">
      <w:pPr>
        <w:pStyle w:val="6"/>
        <w:pageBreakBefore w:val="0"/>
        <w:numPr>
          <w:ilvl w:val="3"/>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bookmarkStart w:id="53" w:name="_Toc6639"/>
      <w:bookmarkStart w:id="54" w:name="_Toc17617"/>
      <w:bookmarkStart w:id="55" w:name="_Toc7708"/>
      <w:r>
        <w:rPr>
          <w:rFonts w:hint="eastAsia" w:ascii="宋体" w:hAnsi="宋体" w:eastAsia="宋体" w:cs="宋体"/>
          <w:b/>
          <w:bCs w:val="0"/>
          <w:i w:val="0"/>
          <w:color w:val="auto"/>
          <w:kern w:val="2"/>
          <w:sz w:val="21"/>
          <w:szCs w:val="21"/>
          <w:highlight w:val="none"/>
          <w:lang w:val="en-US" w:eastAsia="zh-CN" w:bidi="ar-SA"/>
        </w:rPr>
        <w:t>4.3.1.1</w:t>
      </w:r>
      <w:r>
        <w:rPr>
          <w:rFonts w:hint="eastAsia" w:ascii="宋体" w:hAnsi="宋体" w:eastAsia="宋体" w:cs="宋体"/>
          <w:color w:val="auto"/>
          <w:sz w:val="21"/>
          <w:szCs w:val="21"/>
          <w:highlight w:val="none"/>
        </w:rPr>
        <w:t>数字孪生</w:t>
      </w:r>
      <w:bookmarkEnd w:id="53"/>
      <w:bookmarkEnd w:id="54"/>
      <w:bookmarkEnd w:id="55"/>
    </w:p>
    <w:p w14:paraId="3659D015">
      <w:pPr>
        <w:pStyle w:val="7"/>
        <w:pageBreakBefore w:val="0"/>
        <w:numPr>
          <w:ilvl w:val="4"/>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4.3.1.1.1</w:t>
      </w:r>
      <w:r>
        <w:rPr>
          <w:rFonts w:hint="eastAsia" w:ascii="宋体" w:hAnsi="宋体" w:eastAsia="宋体" w:cs="宋体"/>
          <w:color w:val="auto"/>
          <w:sz w:val="21"/>
          <w:szCs w:val="21"/>
          <w:highlight w:val="none"/>
        </w:rPr>
        <w:t>孪生引擎</w:t>
      </w:r>
    </w:p>
    <w:p w14:paraId="57C95F9E">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字孪生引擎支持通过3DSMax、Blender等软件处理人工模型的数据加载，同时支持多源地理信息数据服务加载和图层展示，包含在线离线正射影像、倾斜摄影数据、手工模型数据、矢量数据、坐标点位等数据图层。支持自由漫游模式和固定漫游模式切换，可切换人行、车行、飞行及自由漫游。支持空间三维图层的分屏对比、模型单体化交互，自由点位上图动态聚合，具备动态纹理贴图可将视频画面融合在模型中展示，能够对接地名地址、路网、建筑地面，支持场景动效如矢量图形实时绘制、矢量扩散、区划面、轨迹现、热力图、水域动效、天气动效、粒子特效等工具，天气特效可实现下雪地面积雪、下雨地面水效涟漪。支持利用地理信息空间化场景的分析能力，包含基础的长宽高测量、面积测量、体块体积测量，能够实现视觉分析通视分析、视域分析、天际线分析、日照分析、缓冲区分析、模型剖切分析。支持场景标注要素的叠加分析，实时路况叠加、空间检索、线与点的关系分析、TIN多边形等。支持全景图标注、室内室外全景漫游。支持视频图像标定工具绘制参数结果解析，参数还原至场景无缝融合视频画面。</w:t>
      </w:r>
    </w:p>
    <w:p w14:paraId="64F133FD">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val="en-US" w:eastAsia="zh-CN"/>
        </w:rPr>
      </w:pPr>
      <w:r>
        <w:rPr>
          <w:rFonts w:hint="eastAsia" w:ascii="宋体" w:hAnsi="宋体" w:eastAsia="宋体" w:cs="Times New Roman"/>
          <w:color w:val="auto"/>
          <w:kern w:val="0"/>
          <w:sz w:val="21"/>
          <w:szCs w:val="21"/>
          <w:highlight w:val="none"/>
          <w:lang w:val="zh-CN"/>
        </w:rPr>
        <w:t>▲</w:t>
      </w:r>
      <w:r>
        <w:rPr>
          <w:rFonts w:hint="eastAsia"/>
          <w:color w:val="auto"/>
          <w:sz w:val="21"/>
          <w:szCs w:val="21"/>
          <w:highlight w:val="none"/>
        </w:rPr>
        <w:t>为方便后期进行数据升级及系统管理，本项目平台需支持不少于十五亿面片规模三维场景的实时渲染</w:t>
      </w:r>
      <w:r>
        <w:rPr>
          <w:rFonts w:hint="eastAsia"/>
          <w:color w:val="auto"/>
          <w:sz w:val="21"/>
          <w:szCs w:val="21"/>
          <w:highlight w:val="none"/>
          <w:lang w:eastAsia="zh-CN"/>
        </w:rPr>
        <w:t>；</w:t>
      </w:r>
      <w:r>
        <w:rPr>
          <w:rFonts w:hint="eastAsia"/>
          <w:b/>
          <w:bCs/>
          <w:color w:val="auto"/>
          <w:sz w:val="21"/>
          <w:szCs w:val="21"/>
          <w:highlight w:val="none"/>
          <w:lang w:eastAsia="zh-CN"/>
        </w:rPr>
        <w:t>（</w:t>
      </w:r>
      <w:r>
        <w:rPr>
          <w:rFonts w:hint="eastAsia"/>
          <w:b/>
          <w:bCs/>
          <w:color w:val="auto"/>
          <w:sz w:val="21"/>
          <w:szCs w:val="21"/>
          <w:highlight w:val="none"/>
          <w:lang w:val="en-US" w:eastAsia="zh-CN"/>
        </w:rPr>
        <w:t>需提供CNAS等专业测试报告复印件）</w:t>
      </w:r>
    </w:p>
    <w:p w14:paraId="4F58C7DF">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b/>
          <w:bCs/>
          <w:color w:val="auto"/>
          <w:sz w:val="21"/>
          <w:szCs w:val="21"/>
          <w:highlight w:val="none"/>
          <w:lang w:val="en-US" w:eastAsia="zh-CN"/>
        </w:rPr>
      </w:pPr>
      <w:r>
        <w:rPr>
          <w:rFonts w:hint="eastAsia" w:ascii="宋体" w:hAnsi="宋体" w:eastAsia="宋体" w:cs="Times New Roman"/>
          <w:color w:val="auto"/>
          <w:kern w:val="0"/>
          <w:sz w:val="21"/>
          <w:szCs w:val="21"/>
          <w:highlight w:val="none"/>
          <w:lang w:val="zh-CN"/>
        </w:rPr>
        <w:t>▲</w:t>
      </w:r>
      <w:r>
        <w:rPr>
          <w:rFonts w:hint="eastAsia" w:ascii="宋体" w:hAnsi="宋体" w:cs="宋体"/>
          <w:bCs/>
          <w:color w:val="auto"/>
          <w:sz w:val="21"/>
          <w:szCs w:val="21"/>
          <w:highlight w:val="none"/>
          <w:lang w:val="en-US" w:eastAsia="zh-CN"/>
        </w:rPr>
        <w:t>为保证数据加载效果，</w:t>
      </w:r>
      <w:r>
        <w:rPr>
          <w:rFonts w:hint="eastAsia"/>
          <w:color w:val="auto"/>
          <w:sz w:val="21"/>
          <w:szCs w:val="21"/>
          <w:highlight w:val="none"/>
        </w:rPr>
        <w:t>平台</w:t>
      </w:r>
      <w:r>
        <w:rPr>
          <w:rFonts w:hint="eastAsia"/>
          <w:color w:val="auto"/>
          <w:sz w:val="21"/>
          <w:szCs w:val="21"/>
          <w:highlight w:val="none"/>
          <w:lang w:val="en-US" w:eastAsia="zh-CN"/>
        </w:rPr>
        <w:t>需支持</w:t>
      </w:r>
      <w:r>
        <w:rPr>
          <w:rFonts w:hint="eastAsia"/>
          <w:color w:val="auto"/>
          <w:sz w:val="21"/>
          <w:szCs w:val="21"/>
          <w:highlight w:val="none"/>
        </w:rPr>
        <w:t>平均三维渲染帧率不低于45帧/秒。</w:t>
      </w:r>
      <w:r>
        <w:rPr>
          <w:rFonts w:hint="eastAsia"/>
          <w:b/>
          <w:bCs/>
          <w:color w:val="auto"/>
          <w:sz w:val="21"/>
          <w:szCs w:val="21"/>
          <w:highlight w:val="none"/>
          <w:lang w:eastAsia="zh-CN"/>
        </w:rPr>
        <w:t>（</w:t>
      </w:r>
      <w:r>
        <w:rPr>
          <w:rFonts w:hint="eastAsia"/>
          <w:b/>
          <w:bCs/>
          <w:color w:val="auto"/>
          <w:sz w:val="21"/>
          <w:szCs w:val="21"/>
          <w:highlight w:val="none"/>
          <w:lang w:val="en-US" w:eastAsia="zh-CN"/>
        </w:rPr>
        <w:t>需提供CNAS等专业测试报告复印件）</w:t>
      </w:r>
    </w:p>
    <w:p w14:paraId="7EAB9691">
      <w:pPr>
        <w:pStyle w:val="5"/>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p>
    <w:p w14:paraId="7BCB73A9">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4.3.1.1.1.1</w:t>
      </w:r>
      <w:r>
        <w:rPr>
          <w:rFonts w:hint="eastAsia" w:ascii="宋体" w:hAnsi="宋体" w:eastAsia="宋体" w:cs="宋体"/>
          <w:color w:val="auto"/>
          <w:sz w:val="21"/>
          <w:szCs w:val="21"/>
          <w:highlight w:val="none"/>
        </w:rPr>
        <w:t>引擎库</w:t>
      </w:r>
    </w:p>
    <w:p w14:paraId="6371C560">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三维模型数据库</w:t>
      </w:r>
    </w:p>
    <w:p w14:paraId="060FB2C2">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三维模型入库‌将三维模型数据存储在数据库。三维模型数据的种类格式包括glb、3dtitles、gltf等。</w:t>
      </w:r>
    </w:p>
    <w:p w14:paraId="0D5B3249">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二维地理实体数据库</w:t>
      </w:r>
    </w:p>
    <w:p w14:paraId="383B7A5D">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处理为三维 GIS上能够渐进加载的切片文件格式。对数据文件包括地形、影像的tif、png等格式的文件数据进行切片入库。通过只加载用户视图区域内的数据，切片技术显著减少了所需加载的数据量，提高应用的响应速度和效率。</w:t>
      </w:r>
    </w:p>
    <w:p w14:paraId="39D78480">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4.3.1.1.1.2</w:t>
      </w:r>
      <w:r>
        <w:rPr>
          <w:rFonts w:hint="eastAsia" w:ascii="宋体" w:hAnsi="宋体" w:eastAsia="宋体" w:cs="宋体"/>
          <w:color w:val="auto"/>
          <w:sz w:val="21"/>
          <w:szCs w:val="21"/>
          <w:highlight w:val="none"/>
        </w:rPr>
        <w:t>三维数据引擎</w:t>
      </w:r>
    </w:p>
    <w:p w14:paraId="37CC0195">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三维数据引擎包括三维模型数据引擎管理与新增模型数据，该三维数据引擎通过数据处理能力和广泛的应用场景，为用户提供有效的空间信息。</w:t>
      </w:r>
    </w:p>
    <w:p w14:paraId="61F073F3">
      <w:pPr>
        <w:pStyle w:val="9"/>
        <w:pageBreakBefore w:val="0"/>
        <w:numPr>
          <w:ilvl w:val="6"/>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4.3.1.1.1.2.1</w:t>
      </w:r>
      <w:r>
        <w:rPr>
          <w:rFonts w:hint="eastAsia" w:ascii="宋体" w:hAnsi="宋体" w:eastAsia="宋体" w:cs="宋体"/>
          <w:color w:val="auto"/>
          <w:sz w:val="21"/>
          <w:szCs w:val="21"/>
          <w:highlight w:val="none"/>
        </w:rPr>
        <w:t>入库数据管理</w:t>
      </w:r>
    </w:p>
    <w:p w14:paraId="479AE827">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针对系统入库的数据管理包括增、删、查、改、开启、关闭、刷新列表功能。</w:t>
      </w:r>
    </w:p>
    <w:p w14:paraId="5E051F86">
      <w:pPr>
        <w:pStyle w:val="9"/>
        <w:pageBreakBefore w:val="0"/>
        <w:numPr>
          <w:ilvl w:val="6"/>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4.3.1.1.1.2.2</w:t>
      </w:r>
      <w:r>
        <w:rPr>
          <w:rFonts w:hint="eastAsia" w:ascii="宋体" w:hAnsi="宋体" w:eastAsia="宋体" w:cs="宋体"/>
          <w:color w:val="auto"/>
          <w:sz w:val="21"/>
          <w:szCs w:val="21"/>
          <w:highlight w:val="none"/>
        </w:rPr>
        <w:t>新增模型数据</w:t>
      </w:r>
    </w:p>
    <w:p w14:paraId="730B5E3C">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通过系统添加三维数据，支持单数据和批量导入两种方式。新增模型的数据不同于数据批次的导入，新增模型是将模型数据入库，而数据批次导入更多的是将发布的数据代理给到孪生引擎去加载。</w:t>
      </w:r>
    </w:p>
    <w:p w14:paraId="68279109">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4.3.1.1.1.3</w:t>
      </w:r>
      <w:r>
        <w:rPr>
          <w:rFonts w:hint="eastAsia" w:ascii="宋体" w:hAnsi="宋体" w:eastAsia="宋体" w:cs="宋体"/>
          <w:color w:val="auto"/>
          <w:sz w:val="21"/>
          <w:szCs w:val="21"/>
          <w:highlight w:val="none"/>
        </w:rPr>
        <w:t>二维数据引擎</w:t>
      </w:r>
    </w:p>
    <w:p w14:paraId="24C70C5F">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二维数据引擎包括二维数据管理与二维数据列表，该二维数据引擎是一种基于地理信息系统（GIS）的二维空间数据处理和分析能力，用于实现地图共享、访问不同来源的空间数据以及进行空间分析。</w:t>
      </w:r>
    </w:p>
    <w:p w14:paraId="40D3BB71">
      <w:pPr>
        <w:pStyle w:val="9"/>
        <w:pageBreakBefore w:val="0"/>
        <w:numPr>
          <w:ilvl w:val="6"/>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4.3.1.1.1.3.1</w:t>
      </w:r>
      <w:r>
        <w:rPr>
          <w:rFonts w:hint="eastAsia" w:ascii="宋体" w:hAnsi="宋体" w:eastAsia="宋体" w:cs="宋体"/>
          <w:color w:val="auto"/>
          <w:sz w:val="21"/>
          <w:szCs w:val="21"/>
          <w:highlight w:val="none"/>
        </w:rPr>
        <w:t>入库数据管理</w:t>
      </w:r>
    </w:p>
    <w:p w14:paraId="1FE57238">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通过系统可以对矢量服务（WFS、WMS、WMTS）进行管理，含对二维数据的新增（逐条新增或批量导入）、搜索、开启及关闭、单项及批量删除、修改、查看、刷新功能。</w:t>
      </w:r>
    </w:p>
    <w:p w14:paraId="04B89810">
      <w:pPr>
        <w:pStyle w:val="9"/>
        <w:pageBreakBefore w:val="0"/>
        <w:numPr>
          <w:ilvl w:val="6"/>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4.3.1.1.1.3.2</w:t>
      </w:r>
      <w:r>
        <w:rPr>
          <w:rFonts w:hint="eastAsia" w:ascii="宋体" w:hAnsi="宋体" w:eastAsia="宋体" w:cs="宋体"/>
          <w:color w:val="auto"/>
          <w:sz w:val="21"/>
          <w:szCs w:val="21"/>
          <w:highlight w:val="none"/>
        </w:rPr>
        <w:t>新增二维数据</w:t>
      </w:r>
    </w:p>
    <w:p w14:paraId="44128BAC">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通过系统添加二维数据，支持单数据和批量导入两种方式。新增二维的数据不同于数据批次的导入，新增二维数据是将二维数据入库，而数据批次导入更多的是将发布的数据代理给到孪生引擎去加载。</w:t>
      </w:r>
    </w:p>
    <w:p w14:paraId="11A2CCF2">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4.3.1.1.1.4</w:t>
      </w:r>
      <w:r>
        <w:rPr>
          <w:rFonts w:hint="eastAsia" w:ascii="宋体" w:hAnsi="宋体" w:eastAsia="宋体" w:cs="宋体"/>
          <w:color w:val="auto"/>
          <w:sz w:val="21"/>
          <w:szCs w:val="21"/>
          <w:highlight w:val="none"/>
        </w:rPr>
        <w:t>数据批次</w:t>
      </w:r>
    </w:p>
    <w:p w14:paraId="57F31F4B">
      <w:pPr>
        <w:pStyle w:val="9"/>
        <w:pageBreakBefore w:val="0"/>
        <w:numPr>
          <w:ilvl w:val="6"/>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4.3.1.1.1.4.1</w:t>
      </w:r>
      <w:r>
        <w:rPr>
          <w:rFonts w:hint="eastAsia" w:ascii="宋体" w:hAnsi="宋体" w:eastAsia="宋体" w:cs="宋体"/>
          <w:color w:val="auto"/>
          <w:sz w:val="21"/>
          <w:szCs w:val="21"/>
          <w:highlight w:val="none"/>
        </w:rPr>
        <w:t>批量上传</w:t>
      </w:r>
    </w:p>
    <w:p w14:paraId="68A20B9F">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批量上传：支持对三维数据按批次批量上传，并自动解析数据目录，形成专题资源树，同时，在三维数据资源池中将解析后以服务的方式逐条在孪生展示系统里进行呈现。</w:t>
      </w:r>
    </w:p>
    <w:p w14:paraId="2AFA0098">
      <w:pPr>
        <w:pStyle w:val="9"/>
        <w:pageBreakBefore w:val="0"/>
        <w:numPr>
          <w:ilvl w:val="6"/>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4.3.1.1.1.4.2</w:t>
      </w:r>
      <w:r>
        <w:rPr>
          <w:rFonts w:hint="eastAsia" w:ascii="宋体" w:hAnsi="宋体" w:eastAsia="宋体" w:cs="宋体"/>
          <w:color w:val="auto"/>
          <w:sz w:val="21"/>
          <w:szCs w:val="21"/>
          <w:highlight w:val="none"/>
        </w:rPr>
        <w:t>批次管理</w:t>
      </w:r>
    </w:p>
    <w:p w14:paraId="4DE016CC">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次管理：支持对数据批次进行管理，含对数据批次的新增、启动、停用、刷新、查看功能，新增成功后，在三维数据模型列表中显示该数据批次下的服务，同时该数据批次作为专题组织显示在专题组织列表中。数据批次列表中显示当前用户所在组织下所有人员新增的批次数据、停用、刷新、查看功能。</w:t>
      </w:r>
    </w:p>
    <w:p w14:paraId="3BD8EFCC">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批次管理不同于模型数据导入，批次管理更多的是管理二维三维已入库的数据进行服务发布，用于提供给孪生引擎加载调度，以服务的方式在孪生展示系统里呈现。</w:t>
      </w:r>
    </w:p>
    <w:p w14:paraId="3EF15BFD">
      <w:pPr>
        <w:pStyle w:val="7"/>
        <w:pageBreakBefore w:val="0"/>
        <w:numPr>
          <w:ilvl w:val="4"/>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4.3.1.1.2</w:t>
      </w:r>
      <w:r>
        <w:rPr>
          <w:rFonts w:hint="eastAsia" w:ascii="宋体" w:hAnsi="宋体" w:eastAsia="宋体" w:cs="宋体"/>
          <w:color w:val="auto"/>
          <w:sz w:val="21"/>
          <w:szCs w:val="21"/>
          <w:highlight w:val="none"/>
        </w:rPr>
        <w:t>孪生建模</w:t>
      </w:r>
    </w:p>
    <w:p w14:paraId="116E7B2A">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所有建模内容最终以 fbx或max或通用标准格式提供给区数据服务中心。</w:t>
      </w:r>
    </w:p>
    <w:p w14:paraId="37D266DD">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4.3.1.1.2.1</w:t>
      </w:r>
      <w:r>
        <w:rPr>
          <w:rFonts w:hint="eastAsia" w:ascii="宋体" w:hAnsi="宋体" w:eastAsia="宋体" w:cs="宋体"/>
          <w:color w:val="auto"/>
          <w:sz w:val="21"/>
          <w:szCs w:val="21"/>
          <w:highlight w:val="none"/>
        </w:rPr>
        <w:t>体艺中心场馆人工建筑模型</w:t>
      </w:r>
    </w:p>
    <w:p w14:paraId="0B326B70">
      <w:pPr>
        <w:pStyle w:val="9"/>
        <w:pageBreakBefore w:val="0"/>
        <w:numPr>
          <w:ilvl w:val="6"/>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4.3.1.1.2.1.1</w:t>
      </w:r>
      <w:r>
        <w:rPr>
          <w:rFonts w:hint="eastAsia" w:ascii="宋体" w:hAnsi="宋体" w:eastAsia="宋体" w:cs="宋体"/>
          <w:color w:val="auto"/>
          <w:sz w:val="21"/>
          <w:szCs w:val="21"/>
          <w:highlight w:val="none"/>
        </w:rPr>
        <w:t>数字孪生模型</w:t>
      </w:r>
    </w:p>
    <w:p w14:paraId="48D60EC6">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数字孪生三维模型以北仑体育馆为中心，向外辐射，建立多层级的三维模型将体育馆场景的三维数据按照精细程度分为以下五个层级，分别为1级地表模型；2级体块模型；3级手工模型；4级功能模型；5级构件模型。</w:t>
      </w:r>
    </w:p>
    <w:tbl>
      <w:tblPr>
        <w:tblStyle w:val="28"/>
        <w:tblW w:w="968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
      <w:tblGrid>
        <w:gridCol w:w="619"/>
        <w:gridCol w:w="1096"/>
        <w:gridCol w:w="2143"/>
        <w:gridCol w:w="3301"/>
        <w:gridCol w:w="1275"/>
        <w:gridCol w:w="1255"/>
      </w:tblGrid>
      <w:tr w14:paraId="57BDB8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854" w:hRule="atLeast"/>
          <w:tblHeader/>
          <w:jc w:val="center"/>
        </w:trPr>
        <w:tc>
          <w:tcPr>
            <w:tcW w:w="619" w:type="dxa"/>
            <w:noWrap w:val="0"/>
            <w:vAlign w:val="center"/>
          </w:tcPr>
          <w:p w14:paraId="517F4ABE">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级别</w:t>
            </w:r>
          </w:p>
        </w:tc>
        <w:tc>
          <w:tcPr>
            <w:tcW w:w="1096" w:type="dxa"/>
            <w:noWrap w:val="0"/>
            <w:vAlign w:val="center"/>
          </w:tcPr>
          <w:p w14:paraId="297FC0E6">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名称</w:t>
            </w:r>
          </w:p>
        </w:tc>
        <w:tc>
          <w:tcPr>
            <w:tcW w:w="2143" w:type="dxa"/>
            <w:noWrap w:val="0"/>
            <w:vAlign w:val="center"/>
          </w:tcPr>
          <w:p w14:paraId="545A176C">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模型主要内容</w:t>
            </w:r>
          </w:p>
        </w:tc>
        <w:tc>
          <w:tcPr>
            <w:tcW w:w="3301" w:type="dxa"/>
            <w:noWrap w:val="0"/>
            <w:vAlign w:val="center"/>
          </w:tcPr>
          <w:p w14:paraId="2A451D74">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模型特征</w:t>
            </w:r>
          </w:p>
        </w:tc>
        <w:tc>
          <w:tcPr>
            <w:tcW w:w="1275" w:type="dxa"/>
            <w:noWrap w:val="0"/>
            <w:vAlign w:val="center"/>
          </w:tcPr>
          <w:p w14:paraId="248FEC95">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模型平面精度</w:t>
            </w:r>
          </w:p>
        </w:tc>
        <w:tc>
          <w:tcPr>
            <w:tcW w:w="1255" w:type="dxa"/>
            <w:noWrap w:val="0"/>
            <w:vAlign w:val="center"/>
          </w:tcPr>
          <w:p w14:paraId="05046799">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初步测算面积（㎡）</w:t>
            </w:r>
          </w:p>
        </w:tc>
      </w:tr>
      <w:tr w14:paraId="54FC7D6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849" w:hRule="atLeast"/>
          <w:jc w:val="center"/>
        </w:trPr>
        <w:tc>
          <w:tcPr>
            <w:tcW w:w="619" w:type="dxa"/>
            <w:noWrap w:val="0"/>
            <w:vAlign w:val="center"/>
          </w:tcPr>
          <w:p w14:paraId="227176BD">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1096" w:type="dxa"/>
            <w:noWrap w:val="0"/>
            <w:vAlign w:val="center"/>
          </w:tcPr>
          <w:p w14:paraId="0359D111">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地表模型</w:t>
            </w:r>
          </w:p>
        </w:tc>
        <w:tc>
          <w:tcPr>
            <w:tcW w:w="2143" w:type="dxa"/>
            <w:noWrap w:val="0"/>
            <w:vAlign w:val="center"/>
          </w:tcPr>
          <w:p w14:paraId="06D635F9">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行政区、地形、水系、居\民区、交通线等</w:t>
            </w:r>
          </w:p>
        </w:tc>
        <w:tc>
          <w:tcPr>
            <w:tcW w:w="3301" w:type="dxa"/>
            <w:noWrap w:val="0"/>
            <w:vAlign w:val="center"/>
          </w:tcPr>
          <w:p w14:paraId="7F55194C">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DEM 和 DOM 叠加实体对象的基</w:t>
            </w:r>
          </w:p>
        </w:tc>
        <w:tc>
          <w:tcPr>
            <w:tcW w:w="1275" w:type="dxa"/>
            <w:noWrap w:val="0"/>
            <w:vAlign w:val="center"/>
          </w:tcPr>
          <w:p w14:paraId="4E0DFE73">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≥10米</w:t>
            </w:r>
          </w:p>
        </w:tc>
        <w:tc>
          <w:tcPr>
            <w:tcW w:w="1255" w:type="dxa"/>
            <w:noWrap w:val="0"/>
            <w:vAlign w:val="center"/>
          </w:tcPr>
          <w:p w14:paraId="47444E1E">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1000万平方米</w:t>
            </w:r>
          </w:p>
        </w:tc>
      </w:tr>
      <w:tr w14:paraId="6CFFD8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1265" w:hRule="atLeast"/>
          <w:jc w:val="center"/>
        </w:trPr>
        <w:tc>
          <w:tcPr>
            <w:tcW w:w="619" w:type="dxa"/>
            <w:noWrap w:val="0"/>
            <w:vAlign w:val="center"/>
          </w:tcPr>
          <w:p w14:paraId="1A470709">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1096" w:type="dxa"/>
            <w:noWrap w:val="0"/>
            <w:vAlign w:val="center"/>
          </w:tcPr>
          <w:p w14:paraId="0B32D869">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体块模型</w:t>
            </w:r>
          </w:p>
        </w:tc>
        <w:tc>
          <w:tcPr>
            <w:tcW w:w="2143" w:type="dxa"/>
            <w:noWrap w:val="0"/>
            <w:vAlign w:val="center"/>
          </w:tcPr>
          <w:p w14:paraId="3BBE35A7">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地形、水利、建筑、交通设施等</w:t>
            </w:r>
          </w:p>
        </w:tc>
        <w:tc>
          <w:tcPr>
            <w:tcW w:w="3301" w:type="dxa"/>
            <w:noWrap w:val="0"/>
            <w:vAlign w:val="center"/>
          </w:tcPr>
          <w:p w14:paraId="4DD2A369">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三维框架和实景三维、内外表面，来源规划资料和倾斜模型资料，来源于规划资料</w:t>
            </w:r>
          </w:p>
        </w:tc>
        <w:tc>
          <w:tcPr>
            <w:tcW w:w="1275" w:type="dxa"/>
            <w:noWrap w:val="0"/>
            <w:vAlign w:val="center"/>
          </w:tcPr>
          <w:p w14:paraId="768D9414">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0.5～10米</w:t>
            </w:r>
          </w:p>
        </w:tc>
        <w:tc>
          <w:tcPr>
            <w:tcW w:w="1255" w:type="dxa"/>
            <w:noWrap w:val="0"/>
            <w:vAlign w:val="center"/>
          </w:tcPr>
          <w:p w14:paraId="6AC251C2">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1000万平方米</w:t>
            </w:r>
          </w:p>
        </w:tc>
      </w:tr>
      <w:tr w14:paraId="4804DD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849" w:hRule="atLeast"/>
          <w:jc w:val="center"/>
        </w:trPr>
        <w:tc>
          <w:tcPr>
            <w:tcW w:w="619" w:type="dxa"/>
            <w:noWrap w:val="0"/>
            <w:vAlign w:val="center"/>
          </w:tcPr>
          <w:p w14:paraId="5B7F08DB">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w:t>
            </w:r>
          </w:p>
        </w:tc>
        <w:tc>
          <w:tcPr>
            <w:tcW w:w="1096" w:type="dxa"/>
            <w:noWrap w:val="0"/>
            <w:vAlign w:val="center"/>
          </w:tcPr>
          <w:p w14:paraId="34BF4446">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手工模型</w:t>
            </w:r>
          </w:p>
        </w:tc>
        <w:tc>
          <w:tcPr>
            <w:tcW w:w="2143" w:type="dxa"/>
            <w:noWrap w:val="0"/>
            <w:vAlign w:val="center"/>
          </w:tcPr>
          <w:p w14:paraId="6F5A96F1">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地形、水利、建筑、交通设施等</w:t>
            </w:r>
          </w:p>
        </w:tc>
        <w:tc>
          <w:tcPr>
            <w:tcW w:w="3301" w:type="dxa"/>
            <w:noWrap w:val="0"/>
            <w:vAlign w:val="center"/>
          </w:tcPr>
          <w:p w14:paraId="2AB91AD0">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建筑效果模型，内外表面纹理与细节</w:t>
            </w:r>
          </w:p>
        </w:tc>
        <w:tc>
          <w:tcPr>
            <w:tcW w:w="1275" w:type="dxa"/>
            <w:noWrap w:val="0"/>
            <w:vAlign w:val="center"/>
          </w:tcPr>
          <w:p w14:paraId="09675B19">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0.2～0.5米</w:t>
            </w:r>
          </w:p>
        </w:tc>
        <w:tc>
          <w:tcPr>
            <w:tcW w:w="1255" w:type="dxa"/>
            <w:noWrap w:val="0"/>
            <w:vAlign w:val="center"/>
          </w:tcPr>
          <w:p w14:paraId="7495B7CE">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10万平方米</w:t>
            </w:r>
          </w:p>
        </w:tc>
      </w:tr>
      <w:tr w14:paraId="25C4B2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849" w:hRule="atLeast"/>
          <w:jc w:val="center"/>
        </w:trPr>
        <w:tc>
          <w:tcPr>
            <w:tcW w:w="619" w:type="dxa"/>
            <w:noWrap w:val="0"/>
            <w:vAlign w:val="center"/>
          </w:tcPr>
          <w:p w14:paraId="3E3EF966">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w:t>
            </w:r>
          </w:p>
        </w:tc>
        <w:tc>
          <w:tcPr>
            <w:tcW w:w="1096" w:type="dxa"/>
            <w:noWrap w:val="0"/>
            <w:vAlign w:val="center"/>
          </w:tcPr>
          <w:p w14:paraId="6E806B56">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功能级模型</w:t>
            </w:r>
          </w:p>
        </w:tc>
        <w:tc>
          <w:tcPr>
            <w:tcW w:w="2143" w:type="dxa"/>
            <w:noWrap w:val="0"/>
            <w:vAlign w:val="center"/>
          </w:tcPr>
          <w:p w14:paraId="2E515EB8">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建筑、设施等要素及其主要功能分区</w:t>
            </w:r>
          </w:p>
        </w:tc>
        <w:tc>
          <w:tcPr>
            <w:tcW w:w="3301" w:type="dxa"/>
            <w:noWrap w:val="0"/>
            <w:vAlign w:val="center"/>
          </w:tcPr>
          <w:p w14:paraId="6A9AEA7F">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满足空间占位、功能分区等需求的几何精度</w:t>
            </w:r>
          </w:p>
        </w:tc>
        <w:tc>
          <w:tcPr>
            <w:tcW w:w="1275" w:type="dxa"/>
            <w:noWrap w:val="0"/>
            <w:vAlign w:val="center"/>
          </w:tcPr>
          <w:p w14:paraId="2F6A4CD1">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0.05～0.2米</w:t>
            </w:r>
          </w:p>
        </w:tc>
        <w:tc>
          <w:tcPr>
            <w:tcW w:w="1255" w:type="dxa"/>
            <w:noWrap w:val="0"/>
            <w:vAlign w:val="center"/>
          </w:tcPr>
          <w:p w14:paraId="5EEC3E52">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shd w:val="clear" w:color="auto" w:fill="FFFFFF"/>
              </w:rPr>
              <w:t>6.96万平方米</w:t>
            </w:r>
          </w:p>
        </w:tc>
      </w:tr>
      <w:tr w14:paraId="2758C5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869" w:hRule="atLeast"/>
          <w:jc w:val="center"/>
        </w:trPr>
        <w:tc>
          <w:tcPr>
            <w:tcW w:w="619" w:type="dxa"/>
            <w:noWrap w:val="0"/>
            <w:vAlign w:val="center"/>
          </w:tcPr>
          <w:p w14:paraId="7BCB8AB4">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1096" w:type="dxa"/>
            <w:noWrap w:val="0"/>
            <w:vAlign w:val="center"/>
          </w:tcPr>
          <w:p w14:paraId="148750D0">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构件级模型</w:t>
            </w:r>
          </w:p>
        </w:tc>
        <w:tc>
          <w:tcPr>
            <w:tcW w:w="2143" w:type="dxa"/>
            <w:noWrap w:val="0"/>
            <w:vAlign w:val="center"/>
          </w:tcPr>
          <w:p w14:paraId="3BB58489">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建筑等要素的功能分区及其主要构件</w:t>
            </w:r>
          </w:p>
        </w:tc>
        <w:tc>
          <w:tcPr>
            <w:tcW w:w="3301" w:type="dxa"/>
            <w:noWrap w:val="0"/>
            <w:vAlign w:val="center"/>
          </w:tcPr>
          <w:p w14:paraId="680EE95D">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满足建造安装流程、采购等精细识别需求的几何精度（构件级）</w:t>
            </w:r>
          </w:p>
        </w:tc>
        <w:tc>
          <w:tcPr>
            <w:tcW w:w="1275" w:type="dxa"/>
            <w:noWrap w:val="0"/>
            <w:vAlign w:val="center"/>
          </w:tcPr>
          <w:p w14:paraId="1815840C">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0.02～0.05米</w:t>
            </w:r>
          </w:p>
        </w:tc>
        <w:tc>
          <w:tcPr>
            <w:tcW w:w="1255" w:type="dxa"/>
            <w:noWrap w:val="0"/>
            <w:vAlign w:val="center"/>
          </w:tcPr>
          <w:p w14:paraId="0C1E973E">
            <w:pPr>
              <w:pStyle w:val="2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shd w:val="clear" w:color="auto" w:fill="FFFFFF"/>
              </w:rPr>
              <w:t>2.97万平方米</w:t>
            </w:r>
          </w:p>
        </w:tc>
      </w:tr>
    </w:tbl>
    <w:p w14:paraId="6039845E">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对场馆内部建筑进行精细化人工建模包括主场馆和副场馆的室内建筑、座席座位、地面等；</w:t>
      </w:r>
    </w:p>
    <w:p w14:paraId="3FA7D744">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以倾斜摄影的方式围绕北仑区体育馆展示周边基础信息（东至太河路、南至岷山路、西至体育馆路、北至黄河路），建倾斜摄影。</w:t>
      </w:r>
    </w:p>
    <w:p w14:paraId="60E035E6">
      <w:pPr>
        <w:pStyle w:val="9"/>
        <w:pageBreakBefore w:val="0"/>
        <w:numPr>
          <w:ilvl w:val="6"/>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4.3.1.1.2.1.2</w:t>
      </w:r>
      <w:r>
        <w:rPr>
          <w:rFonts w:hint="eastAsia" w:ascii="宋体" w:hAnsi="宋体" w:eastAsia="宋体" w:cs="宋体"/>
          <w:color w:val="auto"/>
          <w:sz w:val="21"/>
          <w:szCs w:val="21"/>
          <w:highlight w:val="none"/>
        </w:rPr>
        <w:t>建筑贴图模型</w:t>
      </w:r>
    </w:p>
    <w:p w14:paraId="659F87C7">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数据检核：建筑的矢量数据存在大量面的重叠，需要去掉重合面并赋予纹理。数据必须具有正确的地理坐标，必须包含高度属性字段，如包含埋深、名称、层数、类型、生成颜色等属性字段。</w:t>
      </w:r>
    </w:p>
    <w:p w14:paraId="6D257F65">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数据投影：把建筑区域对应的DEM导出为相同的CGCS2000坐标系下的投影。</w:t>
      </w:r>
    </w:p>
    <w:p w14:paraId="4B601B82">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矢量面贴地：计算高程，采样dem数据，矢量面贴地融合。</w:t>
      </w:r>
    </w:p>
    <w:p w14:paraId="3CC577AE">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生产：矢量面根据shp高度字段自动拉升计算，生成矢量体块-建筑白模。同时可根据设定的颜色属性字段，生成具有颜色的三维矢量模型，实现利用建筑物颜色区分建筑物类型；也可以利用设置的纹理贴图，实现具有真实纹理的三维矢量模型。</w:t>
      </w:r>
    </w:p>
    <w:p w14:paraId="3607183C">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自动构建纹理，包括建筑纹理、材质纹理、道路纹理、植被纹理以及市政小品纹理等。</w:t>
      </w:r>
    </w:p>
    <w:p w14:paraId="14F2C8F5">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4.3.1.1.2.2</w:t>
      </w:r>
      <w:r>
        <w:rPr>
          <w:rFonts w:hint="eastAsia" w:ascii="宋体" w:hAnsi="宋体" w:eastAsia="宋体" w:cs="宋体"/>
          <w:color w:val="auto"/>
          <w:sz w:val="21"/>
          <w:szCs w:val="21"/>
          <w:highlight w:val="none"/>
        </w:rPr>
        <w:t>体艺中心场馆设备模型</w:t>
      </w:r>
    </w:p>
    <w:p w14:paraId="01FB1712">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对</w:t>
      </w:r>
      <w:r>
        <w:rPr>
          <w:rFonts w:hint="eastAsia" w:ascii="宋体" w:hAnsi="宋体" w:eastAsia="宋体" w:cs="宋体"/>
          <w:color w:val="auto"/>
          <w:sz w:val="21"/>
          <w:szCs w:val="21"/>
          <w:highlight w:val="none"/>
        </w:rPr>
        <w:t>体艺中心</w:t>
      </w:r>
      <w:r>
        <w:rPr>
          <w:rFonts w:hint="eastAsia" w:ascii="宋体" w:hAnsi="宋体" w:eastAsia="宋体" w:cs="宋体"/>
          <w:color w:val="auto"/>
          <w:sz w:val="21"/>
          <w:szCs w:val="21"/>
          <w:highlight w:val="none"/>
          <w:lang w:val="zh-CN"/>
        </w:rPr>
        <w:t>场馆区域内前端设备进行标准化模型制作</w:t>
      </w:r>
      <w:r>
        <w:rPr>
          <w:rFonts w:hint="eastAsia" w:ascii="宋体" w:hAnsi="宋体" w:eastAsia="宋体" w:cs="宋体"/>
          <w:color w:val="auto"/>
          <w:sz w:val="21"/>
          <w:szCs w:val="21"/>
          <w:highlight w:val="none"/>
        </w:rPr>
        <w:t>，包含但不限于（监控、车辆设备、温湿度传感器设备、水表设备、电表设备、门禁设备等模型）可根据现实环境中实际感知设备类型进行添加。结合场馆内部实际情况，对设备模型位置进行合理摆放。</w:t>
      </w:r>
    </w:p>
    <w:p w14:paraId="2816EA0D">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各类设备模型采用人工建模手段，按照实地采集的照片进行制作，效果接近实物。</w:t>
      </w:r>
    </w:p>
    <w:p w14:paraId="66D4A737">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4.3.1.1.2.3</w:t>
      </w:r>
      <w:r>
        <w:rPr>
          <w:rFonts w:hint="eastAsia" w:ascii="宋体" w:hAnsi="宋体" w:eastAsia="宋体" w:cs="宋体"/>
          <w:color w:val="auto"/>
          <w:sz w:val="21"/>
          <w:szCs w:val="21"/>
          <w:highlight w:val="none"/>
        </w:rPr>
        <w:t>体艺中心场馆小品模型</w:t>
      </w:r>
    </w:p>
    <w:p w14:paraId="78BDC3A4">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对体艺中心场馆及周边的场景，包括广场上的灯杆、河渠、国旗杆、植被等小品进行建模切片入库。</w:t>
      </w:r>
    </w:p>
    <w:p w14:paraId="3A6A33EC">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各类设备模型采用人工建模手段，按照实地采集的照片进行制作，效果接近实物。</w:t>
      </w:r>
    </w:p>
    <w:p w14:paraId="1F32AE0E">
      <w:pPr>
        <w:pStyle w:val="7"/>
        <w:pageBreakBefore w:val="0"/>
        <w:numPr>
          <w:ilvl w:val="4"/>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4.3.1.1.3</w:t>
      </w:r>
      <w:r>
        <w:rPr>
          <w:rFonts w:hint="eastAsia" w:ascii="宋体" w:hAnsi="宋体" w:eastAsia="宋体" w:cs="宋体"/>
          <w:color w:val="auto"/>
          <w:sz w:val="21"/>
          <w:szCs w:val="21"/>
          <w:highlight w:val="none"/>
        </w:rPr>
        <w:t>孪生渲染</w:t>
      </w:r>
    </w:p>
    <w:p w14:paraId="1C96EC9D">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4.3.1.1.3.1</w:t>
      </w:r>
      <w:r>
        <w:rPr>
          <w:rFonts w:hint="eastAsia" w:ascii="宋体" w:hAnsi="宋体" w:eastAsia="宋体" w:cs="宋体"/>
          <w:color w:val="auto"/>
          <w:sz w:val="21"/>
          <w:szCs w:val="21"/>
          <w:highlight w:val="none"/>
        </w:rPr>
        <w:t>数据渲染</w:t>
      </w:r>
    </w:p>
    <w:p w14:paraId="30878081">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二三维数据模型加载渲染，包含地形、影像、建筑、室内建筑部件、物联感知设备、人物车辆等模型加载渲染，基于重点事物数据、点位数据等数据的渲染。</w:t>
      </w:r>
    </w:p>
    <w:p w14:paraId="116B57BB">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4.3.1.1.3.2</w:t>
      </w:r>
      <w:r>
        <w:rPr>
          <w:rFonts w:hint="eastAsia" w:ascii="宋体" w:hAnsi="宋体" w:eastAsia="宋体" w:cs="宋体"/>
          <w:color w:val="auto"/>
          <w:sz w:val="21"/>
          <w:szCs w:val="21"/>
          <w:highlight w:val="none"/>
        </w:rPr>
        <w:t>特效渲染</w:t>
      </w:r>
    </w:p>
    <w:p w14:paraId="2EFBDDD8">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支持对三维模型场景进行仿真渲染，对场景内的建筑、绿化等要素对象增加动态阴影、反光等效果。支持模拟水面反光效果，根据水面的波纹等情况，对周边的建筑、绿化等要素的倒影进行反射渲染；支持根据不同时间段的光照效果快速对场景进行渲染。支持车辆行驶动画、车流线动画特效。支持火焰、水柱、雾气粒子特效。支持在场景中添加动态色块、粒子上升、迁徙图、散点图、热力图等特效渲染。</w:t>
      </w:r>
    </w:p>
    <w:p w14:paraId="0638FB98">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4.3.1.1.3.3</w:t>
      </w:r>
      <w:r>
        <w:rPr>
          <w:rFonts w:hint="eastAsia" w:ascii="宋体" w:hAnsi="宋体" w:eastAsia="宋体" w:cs="宋体"/>
          <w:color w:val="auto"/>
          <w:sz w:val="21"/>
          <w:szCs w:val="21"/>
          <w:highlight w:val="none"/>
        </w:rPr>
        <w:t>动态天气</w:t>
      </w:r>
    </w:p>
    <w:p w14:paraId="710DA9C5">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支持对多种常见天气进行模拟仿真，包括晴、多云、下雨、下雪、雾天等不同天气现象，用户可在场景中选择对应的天气，三维场景中可自动对该天气的效果进行实时模拟，以达到场景环境仿真效果。下雪和下雨要能够体现地面积雪、积水的效果。</w:t>
      </w:r>
    </w:p>
    <w:p w14:paraId="653F6CFC">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4.3.1.1.3.4</w:t>
      </w:r>
      <w:r>
        <w:rPr>
          <w:rFonts w:hint="eastAsia" w:ascii="宋体" w:hAnsi="宋体" w:eastAsia="宋体" w:cs="宋体"/>
          <w:color w:val="auto"/>
          <w:sz w:val="21"/>
          <w:szCs w:val="21"/>
          <w:highlight w:val="none"/>
        </w:rPr>
        <w:t>起伏体态热力图</w:t>
      </w:r>
    </w:p>
    <w:p w14:paraId="4BC71740">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通</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过对接人流设备数据获取区域内实时人流分布，通过数据处理和数据差值分析将离散数据处理成可以渲染热力图的数据，通过数据渲染实现在三维空间场景中的人口热力体态分布。</w:t>
      </w:r>
    </w:p>
    <w:p w14:paraId="50B363BE">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4.3.1.1.3.5</w:t>
      </w:r>
      <w:r>
        <w:rPr>
          <w:rFonts w:hint="eastAsia" w:ascii="宋体" w:hAnsi="宋体" w:eastAsia="宋体" w:cs="宋体"/>
          <w:color w:val="auto"/>
          <w:sz w:val="21"/>
          <w:szCs w:val="21"/>
          <w:highlight w:val="none"/>
        </w:rPr>
        <w:t>PBR材质渲染</w:t>
      </w:r>
    </w:p>
    <w:p w14:paraId="58BB6031">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场景渲染支持PBR模型材质渲染，模拟光线的物理行为及其与材质的交互作用，从而实现逼真的视觉效果。对场景中的建筑模型、环境光照按照PBR材质渲染技术还原。</w:t>
      </w:r>
    </w:p>
    <w:p w14:paraId="7B865356">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4.3.1.1.3.6</w:t>
      </w:r>
      <w:r>
        <w:rPr>
          <w:rFonts w:hint="eastAsia" w:ascii="宋体" w:hAnsi="宋体" w:eastAsia="宋体" w:cs="宋体"/>
          <w:color w:val="auto"/>
          <w:sz w:val="21"/>
          <w:szCs w:val="21"/>
          <w:highlight w:val="none"/>
        </w:rPr>
        <w:t>楼层拆分动画</w:t>
      </w:r>
    </w:p>
    <w:p w14:paraId="3BD8D62A">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通过单体化楼层建模将模型按照楼层拆分，对场馆内的建筑进行分层管理，通过三维引擎的模型动画技术实现场馆的一键拆楼效果，点击某一层建筑可单独展示。</w:t>
      </w:r>
    </w:p>
    <w:p w14:paraId="091B267B">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4.3.1.1.3.7</w:t>
      </w:r>
      <w:r>
        <w:rPr>
          <w:rFonts w:hint="eastAsia" w:ascii="宋体" w:hAnsi="宋体" w:eastAsia="宋体" w:cs="宋体"/>
          <w:color w:val="auto"/>
          <w:sz w:val="21"/>
          <w:szCs w:val="21"/>
          <w:highlight w:val="none"/>
        </w:rPr>
        <w:t>实时光照渲染</w:t>
      </w:r>
    </w:p>
    <w:p w14:paraId="6EFC91AA">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通过对标物理世界北京时间计算每天日出日落，在三维场景中模拟渲染与物理世界同步的场景光照，从日出到日落实现白天黑夜的交替。并在场景制作中考虑实现夜景效果，场景同步到日夜景时能够自动切换展示，并提供时间进度控制，用户还可手动调节时间进度实现场景光照模拟</w:t>
      </w:r>
      <w:r>
        <w:rPr>
          <w:rFonts w:hint="eastAsia" w:ascii="宋体" w:hAnsi="宋体" w:eastAsia="宋体" w:cs="宋体"/>
          <w:color w:val="auto"/>
          <w:sz w:val="21"/>
          <w:szCs w:val="21"/>
          <w:highlight w:val="none"/>
        </w:rPr>
        <w:t>。</w:t>
      </w:r>
    </w:p>
    <w:p w14:paraId="5D21056A">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4.3.1.1.3.8</w:t>
      </w:r>
      <w:r>
        <w:rPr>
          <w:rFonts w:hint="eastAsia" w:ascii="宋体" w:hAnsi="宋体" w:eastAsia="宋体" w:cs="宋体"/>
          <w:color w:val="auto"/>
          <w:sz w:val="21"/>
          <w:szCs w:val="21"/>
          <w:highlight w:val="none"/>
        </w:rPr>
        <w:t>静态场景融合动态视频</w:t>
      </w:r>
    </w:p>
    <w:p w14:paraId="3AFE467D">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对接视频监控获取视频码流数据，在三维场景中根据按照视频画面与三维画面的进行标定，根据标定参数在引擎中绘制视频融合区域对视频画面进行播放，实现数字孪生场景与视频画面的无缝融合，本次项目建设制作视频融合的区域范围主要包括体艺中心场馆1号门到5号门出入口以及主场馆场地中心高点监控。</w:t>
      </w:r>
    </w:p>
    <w:p w14:paraId="0EB1962B">
      <w:pPr>
        <w:pStyle w:val="7"/>
        <w:pageBreakBefore w:val="0"/>
        <w:numPr>
          <w:ilvl w:val="4"/>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4.3.1.1.4</w:t>
      </w:r>
      <w:r>
        <w:rPr>
          <w:rFonts w:hint="eastAsia" w:ascii="宋体" w:hAnsi="宋体" w:eastAsia="宋体" w:cs="宋体"/>
          <w:color w:val="auto"/>
          <w:sz w:val="21"/>
          <w:szCs w:val="21"/>
          <w:highlight w:val="none"/>
        </w:rPr>
        <w:t>孪生页面转换</w:t>
      </w:r>
    </w:p>
    <w:p w14:paraId="501B4C7F">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孪生页面通过UI定制的方式，根据业务需求建立多种专题界面，各个不同的专题提供不同的功能按钮，支持用户任意点击切换，孪生页面即可自动完成场景转换；场景中的数据可通过三维空间结合业务数据同步展示的模式。</w:t>
      </w:r>
    </w:p>
    <w:p w14:paraId="2198E062">
      <w:pPr>
        <w:pStyle w:val="7"/>
        <w:pageBreakBefore w:val="0"/>
        <w:numPr>
          <w:ilvl w:val="4"/>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4.3.1.1.5</w:t>
      </w:r>
      <w:r>
        <w:rPr>
          <w:rFonts w:hint="eastAsia" w:ascii="宋体" w:hAnsi="宋体" w:eastAsia="宋体" w:cs="宋体"/>
          <w:color w:val="auto"/>
          <w:sz w:val="21"/>
          <w:szCs w:val="21"/>
          <w:highlight w:val="none"/>
        </w:rPr>
        <w:t>周边信息展示</w:t>
      </w:r>
    </w:p>
    <w:p w14:paraId="32564DD4">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以倾斜摄影的方式围绕北仑区体育馆展示周边基础信息（东至太河路、南至岷山路、西至体育馆路、北至黄河路）。展示周围基础信息，重点对接可用停车信息用以展示。</w:t>
      </w:r>
    </w:p>
    <w:p w14:paraId="39E81A4F">
      <w:pPr>
        <w:pStyle w:val="6"/>
        <w:pageBreakBefore w:val="0"/>
        <w:numPr>
          <w:ilvl w:val="3"/>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bookmarkStart w:id="56" w:name="_Toc14585"/>
      <w:bookmarkStart w:id="57" w:name="_Toc25380"/>
      <w:bookmarkStart w:id="58" w:name="_Toc16842"/>
      <w:r>
        <w:rPr>
          <w:rFonts w:hint="eastAsia" w:ascii="宋体" w:hAnsi="宋体" w:eastAsia="宋体" w:cs="宋体"/>
          <w:b/>
          <w:bCs w:val="0"/>
          <w:i w:val="0"/>
          <w:color w:val="auto"/>
          <w:kern w:val="2"/>
          <w:sz w:val="21"/>
          <w:szCs w:val="21"/>
          <w:highlight w:val="none"/>
          <w:lang w:val="en-US" w:eastAsia="zh-CN" w:bidi="ar-SA"/>
        </w:rPr>
        <w:t>4.3.1.2</w:t>
      </w:r>
      <w:r>
        <w:rPr>
          <w:rFonts w:hint="eastAsia" w:ascii="宋体" w:hAnsi="宋体" w:eastAsia="宋体" w:cs="宋体"/>
          <w:color w:val="auto"/>
          <w:sz w:val="21"/>
          <w:szCs w:val="21"/>
          <w:highlight w:val="none"/>
        </w:rPr>
        <w:t>孪生展示</w:t>
      </w:r>
      <w:bookmarkEnd w:id="56"/>
      <w:bookmarkEnd w:id="57"/>
      <w:bookmarkEnd w:id="58"/>
    </w:p>
    <w:p w14:paraId="6E95C6F5">
      <w:pPr>
        <w:pStyle w:val="7"/>
        <w:pageBreakBefore w:val="0"/>
        <w:numPr>
          <w:ilvl w:val="4"/>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4.3.1.2.1</w:t>
      </w:r>
      <w:r>
        <w:rPr>
          <w:rFonts w:hint="eastAsia" w:ascii="宋体" w:hAnsi="宋体" w:eastAsia="宋体" w:cs="宋体"/>
          <w:color w:val="auto"/>
          <w:sz w:val="21"/>
          <w:szCs w:val="21"/>
          <w:highlight w:val="none"/>
        </w:rPr>
        <w:t>综合态势可视化</w:t>
      </w:r>
    </w:p>
    <w:p w14:paraId="59791C49">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4.3.1.2.1.1</w:t>
      </w:r>
      <w:r>
        <w:rPr>
          <w:rFonts w:hint="eastAsia" w:ascii="宋体" w:hAnsi="宋体" w:eastAsia="宋体" w:cs="宋体"/>
          <w:color w:val="auto"/>
          <w:sz w:val="21"/>
          <w:szCs w:val="21"/>
          <w:highlight w:val="none"/>
        </w:rPr>
        <w:t>日常管理</w:t>
      </w:r>
    </w:p>
    <w:p w14:paraId="5F89C9F1">
      <w:pPr>
        <w:pStyle w:val="9"/>
        <w:pageBreakBefore w:val="0"/>
        <w:numPr>
          <w:ilvl w:val="6"/>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4.3.1.2.1.1.1</w:t>
      </w:r>
      <w:r>
        <w:rPr>
          <w:rFonts w:hint="eastAsia" w:ascii="宋体" w:hAnsi="宋体" w:eastAsia="宋体" w:cs="宋体"/>
          <w:color w:val="auto"/>
          <w:sz w:val="21"/>
          <w:szCs w:val="21"/>
          <w:highlight w:val="none"/>
        </w:rPr>
        <w:t>场馆概况</w:t>
      </w:r>
    </w:p>
    <w:p w14:paraId="78A00FB1">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lang w:val="zh-CN"/>
        </w:rPr>
      </w:pPr>
      <w:r>
        <w:rPr>
          <w:rFonts w:hint="eastAsia"/>
          <w:color w:val="auto"/>
          <w:sz w:val="21"/>
          <w:szCs w:val="21"/>
          <w:highlight w:val="none"/>
          <w:lang w:val="zh-CN"/>
        </w:rPr>
        <w:t>场馆概况包括场馆介绍、配备类型、场馆面积、场馆使用情况等与体艺中心场馆相关的实景介绍，通过图文并茂、视频、图表等各种方式进行展示。</w:t>
      </w:r>
    </w:p>
    <w:p w14:paraId="5BFEB002">
      <w:pPr>
        <w:pStyle w:val="5"/>
        <w:pageBreakBefore w:val="0"/>
        <w:kinsoku/>
        <w:wordWrap/>
        <w:overflowPunct/>
        <w:topLinePunct w:val="0"/>
        <w:autoSpaceDE/>
        <w:autoSpaceDN/>
        <w:bidi w:val="0"/>
        <w:adjustRightInd/>
        <w:snapToGrid/>
        <w:spacing w:line="360" w:lineRule="auto"/>
        <w:textAlignment w:val="auto"/>
        <w:rPr>
          <w:rFonts w:hint="eastAsia"/>
          <w:b/>
          <w:bCs/>
          <w:color w:val="auto"/>
          <w:sz w:val="21"/>
          <w:szCs w:val="21"/>
          <w:highlight w:val="none"/>
        </w:rPr>
      </w:pPr>
      <w:r>
        <w:rPr>
          <w:rFonts w:hint="eastAsia" w:ascii="Times New Roman" w:hAnsi="Times New Roman" w:eastAsia="黑体" w:cs="Times New Roman"/>
          <w:b/>
          <w:bCs/>
          <w:color w:val="auto"/>
          <w:kern w:val="2"/>
          <w:sz w:val="21"/>
          <w:szCs w:val="21"/>
          <w:highlight w:val="none"/>
          <w:lang w:val="en-US" w:eastAsia="zh-CN" w:bidi="ar-SA"/>
        </w:rPr>
        <w:t>4.3.1.2.1.1.2</w:t>
      </w:r>
      <w:r>
        <w:rPr>
          <w:rFonts w:hint="eastAsia"/>
          <w:b/>
          <w:bCs/>
          <w:color w:val="auto"/>
          <w:sz w:val="21"/>
          <w:szCs w:val="21"/>
          <w:highlight w:val="none"/>
        </w:rPr>
        <w:t>运行总览</w:t>
      </w:r>
    </w:p>
    <w:p w14:paraId="5828AB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lang w:val="zh-CN"/>
        </w:rPr>
        <w:t>基于大屏端可视化展示系统，整合体艺中心相关资源数据，可将关于整体场馆的安防数据、车辆数据等要素信息进行详细展现，实现场馆区域内资源运转、安防情况的全面监控，帮助管理者综合掌控场馆运行的宏观态势。</w:t>
      </w:r>
    </w:p>
    <w:p w14:paraId="28306D0F">
      <w:pPr>
        <w:pStyle w:val="9"/>
        <w:pageBreakBefore w:val="0"/>
        <w:numPr>
          <w:ilvl w:val="6"/>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4.3.1.2.1.1.3</w:t>
      </w:r>
      <w:r>
        <w:rPr>
          <w:rFonts w:hint="eastAsia" w:ascii="宋体" w:hAnsi="宋体" w:eastAsia="宋体" w:cs="宋体"/>
          <w:color w:val="auto"/>
          <w:sz w:val="21"/>
          <w:szCs w:val="21"/>
          <w:highlight w:val="none"/>
        </w:rPr>
        <w:t>今日事件</w:t>
      </w:r>
    </w:p>
    <w:p w14:paraId="4831DB76">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展示场馆当日的排班信息、计划工作、关键事件等信息数据，该信息数据通过Excel模板对数据进行导入和导出，实现对数据的维护，包括数据新增、编辑、删除等操作。</w:t>
      </w:r>
    </w:p>
    <w:p w14:paraId="6363CA89">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4.3.1.2.1.2</w:t>
      </w:r>
      <w:r>
        <w:rPr>
          <w:rFonts w:hint="eastAsia" w:ascii="宋体" w:hAnsi="宋体" w:eastAsia="宋体" w:cs="宋体"/>
          <w:color w:val="auto"/>
          <w:sz w:val="21"/>
          <w:szCs w:val="21"/>
          <w:highlight w:val="none"/>
        </w:rPr>
        <w:t>告警信息</w:t>
      </w:r>
    </w:p>
    <w:p w14:paraId="1D0B8675">
      <w:pPr>
        <w:pStyle w:val="9"/>
        <w:pageBreakBefore w:val="0"/>
        <w:numPr>
          <w:ilvl w:val="6"/>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4.3.1.2.1.2.1</w:t>
      </w:r>
      <w:r>
        <w:rPr>
          <w:rFonts w:hint="eastAsia" w:ascii="宋体" w:hAnsi="宋体" w:eastAsia="宋体" w:cs="宋体"/>
          <w:color w:val="auto"/>
          <w:sz w:val="21"/>
          <w:szCs w:val="21"/>
          <w:highlight w:val="none"/>
        </w:rPr>
        <w:t>设备告警</w:t>
      </w:r>
    </w:p>
    <w:p w14:paraId="284E2EDA">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整合场馆各类数据资源，基于时间、空间、数据等多个维度为各类突发事件建立阈值告警触发规则。</w:t>
      </w:r>
    </w:p>
    <w:p w14:paraId="40DFF232">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并集成智能监控、门禁报警、电子巡更、智能AI等监测系统，自动监控各类焦点事件的发展状态，自动预警。</w:t>
      </w:r>
    </w:p>
    <w:p w14:paraId="5CB9AC8D">
      <w:pPr>
        <w:pStyle w:val="9"/>
        <w:pageBreakBefore w:val="0"/>
        <w:numPr>
          <w:ilvl w:val="6"/>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4.3.1.2.1.2.2</w:t>
      </w:r>
      <w:r>
        <w:rPr>
          <w:rFonts w:hint="eastAsia" w:ascii="宋体" w:hAnsi="宋体" w:eastAsia="宋体" w:cs="宋体"/>
          <w:color w:val="auto"/>
          <w:sz w:val="21"/>
          <w:szCs w:val="21"/>
          <w:highlight w:val="none"/>
        </w:rPr>
        <w:t>告警联动</w:t>
      </w:r>
    </w:p>
    <w:p w14:paraId="4CEE8177">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点击告警信息，可以自动飞行定位到告警设备具体位置，实现告警与孪生空间的可视化联动。</w:t>
      </w:r>
    </w:p>
    <w:p w14:paraId="1D87E701">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4.3.1.2.1.3</w:t>
      </w:r>
      <w:r>
        <w:rPr>
          <w:rFonts w:hint="eastAsia" w:ascii="宋体" w:hAnsi="宋体" w:eastAsia="宋体" w:cs="宋体"/>
          <w:color w:val="auto"/>
          <w:sz w:val="21"/>
          <w:szCs w:val="21"/>
          <w:highlight w:val="none"/>
        </w:rPr>
        <w:t>设备信息</w:t>
      </w:r>
    </w:p>
    <w:p w14:paraId="6D9D5F64">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通过综合统计展示体艺中心各类设备的分布、运行等情况，包括监控、门禁、赛事车辆进出情况、水、电、温湿度、空气质量等与孪生空间进行实时绑定关联，用户可对孪生空间中的设备进行查询与查看，接收设备告警信息，以可视化手段对设备的增加、减少、移动等状态变化进行监管。</w:t>
      </w:r>
    </w:p>
    <w:p w14:paraId="3ED182AE">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4.3.1.2.1.4</w:t>
      </w:r>
      <w:r>
        <w:rPr>
          <w:rFonts w:hint="eastAsia" w:ascii="宋体" w:hAnsi="宋体" w:eastAsia="宋体" w:cs="宋体"/>
          <w:color w:val="auto"/>
          <w:sz w:val="21"/>
          <w:szCs w:val="21"/>
          <w:highlight w:val="none"/>
        </w:rPr>
        <w:t>人员信息</w:t>
      </w:r>
    </w:p>
    <w:p w14:paraId="18B7A18D">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整体呈现当日人员信息，包括工作人员、观众、实时客流等信息，可实时查看赛时阶段里人员动向。</w:t>
      </w:r>
    </w:p>
    <w:p w14:paraId="402C6903">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4.3.1.2.1.5</w:t>
      </w:r>
      <w:r>
        <w:rPr>
          <w:rFonts w:hint="eastAsia" w:ascii="宋体" w:hAnsi="宋体" w:eastAsia="宋体" w:cs="宋体"/>
          <w:color w:val="auto"/>
          <w:sz w:val="21"/>
          <w:szCs w:val="21"/>
          <w:highlight w:val="none"/>
        </w:rPr>
        <w:t>车辆信息</w:t>
      </w:r>
    </w:p>
    <w:p w14:paraId="5063C087">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整体呈现当日车辆信息，包括体育馆内部停车场以及新能源停车场整体停车位、已停车辆、剩余车位等信息。支持在三维场景里将绘制的停车范围区域以面状的方式进行呈现，可以直观看到场馆内部停车范围。</w:t>
      </w:r>
    </w:p>
    <w:p w14:paraId="325DFC61">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4.3.1.2.1.6</w:t>
      </w:r>
      <w:r>
        <w:rPr>
          <w:rFonts w:hint="eastAsia" w:ascii="宋体" w:hAnsi="宋体" w:eastAsia="宋体" w:cs="宋体"/>
          <w:color w:val="auto"/>
          <w:sz w:val="21"/>
          <w:szCs w:val="21"/>
          <w:highlight w:val="none"/>
        </w:rPr>
        <w:t>座位信息</w:t>
      </w:r>
    </w:p>
    <w:p w14:paraId="3FC758B4">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59" w:name="OLE_LINK3"/>
      <w:r>
        <w:rPr>
          <w:rFonts w:hint="eastAsia" w:ascii="宋体" w:hAnsi="宋体" w:eastAsia="宋体" w:cs="宋体"/>
          <w:color w:val="auto"/>
          <w:sz w:val="21"/>
          <w:szCs w:val="21"/>
          <w:highlight w:val="none"/>
        </w:rPr>
        <w:t>整体呈现当前时间体育馆内座位占用情况，按照已进场观众座位、空余观众座位区分，以双色图形式进行表达</w:t>
      </w:r>
      <w:bookmarkEnd w:id="59"/>
      <w:r>
        <w:rPr>
          <w:rFonts w:hint="eastAsia" w:ascii="宋体" w:hAnsi="宋体" w:eastAsia="宋体" w:cs="宋体"/>
          <w:color w:val="auto"/>
          <w:sz w:val="21"/>
          <w:szCs w:val="21"/>
          <w:highlight w:val="none"/>
        </w:rPr>
        <w:t>，顶视角弹框展示体育馆内座位整体分布及占位情况分布。</w:t>
      </w:r>
    </w:p>
    <w:p w14:paraId="3F730E6F">
      <w:pPr>
        <w:pStyle w:val="7"/>
        <w:pageBreakBefore w:val="0"/>
        <w:numPr>
          <w:ilvl w:val="4"/>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4.3.1.2.2</w:t>
      </w:r>
      <w:r>
        <w:rPr>
          <w:rFonts w:hint="eastAsia" w:ascii="宋体" w:hAnsi="宋体" w:eastAsia="宋体" w:cs="宋体"/>
          <w:color w:val="auto"/>
          <w:sz w:val="21"/>
          <w:szCs w:val="21"/>
          <w:highlight w:val="none"/>
        </w:rPr>
        <w:t>场馆安防可视化</w:t>
      </w:r>
    </w:p>
    <w:p w14:paraId="575603A6">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4.3.1.2.2.1</w:t>
      </w:r>
      <w:r>
        <w:rPr>
          <w:rFonts w:hint="eastAsia" w:ascii="宋体" w:hAnsi="宋体" w:eastAsia="宋体" w:cs="宋体"/>
          <w:color w:val="auto"/>
          <w:sz w:val="21"/>
          <w:szCs w:val="21"/>
          <w:highlight w:val="none"/>
        </w:rPr>
        <w:t>实时监控</w:t>
      </w:r>
    </w:p>
    <w:p w14:paraId="11B5CDAA">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对各类监控资源以目录树结合孪生空间定位的手段进行便捷管理与可视化查询。通过孪生空间展现监控区域的布局和结构，管理人员可以直观地了解各个监控点的位置和覆盖范围，快速定位和处理问题。</w:t>
      </w:r>
    </w:p>
    <w:p w14:paraId="0AC1AF80">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·支持查看视频监控设备在空间中的点位分布；</w:t>
      </w:r>
    </w:p>
    <w:p w14:paraId="140D15EF">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·支持对视频监控图标进行图层管理，根据不同场景实现显示或隐藏；</w:t>
      </w:r>
    </w:p>
    <w:p w14:paraId="1FDD00DE">
      <w:pPr>
        <w:pStyle w:val="5"/>
        <w:pageBreakBefore w:val="0"/>
        <w:kinsoku/>
        <w:wordWrap/>
        <w:overflowPunct/>
        <w:topLinePunct w:val="0"/>
        <w:autoSpaceDE/>
        <w:autoSpaceDN/>
        <w:bidi w:val="0"/>
        <w:adjustRightInd/>
        <w:snapToGrid/>
        <w:spacing w:line="360" w:lineRule="auto"/>
        <w:textAlignment w:val="auto"/>
        <w:rPr>
          <w:rFonts w:hint="eastAsia"/>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Times New Roman"/>
          <w:color w:val="auto"/>
          <w:kern w:val="0"/>
          <w:sz w:val="21"/>
          <w:szCs w:val="21"/>
          <w:highlight w:val="none"/>
          <w:lang w:val="zh-CN"/>
        </w:rPr>
        <w:t>▲</w:t>
      </w:r>
      <w:r>
        <w:rPr>
          <w:rFonts w:hint="eastAsia"/>
          <w:color w:val="auto"/>
          <w:sz w:val="21"/>
          <w:szCs w:val="21"/>
          <w:highlight w:val="none"/>
        </w:rPr>
        <w:t>支持≥50000路视频接入</w:t>
      </w:r>
      <w:r>
        <w:rPr>
          <w:rFonts w:hint="eastAsia"/>
          <w:color w:val="auto"/>
          <w:sz w:val="21"/>
          <w:szCs w:val="21"/>
          <w:highlight w:val="none"/>
          <w:lang w:val="en-US" w:eastAsia="zh-CN"/>
        </w:rPr>
        <w:t>并且</w:t>
      </w:r>
      <w:r>
        <w:rPr>
          <w:rFonts w:hint="eastAsia"/>
          <w:color w:val="auto"/>
          <w:sz w:val="21"/>
          <w:szCs w:val="21"/>
          <w:highlight w:val="none"/>
        </w:rPr>
        <w:t>视频加载耗时≤10秒</w:t>
      </w:r>
      <w:r>
        <w:rPr>
          <w:rFonts w:hint="eastAsia"/>
          <w:b/>
          <w:bCs/>
          <w:color w:val="auto"/>
          <w:sz w:val="21"/>
          <w:szCs w:val="21"/>
          <w:highlight w:val="none"/>
          <w:lang w:eastAsia="zh-CN"/>
        </w:rPr>
        <w:t>（</w:t>
      </w:r>
      <w:r>
        <w:rPr>
          <w:rFonts w:hint="eastAsia"/>
          <w:b/>
          <w:bCs/>
          <w:color w:val="auto"/>
          <w:sz w:val="21"/>
          <w:szCs w:val="21"/>
          <w:highlight w:val="none"/>
          <w:lang w:val="en-US" w:eastAsia="zh-CN"/>
        </w:rPr>
        <w:t>需提供CNAS等专业测试报告复印件）</w:t>
      </w:r>
      <w:r>
        <w:rPr>
          <w:rFonts w:hint="eastAsia"/>
          <w:color w:val="auto"/>
          <w:sz w:val="21"/>
          <w:szCs w:val="21"/>
          <w:highlight w:val="none"/>
          <w:lang w:eastAsia="zh-CN"/>
        </w:rPr>
        <w:t>；</w:t>
      </w:r>
    </w:p>
    <w:p w14:paraId="27527F2F">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·支持≥50000路视频接入，视频加载耗时≤10秒；</w:t>
      </w:r>
    </w:p>
    <w:p w14:paraId="66C18438">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·支持以信息面板方式查看实时视频；</w:t>
      </w:r>
    </w:p>
    <w:p w14:paraId="15CD22AB">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·支持查看视频监控设备的详细告警信息；</w:t>
      </w:r>
    </w:p>
    <w:p w14:paraId="0E49B0DF">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·支持搜索设备周边监控设备，并对检索目标自动定位；</w:t>
      </w:r>
    </w:p>
    <w:p w14:paraId="630E5831">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Times New Roman"/>
          <w:color w:val="auto"/>
          <w:kern w:val="0"/>
          <w:sz w:val="21"/>
          <w:szCs w:val="21"/>
          <w:highlight w:val="none"/>
          <w:lang w:val="zh-CN"/>
        </w:rPr>
        <w:t>▲</w:t>
      </w:r>
      <w:r>
        <w:rPr>
          <w:rFonts w:hint="eastAsia" w:ascii="宋体" w:hAnsi="宋体" w:eastAsia="宋体" w:cs="宋体"/>
          <w:color w:val="auto"/>
          <w:sz w:val="21"/>
          <w:szCs w:val="21"/>
          <w:highlight w:val="none"/>
        </w:rPr>
        <w:t>支持同步视频信号接入，误差≤500ms</w:t>
      </w:r>
      <w:r>
        <w:rPr>
          <w:rFonts w:hint="eastAsia"/>
          <w:b/>
          <w:bCs/>
          <w:color w:val="auto"/>
          <w:sz w:val="21"/>
          <w:szCs w:val="21"/>
          <w:highlight w:val="none"/>
          <w:lang w:eastAsia="zh-CN"/>
        </w:rPr>
        <w:t>（</w:t>
      </w:r>
      <w:r>
        <w:rPr>
          <w:rFonts w:hint="eastAsia"/>
          <w:b/>
          <w:bCs/>
          <w:color w:val="auto"/>
          <w:sz w:val="21"/>
          <w:szCs w:val="21"/>
          <w:highlight w:val="none"/>
          <w:lang w:val="en-US" w:eastAsia="zh-CN"/>
        </w:rPr>
        <w:t>需提供CNAS等专业测试报告复印件</w:t>
      </w:r>
      <w:r>
        <w:rPr>
          <w:rFonts w:hint="eastAsia"/>
          <w:b/>
          <w:bCs/>
          <w:color w:val="auto"/>
          <w:sz w:val="21"/>
          <w:szCs w:val="21"/>
          <w:highlight w:val="none"/>
          <w:lang w:eastAsia="zh-CN"/>
        </w:rPr>
        <w:t>）</w:t>
      </w:r>
      <w:r>
        <w:rPr>
          <w:rFonts w:hint="eastAsia"/>
          <w:color w:val="auto"/>
          <w:sz w:val="21"/>
          <w:szCs w:val="21"/>
          <w:highlight w:val="none"/>
          <w:lang w:eastAsia="zh-CN"/>
        </w:rPr>
        <w:t>。</w:t>
      </w:r>
    </w:p>
    <w:p w14:paraId="1F4A3161">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4.3.1.2.2.2</w:t>
      </w:r>
      <w:r>
        <w:rPr>
          <w:rFonts w:hint="eastAsia" w:ascii="宋体" w:hAnsi="宋体" w:eastAsia="宋体" w:cs="宋体"/>
          <w:color w:val="auto"/>
          <w:sz w:val="21"/>
          <w:szCs w:val="21"/>
          <w:highlight w:val="none"/>
        </w:rPr>
        <w:t>风险预警</w:t>
      </w:r>
    </w:p>
    <w:p w14:paraId="36E94A1B">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基于摄像头智能化算法，对监控数据进行智能分析和处理，结合数字孪生可视化技术，可以实现对异常情况的智能识别和自动报警，然后报警信息以孪生的方式展示报警信息。</w:t>
      </w:r>
    </w:p>
    <w:p w14:paraId="539D3A97">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支持对安防告警事件进行自动定位到孪生场景里进行展示，并联动周边可用摄像机播放视频画面，辅助安保管理人员对告警事件全方位的掌握。</w:t>
      </w:r>
    </w:p>
    <w:p w14:paraId="739A7BE5">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4.3.1.2.2.3</w:t>
      </w:r>
      <w:r>
        <w:rPr>
          <w:rFonts w:hint="eastAsia" w:ascii="宋体" w:hAnsi="宋体" w:eastAsia="宋体" w:cs="宋体"/>
          <w:color w:val="auto"/>
          <w:sz w:val="21"/>
          <w:szCs w:val="21"/>
          <w:highlight w:val="none"/>
        </w:rPr>
        <w:t>决策支持</w:t>
      </w:r>
    </w:p>
    <w:p w14:paraId="3803058F">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基于孪生引擎（即孪生平台里的二维数据、三维数据等时空地理底图数据），将多个安防设备和系统进行统一管理和控制。通过大屏上的操作界面，管理人员可以方便地对各个设备进行查看，提高管理效率和便捷性。</w:t>
      </w:r>
    </w:p>
    <w:p w14:paraId="4E2D0BC0">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将复杂的安防数据以孪生可视化的方式呈现，包含客流热力图、门禁记录柱状图、道闸通行图表等图文并茂结合三维空间直观的展示各要素用以便捷决策支持。</w:t>
      </w:r>
    </w:p>
    <w:p w14:paraId="7B9716B4">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4.3.1.2.2.4</w:t>
      </w:r>
      <w:r>
        <w:rPr>
          <w:rFonts w:hint="eastAsia" w:ascii="宋体" w:hAnsi="宋体" w:eastAsia="宋体" w:cs="宋体"/>
          <w:color w:val="auto"/>
          <w:sz w:val="21"/>
          <w:szCs w:val="21"/>
          <w:highlight w:val="none"/>
        </w:rPr>
        <w:t>统一指挥</w:t>
      </w:r>
    </w:p>
    <w:p w14:paraId="40070688">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围绕应急事件，通过数字孪生对事件进行可视化定位，并联动周边监控资源进行远程复核；支持根据事件属性快速选择所需的人力、物力，包括安保人员、现场指挥人员等，整合现场视频监控、事件定位等能力，将应急事件通过可视化、智能化的方式实现“一图掌握、一图指挥”，提高体艺中心整体管理效率，丰富信息化管理方法。</w:t>
      </w:r>
    </w:p>
    <w:p w14:paraId="5BA9A0C4">
      <w:pPr>
        <w:pStyle w:val="7"/>
        <w:pageBreakBefore w:val="0"/>
        <w:numPr>
          <w:ilvl w:val="4"/>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4.3.1.2.3</w:t>
      </w:r>
      <w:r>
        <w:rPr>
          <w:rFonts w:hint="eastAsia" w:ascii="宋体" w:hAnsi="宋体" w:eastAsia="宋体" w:cs="宋体"/>
          <w:color w:val="auto"/>
          <w:sz w:val="21"/>
          <w:szCs w:val="21"/>
          <w:highlight w:val="none"/>
        </w:rPr>
        <w:t>人员态势可视化</w:t>
      </w:r>
    </w:p>
    <w:p w14:paraId="0DB84DA2">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4.3.1.2.3.1</w:t>
      </w:r>
      <w:r>
        <w:rPr>
          <w:rFonts w:hint="eastAsia" w:ascii="宋体" w:hAnsi="宋体" w:eastAsia="宋体" w:cs="宋体"/>
          <w:color w:val="auto"/>
          <w:sz w:val="21"/>
          <w:szCs w:val="21"/>
          <w:highlight w:val="none"/>
        </w:rPr>
        <w:t>热力分布</w:t>
      </w:r>
    </w:p>
    <w:p w14:paraId="0D41FEA3">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通过热力图展示场馆内人员密度的分布情况，颜色深浅表示人员数量的多少，其中人员数量的阈值系统支持在应用管理后台进行配置，系统支持对历史热力图数据进行筛选呈现。</w:t>
      </w:r>
    </w:p>
    <w:p w14:paraId="0C36FB81">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4.3.1.2.3.2</w:t>
      </w:r>
      <w:r>
        <w:rPr>
          <w:rFonts w:hint="eastAsia" w:ascii="宋体" w:hAnsi="宋体" w:eastAsia="宋体" w:cs="宋体"/>
          <w:color w:val="auto"/>
          <w:sz w:val="21"/>
          <w:szCs w:val="21"/>
          <w:highlight w:val="none"/>
        </w:rPr>
        <w:t>人员统计</w:t>
      </w:r>
    </w:p>
    <w:p w14:paraId="5D1D1E69">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各个出入口及体艺中心总体的人员客流统计情况，同时显示体育馆主场馆客流数数据报表统计。通过动画、图表等动态元素展示人员态势的变化。同时，支持用户通过鼠标悬停、点击等操作查看详细信息或进行交互。系统支持对人员客流的历史数据进行筛选和报表统计展示，方便对历史数据进行回溯。</w:t>
      </w:r>
    </w:p>
    <w:p w14:paraId="64CC09AE">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4.3.1.2.3.3</w:t>
      </w:r>
      <w:r>
        <w:rPr>
          <w:rFonts w:hint="eastAsia" w:ascii="宋体" w:hAnsi="宋体" w:eastAsia="宋体" w:cs="宋体"/>
          <w:color w:val="auto"/>
          <w:sz w:val="21"/>
          <w:szCs w:val="21"/>
          <w:highlight w:val="none"/>
        </w:rPr>
        <w:t>趋势指标</w:t>
      </w:r>
    </w:p>
    <w:p w14:paraId="3BABD939">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lang w:val="zh-CN"/>
        </w:rPr>
        <w:t>统通过场馆五个出入口及主场馆内的智能监控设备通过智能算法识别出人流密度，并在数字孪生平台直观呈现。</w:t>
      </w:r>
    </w:p>
    <w:p w14:paraId="581015F4">
      <w:pPr>
        <w:pStyle w:val="7"/>
        <w:pageBreakBefore w:val="0"/>
        <w:numPr>
          <w:ilvl w:val="4"/>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4.3.1.2.4</w:t>
      </w:r>
      <w:r>
        <w:rPr>
          <w:rFonts w:hint="eastAsia" w:ascii="宋体" w:hAnsi="宋体" w:eastAsia="宋体" w:cs="宋体"/>
          <w:color w:val="auto"/>
          <w:sz w:val="21"/>
          <w:szCs w:val="21"/>
          <w:highlight w:val="none"/>
        </w:rPr>
        <w:t>车流态势可视化</w:t>
      </w:r>
    </w:p>
    <w:p w14:paraId="3D6D0394">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形成统计报表，可以显示体艺中心停车场、新能源停车场已停车辆、剩余车位等相关信息。</w:t>
      </w:r>
    </w:p>
    <w:p w14:paraId="6C3CD7EC">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4.3.1.2.4.1</w:t>
      </w:r>
      <w:r>
        <w:rPr>
          <w:rFonts w:hint="eastAsia" w:ascii="宋体" w:hAnsi="宋体" w:eastAsia="宋体" w:cs="宋体"/>
          <w:color w:val="auto"/>
          <w:sz w:val="21"/>
          <w:szCs w:val="21"/>
          <w:highlight w:val="none"/>
        </w:rPr>
        <w:t>停车场车位管理</w:t>
      </w:r>
    </w:p>
    <w:p w14:paraId="6F08CF05">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基于数字孪生场景映射呈现体艺中心停车场各类型车位分布情况和使用情况，用户可以设置阈值，通过车牌识别系统提供的数据信息对停车场已停车辆、剩余车位进行直观信息展示，支持查看车牌号、车辆进/出场时间等信息。</w:t>
      </w:r>
    </w:p>
    <w:p w14:paraId="4C920083">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4.3.1.2.4.2</w:t>
      </w:r>
      <w:r>
        <w:rPr>
          <w:rFonts w:hint="eastAsia" w:ascii="宋体" w:hAnsi="宋体" w:eastAsia="宋体" w:cs="宋体"/>
          <w:color w:val="auto"/>
          <w:sz w:val="21"/>
          <w:szCs w:val="21"/>
          <w:highlight w:val="none"/>
        </w:rPr>
        <w:t>赛事车辆可视化</w:t>
      </w:r>
    </w:p>
    <w:p w14:paraId="7C654C87">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在大屏端呈现赛事车辆的管理信息，如赛事车辆分布、赛事车辆排班信息、车辆与运动团队映射关系、赛事车辆运动状态等。</w:t>
      </w:r>
    </w:p>
    <w:p w14:paraId="4DD2B461">
      <w:pPr>
        <w:pStyle w:val="7"/>
        <w:pageBreakBefore w:val="0"/>
        <w:numPr>
          <w:ilvl w:val="4"/>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4.3.1.2.5</w:t>
      </w:r>
      <w:r>
        <w:rPr>
          <w:rFonts w:hint="eastAsia" w:ascii="宋体" w:hAnsi="宋体" w:eastAsia="宋体" w:cs="宋体"/>
          <w:color w:val="auto"/>
          <w:sz w:val="21"/>
          <w:szCs w:val="21"/>
          <w:highlight w:val="none"/>
        </w:rPr>
        <w:t>孪生工具可视化</w:t>
      </w:r>
    </w:p>
    <w:p w14:paraId="498C6B34">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三维数据基础图层：系统支持场景数据的分图层管理，将场景地图分为地形、影像、三维模型、白模、自定义模型图层等，用户可以根据需求操作图层的开启和隐藏。</w:t>
      </w:r>
    </w:p>
    <w:p w14:paraId="5FB086F4">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视点管理：系统具备视点管理的功能，能根据用户在场景中选定的任意高度和任意角度的位置信息进行添加、删除、修改保存，类似书签的功能，方便用户对特定场景进行定位，快速切换到指定视点进行浏览。</w:t>
      </w:r>
    </w:p>
    <w:p w14:paraId="1C50C137">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三维测量：在三维场景中可以进行三维测量操作，具体包括水平测量、高度测量、面积测量、空间测量等。</w:t>
      </w:r>
    </w:p>
    <w:p w14:paraId="2C8F7FAA">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空间查询：通过几何对象之间的空间位置关系构建过滤条件，从已有的数据中查询出满足过滤条件的对象。</w:t>
      </w:r>
    </w:p>
    <w:p w14:paraId="4F2FBFE0">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标注管理：系统提供用户自定义标记功能，支持标注的添加、删除、编辑、修改、模糊搜索、精确定位等操作；支持任意修改标注的字体、样式、位置等；支持点标注等多种方式，同时可以为标注添加附属的说明信息。</w:t>
      </w:r>
    </w:p>
    <w:p w14:paraId="740D8735">
      <w:pPr>
        <w:pStyle w:val="6"/>
        <w:pageBreakBefore w:val="0"/>
        <w:numPr>
          <w:ilvl w:val="3"/>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bookmarkStart w:id="60" w:name="_Toc13721"/>
      <w:bookmarkStart w:id="61" w:name="_Toc6810"/>
      <w:bookmarkStart w:id="62" w:name="_Toc11020"/>
      <w:r>
        <w:rPr>
          <w:rFonts w:hint="eastAsia" w:ascii="宋体" w:hAnsi="宋体" w:eastAsia="宋体" w:cs="宋体"/>
          <w:b/>
          <w:bCs w:val="0"/>
          <w:i w:val="0"/>
          <w:color w:val="auto"/>
          <w:kern w:val="2"/>
          <w:sz w:val="21"/>
          <w:szCs w:val="21"/>
          <w:highlight w:val="none"/>
          <w:lang w:val="en-US" w:eastAsia="zh-CN" w:bidi="ar-SA"/>
        </w:rPr>
        <w:t>4.3.1.3</w:t>
      </w:r>
      <w:r>
        <w:rPr>
          <w:rFonts w:hint="eastAsia" w:ascii="宋体" w:hAnsi="宋体" w:eastAsia="宋体" w:cs="宋体"/>
          <w:color w:val="auto"/>
          <w:sz w:val="21"/>
          <w:szCs w:val="21"/>
          <w:highlight w:val="none"/>
        </w:rPr>
        <w:t>物联网管理</w:t>
      </w:r>
      <w:bookmarkEnd w:id="60"/>
      <w:bookmarkEnd w:id="61"/>
      <w:bookmarkEnd w:id="62"/>
    </w:p>
    <w:p w14:paraId="77832642">
      <w:pPr>
        <w:pStyle w:val="7"/>
        <w:pageBreakBefore w:val="0"/>
        <w:numPr>
          <w:ilvl w:val="4"/>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4.3.1.3.1</w:t>
      </w:r>
      <w:r>
        <w:rPr>
          <w:rFonts w:hint="eastAsia" w:ascii="宋体" w:hAnsi="宋体" w:eastAsia="宋体" w:cs="宋体"/>
          <w:color w:val="auto"/>
          <w:sz w:val="21"/>
          <w:szCs w:val="21"/>
          <w:highlight w:val="none"/>
        </w:rPr>
        <w:t>总体设备管理</w:t>
      </w:r>
    </w:p>
    <w:p w14:paraId="06D4A8AC">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4.3.1.3.1.1</w:t>
      </w:r>
      <w:r>
        <w:rPr>
          <w:rFonts w:hint="eastAsia" w:ascii="宋体" w:hAnsi="宋体" w:eastAsia="宋体" w:cs="宋体"/>
          <w:color w:val="auto"/>
          <w:sz w:val="21"/>
          <w:szCs w:val="21"/>
          <w:highlight w:val="none"/>
        </w:rPr>
        <w:t>设备告警概览</w:t>
      </w:r>
    </w:p>
    <w:p w14:paraId="4AF1AE58">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对设备资源分布进行整体管控，接入设备实时运行信息，对设备状态、设备详情进行统一集成化管理。当设备发生告警时可实时查看设备所在位置，并联动展示设备告警的信息。</w:t>
      </w:r>
    </w:p>
    <w:p w14:paraId="36AB344A">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按设备分类、告警状态、告警时间进行设备告警数据查询，点击告警记录时展示具体设备位置，并同时弹框展示报警具体信息字段，包括设备名称、报警时间、报警内容等字段。</w:t>
      </w:r>
    </w:p>
    <w:p w14:paraId="2A806887">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4.3.1.3.1.2</w:t>
      </w:r>
      <w:r>
        <w:rPr>
          <w:rFonts w:hint="eastAsia" w:ascii="宋体" w:hAnsi="宋体" w:eastAsia="宋体" w:cs="宋体"/>
          <w:color w:val="auto"/>
          <w:sz w:val="21"/>
          <w:szCs w:val="21"/>
          <w:highlight w:val="none"/>
        </w:rPr>
        <w:t>设备分类统计</w:t>
      </w:r>
    </w:p>
    <w:p w14:paraId="768AD92D">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根据现有设备类型进行设备统计，统计数量可以点击下方展示具体的设备清单。</w:t>
      </w:r>
    </w:p>
    <w:p w14:paraId="3B78448C">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可按设备的不同分类以图表方式呈现，支持点击某个分类查看该分类下的设备清单列表数据，点击某个设备可快速飞行定位到三维场景该设备的位置，同时弹框展示该设备基本属性字段，包括设备名称、所属分类名称、设备状态等。</w:t>
      </w:r>
    </w:p>
    <w:p w14:paraId="45738989">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4.3.1.3.1.3</w:t>
      </w:r>
      <w:r>
        <w:rPr>
          <w:rFonts w:hint="eastAsia" w:ascii="宋体" w:hAnsi="宋体" w:eastAsia="宋体" w:cs="宋体"/>
          <w:color w:val="auto"/>
          <w:sz w:val="21"/>
          <w:szCs w:val="21"/>
          <w:highlight w:val="none"/>
        </w:rPr>
        <w:t>设备台账信息</w:t>
      </w:r>
    </w:p>
    <w:p w14:paraId="6358E0EE">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支持用户任意选择设备或选择不同状态下的设备进行信息查询。</w:t>
      </w:r>
    </w:p>
    <w:p w14:paraId="28B4E5C6">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为便于用户快速查找设备空间位置分布，系统支持在三维场景里按指定区域绘制圆形、多边形来查出所属范围内容的设备列表，同时场景列表里将设备进行上图，点击设备图标可弹框展示设备基础信息，包括设备所属分类、设备名称、设备状态等。</w:t>
      </w:r>
    </w:p>
    <w:p w14:paraId="6B50ABC8">
      <w:pPr>
        <w:pStyle w:val="7"/>
        <w:pageBreakBefore w:val="0"/>
        <w:numPr>
          <w:ilvl w:val="4"/>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4.3.1.3.2</w:t>
      </w:r>
      <w:r>
        <w:rPr>
          <w:rFonts w:hint="eastAsia" w:ascii="宋体" w:hAnsi="宋体" w:eastAsia="宋体" w:cs="宋体"/>
          <w:color w:val="auto"/>
          <w:sz w:val="21"/>
          <w:szCs w:val="21"/>
          <w:highlight w:val="none"/>
        </w:rPr>
        <w:t>图层管理</w:t>
      </w:r>
    </w:p>
    <w:p w14:paraId="37C72E5A">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4.3.1.3.2.1</w:t>
      </w:r>
      <w:r>
        <w:rPr>
          <w:rFonts w:hint="eastAsia" w:ascii="宋体" w:hAnsi="宋体" w:eastAsia="宋体" w:cs="宋体"/>
          <w:color w:val="auto"/>
          <w:sz w:val="21"/>
          <w:szCs w:val="21"/>
          <w:highlight w:val="none"/>
        </w:rPr>
        <w:t>门禁孪生图层管理</w:t>
      </w:r>
    </w:p>
    <w:p w14:paraId="03B3FDF9">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通过数字孪生构建管理室内置门禁模型，对模型进行单体化建模，并能够通过动画联动展示开关效果，实时展示室内门禁的状态。</w:t>
      </w:r>
    </w:p>
    <w:p w14:paraId="180C6F8B">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可快速查看不同空间的室内门禁分布情况；赋予门禁以独立图层管理，所有室内门禁状态实时可知，支持点击任意门禁图标对人员出入的详细信息进行查询；支持对出现常闭门禁长时间未关闭、常开门上长时间未打开、强行打开门禁等异常情况通过闪烁、高亮等醒目的方式进行告警，点击告警信息可自动定位至目标位置。</w:t>
      </w:r>
    </w:p>
    <w:p w14:paraId="76526777">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4.3.1.3.2.2</w:t>
      </w:r>
      <w:r>
        <w:rPr>
          <w:rFonts w:hint="eastAsia" w:ascii="宋体" w:hAnsi="宋体" w:eastAsia="宋体" w:cs="宋体"/>
          <w:color w:val="auto"/>
          <w:sz w:val="21"/>
          <w:szCs w:val="21"/>
          <w:highlight w:val="none"/>
        </w:rPr>
        <w:t>工作人员通行图层</w:t>
      </w:r>
    </w:p>
    <w:p w14:paraId="2AB1552D">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用户可以通过数字孪生平台提供的操作面板对道闸进行查看及出入记录，赋予通道独立图层展示。通过下发的岗位证在通过场馆出入口的时候，进行人脸比对结合刷卡识别，判断工作人员是否符合认证合一的条件，不符合则不允许进入场馆，同时弹框用户可以查看告警内容且系统打开周围监控播联动放视频画面。</w:t>
      </w:r>
    </w:p>
    <w:p w14:paraId="3C8AFBA3">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4.3.1.3.2.3</w:t>
      </w:r>
      <w:r>
        <w:rPr>
          <w:rFonts w:hint="eastAsia" w:ascii="宋体" w:hAnsi="宋体" w:eastAsia="宋体" w:cs="宋体"/>
          <w:color w:val="auto"/>
          <w:sz w:val="21"/>
          <w:szCs w:val="21"/>
          <w:highlight w:val="none"/>
        </w:rPr>
        <w:t>能耗管理图层</w:t>
      </w:r>
    </w:p>
    <w:p w14:paraId="645D9931">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实现对能耗包括水表、电表、空气环境质量的历史数据统计、查询、以多种图表形式进行显示，如曲线图、柱状图、饼图。赋予能耗设备单种类型图层展示（用水图层、用电图层、空气环境图层）。</w:t>
      </w:r>
    </w:p>
    <w:p w14:paraId="0598876D">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当能耗设备数据异常时候，支持弹框用户可以查看能耗设备告警内容且系统打开周围监控播联动放视频画面。</w:t>
      </w:r>
      <w:bookmarkStart w:id="63" w:name="_Toc1511"/>
      <w:bookmarkStart w:id="64" w:name="_Toc21699"/>
      <w:bookmarkStart w:id="65" w:name="_Toc12401"/>
    </w:p>
    <w:p w14:paraId="54CEBC92">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4.3.1.4</w:t>
      </w:r>
      <w:r>
        <w:rPr>
          <w:rFonts w:hint="eastAsia" w:ascii="宋体" w:hAnsi="宋体" w:eastAsia="宋体" w:cs="宋体"/>
          <w:color w:val="auto"/>
          <w:sz w:val="21"/>
          <w:szCs w:val="21"/>
          <w:highlight w:val="none"/>
        </w:rPr>
        <w:t>应用管理</w:t>
      </w:r>
      <w:bookmarkEnd w:id="63"/>
      <w:bookmarkEnd w:id="64"/>
      <w:bookmarkEnd w:id="65"/>
    </w:p>
    <w:p w14:paraId="1E6284BD">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4.3.1.4.1</w:t>
      </w:r>
      <w:r>
        <w:rPr>
          <w:rFonts w:hint="eastAsia" w:ascii="宋体" w:hAnsi="宋体" w:eastAsia="宋体" w:cs="宋体"/>
          <w:color w:val="auto"/>
          <w:sz w:val="21"/>
          <w:szCs w:val="21"/>
          <w:highlight w:val="none"/>
        </w:rPr>
        <w:t>安防管理</w:t>
      </w:r>
    </w:p>
    <w:p w14:paraId="04011E28">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4.3.1.4.1.1</w:t>
      </w:r>
      <w:r>
        <w:rPr>
          <w:rFonts w:hint="eastAsia" w:ascii="宋体" w:hAnsi="宋体" w:eastAsia="宋体" w:cs="宋体"/>
          <w:color w:val="auto"/>
          <w:sz w:val="21"/>
          <w:szCs w:val="21"/>
          <w:highlight w:val="none"/>
        </w:rPr>
        <w:t>监控搜索</w:t>
      </w:r>
    </w:p>
    <w:p w14:paraId="41BDBB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rPr>
      </w:pPr>
      <w:r>
        <w:rPr>
          <w:rFonts w:hint="eastAsia"/>
          <w:color w:val="auto"/>
          <w:highlight w:val="none"/>
          <w:lang w:val="zh-CN"/>
        </w:rPr>
        <w:t>空间检索：可根据在场景中绘制的范围查询其中包含的监控设备，包括圈选、框选、自定义多边形等方式。</w:t>
      </w:r>
    </w:p>
    <w:p w14:paraId="1717FF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rPr>
      </w:pPr>
      <w:r>
        <w:rPr>
          <w:rFonts w:hint="eastAsia"/>
          <w:color w:val="auto"/>
          <w:highlight w:val="none"/>
          <w:lang w:val="zh-CN"/>
        </w:rPr>
        <w:t>查询定位：输入关键字进行模糊查询设备名称，查询结果以列表展示，点击列表可对设备进行飞行定位。</w:t>
      </w:r>
    </w:p>
    <w:p w14:paraId="439E2E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zh-CN"/>
        </w:rPr>
        <w:t>位置关联：在三维场景中可以根据坐标范围寻找关联监控设备，当出现事件信息的时候，通过拾取事件位置，可根据当前位置坐标自动寻找和周边指定范围内的监控设备，结果以列表展示，点击列表可以查看监控画面。</w:t>
      </w:r>
    </w:p>
    <w:p w14:paraId="5471C692">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4.3.1.4.1.2</w:t>
      </w:r>
      <w:r>
        <w:rPr>
          <w:rFonts w:hint="eastAsia" w:ascii="宋体" w:hAnsi="宋体" w:eastAsia="宋体" w:cs="宋体"/>
          <w:color w:val="auto"/>
          <w:sz w:val="21"/>
          <w:szCs w:val="21"/>
          <w:highlight w:val="none"/>
        </w:rPr>
        <w:t>视频管理</w:t>
      </w:r>
    </w:p>
    <w:p w14:paraId="2703A65F">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监控上图：获取监控列表及每个设备的详细信息，包括id、编码、坐标等信息，然后根据坐标信息将室外和室内的所有监控标签在三维地图中进行点位标注。标注完成后可查看场景中视频标签的总体分布，也可通过搜索进行查询定位。</w:t>
      </w:r>
    </w:p>
    <w:p w14:paraId="3169A2EF">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监控播放：点击视频标签可以进行监控实时画面的播放。</w:t>
      </w:r>
    </w:p>
    <w:p w14:paraId="5EE934A8">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4.3.1.4.1.3</w:t>
      </w:r>
      <w:r>
        <w:rPr>
          <w:rFonts w:hint="eastAsia" w:ascii="宋体" w:hAnsi="宋体" w:eastAsia="宋体" w:cs="宋体"/>
          <w:color w:val="auto"/>
          <w:sz w:val="21"/>
          <w:szCs w:val="21"/>
          <w:highlight w:val="none"/>
        </w:rPr>
        <w:t>视频融合</w:t>
      </w:r>
    </w:p>
    <w:p w14:paraId="786BCA32">
      <w:pPr>
        <w:pStyle w:val="5"/>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视频融合：在三维场景中可以将二维监控画面等比投影到三维场景上，从而在固定观察点上实现二三维一体化、动静结合的三维视频融合效果。包括室内半球设备以及室外枪机的融合效果都可以实现。</w:t>
      </w:r>
    </w:p>
    <w:p w14:paraId="49DAC75D">
      <w:pPr>
        <w:pStyle w:val="5"/>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▲为便于后续场景升级及管理，本次项目平台需具备不少于1000路视频流接入的视频融合能力。</w:t>
      </w:r>
      <w:r>
        <w:rPr>
          <w:rFonts w:hint="eastAsia"/>
          <w:b/>
          <w:bCs/>
          <w:color w:val="auto"/>
          <w:sz w:val="21"/>
          <w:szCs w:val="21"/>
          <w:highlight w:val="none"/>
          <w:lang w:eastAsia="zh-CN"/>
        </w:rPr>
        <w:t>（</w:t>
      </w:r>
      <w:r>
        <w:rPr>
          <w:rFonts w:hint="eastAsia"/>
          <w:b/>
          <w:bCs/>
          <w:color w:val="auto"/>
          <w:sz w:val="21"/>
          <w:szCs w:val="21"/>
          <w:highlight w:val="none"/>
          <w:lang w:val="en-US" w:eastAsia="zh-CN"/>
        </w:rPr>
        <w:t>需提供CNAS等专业测试报告复印件</w:t>
      </w:r>
      <w:r>
        <w:rPr>
          <w:rFonts w:hint="eastAsia"/>
          <w:b/>
          <w:bCs/>
          <w:color w:val="auto"/>
          <w:sz w:val="21"/>
          <w:szCs w:val="21"/>
          <w:highlight w:val="none"/>
          <w:lang w:eastAsia="zh-CN"/>
        </w:rPr>
        <w:t>）</w:t>
      </w:r>
    </w:p>
    <w:p w14:paraId="6E3D17A5">
      <w:pPr>
        <w:pStyle w:val="5"/>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查询定位：输入关键字进行模糊查询视频融合幕布的名称，查询结果以列表展示，点击列表可对融合场景进行飞行定位。</w:t>
      </w:r>
    </w:p>
    <w:p w14:paraId="5E242E34">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最佳视角切换：在三维场景漫游时可针对视频融合幕布快速进行最佳视角的飞行定位。</w:t>
      </w:r>
    </w:p>
    <w:p w14:paraId="5BEB3352">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4.3.1.4.1.4</w:t>
      </w:r>
      <w:r>
        <w:rPr>
          <w:rFonts w:hint="eastAsia" w:ascii="宋体" w:hAnsi="宋体" w:eastAsia="宋体" w:cs="宋体"/>
          <w:color w:val="auto"/>
          <w:sz w:val="21"/>
          <w:szCs w:val="21"/>
          <w:highlight w:val="none"/>
        </w:rPr>
        <w:t>融合回溯</w:t>
      </w:r>
    </w:p>
    <w:p w14:paraId="13E2966C">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在三维场景中基于视频融合的情况下，可以根据相机+时间戳去查询视频，当查看某路监控的时候，可以选择当前监控的指定时间点的信息，然后监控画面即可跳转到指定时间点进行播放，从而可以直观的看到三维静态模型和历史视频画面的一个融合回溯效果，方便根据视频里的人员下一个经过的空间方向。</w:t>
      </w:r>
    </w:p>
    <w:p w14:paraId="1261A444">
      <w:pPr>
        <w:pStyle w:val="7"/>
        <w:pageBreakBefore w:val="0"/>
        <w:numPr>
          <w:ilvl w:val="4"/>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4.3.1.4.2</w:t>
      </w:r>
      <w:r>
        <w:rPr>
          <w:rFonts w:hint="eastAsia" w:ascii="宋体" w:hAnsi="宋体" w:eastAsia="宋体" w:cs="宋体"/>
          <w:color w:val="auto"/>
          <w:sz w:val="21"/>
          <w:szCs w:val="21"/>
          <w:highlight w:val="none"/>
        </w:rPr>
        <w:t>人员管理</w:t>
      </w:r>
    </w:p>
    <w:p w14:paraId="128955FE">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人员管理旨在针对工作人员进行日常管理，通过查看刷卡记录以及检票口人脸识别和证件匹配，提高人员管理全面性和正确性。</w:t>
      </w:r>
    </w:p>
    <w:p w14:paraId="1A1E4477">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4.3.1.4.2.1</w:t>
      </w:r>
      <w:r>
        <w:rPr>
          <w:rFonts w:hint="eastAsia" w:ascii="宋体" w:hAnsi="宋体" w:eastAsia="宋体" w:cs="宋体"/>
          <w:color w:val="auto"/>
          <w:sz w:val="21"/>
          <w:szCs w:val="21"/>
          <w:highlight w:val="none"/>
        </w:rPr>
        <w:t>人证合一检测</w:t>
      </w:r>
    </w:p>
    <w:p w14:paraId="09B54828">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系统支持工作人员通过在检票出入口的道闸人脸设备进行刷卡识别出是否人证合一，以及场馆内部的人脸门禁识别，来统计展示出工作人员到岗情况。</w:t>
      </w:r>
    </w:p>
    <w:p w14:paraId="2BD6B310">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系统支持查看刷脸的列表记录及筛选（支持浙政钉头像导入）。</w:t>
      </w:r>
    </w:p>
    <w:p w14:paraId="703BB34E">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4.3.1.4.2.2</w:t>
      </w:r>
      <w:r>
        <w:rPr>
          <w:rFonts w:hint="eastAsia" w:ascii="宋体" w:hAnsi="宋体" w:eastAsia="宋体" w:cs="宋体"/>
          <w:color w:val="auto"/>
          <w:sz w:val="21"/>
          <w:szCs w:val="21"/>
          <w:highlight w:val="none"/>
        </w:rPr>
        <w:t>人证刷卡记录</w:t>
      </w:r>
    </w:p>
    <w:p w14:paraId="258902C9">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color w:val="auto"/>
          <w:sz w:val="21"/>
          <w:szCs w:val="21"/>
          <w:highlight w:val="none"/>
          <w:lang w:val="zh-CN"/>
        </w:rPr>
        <w:t>系统支持按时间等维度来筛选工作人员刷卡记录，支持点击查看某条刷卡记录的详情。</w:t>
      </w:r>
    </w:p>
    <w:p w14:paraId="7C75EF11">
      <w:pPr>
        <w:pStyle w:val="7"/>
        <w:pageBreakBefore w:val="0"/>
        <w:numPr>
          <w:ilvl w:val="4"/>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4.3.1.4.3</w:t>
      </w:r>
      <w:r>
        <w:rPr>
          <w:rFonts w:hint="eastAsia" w:ascii="宋体" w:hAnsi="宋体" w:eastAsia="宋体" w:cs="宋体"/>
          <w:color w:val="auto"/>
          <w:sz w:val="21"/>
          <w:szCs w:val="21"/>
          <w:highlight w:val="none"/>
        </w:rPr>
        <w:t>车辆管理</w:t>
      </w:r>
    </w:p>
    <w:p w14:paraId="4642C0A9">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系统支持对体育场馆内的停车场进行车辆管理，管控车辆对象主要是政务领导、体育记者、体育运动员。</w:t>
      </w:r>
    </w:p>
    <w:p w14:paraId="63D182E3">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4.3.1.4.3.1</w:t>
      </w:r>
      <w:r>
        <w:rPr>
          <w:rFonts w:hint="eastAsia" w:ascii="宋体" w:hAnsi="宋体" w:eastAsia="宋体" w:cs="宋体"/>
          <w:color w:val="auto"/>
          <w:sz w:val="21"/>
          <w:szCs w:val="21"/>
          <w:highlight w:val="none"/>
        </w:rPr>
        <w:t>停车数量超限预警</w:t>
      </w:r>
    </w:p>
    <w:p w14:paraId="43B29417">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系统支持对体育场馆内及新能源停车场的停车数量进行阈值配置，当停车数量达到指定阈值之后，系统推送消息到浙政钉里，在管理系统中弹出超限告警用户可对阈值进行增删改查。</w:t>
      </w:r>
    </w:p>
    <w:p w14:paraId="13399120">
      <w:pPr>
        <w:pStyle w:val="8"/>
        <w:pageBreakBefore w:val="0"/>
        <w:numPr>
          <w:ilvl w:val="5"/>
          <w:numId w:val="0"/>
        </w:numPr>
        <w:kinsoku/>
        <w:wordWrap/>
        <w:overflowPunct/>
        <w:topLinePunct w:val="0"/>
        <w:autoSpaceDE/>
        <w:autoSpaceDN/>
        <w:bidi w:val="0"/>
        <w:adjustRightInd/>
        <w:snapToGrid/>
        <w:spacing w:before="156" w:after="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4.3.1.4.3.2</w:t>
      </w:r>
      <w:r>
        <w:rPr>
          <w:rFonts w:hint="eastAsia" w:ascii="宋体" w:hAnsi="宋体" w:eastAsia="宋体" w:cs="宋体"/>
          <w:color w:val="auto"/>
          <w:sz w:val="21"/>
          <w:szCs w:val="21"/>
          <w:highlight w:val="none"/>
        </w:rPr>
        <w:t>赛事车辆轨迹定位</w:t>
      </w:r>
    </w:p>
    <w:p w14:paraId="661E8205">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系统支持集成运动团队车辆GPS等系统数据，对运动团队车辆的实时位置、运行轨迹进行实时可视化监测；根据GPS硬件与车辆的绑定信息，支持查询具体车辆的详细信息，如车牌号、车辆类型、乘客团队等信息，实现对运动团队车辆的全方位运行监控，加强对运动员位置的管理。</w:t>
      </w:r>
    </w:p>
    <w:p w14:paraId="576EEB33">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一旦出现突发事故，可以通过系统快速检索、查询、定位运动团队的具体位置，实现快速反应与精准处置。</w:t>
      </w:r>
    </w:p>
    <w:p w14:paraId="7AC00B24">
      <w:pPr>
        <w:pStyle w:val="7"/>
        <w:pageBreakBefore w:val="0"/>
        <w:numPr>
          <w:ilvl w:val="4"/>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4.3.1.4.4</w:t>
      </w:r>
      <w:r>
        <w:rPr>
          <w:rFonts w:hint="eastAsia" w:ascii="宋体" w:hAnsi="宋体" w:eastAsia="宋体" w:cs="宋体"/>
          <w:color w:val="auto"/>
          <w:sz w:val="21"/>
          <w:szCs w:val="21"/>
          <w:highlight w:val="none"/>
        </w:rPr>
        <w:t>客流管理</w:t>
      </w:r>
    </w:p>
    <w:p w14:paraId="1584526D">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用户可以设置客流阈值，根据阈值判断人流量和前端展示颜色深浅，以及展示不同的颜色块，方便展示端更清晰的看到不同客流量的区别。</w:t>
      </w:r>
    </w:p>
    <w:p w14:paraId="73439016">
      <w:pPr>
        <w:pStyle w:val="6"/>
        <w:pageBreakBefore w:val="0"/>
        <w:numPr>
          <w:ilvl w:val="3"/>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bookmarkStart w:id="66" w:name="_Toc30646"/>
      <w:bookmarkStart w:id="67" w:name="_Toc535"/>
      <w:bookmarkStart w:id="68" w:name="_Toc28197"/>
      <w:r>
        <w:rPr>
          <w:rFonts w:hint="eastAsia" w:ascii="宋体" w:hAnsi="宋体" w:eastAsia="宋体" w:cs="宋体"/>
          <w:b/>
          <w:bCs w:val="0"/>
          <w:i w:val="0"/>
          <w:color w:val="auto"/>
          <w:kern w:val="2"/>
          <w:sz w:val="21"/>
          <w:szCs w:val="21"/>
          <w:highlight w:val="none"/>
          <w:lang w:val="en-US" w:eastAsia="zh-CN" w:bidi="ar-SA"/>
        </w:rPr>
        <w:t>4.3.1.5</w:t>
      </w:r>
      <w:r>
        <w:rPr>
          <w:rFonts w:hint="eastAsia" w:ascii="宋体" w:hAnsi="宋体" w:eastAsia="宋体" w:cs="宋体"/>
          <w:color w:val="auto"/>
          <w:sz w:val="21"/>
          <w:szCs w:val="21"/>
          <w:highlight w:val="none"/>
        </w:rPr>
        <w:t>移动端应用</w:t>
      </w:r>
      <w:bookmarkEnd w:id="66"/>
      <w:bookmarkEnd w:id="67"/>
      <w:bookmarkEnd w:id="68"/>
    </w:p>
    <w:p w14:paraId="6589C016">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基于浙政钉开发，实现人员管理、车辆管理、消息推送的应用功能。</w:t>
      </w:r>
    </w:p>
    <w:p w14:paraId="501C6921">
      <w:pPr>
        <w:pStyle w:val="7"/>
        <w:pageBreakBefore w:val="0"/>
        <w:numPr>
          <w:ilvl w:val="4"/>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4.3.1.5.1</w:t>
      </w:r>
      <w:r>
        <w:rPr>
          <w:rFonts w:hint="eastAsia" w:ascii="宋体" w:hAnsi="宋体" w:eastAsia="宋体" w:cs="宋体"/>
          <w:color w:val="auto"/>
          <w:sz w:val="21"/>
          <w:szCs w:val="21"/>
          <w:highlight w:val="none"/>
        </w:rPr>
        <w:t>人员管理</w:t>
      </w:r>
    </w:p>
    <w:p w14:paraId="14873C18">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基于浙政钉进行开发，将移动端应用无缝集成到浙政钉里，拥有浙政钉账号及权限的用户可以快速进入人员管理页面。</w:t>
      </w:r>
    </w:p>
    <w:p w14:paraId="19106B67">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系统支持查看工作人员到岗情况，到岗记录，包括到岗时间、证件编码、出入口位置等信息。</w:t>
      </w:r>
    </w:p>
    <w:p w14:paraId="2D00BA59">
      <w:pPr>
        <w:pStyle w:val="7"/>
        <w:pageBreakBefore w:val="0"/>
        <w:numPr>
          <w:ilvl w:val="4"/>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4.3.1.5.2</w:t>
      </w:r>
      <w:r>
        <w:rPr>
          <w:rFonts w:hint="eastAsia" w:ascii="宋体" w:hAnsi="宋体" w:eastAsia="宋体" w:cs="宋体"/>
          <w:color w:val="auto"/>
          <w:sz w:val="21"/>
          <w:szCs w:val="21"/>
          <w:highlight w:val="none"/>
        </w:rPr>
        <w:t>车辆管理</w:t>
      </w:r>
    </w:p>
    <w:p w14:paraId="75A6919B">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基于浙政钉开发，将移动端应用无缝集成到浙政钉里，拥有浙政钉账号及权限的用户可以快速进入车辆管理页面。</w:t>
      </w:r>
    </w:p>
    <w:p w14:paraId="7DAF681F">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系统支持查看体育场馆内及新能源停车场的停车情况，包括车位总数量，已停车辆，剩余车位，系统支持查看车辆出入记录，包括记录日期、车牌号等字段，且支持以时间、车牌号等进行筛选搜索。</w:t>
      </w:r>
    </w:p>
    <w:p w14:paraId="40C71322">
      <w:pPr>
        <w:pStyle w:val="7"/>
        <w:pageBreakBefore w:val="0"/>
        <w:numPr>
          <w:ilvl w:val="4"/>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4.3.1.5.3</w:t>
      </w:r>
      <w:r>
        <w:rPr>
          <w:rFonts w:hint="eastAsia" w:ascii="宋体" w:hAnsi="宋体" w:eastAsia="宋体" w:cs="宋体"/>
          <w:color w:val="auto"/>
          <w:sz w:val="21"/>
          <w:szCs w:val="21"/>
          <w:highlight w:val="none"/>
        </w:rPr>
        <w:t>消息推送</w:t>
      </w:r>
    </w:p>
    <w:p w14:paraId="4A1CA511">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（1）在浙政钉app里接收到的系统消息进行点击阅读，方便为用户快速做出决策指挥提供支撑依据，用户还可以看到历史推送的消息列表，点击可查看某一条消息的推送时间、推送内容。</w:t>
      </w:r>
    </w:p>
    <w:p w14:paraId="25F89598">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（2）支持通过对群众热力分布分析，当群众数量达到指定阈值之后，推送消息到浙政钉里。且支持推送的用户对象进行选择，同时支持设置不同阶梯式的群众数量的阈值进行消息推送。 </w:t>
      </w:r>
    </w:p>
    <w:p w14:paraId="49DB1C0A">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（3）当停车数量达到指定阈值之后，推送消息到浙政钉里，且支持推送的用户对象进行选择，系统同时支持设置不同阶梯式的车辆数量的阈值进行消息推送。</w:t>
      </w:r>
    </w:p>
    <w:p w14:paraId="3EFFBFFD">
      <w:pPr>
        <w:pStyle w:val="4"/>
        <w:pageBreakBefore w:val="0"/>
        <w:numPr>
          <w:ilvl w:val="2"/>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bookmarkStart w:id="69" w:name="_Toc29921"/>
      <w:bookmarkStart w:id="70" w:name="_Toc17126"/>
      <w:bookmarkStart w:id="71" w:name="_Toc24659"/>
      <w:r>
        <w:rPr>
          <w:rFonts w:hint="eastAsia" w:ascii="宋体" w:hAnsi="宋体" w:eastAsia="宋体" w:cs="宋体"/>
          <w:b/>
          <w:bCs w:val="0"/>
          <w:i w:val="0"/>
          <w:color w:val="auto"/>
          <w:kern w:val="2"/>
          <w:sz w:val="21"/>
          <w:szCs w:val="21"/>
          <w:highlight w:val="none"/>
          <w:lang w:val="en-US" w:eastAsia="zh-CN" w:bidi="ar-SA"/>
        </w:rPr>
        <w:t>4.3.2</w:t>
      </w:r>
      <w:r>
        <w:rPr>
          <w:rFonts w:hint="eastAsia" w:ascii="宋体" w:hAnsi="宋体" w:eastAsia="宋体" w:cs="宋体"/>
          <w:color w:val="auto"/>
          <w:sz w:val="21"/>
          <w:szCs w:val="21"/>
          <w:highlight w:val="none"/>
        </w:rPr>
        <w:t>应用支撑层设计</w:t>
      </w:r>
      <w:bookmarkEnd w:id="69"/>
      <w:bookmarkEnd w:id="70"/>
      <w:bookmarkEnd w:id="71"/>
    </w:p>
    <w:p w14:paraId="5A0CC7BE">
      <w:pPr>
        <w:pStyle w:val="6"/>
        <w:pageBreakBefore w:val="0"/>
        <w:numPr>
          <w:ilvl w:val="3"/>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bookmarkStart w:id="72" w:name="_Toc27062"/>
      <w:bookmarkStart w:id="73" w:name="_Toc31878"/>
      <w:bookmarkStart w:id="74" w:name="_Toc19103"/>
      <w:r>
        <w:rPr>
          <w:rFonts w:hint="eastAsia" w:ascii="宋体" w:hAnsi="宋体" w:eastAsia="宋体" w:cs="宋体"/>
          <w:b/>
          <w:bCs w:val="0"/>
          <w:i w:val="0"/>
          <w:color w:val="auto"/>
          <w:kern w:val="2"/>
          <w:sz w:val="21"/>
          <w:szCs w:val="21"/>
          <w:highlight w:val="none"/>
          <w:lang w:val="en-US" w:eastAsia="zh-CN" w:bidi="ar-SA"/>
        </w:rPr>
        <w:t>4.3.2.1</w:t>
      </w:r>
      <w:r>
        <w:rPr>
          <w:rFonts w:hint="eastAsia" w:ascii="宋体" w:hAnsi="宋体" w:eastAsia="宋体" w:cs="宋体"/>
          <w:color w:val="auto"/>
          <w:sz w:val="21"/>
          <w:szCs w:val="21"/>
          <w:highlight w:val="none"/>
        </w:rPr>
        <w:t>用户管理</w:t>
      </w:r>
      <w:bookmarkEnd w:id="72"/>
      <w:bookmarkEnd w:id="73"/>
      <w:bookmarkEnd w:id="74"/>
    </w:p>
    <w:p w14:paraId="1B0F4369">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基于浙政钉组织架构和用户体系同步，获取浙政钉组织架构数据，将组织架构数据同步到本地数据库；获取浙政钉用户数据，将用户数据同步到本地数据库，实现组织架构和用户数据的关联。</w:t>
      </w:r>
    </w:p>
    <w:p w14:paraId="2BE1A727">
      <w:pPr>
        <w:pStyle w:val="7"/>
        <w:pageBreakBefore w:val="0"/>
        <w:numPr>
          <w:ilvl w:val="4"/>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4.3.2.1.1</w:t>
      </w:r>
      <w:r>
        <w:rPr>
          <w:rFonts w:hint="eastAsia" w:ascii="宋体" w:hAnsi="宋体" w:eastAsia="宋体" w:cs="宋体"/>
          <w:color w:val="auto"/>
          <w:sz w:val="21"/>
          <w:szCs w:val="21"/>
          <w:highlight w:val="none"/>
        </w:rPr>
        <w:t>组织管理</w:t>
      </w:r>
    </w:p>
    <w:p w14:paraId="3D120243">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主要针对用户的上下级组织进行管理，包括组织的新增、修改、删除，查询，及组织权限的功能授权。</w:t>
      </w:r>
    </w:p>
    <w:p w14:paraId="4144B807">
      <w:pPr>
        <w:pStyle w:val="7"/>
        <w:pageBreakBefore w:val="0"/>
        <w:numPr>
          <w:ilvl w:val="4"/>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4.3.2.1.2</w:t>
      </w:r>
      <w:r>
        <w:rPr>
          <w:rFonts w:hint="eastAsia" w:ascii="宋体" w:hAnsi="宋体" w:eastAsia="宋体" w:cs="宋体"/>
          <w:color w:val="auto"/>
          <w:sz w:val="21"/>
          <w:szCs w:val="21"/>
          <w:highlight w:val="none"/>
        </w:rPr>
        <w:t>角色设置</w:t>
      </w:r>
    </w:p>
    <w:p w14:paraId="2D51087F">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主要管理组织下的角色信息，包括角色的新增、修改、删除、查询，及角色的权限设置，角色的权限设置只能在组织权限授权下进行。</w:t>
      </w:r>
    </w:p>
    <w:p w14:paraId="668C0AD4">
      <w:pPr>
        <w:pStyle w:val="7"/>
        <w:pageBreakBefore w:val="0"/>
        <w:numPr>
          <w:ilvl w:val="4"/>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4.3.2.1.3</w:t>
      </w:r>
      <w:r>
        <w:rPr>
          <w:rFonts w:hint="eastAsia" w:ascii="宋体" w:hAnsi="宋体" w:eastAsia="宋体" w:cs="宋体"/>
          <w:color w:val="auto"/>
          <w:sz w:val="21"/>
          <w:szCs w:val="21"/>
          <w:highlight w:val="none"/>
        </w:rPr>
        <w:t>账号管理</w:t>
      </w:r>
    </w:p>
    <w:p w14:paraId="66D023A4">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主要进行组织下的用户信息管理，新增、修改，删除，密码设置，状态设置，角色设置。</w:t>
      </w:r>
    </w:p>
    <w:p w14:paraId="51AADE5C">
      <w:pPr>
        <w:pStyle w:val="6"/>
        <w:pageBreakBefore w:val="0"/>
        <w:numPr>
          <w:ilvl w:val="3"/>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bookmarkStart w:id="75" w:name="_Toc1238"/>
      <w:bookmarkStart w:id="76" w:name="_Toc14295"/>
      <w:bookmarkStart w:id="77" w:name="_Toc12071"/>
      <w:r>
        <w:rPr>
          <w:rFonts w:hint="eastAsia" w:ascii="宋体" w:hAnsi="宋体" w:eastAsia="宋体" w:cs="宋体"/>
          <w:b/>
          <w:bCs w:val="0"/>
          <w:i w:val="0"/>
          <w:color w:val="auto"/>
          <w:kern w:val="2"/>
          <w:sz w:val="21"/>
          <w:szCs w:val="21"/>
          <w:highlight w:val="none"/>
          <w:lang w:val="en-US" w:eastAsia="zh-CN" w:bidi="ar-SA"/>
        </w:rPr>
        <w:t>4.3.2.2</w:t>
      </w:r>
      <w:r>
        <w:rPr>
          <w:rFonts w:hint="eastAsia" w:ascii="宋体" w:hAnsi="宋体" w:eastAsia="宋体" w:cs="宋体"/>
          <w:color w:val="auto"/>
          <w:sz w:val="21"/>
          <w:szCs w:val="21"/>
          <w:highlight w:val="none"/>
        </w:rPr>
        <w:t>权限管理</w:t>
      </w:r>
      <w:bookmarkEnd w:id="75"/>
      <w:bookmarkEnd w:id="76"/>
      <w:bookmarkEnd w:id="77"/>
    </w:p>
    <w:p w14:paraId="3D50EE5E">
      <w:pPr>
        <w:pStyle w:val="7"/>
        <w:pageBreakBefore w:val="0"/>
        <w:numPr>
          <w:ilvl w:val="4"/>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4.3.2.2.1</w:t>
      </w:r>
      <w:r>
        <w:rPr>
          <w:rFonts w:hint="eastAsia" w:ascii="宋体" w:hAnsi="宋体" w:eastAsia="宋体" w:cs="宋体"/>
          <w:color w:val="auto"/>
          <w:sz w:val="21"/>
          <w:szCs w:val="21"/>
          <w:highlight w:val="none"/>
        </w:rPr>
        <w:t>服务授权</w:t>
      </w:r>
    </w:p>
    <w:p w14:paraId="6A16AAC1">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支持将数据服务授权给不同的角色，主要用于对角色进行二维服务、三维服务的授权。</w:t>
      </w:r>
    </w:p>
    <w:p w14:paraId="3B3E253D">
      <w:pPr>
        <w:pStyle w:val="7"/>
        <w:pageBreakBefore w:val="0"/>
        <w:numPr>
          <w:ilvl w:val="4"/>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4.3.2.2.2</w:t>
      </w:r>
      <w:r>
        <w:rPr>
          <w:rFonts w:hint="eastAsia" w:ascii="宋体" w:hAnsi="宋体" w:eastAsia="宋体" w:cs="宋体"/>
          <w:color w:val="auto"/>
          <w:sz w:val="21"/>
          <w:szCs w:val="21"/>
          <w:highlight w:val="none"/>
        </w:rPr>
        <w:t>专题组织管理</w:t>
      </w:r>
    </w:p>
    <w:p w14:paraId="5D92CA35">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专题组织管理包含专题组织、专题类别模块，专题组织基于数据服务资源池中的多源异构数据服务，进行按业务自定义组织配置，形成专题业务数据树。专题组织包括二维服务数据（地形、影像等）以及三维服务数据（倾斜摄影、人工建筑、设备模型、小品模型等）。</w:t>
      </w:r>
    </w:p>
    <w:p w14:paraId="6F8AF312">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满足将二维/三维服务资源池中的服务数据进行自定义组织，形成专题资源树结构，支持对专题进行管理，包括对专题的新增、搜索、启动/停用、编辑、查看、删除功能，通过服务授权后可在数字孪生平台中展示。</w:t>
      </w:r>
    </w:p>
    <w:p w14:paraId="431B94C0">
      <w:pPr>
        <w:pStyle w:val="6"/>
        <w:pageBreakBefore w:val="0"/>
        <w:numPr>
          <w:ilvl w:val="3"/>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bookmarkStart w:id="78" w:name="_Toc1014"/>
      <w:bookmarkStart w:id="79" w:name="_Toc28641"/>
      <w:bookmarkStart w:id="80" w:name="_Toc692"/>
      <w:r>
        <w:rPr>
          <w:rFonts w:hint="eastAsia" w:ascii="宋体" w:hAnsi="宋体" w:eastAsia="宋体" w:cs="宋体"/>
          <w:b/>
          <w:bCs w:val="0"/>
          <w:i w:val="0"/>
          <w:color w:val="auto"/>
          <w:kern w:val="2"/>
          <w:sz w:val="21"/>
          <w:szCs w:val="21"/>
          <w:highlight w:val="none"/>
          <w:lang w:val="en-US" w:eastAsia="zh-CN" w:bidi="ar-SA"/>
        </w:rPr>
        <w:t>4.3.2.3</w:t>
      </w:r>
      <w:r>
        <w:rPr>
          <w:rFonts w:hint="eastAsia" w:ascii="宋体" w:hAnsi="宋体" w:eastAsia="宋体" w:cs="宋体"/>
          <w:color w:val="auto"/>
          <w:sz w:val="21"/>
          <w:szCs w:val="21"/>
          <w:highlight w:val="none"/>
        </w:rPr>
        <w:t>日志管理</w:t>
      </w:r>
      <w:bookmarkEnd w:id="78"/>
      <w:bookmarkEnd w:id="79"/>
      <w:bookmarkEnd w:id="80"/>
    </w:p>
    <w:p w14:paraId="61E64AEE">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日志管理包括登录日志、操作日志。</w:t>
      </w:r>
    </w:p>
    <w:p w14:paraId="0FE944EA">
      <w:pPr>
        <w:pStyle w:val="4"/>
        <w:pageBreakBefore w:val="0"/>
        <w:numPr>
          <w:ilvl w:val="2"/>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bookmarkStart w:id="81" w:name="_Toc19330"/>
      <w:bookmarkStart w:id="82" w:name="_Toc9045"/>
      <w:bookmarkStart w:id="83" w:name="_Toc4797"/>
      <w:r>
        <w:rPr>
          <w:rFonts w:hint="eastAsia" w:ascii="宋体" w:hAnsi="宋体" w:eastAsia="宋体" w:cs="宋体"/>
          <w:b/>
          <w:bCs w:val="0"/>
          <w:i w:val="0"/>
          <w:color w:val="auto"/>
          <w:kern w:val="2"/>
          <w:sz w:val="21"/>
          <w:szCs w:val="21"/>
          <w:highlight w:val="none"/>
          <w:lang w:val="en-US" w:eastAsia="zh-CN" w:bidi="ar-SA"/>
        </w:rPr>
        <w:t>4.3.3</w:t>
      </w:r>
      <w:r>
        <w:rPr>
          <w:rFonts w:hint="eastAsia" w:ascii="宋体" w:hAnsi="宋体" w:eastAsia="宋体" w:cs="宋体"/>
          <w:color w:val="auto"/>
          <w:sz w:val="21"/>
          <w:szCs w:val="21"/>
          <w:highlight w:val="none"/>
        </w:rPr>
        <w:t>数据资源层设计</w:t>
      </w:r>
      <w:bookmarkEnd w:id="81"/>
      <w:bookmarkEnd w:id="82"/>
      <w:bookmarkEnd w:id="83"/>
    </w:p>
    <w:p w14:paraId="59C37E50">
      <w:pPr>
        <w:pStyle w:val="6"/>
        <w:pageBreakBefore w:val="0"/>
        <w:numPr>
          <w:ilvl w:val="3"/>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bookmarkStart w:id="84" w:name="_Toc9483"/>
      <w:bookmarkStart w:id="85" w:name="_Toc6803"/>
      <w:bookmarkStart w:id="86" w:name="_Toc1602"/>
      <w:r>
        <w:rPr>
          <w:rFonts w:hint="eastAsia" w:ascii="宋体" w:hAnsi="宋体" w:eastAsia="宋体" w:cs="宋体"/>
          <w:b/>
          <w:bCs w:val="0"/>
          <w:i w:val="0"/>
          <w:color w:val="auto"/>
          <w:kern w:val="2"/>
          <w:sz w:val="21"/>
          <w:szCs w:val="21"/>
          <w:highlight w:val="none"/>
          <w:lang w:val="en-US" w:eastAsia="zh-CN" w:bidi="ar-SA"/>
        </w:rPr>
        <w:t>4.3.3.1</w:t>
      </w:r>
      <w:r>
        <w:rPr>
          <w:rFonts w:hint="eastAsia" w:ascii="宋体" w:hAnsi="宋体" w:eastAsia="宋体" w:cs="宋体"/>
          <w:color w:val="auto"/>
          <w:sz w:val="21"/>
          <w:szCs w:val="21"/>
          <w:highlight w:val="none"/>
        </w:rPr>
        <w:t>时空地理数据采集</w:t>
      </w:r>
      <w:bookmarkEnd w:id="84"/>
      <w:bookmarkEnd w:id="85"/>
      <w:bookmarkEnd w:id="86"/>
    </w:p>
    <w:p w14:paraId="74E09E8B">
      <w:pPr>
        <w:pStyle w:val="7"/>
        <w:pageBreakBefore w:val="0"/>
        <w:numPr>
          <w:ilvl w:val="4"/>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4.3.3.1.1</w:t>
      </w:r>
      <w:r>
        <w:rPr>
          <w:rFonts w:hint="eastAsia" w:ascii="宋体" w:hAnsi="宋体" w:eastAsia="宋体" w:cs="宋体"/>
          <w:color w:val="auto"/>
          <w:sz w:val="21"/>
          <w:szCs w:val="21"/>
          <w:highlight w:val="none"/>
        </w:rPr>
        <w:t>DEM数据</w:t>
      </w:r>
    </w:p>
    <w:p w14:paraId="1DCF9837">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地形表面形态的数据模型，通过有限的地形DEM数据实现对地面地形的数字化模拟，将DEM进行切片入库，呈现体艺中心场馆周边地形DEM数据。</w:t>
      </w:r>
    </w:p>
    <w:p w14:paraId="01B971CF">
      <w:pPr>
        <w:pStyle w:val="7"/>
        <w:pageBreakBefore w:val="0"/>
        <w:numPr>
          <w:ilvl w:val="4"/>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4.3.3.1.2</w:t>
      </w:r>
      <w:r>
        <w:rPr>
          <w:rFonts w:hint="eastAsia" w:ascii="宋体" w:hAnsi="宋体" w:eastAsia="宋体" w:cs="宋体"/>
          <w:color w:val="auto"/>
          <w:sz w:val="21"/>
          <w:szCs w:val="21"/>
          <w:highlight w:val="none"/>
        </w:rPr>
        <w:t>DOM数据</w:t>
      </w:r>
    </w:p>
    <w:p w14:paraId="5D8C037F">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OM数据即数字正射影像图，利用DEM对经过扫描处理的数字化航空像片或遥感影像（单色或彩色），经逐像元进行辐射改正、微分纠正和镶嵌，并按规定图幅范围裁剪生成的形象数据，带有公里网格、图廓（内、外）整饰和注记的平面图，即可呈现体艺中心场馆周边的影像效果，通过将影像数据进行切片入库为孪生底座提供影像数据打底，最终叠加到孪生展示里进行呈现。</w:t>
      </w:r>
    </w:p>
    <w:p w14:paraId="5424A9EF">
      <w:pPr>
        <w:pStyle w:val="7"/>
        <w:pageBreakBefore w:val="0"/>
        <w:numPr>
          <w:ilvl w:val="4"/>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4.3.3.1.3</w:t>
      </w:r>
      <w:r>
        <w:rPr>
          <w:rFonts w:hint="eastAsia" w:ascii="宋体" w:hAnsi="宋体" w:eastAsia="宋体" w:cs="宋体"/>
          <w:color w:val="auto"/>
          <w:sz w:val="21"/>
          <w:szCs w:val="21"/>
          <w:highlight w:val="none"/>
        </w:rPr>
        <w:t>OSGB数据</w:t>
      </w:r>
    </w:p>
    <w:p w14:paraId="1880E445">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北仑区体育馆为中心的周边范围（东至太河路、南至岷山路、西至体育馆路、北至黄河路）通过无人机航飞形成倾斜摄影，通过将倾斜摄影数据进行切片入库为孪生底座提供倾斜摄影数据打底，最终叠加到孪生展示里进行呈现。</w:t>
      </w:r>
    </w:p>
    <w:p w14:paraId="39386091">
      <w:pPr>
        <w:pStyle w:val="6"/>
        <w:pageBreakBefore w:val="0"/>
        <w:numPr>
          <w:ilvl w:val="3"/>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bookmarkStart w:id="87" w:name="_Toc25521"/>
      <w:bookmarkStart w:id="88" w:name="_Toc18985"/>
      <w:bookmarkStart w:id="89" w:name="_Toc25209"/>
      <w:r>
        <w:rPr>
          <w:rFonts w:hint="eastAsia" w:ascii="宋体" w:hAnsi="宋体" w:eastAsia="宋体" w:cs="宋体"/>
          <w:b/>
          <w:bCs w:val="0"/>
          <w:i w:val="0"/>
          <w:color w:val="auto"/>
          <w:kern w:val="2"/>
          <w:sz w:val="21"/>
          <w:szCs w:val="21"/>
          <w:highlight w:val="none"/>
          <w:lang w:val="en-US" w:eastAsia="zh-CN" w:bidi="ar-SA"/>
        </w:rPr>
        <w:t>4.3.3.2</w:t>
      </w:r>
      <w:r>
        <w:rPr>
          <w:rFonts w:hint="eastAsia" w:ascii="宋体" w:hAnsi="宋体" w:eastAsia="宋体" w:cs="宋体"/>
          <w:color w:val="auto"/>
          <w:sz w:val="21"/>
          <w:szCs w:val="21"/>
          <w:highlight w:val="none"/>
        </w:rPr>
        <w:t>业务专题数据</w:t>
      </w:r>
      <w:bookmarkEnd w:id="87"/>
      <w:bookmarkEnd w:id="88"/>
      <w:bookmarkEnd w:id="89"/>
    </w:p>
    <w:p w14:paraId="0216BCF5">
      <w:pPr>
        <w:pStyle w:val="7"/>
        <w:pageBreakBefore w:val="0"/>
        <w:numPr>
          <w:ilvl w:val="4"/>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4.3.3.2.1</w:t>
      </w:r>
      <w:r>
        <w:rPr>
          <w:rFonts w:hint="eastAsia" w:ascii="宋体" w:hAnsi="宋体" w:eastAsia="宋体" w:cs="宋体"/>
          <w:color w:val="auto"/>
          <w:sz w:val="21"/>
          <w:szCs w:val="21"/>
          <w:highlight w:val="none"/>
        </w:rPr>
        <w:t>物联网专题数据库</w:t>
      </w:r>
    </w:p>
    <w:p w14:paraId="2D53A3DD">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本项目根据业务应用需求，按照相关信息资源标准规范进行物联网专题数据库建设，主要包括停车、水表、电表、温湿度传感器等，为数字孪生展示提供核心展示数据。</w:t>
      </w:r>
    </w:p>
    <w:p w14:paraId="6626315D">
      <w:pPr>
        <w:pStyle w:val="7"/>
        <w:pageBreakBefore w:val="0"/>
        <w:numPr>
          <w:ilvl w:val="4"/>
          <w:numId w:val="0"/>
        </w:numPr>
        <w:kinsoku/>
        <w:wordWrap/>
        <w:overflowPunct/>
        <w:topLinePunct w:val="0"/>
        <w:autoSpaceDE/>
        <w:autoSpaceDN/>
        <w:bidi w:val="0"/>
        <w:adjustRightInd/>
        <w:snapToGrid/>
        <w:spacing w:before="156"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4.3.3.2.2</w:t>
      </w:r>
      <w:r>
        <w:rPr>
          <w:rFonts w:hint="eastAsia" w:ascii="宋体" w:hAnsi="宋体" w:eastAsia="宋体" w:cs="宋体"/>
          <w:color w:val="auto"/>
          <w:sz w:val="21"/>
          <w:szCs w:val="21"/>
          <w:highlight w:val="none"/>
        </w:rPr>
        <w:t>安防专题数据库</w:t>
      </w:r>
    </w:p>
    <w:p w14:paraId="188F2353">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本项目根据业务应用需求，按照相关信息资源标准规范进行安防专题数据库建设，主要包括监控、门禁、赛事大巴GPS等，为数字孪生展示提供核心展示数据。</w:t>
      </w:r>
    </w:p>
    <w:p w14:paraId="4E9EB640">
      <w:pPr>
        <w:pStyle w:val="3"/>
        <w:pageBreakBefore w:val="0"/>
        <w:numPr>
          <w:ilvl w:val="1"/>
          <w:numId w:val="0"/>
        </w:numPr>
        <w:kinsoku/>
        <w:wordWrap/>
        <w:overflowPunct/>
        <w:topLinePunct w:val="0"/>
        <w:autoSpaceDE/>
        <w:autoSpaceDN/>
        <w:bidi w:val="0"/>
        <w:adjustRightInd/>
        <w:snapToGrid/>
        <w:spacing w:before="0" w:after="0" w:line="360" w:lineRule="auto"/>
        <w:ind w:firstLine="482" w:firstLineChars="200"/>
        <w:jc w:val="both"/>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4.4项目演示要求</w:t>
      </w:r>
    </w:p>
    <w:p w14:paraId="7E11F710">
      <w:pPr>
        <w:pageBreakBefore w:val="0"/>
        <w:kinsoku/>
        <w:wordWrap/>
        <w:overflowPunct/>
        <w:topLinePunct w:val="0"/>
        <w:autoSpaceDE/>
        <w:autoSpaceDN/>
        <w:bidi w:val="0"/>
        <w:adjustRightInd/>
        <w:snapToGrid/>
        <w:spacing w:line="360" w:lineRule="auto"/>
        <w:ind w:firstLine="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根据本次项目的建设需求，在项目招标过程中，需供应商提供如下场景的demo演示。</w:t>
      </w:r>
    </w:p>
    <w:p w14:paraId="07B04B1A">
      <w:pPr>
        <w:pStyle w:val="4"/>
        <w:pageBreakBefore w:val="0"/>
        <w:numPr>
          <w:ilvl w:val="2"/>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4.4.1</w:t>
      </w:r>
      <w:r>
        <w:rPr>
          <w:rFonts w:hint="eastAsia" w:ascii="宋体" w:hAnsi="宋体" w:eastAsia="宋体" w:cs="宋体"/>
          <w:color w:val="auto"/>
          <w:sz w:val="21"/>
          <w:szCs w:val="21"/>
          <w:highlight w:val="none"/>
        </w:rPr>
        <w:t>三维数据处理与融合</w:t>
      </w:r>
    </w:p>
    <w:p w14:paraId="07278C87">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项目建设包含倾斜摄影数据的采集与上图，为方便后续进行区块性数据更新，需具备不同时期、不同架次的倾斜摄影数据数据效果统一处理的能力，为保证后续项目数据效果的优异性，本次项目建设需投标人基于招标人提供的不同时期的倾斜摄影数据进行数据处理与融合，演示处理流程并展示处理效果。</w:t>
      </w:r>
    </w:p>
    <w:p w14:paraId="6927F5DA">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（1）数据融合处理：具备将新建倾斜摄影数据与历史倾斜摄影原始数据进行融合和二次处理的能力，保证不同历史时期数据可实现无缝拼接融合。</w:t>
      </w:r>
    </w:p>
    <w:p w14:paraId="606BCD1B">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数据匀色处理：需要对不同飞行架次、不同时段、不同区域的倾斜摄影原始数据OSGB数据进行统一处理，根据图层之间的衔接色差和明暗度，进行数据的饱和度、对比度及亮度的调整，支持轴线拖拉调整或参数设定两种模式，进而实现统一匀色和实时呈现。</w:t>
      </w:r>
    </w:p>
    <w:p w14:paraId="7996FBA5">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色彩调整处理：需要对不同飞行架次、不同时段、不同区域的倾斜摄影原始数据OSGB数据进行色彩调整，按用户的审美习惯对场景明暗度（高亮）、阴影透明度（阴影）及整体模型颜色（中间色）进行局部调整，调整内容包括蓝绿色至红色之间调整、品红色至绿色之间调整及红色至蓝色之间调整，支持轴线拖拉调整或参数设定两种模式，可按需提供不同色彩效果的模型数据。</w:t>
      </w:r>
    </w:p>
    <w:p w14:paraId="010B6463">
      <w:pPr>
        <w:pStyle w:val="4"/>
        <w:pageBreakBefore w:val="0"/>
        <w:numPr>
          <w:ilvl w:val="2"/>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4.4.2</w:t>
      </w:r>
      <w:r>
        <w:rPr>
          <w:rFonts w:hint="eastAsia" w:ascii="宋体" w:hAnsi="宋体" w:eastAsia="宋体" w:cs="宋体"/>
          <w:color w:val="auto"/>
          <w:sz w:val="21"/>
          <w:szCs w:val="21"/>
          <w:highlight w:val="none"/>
        </w:rPr>
        <w:t>视频融合可视化标定工具</w:t>
      </w:r>
    </w:p>
    <w:p w14:paraId="18550FF5">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方便用户可基于实际应用场景完成自定义安防可视化管理与呈现，具备视频融合可视化标定工具，支持实现基于实际三维可视化场景，结合视频场景中出现的画面信息，利用图像AI识别定位（三点匹配定位）算法工具完成视频与三维场景的无缝融合呈现。</w:t>
      </w:r>
    </w:p>
    <w:p w14:paraId="1611253B">
      <w:pPr>
        <w:pStyle w:val="4"/>
        <w:pageBreakBefore w:val="0"/>
        <w:numPr>
          <w:ilvl w:val="2"/>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val="0"/>
          <w:i w:val="0"/>
          <w:color w:val="auto"/>
          <w:kern w:val="2"/>
          <w:sz w:val="21"/>
          <w:szCs w:val="21"/>
          <w:highlight w:val="none"/>
          <w:lang w:val="en-US" w:eastAsia="zh-CN" w:bidi="ar-SA"/>
        </w:rPr>
        <w:t>4.4.3</w:t>
      </w:r>
      <w:r>
        <w:rPr>
          <w:rFonts w:hint="eastAsia" w:ascii="宋体" w:hAnsi="宋体" w:eastAsia="宋体" w:cs="宋体"/>
          <w:color w:val="auto"/>
          <w:sz w:val="21"/>
          <w:szCs w:val="21"/>
          <w:highlight w:val="none"/>
        </w:rPr>
        <w:t>数字化应用系统演示</w:t>
      </w:r>
    </w:p>
    <w:p w14:paraId="3CDA17B9">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根据北仑区体育赛事数字化应用项目的基本需求，本次项目建设需实现系统数字化相关功能的呈现，并完成如下场景演示：</w:t>
      </w:r>
    </w:p>
    <w:p w14:paraId="68EE64C4">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初始界面下，可呈现当前北仑体育赛事区域的基本三维场景，并通过人工精细模型，重点展示当前范围内标志性建筑，即北仑体育馆，并可自定义漫游，查看重点建筑周边倾斜景象。此外，支持一键隐藏两侧看板，可按照相关场景进行漫游；提供时间轴，可展示24小时光影变化；支持阴晴雨雪等天气情况变化展示；</w:t>
      </w:r>
    </w:p>
    <w:p w14:paraId="480C23E5">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②支持安防管理可视化</w:t>
      </w:r>
    </w:p>
    <w:p w14:paraId="42B62E41">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支持点击查看视频监控点位的分布，可点击实现任意监控跳转，可查看对应监控画面；</w:t>
      </w:r>
    </w:p>
    <w:p w14:paraId="681572D9">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支持</w:t>
      </w:r>
      <w:r>
        <w:rPr>
          <w:rFonts w:hint="eastAsia" w:ascii="宋体" w:hAnsi="宋体" w:eastAsia="宋体" w:cs="宋体"/>
          <w:color w:val="auto"/>
          <w:sz w:val="21"/>
          <w:szCs w:val="21"/>
          <w:highlight w:val="none"/>
          <w:lang w:val="zh-CN"/>
        </w:rPr>
        <w:t>空间检索：可根据在场景中绘制的范围查询其中包含的监控设备，包括圈选、框选、自定义多边形等方式。</w:t>
      </w:r>
    </w:p>
    <w:p w14:paraId="6D76FE08">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支持</w:t>
      </w:r>
      <w:r>
        <w:rPr>
          <w:rFonts w:hint="eastAsia" w:ascii="宋体" w:hAnsi="宋体" w:eastAsia="宋体" w:cs="宋体"/>
          <w:color w:val="auto"/>
          <w:sz w:val="21"/>
          <w:szCs w:val="21"/>
          <w:highlight w:val="none"/>
          <w:lang w:val="zh-CN"/>
        </w:rPr>
        <w:t>查询定位：输入关键字进行模糊查询设备名称，查询结果以列表展示，点击列表可对设备进行飞行定位。</w:t>
      </w:r>
    </w:p>
    <w:p w14:paraId="64263B6C">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位置关联：在三维场景中可以根据坐标范围寻找关联监控设备，当出现事件信息的时候，通过拾取事件位置，可根据当前位置坐标自动寻找和周边指定范围内的监控设备，结果以列表展示，点击列表可以查看监控画面。</w:t>
      </w:r>
    </w:p>
    <w:p w14:paraId="2C8221E8">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③门禁管理可视化</w:t>
      </w:r>
    </w:p>
    <w:p w14:paraId="6456C167">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点击查看门禁设备分布，支持点击任意门禁图标实现跳转，可查看门禁相关信息，支持查看门禁通行记录，支持远程控制门禁开关。支持告警联动，可查看告警门禁位置，并可弹出周边视频查看告警详细信息。</w:t>
      </w:r>
    </w:p>
    <w:p w14:paraId="5A4D2971">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④车流态势可视化</w:t>
      </w:r>
    </w:p>
    <w:p w14:paraId="441BB97C">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支持查看停车场分布情况，点击任意停车场，可查看当前停车场停车基本状态信息，支持对停车场已停车辆、剩余车位进行直观信息展示，支持查看车牌号、车辆进/出场时间等信息。</w:t>
      </w:r>
      <w:r>
        <w:rPr>
          <w:rFonts w:hint="eastAsia" w:ascii="宋体" w:hAnsi="宋体" w:eastAsia="宋体" w:cs="宋体"/>
          <w:color w:val="auto"/>
          <w:sz w:val="21"/>
          <w:szCs w:val="21"/>
          <w:highlight w:val="none"/>
          <w:lang w:val="zh-CN"/>
        </w:rPr>
        <w:t>用户可以设置阈值，当停车数量达到指定阈值之后，</w:t>
      </w:r>
      <w:r>
        <w:rPr>
          <w:rFonts w:hint="eastAsia" w:ascii="宋体" w:hAnsi="宋体" w:eastAsia="宋体" w:cs="宋体"/>
          <w:color w:val="auto"/>
          <w:sz w:val="21"/>
          <w:szCs w:val="21"/>
          <w:highlight w:val="none"/>
        </w:rPr>
        <w:t>实现告警联动。</w:t>
      </w:r>
    </w:p>
    <w:p w14:paraId="0FF46421">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⑤客流管理</w:t>
      </w:r>
    </w:p>
    <w:p w14:paraId="1CECB52A">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用户可以设置客流阈值，根据阈值判断人流量和前端展示颜色深浅，以及展示不同的颜色块，方便展示端更清晰的看到不同客流量的区别。</w:t>
      </w:r>
    </w:p>
    <w:p w14:paraId="04CC468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宋体" w:hAnsi="宋体"/>
          <w:b/>
          <w:color w:val="auto"/>
          <w:sz w:val="22"/>
          <w:szCs w:val="22"/>
          <w:highlight w:val="none"/>
        </w:rPr>
      </w:pPr>
      <w:bookmarkStart w:id="90" w:name="_Toc2305"/>
      <w:r>
        <w:rPr>
          <w:rFonts w:hint="eastAsia" w:ascii="宋体" w:hAnsi="宋体"/>
          <w:b/>
          <w:color w:val="auto"/>
          <w:sz w:val="22"/>
          <w:szCs w:val="22"/>
          <w:highlight w:val="none"/>
          <w:lang w:val="en-US" w:eastAsia="zh-CN"/>
        </w:rPr>
        <w:t>五、基础设施层</w:t>
      </w:r>
      <w:r>
        <w:rPr>
          <w:rFonts w:hint="eastAsia" w:ascii="宋体" w:hAnsi="宋体"/>
          <w:b/>
          <w:color w:val="auto"/>
          <w:sz w:val="22"/>
          <w:szCs w:val="22"/>
          <w:highlight w:val="none"/>
        </w:rPr>
        <w:t>采购清单</w:t>
      </w:r>
    </w:p>
    <w:tbl>
      <w:tblPr>
        <w:tblStyle w:val="28"/>
        <w:tblW w:w="5369" w:type="pct"/>
        <w:tblInd w:w="0" w:type="dxa"/>
        <w:tblLayout w:type="fixed"/>
        <w:tblCellMar>
          <w:top w:w="0" w:type="dxa"/>
          <w:left w:w="108" w:type="dxa"/>
          <w:bottom w:w="0" w:type="dxa"/>
          <w:right w:w="108" w:type="dxa"/>
        </w:tblCellMar>
      </w:tblPr>
      <w:tblGrid>
        <w:gridCol w:w="600"/>
        <w:gridCol w:w="650"/>
        <w:gridCol w:w="282"/>
        <w:gridCol w:w="347"/>
        <w:gridCol w:w="580"/>
        <w:gridCol w:w="760"/>
        <w:gridCol w:w="7066"/>
        <w:gridCol w:w="54"/>
      </w:tblGrid>
      <w:tr w14:paraId="123B761B">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189C25D1">
            <w:pPr>
              <w:widowControl/>
              <w:jc w:val="center"/>
              <w:rPr>
                <w:rFonts w:ascii="宋体" w:hAnsi="宋体"/>
                <w:b/>
                <w:color w:val="auto"/>
                <w:sz w:val="21"/>
                <w:szCs w:val="21"/>
                <w:highlight w:val="none"/>
              </w:rPr>
            </w:pPr>
            <w:r>
              <w:rPr>
                <w:rFonts w:ascii="宋体" w:hAnsi="宋体"/>
                <w:b/>
                <w:color w:val="auto"/>
                <w:sz w:val="21"/>
                <w:szCs w:val="21"/>
                <w:highlight w:val="none"/>
              </w:rPr>
              <w:t>序号</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7EB2BAB1">
            <w:pPr>
              <w:widowControl/>
              <w:jc w:val="center"/>
              <w:rPr>
                <w:rFonts w:ascii="宋体" w:hAnsi="宋体"/>
                <w:b/>
                <w:color w:val="auto"/>
                <w:sz w:val="21"/>
                <w:szCs w:val="21"/>
                <w:highlight w:val="none"/>
              </w:rPr>
            </w:pPr>
            <w:r>
              <w:rPr>
                <w:rFonts w:ascii="宋体" w:hAnsi="宋体"/>
                <w:b/>
                <w:color w:val="auto"/>
                <w:sz w:val="21"/>
                <w:szCs w:val="21"/>
                <w:highlight w:val="none"/>
              </w:rPr>
              <w:t>设备名称</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53CC3A5B">
            <w:pPr>
              <w:widowControl/>
              <w:jc w:val="center"/>
              <w:rPr>
                <w:rFonts w:ascii="宋体" w:hAnsi="宋体"/>
                <w:b/>
                <w:color w:val="auto"/>
                <w:sz w:val="21"/>
                <w:szCs w:val="21"/>
                <w:highlight w:val="none"/>
              </w:rPr>
            </w:pPr>
            <w:r>
              <w:rPr>
                <w:rFonts w:ascii="宋体" w:hAnsi="宋体"/>
                <w:b/>
                <w:color w:val="auto"/>
                <w:sz w:val="21"/>
                <w:szCs w:val="21"/>
                <w:highlight w:val="none"/>
              </w:rPr>
              <w:t>单位</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641CC21">
            <w:pPr>
              <w:widowControl/>
              <w:jc w:val="center"/>
              <w:rPr>
                <w:rFonts w:ascii="宋体" w:hAnsi="宋体"/>
                <w:b/>
                <w:color w:val="auto"/>
                <w:sz w:val="21"/>
                <w:szCs w:val="21"/>
                <w:highlight w:val="none"/>
              </w:rPr>
            </w:pPr>
            <w:r>
              <w:rPr>
                <w:rFonts w:ascii="宋体" w:hAnsi="宋体"/>
                <w:b/>
                <w:color w:val="auto"/>
                <w:sz w:val="21"/>
                <w:szCs w:val="21"/>
                <w:highlight w:val="none"/>
              </w:rPr>
              <w:t>数量</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395C6192">
            <w:pPr>
              <w:widowControl/>
              <w:jc w:val="center"/>
              <w:rPr>
                <w:rFonts w:hint="eastAsia" w:ascii="宋体" w:hAnsi="宋体" w:eastAsia="宋体"/>
                <w:b/>
                <w:color w:val="auto"/>
                <w:sz w:val="21"/>
                <w:szCs w:val="21"/>
                <w:highlight w:val="none"/>
                <w:lang w:val="en-US" w:eastAsia="zh-CN"/>
              </w:rPr>
            </w:pPr>
            <w:r>
              <w:rPr>
                <w:rFonts w:hint="eastAsia" w:ascii="宋体" w:hAnsi="宋体"/>
                <w:b/>
                <w:color w:val="auto"/>
                <w:sz w:val="21"/>
                <w:szCs w:val="21"/>
                <w:highlight w:val="none"/>
                <w:lang w:val="en-US" w:eastAsia="zh-CN"/>
              </w:rPr>
              <w:t>参数</w:t>
            </w:r>
          </w:p>
        </w:tc>
      </w:tr>
      <w:tr w14:paraId="37A1E7DA">
        <w:tblPrEx>
          <w:tblCellMar>
            <w:top w:w="0" w:type="dxa"/>
            <w:left w:w="108" w:type="dxa"/>
            <w:bottom w:w="0" w:type="dxa"/>
            <w:right w:w="108" w:type="dxa"/>
          </w:tblCellMar>
        </w:tblPrEx>
        <w:trPr>
          <w:gridAfter w:val="1"/>
          <w:wAfter w:w="26" w:type="pct"/>
          <w:trHeight w:val="340" w:hRule="atLeast"/>
        </w:trPr>
        <w:tc>
          <w:tcPr>
            <w:tcW w:w="1556" w:type="pct"/>
            <w:gridSpan w:val="6"/>
            <w:tcBorders>
              <w:top w:val="single" w:color="000000" w:sz="4" w:space="0"/>
              <w:left w:val="single" w:color="000000" w:sz="4" w:space="0"/>
              <w:bottom w:val="single" w:color="000000" w:sz="4" w:space="0"/>
              <w:right w:val="single" w:color="000000" w:sz="4" w:space="0"/>
            </w:tcBorders>
            <w:noWrap w:val="0"/>
            <w:vAlign w:val="center"/>
          </w:tcPr>
          <w:p w14:paraId="5F1DDF55">
            <w:pPr>
              <w:widowControl/>
              <w:jc w:val="left"/>
              <w:rPr>
                <w:rFonts w:ascii="宋体" w:hAnsi="宋体"/>
                <w:color w:val="auto"/>
                <w:sz w:val="21"/>
                <w:szCs w:val="21"/>
                <w:highlight w:val="none"/>
              </w:rPr>
            </w:pPr>
            <w:r>
              <w:rPr>
                <w:rFonts w:hint="eastAsia" w:ascii="宋体" w:hAnsi="宋体"/>
                <w:color w:val="auto"/>
                <w:sz w:val="21"/>
                <w:szCs w:val="21"/>
                <w:highlight w:val="none"/>
                <w:lang w:val="en-US" w:eastAsia="zh-CN"/>
              </w:rPr>
              <w:t>一</w:t>
            </w:r>
            <w:r>
              <w:rPr>
                <w:rFonts w:ascii="宋体" w:hAnsi="宋体"/>
                <w:color w:val="auto"/>
                <w:sz w:val="21"/>
                <w:szCs w:val="21"/>
                <w:highlight w:val="none"/>
              </w:rPr>
              <w:t>、赛事指挥中心建设</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1384ECE4">
            <w:pPr>
              <w:widowControl/>
              <w:jc w:val="left"/>
              <w:rPr>
                <w:rFonts w:ascii="宋体" w:hAnsi="宋体"/>
                <w:color w:val="auto"/>
                <w:sz w:val="21"/>
                <w:szCs w:val="21"/>
                <w:highlight w:val="none"/>
              </w:rPr>
            </w:pPr>
          </w:p>
        </w:tc>
      </w:tr>
      <w:tr w14:paraId="2B669259">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2098FCAD">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ascii="宋体" w:hAnsi="宋体"/>
                <w:color w:val="auto"/>
                <w:sz w:val="21"/>
                <w:szCs w:val="21"/>
                <w:highlight w:val="none"/>
              </w:rPr>
              <w:t>.1</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0F569984">
            <w:pPr>
              <w:widowControl/>
              <w:jc w:val="center"/>
              <w:rPr>
                <w:rFonts w:ascii="宋体" w:hAnsi="宋体"/>
                <w:color w:val="auto"/>
                <w:sz w:val="21"/>
                <w:szCs w:val="21"/>
                <w:highlight w:val="none"/>
              </w:rPr>
            </w:pPr>
            <w:r>
              <w:rPr>
                <w:rFonts w:ascii="宋体" w:hAnsi="宋体"/>
                <w:color w:val="auto"/>
                <w:sz w:val="21"/>
                <w:szCs w:val="21"/>
                <w:highlight w:val="none"/>
              </w:rPr>
              <w:t>P1.2室内全彩色显示屏</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6574005C">
            <w:pPr>
              <w:widowControl/>
              <w:jc w:val="center"/>
              <w:rPr>
                <w:rFonts w:ascii="宋体" w:hAnsi="宋体"/>
                <w:color w:val="auto"/>
                <w:sz w:val="21"/>
                <w:szCs w:val="21"/>
                <w:highlight w:val="none"/>
              </w:rPr>
            </w:pPr>
            <w:r>
              <w:rPr>
                <w:rFonts w:ascii="宋体" w:hAnsi="宋体"/>
                <w:color w:val="auto"/>
                <w:sz w:val="21"/>
                <w:szCs w:val="21"/>
                <w:highlight w:val="none"/>
              </w:rPr>
              <w:t>平方米</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32E7ADC">
            <w:pPr>
              <w:widowControl/>
              <w:jc w:val="center"/>
              <w:rPr>
                <w:rFonts w:ascii="宋体" w:hAnsi="宋体"/>
                <w:color w:val="auto"/>
                <w:sz w:val="21"/>
                <w:szCs w:val="21"/>
                <w:highlight w:val="none"/>
              </w:rPr>
            </w:pPr>
            <w:r>
              <w:rPr>
                <w:rFonts w:ascii="宋体" w:hAnsi="宋体"/>
                <w:color w:val="auto"/>
                <w:sz w:val="21"/>
                <w:szCs w:val="21"/>
                <w:highlight w:val="none"/>
              </w:rPr>
              <w:t>13.06</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540A793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 xml:space="preserve">1、点间距：≤1.25mm；像素点密度：640000点数/㎡                                              </w:t>
            </w:r>
          </w:p>
          <w:p w14:paraId="7CB2D13A">
            <w:pPr>
              <w:widowControl/>
              <w:jc w:val="left"/>
              <w:rPr>
                <w:rFonts w:hint="eastAsia" w:ascii="宋体" w:hAnsi="宋体"/>
                <w:color w:val="auto"/>
                <w:sz w:val="21"/>
                <w:szCs w:val="21"/>
                <w:highlight w:val="none"/>
              </w:rPr>
            </w:pPr>
            <w:r>
              <w:rPr>
                <w:rFonts w:hint="eastAsia" w:ascii="宋体" w:hAnsi="宋体"/>
                <w:color w:val="auto"/>
                <w:sz w:val="21"/>
                <w:szCs w:val="21"/>
                <w:highlight w:val="none"/>
              </w:rPr>
              <w:t xml:space="preserve">2、模组平整度≤0.09mm，模组间间隙≤0.09mm，像素中心间距相对偏差等级≤0.1%。                                               </w:t>
            </w:r>
          </w:p>
          <w:p w14:paraId="600BB323">
            <w:pPr>
              <w:widowControl/>
              <w:jc w:val="left"/>
              <w:rPr>
                <w:rFonts w:hint="eastAsia" w:ascii="宋体" w:hAnsi="宋体"/>
                <w:color w:val="auto"/>
                <w:sz w:val="21"/>
                <w:szCs w:val="21"/>
                <w:highlight w:val="none"/>
              </w:rPr>
            </w:pPr>
            <w:r>
              <w:rPr>
                <w:rFonts w:hint="eastAsia" w:ascii="宋体" w:hAnsi="宋体"/>
                <w:color w:val="auto"/>
                <w:sz w:val="21"/>
                <w:szCs w:val="21"/>
                <w:highlight w:val="none"/>
              </w:rPr>
              <w:t xml:space="preserve">3、采用高强度塑胶套件，配塑胶后盖                                                       </w:t>
            </w:r>
          </w:p>
          <w:p w14:paraId="58284814">
            <w:pPr>
              <w:widowControl/>
              <w:jc w:val="left"/>
              <w:rPr>
                <w:rFonts w:hint="eastAsia" w:ascii="宋体" w:hAnsi="宋体"/>
                <w:color w:val="auto"/>
                <w:sz w:val="21"/>
                <w:szCs w:val="21"/>
                <w:highlight w:val="none"/>
              </w:rPr>
            </w:pPr>
            <w:r>
              <w:rPr>
                <w:rFonts w:hint="eastAsia" w:ascii="宋体" w:hAnsi="宋体"/>
                <w:color w:val="auto"/>
                <w:sz w:val="21"/>
                <w:szCs w:val="21"/>
                <w:highlight w:val="none"/>
              </w:rPr>
              <w:t xml:space="preserve">4、显示屏亮度：≥600cd/m2；对比度：≥10000:1；                                      </w:t>
            </w:r>
          </w:p>
          <w:p w14:paraId="0DFA070B">
            <w:pPr>
              <w:widowControl/>
              <w:jc w:val="left"/>
              <w:rPr>
                <w:rFonts w:hint="eastAsia" w:ascii="宋体" w:hAnsi="宋体"/>
                <w:color w:val="auto"/>
                <w:sz w:val="21"/>
                <w:szCs w:val="21"/>
                <w:highlight w:val="none"/>
              </w:rPr>
            </w:pPr>
            <w:r>
              <w:rPr>
                <w:rFonts w:hint="eastAsia" w:ascii="宋体" w:hAnsi="宋体"/>
                <w:color w:val="auto"/>
                <w:sz w:val="21"/>
                <w:szCs w:val="21"/>
                <w:highlight w:val="none"/>
              </w:rPr>
              <w:t>5、视角：水平视角≥170°;垂直视角：≥170°； 刷新率：≥3840Hz；换帧频率50Hz/60Hz。</w:t>
            </w:r>
          </w:p>
          <w:p w14:paraId="3BA404DE">
            <w:pPr>
              <w:widowControl/>
              <w:jc w:val="left"/>
              <w:rPr>
                <w:rFonts w:hint="eastAsia" w:ascii="宋体" w:hAnsi="宋体"/>
                <w:color w:val="auto"/>
                <w:sz w:val="21"/>
                <w:szCs w:val="21"/>
                <w:highlight w:val="none"/>
              </w:rPr>
            </w:pPr>
            <w:r>
              <w:rPr>
                <w:rFonts w:hint="eastAsia" w:ascii="宋体" w:hAnsi="宋体"/>
                <w:color w:val="auto"/>
                <w:sz w:val="21"/>
                <w:szCs w:val="21"/>
                <w:highlight w:val="none"/>
              </w:rPr>
              <w:t xml:space="preserve">6、亮度均匀度：≥99%；色度均匀性（校正后）:±0.001CxCy；像素光强均匀性：LRJ≤8%、LGJ≤8%、LBJ≤8%。                                                                                                            </w:t>
            </w:r>
          </w:p>
          <w:p w14:paraId="40D8E1F8">
            <w:pPr>
              <w:widowControl/>
              <w:jc w:val="left"/>
              <w:rPr>
                <w:rFonts w:hint="eastAsia" w:ascii="宋体" w:hAnsi="宋体"/>
                <w:color w:val="auto"/>
                <w:sz w:val="21"/>
                <w:szCs w:val="21"/>
                <w:highlight w:val="none"/>
              </w:rPr>
            </w:pPr>
            <w:r>
              <w:rPr>
                <w:rFonts w:hint="eastAsia" w:ascii="宋体" w:hAnsi="宋体"/>
                <w:color w:val="auto"/>
                <w:sz w:val="21"/>
                <w:szCs w:val="21"/>
                <w:highlight w:val="none"/>
              </w:rPr>
              <w:t>7、整屏像素失控率PZ≤1/1000000，颜色处理位数≥16bit。</w:t>
            </w:r>
          </w:p>
          <w:p w14:paraId="32BEE947">
            <w:pPr>
              <w:widowControl/>
              <w:jc w:val="left"/>
              <w:rPr>
                <w:rFonts w:hint="eastAsia" w:ascii="宋体" w:hAnsi="宋体"/>
                <w:color w:val="auto"/>
                <w:sz w:val="21"/>
                <w:szCs w:val="21"/>
                <w:highlight w:val="none"/>
              </w:rPr>
            </w:pPr>
            <w:r>
              <w:rPr>
                <w:rFonts w:hint="eastAsia" w:ascii="宋体" w:hAnsi="宋体"/>
                <w:color w:val="auto"/>
                <w:sz w:val="21"/>
                <w:szCs w:val="21"/>
                <w:highlight w:val="none"/>
              </w:rPr>
              <w:t xml:space="preserve">8、色温：100K-21000K；色温误差：色温为6500K时，100%，75%，50%，25%四档电平白场调节色温误差≤100K。）                                                                                                                                                         9、平均使用寿命≥100000小时；平均无故障时间≥120000小时；平均故障修复时间≤2min。                                                                                                    </w:t>
            </w:r>
          </w:p>
          <w:p w14:paraId="6A01E8C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10、具备拼缝微调技术，保证拼缝精度达到0.1mm以下；模组间相对错位值≤0.1mm。</w:t>
            </w:r>
          </w:p>
          <w:p w14:paraId="624D5E2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11、显示屏画面延迟≤1ms，画面信噪比≥60db。</w:t>
            </w:r>
          </w:p>
          <w:p w14:paraId="779A4185">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12、动态节能：带有智能节电功能，带电黑屏节电功能，开启智能节电功能比没有开启节能60%以上。</w:t>
            </w:r>
          </w:p>
          <w:p w14:paraId="407BA748">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13、最大功耗：≤410W/㎡；平均功耗≤130W/㎡。                                                                                   14、支持模组级的LED灯防撞保护装置，符合GB/T20138-2006/IEC62262:2002要求。</w:t>
            </w:r>
          </w:p>
          <w:p w14:paraId="62C9DF1A">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15、LED显示屏效能：符合标准GB21520-2015，效能一级。能源效率≥2.4cd/w。</w:t>
            </w:r>
          </w:p>
          <w:p w14:paraId="3153B3B7">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16、支持单点亮度色度校正功能，校正后亮度损失＜8%。支持模组校正、数据储存及回读。</w:t>
            </w:r>
          </w:p>
          <w:p w14:paraId="5A41A2FA">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17、▲支持BT.2020、DCI-P3、BT.709，sRGB等多种色域之间的转换。支持HD3.0R高图像动台支持。（提供具有</w:t>
            </w:r>
            <w:r>
              <w:rPr>
                <w:rFonts w:hint="eastAsia" w:ascii="宋体" w:hAnsi="宋体"/>
                <w:color w:val="auto"/>
                <w:sz w:val="21"/>
                <w:szCs w:val="21"/>
                <w:highlight w:val="none"/>
                <w:lang w:eastAsia="zh-CN"/>
              </w:rPr>
              <w:t>CMA或CNAS</w:t>
            </w:r>
            <w:r>
              <w:rPr>
                <w:rFonts w:hint="eastAsia" w:ascii="宋体" w:hAnsi="宋体"/>
                <w:color w:val="auto"/>
                <w:sz w:val="21"/>
                <w:szCs w:val="21"/>
                <w:highlight w:val="none"/>
              </w:rPr>
              <w:t>标识的权威第三方检测报告复印件）；</w:t>
            </w:r>
          </w:p>
          <w:p w14:paraId="5E42D999">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18、支持一键点屏技术，开机后自动识别连接，无需重新系统配置；支持网联一键下载程序文件和调试；</w:t>
            </w:r>
          </w:p>
          <w:p w14:paraId="71C4B9D9">
            <w:pPr>
              <w:widowControl/>
              <w:jc w:val="left"/>
              <w:rPr>
                <w:rFonts w:hint="eastAsia" w:ascii="宋体" w:hAnsi="宋体"/>
                <w:color w:val="auto"/>
                <w:sz w:val="21"/>
                <w:szCs w:val="21"/>
                <w:highlight w:val="none"/>
              </w:rPr>
            </w:pPr>
            <w:r>
              <w:rPr>
                <w:rFonts w:hint="eastAsia" w:ascii="宋体" w:hAnsi="宋体"/>
                <w:color w:val="auto"/>
                <w:sz w:val="21"/>
                <w:szCs w:val="21"/>
                <w:highlight w:val="none"/>
              </w:rPr>
              <w:t xml:space="preserve">19、具有H2S宽动态处理技术，解决主控机二次重复播放时的衰减等现象。；                                        </w:t>
            </w:r>
          </w:p>
          <w:p w14:paraId="0AA1CABC">
            <w:pPr>
              <w:widowControl/>
              <w:jc w:val="left"/>
              <w:rPr>
                <w:rFonts w:hint="eastAsia" w:ascii="宋体" w:hAnsi="宋体"/>
                <w:color w:val="auto"/>
                <w:sz w:val="21"/>
                <w:szCs w:val="21"/>
                <w:highlight w:val="none"/>
              </w:rPr>
            </w:pPr>
            <w:r>
              <w:rPr>
                <w:rFonts w:hint="eastAsia" w:ascii="宋体" w:hAnsi="宋体"/>
                <w:color w:val="auto"/>
                <w:sz w:val="21"/>
                <w:szCs w:val="21"/>
                <w:highlight w:val="none"/>
              </w:rPr>
              <w:t xml:space="preserve">20、采用数字化网络传输技术或标准化HDCP传输技术，支持Tyte-C接口或者HDCP协议的接口实现5G达带载带宽传输。 </w:t>
            </w:r>
          </w:p>
          <w:p w14:paraId="31D6FE5D">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21、▲显示屏具备数据传输安全技术；防信号远程窃密技术；防电力远程窃密技术。（提供具有</w:t>
            </w:r>
            <w:r>
              <w:rPr>
                <w:rFonts w:hint="eastAsia" w:ascii="宋体" w:hAnsi="宋体"/>
                <w:color w:val="auto"/>
                <w:sz w:val="21"/>
                <w:szCs w:val="21"/>
                <w:highlight w:val="none"/>
                <w:lang w:eastAsia="zh-CN"/>
              </w:rPr>
              <w:t>CMA或CNAS</w:t>
            </w:r>
            <w:r>
              <w:rPr>
                <w:rFonts w:hint="eastAsia" w:ascii="宋体" w:hAnsi="宋体"/>
                <w:color w:val="auto"/>
                <w:sz w:val="21"/>
                <w:szCs w:val="21"/>
                <w:highlight w:val="none"/>
              </w:rPr>
              <w:t>标识的权威第三方检测报告复印件）</w:t>
            </w:r>
          </w:p>
          <w:p w14:paraId="736823DE">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22、电流增益调节级8位，电流增益调节范围：1%-199%                                23、通过失真效果检测，显示画面无几何畸变、扭曲、比例失调情况，无亮度、色温非线性失真。</w:t>
            </w:r>
          </w:p>
          <w:p w14:paraId="3D3B49CE">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24、光生物安全：光生物安全及蓝光危害评估符合无危害类要求，属于无危害类产品；</w:t>
            </w:r>
          </w:p>
          <w:p w14:paraId="18BDBD10">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25、显示屏具备0级防霉特性。长时间没有使用屏体，屏体自动切入除湿模式，使屏体从10%到100%亮度逐步显示，达到保护LED灯。                                       26、具备SELV电路确保安全使用，静电电压衰减≤2s。</w:t>
            </w:r>
          </w:p>
          <w:p w14:paraId="211E9C1E">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27、色准△E≤0.9，显示屏具有多点测温系统，均衡散热，防止局部温度过高造成色彩漂移，并提高显示屏寿命。</w:t>
            </w:r>
          </w:p>
          <w:p w14:paraId="6F526818">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28、显示屏通过盐雾测试，盐雾等级10级，测试后外观评级为A级。</w:t>
            </w:r>
          </w:p>
          <w:p w14:paraId="78CB7B24">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29</w:t>
            </w:r>
            <w:r>
              <w:rPr>
                <w:rFonts w:hint="eastAsia" w:ascii="宋体" w:hAnsi="宋体"/>
                <w:color w:val="auto"/>
                <w:sz w:val="21"/>
                <w:szCs w:val="21"/>
                <w:highlight w:val="none"/>
              </w:rPr>
              <w:t>、生产厂家通过ISO9001 质量管理体系认证及中国合格评定国家认可委员会（CNAS）实验室认证，具备对于来料、生产过程、成品的全链路质量控制能力。</w:t>
            </w:r>
          </w:p>
          <w:p w14:paraId="20019996">
            <w:pPr>
              <w:widowControl/>
              <w:jc w:val="left"/>
              <w:rPr>
                <w:rFonts w:hint="default" w:ascii="宋体" w:hAnsi="宋体"/>
                <w:color w:val="auto"/>
                <w:sz w:val="21"/>
                <w:szCs w:val="21"/>
                <w:highlight w:val="none"/>
                <w:lang w:val="en-US" w:eastAsia="zh-CN"/>
              </w:rPr>
            </w:pPr>
            <w:r>
              <w:rPr>
                <w:rFonts w:hint="eastAsia" w:ascii="宋体" w:hAnsi="宋体"/>
                <w:color w:val="auto"/>
                <w:sz w:val="21"/>
                <w:szCs w:val="21"/>
                <w:highlight w:val="none"/>
              </w:rPr>
              <w:t>3</w:t>
            </w:r>
            <w:r>
              <w:rPr>
                <w:rFonts w:hint="eastAsia" w:ascii="宋体" w:hAnsi="宋体"/>
                <w:color w:val="auto"/>
                <w:sz w:val="21"/>
                <w:szCs w:val="21"/>
                <w:highlight w:val="none"/>
                <w:lang w:val="en-US" w:eastAsia="zh-CN"/>
              </w:rPr>
              <w:t>0</w:t>
            </w:r>
            <w:r>
              <w:rPr>
                <w:rFonts w:hint="eastAsia" w:ascii="宋体" w:hAnsi="宋体"/>
                <w:color w:val="auto"/>
                <w:sz w:val="21"/>
                <w:szCs w:val="21"/>
                <w:highlight w:val="none"/>
              </w:rPr>
              <w:t xml:space="preserve">、显示屏生产工厂为国家部级单位认证绿色工厂                                                                </w:t>
            </w:r>
          </w:p>
        </w:tc>
      </w:tr>
      <w:tr w14:paraId="7FD2F3EF">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4FF58855">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ascii="宋体" w:hAnsi="宋体"/>
                <w:color w:val="auto"/>
                <w:sz w:val="21"/>
                <w:szCs w:val="21"/>
                <w:highlight w:val="none"/>
              </w:rPr>
              <w:t>.2</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54F3B475">
            <w:pPr>
              <w:widowControl/>
              <w:jc w:val="center"/>
              <w:rPr>
                <w:rFonts w:ascii="宋体" w:hAnsi="宋体"/>
                <w:color w:val="auto"/>
                <w:sz w:val="21"/>
                <w:szCs w:val="21"/>
                <w:highlight w:val="none"/>
              </w:rPr>
            </w:pPr>
            <w:r>
              <w:rPr>
                <w:rFonts w:ascii="宋体" w:hAnsi="宋体"/>
                <w:color w:val="auto"/>
                <w:sz w:val="21"/>
                <w:szCs w:val="21"/>
                <w:highlight w:val="none"/>
              </w:rPr>
              <w:t>接收卡</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1266791E">
            <w:pPr>
              <w:widowControl/>
              <w:jc w:val="center"/>
              <w:rPr>
                <w:rFonts w:ascii="宋体" w:hAnsi="宋体"/>
                <w:color w:val="auto"/>
                <w:sz w:val="21"/>
                <w:szCs w:val="21"/>
                <w:highlight w:val="none"/>
              </w:rPr>
            </w:pPr>
            <w:r>
              <w:rPr>
                <w:rFonts w:ascii="宋体" w:hAnsi="宋体"/>
                <w:color w:val="auto"/>
                <w:sz w:val="21"/>
                <w:szCs w:val="21"/>
                <w:highlight w:val="none"/>
              </w:rPr>
              <w:t>张</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57D9F348">
            <w:pPr>
              <w:widowControl/>
              <w:jc w:val="center"/>
              <w:rPr>
                <w:rFonts w:ascii="宋体" w:hAnsi="宋体"/>
                <w:color w:val="auto"/>
                <w:sz w:val="21"/>
                <w:szCs w:val="21"/>
                <w:highlight w:val="none"/>
              </w:rPr>
            </w:pPr>
            <w:r>
              <w:rPr>
                <w:rFonts w:ascii="宋体" w:hAnsi="宋体"/>
                <w:color w:val="auto"/>
                <w:sz w:val="21"/>
                <w:szCs w:val="21"/>
                <w:highlight w:val="none"/>
              </w:rPr>
              <w:t>32</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786C0634">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1.无需转接板，单卡自带8个HUB320  26 P接口，更加稳定</w:t>
            </w:r>
          </w:p>
          <w:p w14:paraId="287545E7">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2.单卡带载像素512*512</w:t>
            </w:r>
          </w:p>
          <w:p w14:paraId="22E0B2DE">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3.支持逐点亮色度校正，可以对每个灯点的亮度和色度进行校正，有效消除色差，使整屏的亮度和色度达到高度均匀一致，提高显示屏的画质</w:t>
            </w:r>
          </w:p>
          <w:p w14:paraId="39EFF49F">
            <w:pPr>
              <w:widowControl/>
              <w:jc w:val="left"/>
              <w:rPr>
                <w:rFonts w:hint="eastAsia" w:ascii="宋体" w:hAnsi="宋体"/>
                <w:color w:val="auto"/>
                <w:sz w:val="21"/>
                <w:szCs w:val="21"/>
                <w:highlight w:val="none"/>
              </w:rPr>
            </w:pPr>
            <w:r>
              <w:rPr>
                <w:rFonts w:hint="eastAsia" w:ascii="宋体" w:hAnsi="宋体"/>
                <w:color w:val="auto"/>
                <w:sz w:val="21"/>
                <w:szCs w:val="21"/>
                <w:highlight w:val="none"/>
              </w:rPr>
              <w:t>4.快速亮暗线调节在调试软件上进行快速亮暗线调节，快速解决因箱体及模组拼接造成的显示屏亮暗线，调节过程中即时生效，简单易用。</w:t>
            </w:r>
          </w:p>
          <w:p w14:paraId="2325EDF8">
            <w:pPr>
              <w:widowControl/>
              <w:jc w:val="left"/>
              <w:rPr>
                <w:rFonts w:hint="eastAsia" w:ascii="宋体" w:hAnsi="宋体"/>
                <w:color w:val="auto"/>
                <w:sz w:val="21"/>
                <w:szCs w:val="21"/>
                <w:highlight w:val="none"/>
              </w:rPr>
            </w:pPr>
            <w:r>
              <w:rPr>
                <w:rFonts w:hint="eastAsia" w:ascii="宋体" w:hAnsi="宋体"/>
                <w:color w:val="auto"/>
                <w:sz w:val="21"/>
                <w:szCs w:val="21"/>
                <w:highlight w:val="none"/>
              </w:rPr>
              <w:t>5.配合支持 3D 功能的独立主控，在软件或独立主控的操作面板上开启 3D 功能，并设置 3D 参数，使画面显示 3D 效果。</w:t>
            </w:r>
          </w:p>
          <w:p w14:paraId="0234E66B">
            <w:pPr>
              <w:widowControl/>
              <w:jc w:val="left"/>
              <w:rPr>
                <w:rFonts w:hint="eastAsia" w:ascii="宋体" w:hAnsi="宋体"/>
                <w:color w:val="auto"/>
                <w:sz w:val="21"/>
                <w:szCs w:val="21"/>
                <w:highlight w:val="none"/>
              </w:rPr>
            </w:pPr>
            <w:r>
              <w:rPr>
                <w:rFonts w:hint="eastAsia" w:ascii="宋体" w:hAnsi="宋体"/>
                <w:color w:val="auto"/>
                <w:sz w:val="21"/>
                <w:szCs w:val="21"/>
                <w:highlight w:val="none"/>
              </w:rPr>
              <w:t>6.可以将指定图片设置为显示屏的开机、网线断开或无视频源信号时的画面或者最后一帧画面。</w:t>
            </w:r>
          </w:p>
          <w:p w14:paraId="6A2CD477">
            <w:pPr>
              <w:widowControl/>
              <w:jc w:val="left"/>
              <w:rPr>
                <w:rFonts w:hint="eastAsia" w:ascii="宋体" w:hAnsi="宋体"/>
                <w:color w:val="auto"/>
                <w:sz w:val="21"/>
                <w:szCs w:val="21"/>
                <w:highlight w:val="none"/>
              </w:rPr>
            </w:pPr>
            <w:r>
              <w:rPr>
                <w:rFonts w:hint="eastAsia" w:ascii="宋体" w:hAnsi="宋体"/>
                <w:color w:val="auto"/>
                <w:sz w:val="21"/>
                <w:szCs w:val="21"/>
                <w:highlight w:val="none"/>
              </w:rPr>
              <w:t>7.支持千兆网，可通过网线直接连接PC端进行调试和显示，无需发送卡。</w:t>
            </w:r>
          </w:p>
          <w:p w14:paraId="6D4FCF9D">
            <w:pPr>
              <w:widowControl/>
              <w:jc w:val="left"/>
              <w:rPr>
                <w:rFonts w:hint="eastAsia" w:ascii="宋体" w:hAnsi="宋体"/>
                <w:color w:val="auto"/>
                <w:sz w:val="21"/>
                <w:szCs w:val="21"/>
                <w:highlight w:val="none"/>
              </w:rPr>
            </w:pPr>
            <w:r>
              <w:rPr>
                <w:rFonts w:hint="eastAsia" w:ascii="宋体" w:hAnsi="宋体"/>
                <w:color w:val="auto"/>
                <w:sz w:val="21"/>
                <w:szCs w:val="21"/>
                <w:highlight w:val="none"/>
              </w:rPr>
              <w:t>8.支持灯板flash管理，校正系数双备份，更换灯板后，无需重新上传校正系数，屏体重新上电即可使用对应灯板校正系数。</w:t>
            </w:r>
          </w:p>
          <w:p w14:paraId="1F022D4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9.通过软件调节，可以解决箱体或灯板之间，因拼接导致的亮暗线问题，支持灯板flash管理，校正系数双备份，更换灯板后，无需重新上传校正系数，屏体重新断上电即可使用对应灯板校正系数</w:t>
            </w:r>
          </w:p>
          <w:p w14:paraId="610C5FE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 xml:space="preserve">10.RGB独立Gamma调节技术增加调节维度，通过对“红 Gamma”、“绿 Gamma”、“蓝 Gamma”分别进行调节，有效控制显示屏低灰不均匀、白平衡漂移等问题，使画面更加真实，提高色彩调节的灵活性。 </w:t>
            </w:r>
          </w:p>
          <w:p w14:paraId="0EA59578">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11.可以监测自身的温度和电压，无需其他外设，在软件上可以查看接收卡的温度和电压，检测发送设备与接收卡间或接收卡与接收卡间的网络通讯质量，记录错误包数，协助排除网络通讯隐患，支持可以回读接收卡的固件程序并保存到本地，软件可以回读接收卡配置参数并保存到本地</w:t>
            </w:r>
          </w:p>
          <w:p w14:paraId="0D62296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12.通过主备冗余机制增加接收卡间网线级联的可靠性。主备级联线路中，当其中一条线路出现故障时，另一条线路会即时工作，保证显示屏正常工作。</w:t>
            </w:r>
          </w:p>
          <w:p w14:paraId="08ADF5A4">
            <w:pPr>
              <w:widowControl/>
              <w:jc w:val="left"/>
              <w:rPr>
                <w:rFonts w:ascii="宋体" w:hAnsi="宋体"/>
                <w:color w:val="auto"/>
                <w:sz w:val="21"/>
                <w:szCs w:val="21"/>
                <w:highlight w:val="none"/>
              </w:rPr>
            </w:pPr>
            <w:r>
              <w:rPr>
                <w:rFonts w:hint="eastAsia" w:ascii="宋体" w:hAnsi="宋体"/>
                <w:color w:val="auto"/>
                <w:sz w:val="21"/>
                <w:szCs w:val="21"/>
                <w:highlight w:val="none"/>
              </w:rPr>
              <w:t>13.接受卡出厂时保存了两份应用程序，以防程序更新过程异常导致的接收卡死锁问题。</w:t>
            </w:r>
          </w:p>
        </w:tc>
      </w:tr>
      <w:tr w14:paraId="0D6671F6">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5BD767D6">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ascii="宋体" w:hAnsi="宋体"/>
                <w:color w:val="auto"/>
                <w:sz w:val="21"/>
                <w:szCs w:val="21"/>
                <w:highlight w:val="none"/>
              </w:rPr>
              <w:t>.3</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03D48D75">
            <w:pPr>
              <w:widowControl/>
              <w:jc w:val="center"/>
              <w:rPr>
                <w:rFonts w:ascii="宋体" w:hAnsi="宋体"/>
                <w:color w:val="auto"/>
                <w:sz w:val="21"/>
                <w:szCs w:val="21"/>
                <w:highlight w:val="none"/>
              </w:rPr>
            </w:pPr>
            <w:r>
              <w:rPr>
                <w:rFonts w:ascii="宋体" w:hAnsi="宋体"/>
                <w:color w:val="auto"/>
                <w:sz w:val="21"/>
                <w:szCs w:val="21"/>
                <w:highlight w:val="none"/>
              </w:rPr>
              <w:t>视频处理器</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68F2BA00">
            <w:pPr>
              <w:widowControl/>
              <w:jc w:val="center"/>
              <w:rPr>
                <w:rFonts w:ascii="宋体" w:hAnsi="宋体"/>
                <w:color w:val="auto"/>
                <w:sz w:val="21"/>
                <w:szCs w:val="21"/>
                <w:highlight w:val="none"/>
              </w:rPr>
            </w:pPr>
            <w:r>
              <w:rPr>
                <w:rFonts w:ascii="宋体" w:hAnsi="宋体"/>
                <w:color w:val="auto"/>
                <w:sz w:val="21"/>
                <w:szCs w:val="21"/>
                <w:highlight w:val="none"/>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A53EAA1">
            <w:pPr>
              <w:widowControl/>
              <w:jc w:val="center"/>
              <w:rPr>
                <w:rFonts w:ascii="宋体" w:hAnsi="宋体"/>
                <w:color w:val="auto"/>
                <w:sz w:val="21"/>
                <w:szCs w:val="21"/>
                <w:highlight w:val="none"/>
              </w:rPr>
            </w:pPr>
            <w:r>
              <w:rPr>
                <w:rFonts w:ascii="宋体" w:hAnsi="宋体"/>
                <w:color w:val="auto"/>
                <w:sz w:val="21"/>
                <w:szCs w:val="21"/>
                <w:highlight w:val="none"/>
              </w:rPr>
              <w:t>1</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2AF998CC">
            <w:pPr>
              <w:widowControl/>
              <w:jc w:val="left"/>
              <w:rPr>
                <w:rFonts w:hint="eastAsia" w:ascii="宋体" w:hAnsi="宋体"/>
                <w:color w:val="auto"/>
                <w:sz w:val="21"/>
                <w:szCs w:val="21"/>
                <w:highlight w:val="none"/>
              </w:rPr>
            </w:pPr>
            <w:r>
              <w:rPr>
                <w:rFonts w:hint="eastAsia" w:ascii="宋体" w:hAnsi="宋体"/>
                <w:color w:val="auto"/>
                <w:sz w:val="21"/>
                <w:szCs w:val="21"/>
                <w:highlight w:val="none"/>
              </w:rPr>
              <w:t xml:space="preserve">1、带载1040万，横向最大16384，纵向最大8192；输入：4×DVI、1×HDMI2.0（4K输入）、1×3G- SDI；输出：16×千兆网口、4×10G光纤、1×HDM预监、支持HDR10高画质显示                                  </w:t>
            </w:r>
          </w:p>
          <w:p w14:paraId="550C93D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 xml:space="preserve">2、支持windows APP、其他手机，或PAD或Linux等设备都可通过网页控制，支持windows、麒麟（Kylin）、linux操作系统访问设备级交互操作。                                              </w:t>
            </w:r>
          </w:p>
          <w:p w14:paraId="4CEC851A">
            <w:pPr>
              <w:widowControl/>
              <w:jc w:val="left"/>
              <w:rPr>
                <w:rFonts w:hint="eastAsia" w:ascii="宋体" w:hAnsi="宋体"/>
                <w:color w:val="auto"/>
                <w:sz w:val="21"/>
                <w:szCs w:val="21"/>
                <w:highlight w:val="none"/>
              </w:rPr>
            </w:pPr>
            <w:r>
              <w:rPr>
                <w:rFonts w:hint="eastAsia" w:ascii="宋体" w:hAnsi="宋体"/>
                <w:color w:val="auto"/>
                <w:sz w:val="21"/>
                <w:szCs w:val="21"/>
                <w:highlight w:val="none"/>
              </w:rPr>
              <w:t xml:space="preserve">3、平均故障时间＞180000小时，最快修复时间＜3s；场景调取响应速度＜5ms；图像开窗响应速度＜10ms。                                                                                     </w:t>
            </w:r>
          </w:p>
          <w:p w14:paraId="1AD22884">
            <w:pPr>
              <w:widowControl/>
              <w:jc w:val="left"/>
              <w:rPr>
                <w:rFonts w:hint="eastAsia" w:ascii="宋体" w:hAnsi="宋体"/>
                <w:color w:val="auto"/>
                <w:sz w:val="21"/>
                <w:szCs w:val="21"/>
                <w:highlight w:val="none"/>
              </w:rPr>
            </w:pPr>
            <w:r>
              <w:rPr>
                <w:rFonts w:hint="eastAsia" w:ascii="宋体" w:hAnsi="宋体"/>
                <w:color w:val="auto"/>
                <w:sz w:val="21"/>
                <w:szCs w:val="21"/>
                <w:highlight w:val="none"/>
              </w:rPr>
              <w:t>4、输入输出延时＜10ms；信号切换时间＜5ms。</w:t>
            </w:r>
          </w:p>
          <w:p w14:paraId="3CF97EAF">
            <w:pPr>
              <w:widowControl/>
              <w:jc w:val="left"/>
              <w:rPr>
                <w:rFonts w:hint="eastAsia" w:ascii="宋体" w:hAnsi="宋体"/>
                <w:color w:val="auto"/>
                <w:sz w:val="21"/>
                <w:szCs w:val="21"/>
                <w:highlight w:val="none"/>
              </w:rPr>
            </w:pPr>
            <w:r>
              <w:rPr>
                <w:rFonts w:hint="eastAsia" w:ascii="宋体" w:hAnsi="宋体"/>
                <w:color w:val="auto"/>
                <w:sz w:val="21"/>
                <w:szCs w:val="21"/>
                <w:highlight w:val="none"/>
              </w:rPr>
              <w:t xml:space="preserve">5、支持智能输出分辨率，根据拼接屏的大小自动计算出分辨率，从根本上解决了发送卡带载不同分辨率的问题；支持拼接屏的拼缝补偿，可精确到1个像素。                                                                     </w:t>
            </w:r>
          </w:p>
          <w:p w14:paraId="44B83713">
            <w:pPr>
              <w:widowControl/>
              <w:jc w:val="left"/>
              <w:rPr>
                <w:rFonts w:hint="eastAsia" w:ascii="宋体" w:hAnsi="宋体"/>
                <w:color w:val="auto"/>
                <w:sz w:val="21"/>
                <w:szCs w:val="21"/>
                <w:highlight w:val="none"/>
              </w:rPr>
            </w:pPr>
            <w:r>
              <w:rPr>
                <w:rFonts w:hint="eastAsia" w:ascii="宋体" w:hAnsi="宋体"/>
                <w:color w:val="auto"/>
                <w:sz w:val="21"/>
                <w:szCs w:val="21"/>
                <w:highlight w:val="none"/>
              </w:rPr>
              <w:t xml:space="preserve">6、支持硬件休眠功能，可直接用脚本激活，可以实现对大屏的一键亮屏、一键黑屏。                                                                         </w:t>
            </w:r>
          </w:p>
          <w:p w14:paraId="74CAD128">
            <w:pPr>
              <w:widowControl/>
              <w:jc w:val="left"/>
              <w:rPr>
                <w:rFonts w:hint="eastAsia" w:ascii="宋体" w:hAnsi="宋体"/>
                <w:color w:val="auto"/>
                <w:sz w:val="21"/>
                <w:szCs w:val="21"/>
                <w:highlight w:val="none"/>
              </w:rPr>
            </w:pPr>
            <w:r>
              <w:rPr>
                <w:rFonts w:hint="eastAsia" w:ascii="宋体" w:hAnsi="宋体"/>
                <w:color w:val="auto"/>
                <w:sz w:val="21"/>
                <w:szCs w:val="21"/>
                <w:highlight w:val="none"/>
              </w:rPr>
              <w:t>7、支持可以通过网络直接抓取电脑屏幕，需要配有网络抓取卡，被抓屏端需要安装服务端软件，实现对电脑屏幕通过网络抓取。</w:t>
            </w:r>
          </w:p>
          <w:p w14:paraId="11837995">
            <w:pPr>
              <w:widowControl/>
              <w:jc w:val="left"/>
              <w:rPr>
                <w:rFonts w:hint="eastAsia" w:ascii="宋体" w:hAnsi="宋体"/>
                <w:color w:val="auto"/>
                <w:sz w:val="21"/>
                <w:szCs w:val="21"/>
                <w:highlight w:val="none"/>
              </w:rPr>
            </w:pPr>
            <w:r>
              <w:rPr>
                <w:rFonts w:hint="eastAsia" w:ascii="宋体" w:hAnsi="宋体"/>
                <w:color w:val="auto"/>
                <w:sz w:val="21"/>
                <w:szCs w:val="21"/>
                <w:highlight w:val="none"/>
              </w:rPr>
              <w:t xml:space="preserve">8、支持画质调节，支持多种图像模式调节，包括标准模式、文档模式、会议模式、视频模式，并具备通过画质处理算法可极大降低蓝光危害起到护眼效果。                                   </w:t>
            </w:r>
          </w:p>
          <w:p w14:paraId="0D8D6033">
            <w:pPr>
              <w:widowControl/>
              <w:jc w:val="left"/>
              <w:rPr>
                <w:rFonts w:hint="eastAsia" w:ascii="宋体" w:hAnsi="宋体"/>
                <w:color w:val="auto"/>
                <w:sz w:val="21"/>
                <w:szCs w:val="21"/>
                <w:highlight w:val="none"/>
              </w:rPr>
            </w:pPr>
            <w:r>
              <w:rPr>
                <w:rFonts w:hint="eastAsia" w:ascii="宋体" w:hAnsi="宋体"/>
                <w:color w:val="auto"/>
                <w:sz w:val="21"/>
                <w:szCs w:val="21"/>
                <w:highlight w:val="none"/>
              </w:rPr>
              <w:t>9、▲屏幕画质调节支持4种调节模式：标准模式、文档模式、会议模式、视频模式，每种模式下均支持护眼模式开关设置，护眼模式关闭时，可对亮度、对比度、饱和度、色调、色温、Gamma进行自定义调节；输出接口画质支持亮度、对比度、饱和度、色调、色温、Gamma调节，可添加22种测试画面图像，支持间距、速度、亮度调节。（需提供具有</w:t>
            </w:r>
            <w:r>
              <w:rPr>
                <w:rFonts w:hint="eastAsia" w:ascii="宋体" w:hAnsi="宋体"/>
                <w:color w:val="auto"/>
                <w:sz w:val="21"/>
                <w:szCs w:val="21"/>
                <w:highlight w:val="none"/>
                <w:lang w:eastAsia="zh-CN"/>
              </w:rPr>
              <w:t>CMA或CNAS</w:t>
            </w:r>
            <w:r>
              <w:rPr>
                <w:rFonts w:hint="eastAsia" w:ascii="宋体" w:hAnsi="宋体"/>
                <w:color w:val="auto"/>
                <w:sz w:val="21"/>
                <w:szCs w:val="21"/>
                <w:highlight w:val="none"/>
              </w:rPr>
              <w:t>标识第三方检测机构检测报告复印件）</w:t>
            </w:r>
          </w:p>
          <w:p w14:paraId="0370F2F9">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10、支持genlock接入采用亚像素级像素同步处理技术，完美实现设备输出接口或多台设备间的超大分辨率屏幕的完美拼接同步显示，从根本上消除了拼接缝和图像撕裂问题，支持所有输出图像在小于60ms内同步。</w:t>
            </w:r>
          </w:p>
          <w:p w14:paraId="6BE1B3B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11、▲支持可以通过客户端软件设置输出视频图像进行水平/垂直裁剪、边缘弱化、亮度设置、透明度设置；可通过客户端软件对发送卡的输出频率进行设置；支持视频图像不正常时的一键修复功能。（需提供具有</w:t>
            </w:r>
            <w:r>
              <w:rPr>
                <w:rFonts w:hint="eastAsia" w:ascii="宋体" w:hAnsi="宋体"/>
                <w:color w:val="auto"/>
                <w:sz w:val="21"/>
                <w:szCs w:val="21"/>
                <w:highlight w:val="none"/>
                <w:lang w:eastAsia="zh-CN"/>
              </w:rPr>
              <w:t>CMA或CNAS</w:t>
            </w:r>
            <w:r>
              <w:rPr>
                <w:rFonts w:hint="eastAsia" w:ascii="宋体" w:hAnsi="宋体"/>
                <w:color w:val="auto"/>
                <w:sz w:val="21"/>
                <w:szCs w:val="21"/>
                <w:highlight w:val="none"/>
              </w:rPr>
              <w:t xml:space="preserve">标识第三方检测机构检测报告复印件）                                                </w:t>
            </w:r>
          </w:p>
          <w:p w14:paraId="65BF35D4">
            <w:pPr>
              <w:widowControl/>
              <w:jc w:val="left"/>
              <w:rPr>
                <w:rFonts w:ascii="宋体" w:hAnsi="宋体"/>
                <w:color w:val="auto"/>
                <w:sz w:val="21"/>
                <w:szCs w:val="21"/>
                <w:highlight w:val="none"/>
              </w:rPr>
            </w:pPr>
            <w:r>
              <w:rPr>
                <w:rFonts w:hint="eastAsia" w:ascii="宋体" w:hAnsi="宋体"/>
                <w:color w:val="auto"/>
                <w:sz w:val="21"/>
                <w:szCs w:val="21"/>
                <w:highlight w:val="none"/>
              </w:rPr>
              <w:t>12、支持双网络两种方式同时对信号进行传输，保障系统稳定性。同时设备供电支持POE供电，可通过双电源的模式保障设备稳定运行。</w:t>
            </w:r>
          </w:p>
        </w:tc>
      </w:tr>
      <w:tr w14:paraId="08101E0C">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666901E8">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ascii="宋体" w:hAnsi="宋体"/>
                <w:color w:val="auto"/>
                <w:sz w:val="21"/>
                <w:szCs w:val="21"/>
                <w:highlight w:val="none"/>
              </w:rPr>
              <w:t>.4</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346975CF">
            <w:pPr>
              <w:widowControl/>
              <w:jc w:val="center"/>
              <w:rPr>
                <w:rFonts w:ascii="宋体" w:hAnsi="宋体"/>
                <w:color w:val="auto"/>
                <w:sz w:val="21"/>
                <w:szCs w:val="21"/>
                <w:highlight w:val="none"/>
              </w:rPr>
            </w:pPr>
            <w:r>
              <w:rPr>
                <w:rFonts w:ascii="宋体" w:hAnsi="宋体"/>
                <w:color w:val="auto"/>
                <w:sz w:val="21"/>
                <w:szCs w:val="21"/>
                <w:highlight w:val="none"/>
              </w:rPr>
              <w:t>电源</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0F68F8BE">
            <w:pPr>
              <w:widowControl/>
              <w:jc w:val="center"/>
              <w:rPr>
                <w:rFonts w:ascii="宋体" w:hAnsi="宋体"/>
                <w:color w:val="auto"/>
                <w:sz w:val="21"/>
                <w:szCs w:val="21"/>
                <w:highlight w:val="none"/>
              </w:rPr>
            </w:pPr>
            <w:r>
              <w:rPr>
                <w:rFonts w:ascii="宋体" w:hAnsi="宋体"/>
                <w:color w:val="auto"/>
                <w:sz w:val="21"/>
                <w:szCs w:val="21"/>
                <w:highlight w:val="none"/>
              </w:rPr>
              <w:t>个</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51B0BBCD">
            <w:pPr>
              <w:widowControl/>
              <w:jc w:val="center"/>
              <w:rPr>
                <w:rFonts w:ascii="宋体" w:hAnsi="宋体"/>
                <w:color w:val="auto"/>
                <w:sz w:val="21"/>
                <w:szCs w:val="21"/>
                <w:highlight w:val="none"/>
              </w:rPr>
            </w:pPr>
            <w:r>
              <w:rPr>
                <w:rFonts w:ascii="宋体" w:hAnsi="宋体"/>
                <w:color w:val="auto"/>
                <w:sz w:val="21"/>
                <w:szCs w:val="21"/>
                <w:highlight w:val="none"/>
              </w:rPr>
              <w:t>65</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3ABE8E2D">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1、额定输入电压：200VAC-240VAC；</w:t>
            </w:r>
          </w:p>
          <w:p w14:paraId="5CE9F16D">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2、输入频率：47Hz-63Hz；</w:t>
            </w:r>
          </w:p>
          <w:p w14:paraId="3FF8519B">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3、工作温度：-40°C-70°C；</w:t>
            </w:r>
          </w:p>
          <w:p w14:paraId="4944A812">
            <w:pPr>
              <w:widowControl/>
              <w:jc w:val="left"/>
              <w:rPr>
                <w:rFonts w:ascii="宋体" w:hAnsi="宋体"/>
                <w:color w:val="auto"/>
                <w:sz w:val="21"/>
                <w:szCs w:val="21"/>
                <w:highlight w:val="none"/>
              </w:rPr>
            </w:pPr>
            <w:r>
              <w:rPr>
                <w:rFonts w:hint="eastAsia" w:ascii="宋体" w:hAnsi="宋体"/>
                <w:color w:val="auto"/>
                <w:sz w:val="21"/>
                <w:szCs w:val="21"/>
                <w:highlight w:val="none"/>
              </w:rPr>
              <w:t>4、工作湿度：20%RH-90%RH。</w:t>
            </w:r>
          </w:p>
        </w:tc>
      </w:tr>
      <w:tr w14:paraId="2F5BA0CC">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0E473B65">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ascii="宋体" w:hAnsi="宋体"/>
                <w:color w:val="auto"/>
                <w:sz w:val="21"/>
                <w:szCs w:val="21"/>
                <w:highlight w:val="none"/>
              </w:rPr>
              <w:t>.5</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7C5D8820">
            <w:pPr>
              <w:widowControl/>
              <w:jc w:val="center"/>
              <w:rPr>
                <w:rFonts w:ascii="宋体" w:hAnsi="宋体"/>
                <w:color w:val="auto"/>
                <w:sz w:val="21"/>
                <w:szCs w:val="21"/>
                <w:highlight w:val="none"/>
              </w:rPr>
            </w:pPr>
            <w:r>
              <w:rPr>
                <w:rFonts w:ascii="宋体" w:hAnsi="宋体"/>
                <w:color w:val="auto"/>
                <w:sz w:val="21"/>
                <w:szCs w:val="21"/>
                <w:highlight w:val="none"/>
              </w:rPr>
              <w:t>箱体</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37DA420E">
            <w:pPr>
              <w:widowControl/>
              <w:jc w:val="center"/>
              <w:rPr>
                <w:rFonts w:ascii="宋体" w:hAnsi="宋体"/>
                <w:color w:val="auto"/>
                <w:sz w:val="21"/>
                <w:szCs w:val="21"/>
                <w:highlight w:val="none"/>
              </w:rPr>
            </w:pPr>
            <w:r>
              <w:rPr>
                <w:rFonts w:ascii="宋体" w:hAnsi="宋体"/>
                <w:color w:val="auto"/>
                <w:sz w:val="21"/>
                <w:szCs w:val="21"/>
                <w:highlight w:val="none"/>
              </w:rPr>
              <w:t>平方米</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29561543">
            <w:pPr>
              <w:widowControl/>
              <w:jc w:val="center"/>
              <w:rPr>
                <w:rFonts w:ascii="宋体" w:hAnsi="宋体"/>
                <w:color w:val="auto"/>
                <w:sz w:val="21"/>
                <w:szCs w:val="21"/>
                <w:highlight w:val="none"/>
              </w:rPr>
            </w:pPr>
            <w:r>
              <w:rPr>
                <w:rFonts w:ascii="宋体" w:hAnsi="宋体"/>
                <w:color w:val="auto"/>
                <w:sz w:val="21"/>
                <w:szCs w:val="21"/>
                <w:highlight w:val="none"/>
              </w:rPr>
              <w:t>13.06</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6736EC8A">
            <w:pPr>
              <w:widowControl/>
              <w:jc w:val="left"/>
              <w:rPr>
                <w:rFonts w:ascii="宋体" w:hAnsi="宋体"/>
                <w:color w:val="auto"/>
                <w:sz w:val="21"/>
                <w:szCs w:val="21"/>
                <w:highlight w:val="none"/>
              </w:rPr>
            </w:pPr>
            <w:r>
              <w:rPr>
                <w:rFonts w:hint="eastAsia" w:ascii="宋体" w:hAnsi="宋体"/>
                <w:color w:val="auto"/>
                <w:sz w:val="21"/>
                <w:szCs w:val="21"/>
                <w:highlight w:val="none"/>
              </w:rPr>
              <w:t>1、尺寸≥640*640mm ，厚度≥65mm。</w:t>
            </w:r>
          </w:p>
        </w:tc>
      </w:tr>
      <w:tr w14:paraId="2E68A4B8">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687F752E">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ascii="宋体" w:hAnsi="宋体"/>
                <w:color w:val="auto"/>
                <w:sz w:val="21"/>
                <w:szCs w:val="21"/>
                <w:highlight w:val="none"/>
              </w:rPr>
              <w:t>.6</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3BA54271">
            <w:pPr>
              <w:widowControl/>
              <w:jc w:val="center"/>
              <w:rPr>
                <w:rFonts w:ascii="宋体" w:hAnsi="宋体"/>
                <w:color w:val="auto"/>
                <w:sz w:val="21"/>
                <w:szCs w:val="21"/>
                <w:highlight w:val="none"/>
              </w:rPr>
            </w:pPr>
            <w:r>
              <w:rPr>
                <w:rFonts w:ascii="宋体" w:hAnsi="宋体"/>
                <w:color w:val="auto"/>
                <w:sz w:val="21"/>
                <w:szCs w:val="21"/>
                <w:highlight w:val="none"/>
              </w:rPr>
              <w:t>智能配电箱</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3AA6B21D">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8C190E2">
            <w:pPr>
              <w:widowControl/>
              <w:jc w:val="center"/>
              <w:rPr>
                <w:rFonts w:ascii="宋体" w:hAnsi="宋体"/>
                <w:color w:val="auto"/>
                <w:sz w:val="21"/>
                <w:szCs w:val="21"/>
                <w:highlight w:val="none"/>
              </w:rPr>
            </w:pPr>
            <w:r>
              <w:rPr>
                <w:rFonts w:ascii="宋体" w:hAnsi="宋体"/>
                <w:color w:val="auto"/>
                <w:sz w:val="21"/>
                <w:szCs w:val="21"/>
                <w:highlight w:val="none"/>
              </w:rPr>
              <w:t>1</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53EC02A9">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1、20kw 同时具有PLC功能</w:t>
            </w:r>
          </w:p>
          <w:p w14:paraId="29580348">
            <w:pPr>
              <w:widowControl/>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2、为了方便对LED显示屏的使用，进一步提高系统的智能化管理和动力电源的集成度与稳定性，采用“显示屏智能上电系统”</w:t>
            </w:r>
            <w:r>
              <w:rPr>
                <w:rFonts w:hint="eastAsia" w:ascii="宋体" w:hAnsi="宋体"/>
                <w:color w:val="auto"/>
                <w:sz w:val="21"/>
                <w:szCs w:val="21"/>
                <w:highlight w:val="none"/>
                <w:lang w:eastAsia="zh-CN"/>
              </w:rPr>
              <w:t>。</w:t>
            </w:r>
          </w:p>
          <w:p w14:paraId="1A09A78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3、通过该系统可以实现对LED显示屏的远程有线控制上电，实现定时开关屏体，方便用户的使用。</w:t>
            </w:r>
          </w:p>
          <w:p w14:paraId="45EBDA18">
            <w:pPr>
              <w:widowControl/>
              <w:jc w:val="left"/>
              <w:rPr>
                <w:rFonts w:ascii="宋体" w:hAnsi="宋体"/>
                <w:color w:val="auto"/>
                <w:sz w:val="21"/>
                <w:szCs w:val="21"/>
                <w:highlight w:val="none"/>
              </w:rPr>
            </w:pPr>
            <w:r>
              <w:rPr>
                <w:rFonts w:hint="eastAsia" w:ascii="宋体" w:hAnsi="宋体"/>
                <w:color w:val="auto"/>
                <w:sz w:val="21"/>
                <w:szCs w:val="21"/>
                <w:highlight w:val="none"/>
              </w:rPr>
              <w:t xml:space="preserve">4、同时，屏体采用“分步加电”的上电方式，既要避免大负载对电网瞬间的冲击，又要有效地保护显示屏体的工作组件，延长屏体的使用寿命。                                           </w:t>
            </w:r>
          </w:p>
        </w:tc>
      </w:tr>
      <w:tr w14:paraId="42A4A9CF">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6AD1BFC0">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ascii="宋体" w:hAnsi="宋体"/>
                <w:color w:val="auto"/>
                <w:sz w:val="21"/>
                <w:szCs w:val="21"/>
                <w:highlight w:val="none"/>
              </w:rPr>
              <w:t>.7</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66E2D60F">
            <w:pPr>
              <w:widowControl/>
              <w:jc w:val="center"/>
              <w:rPr>
                <w:rFonts w:ascii="宋体" w:hAnsi="宋体"/>
                <w:color w:val="auto"/>
                <w:sz w:val="21"/>
                <w:szCs w:val="21"/>
                <w:highlight w:val="none"/>
              </w:rPr>
            </w:pPr>
            <w:r>
              <w:rPr>
                <w:rFonts w:ascii="宋体" w:hAnsi="宋体"/>
                <w:color w:val="auto"/>
                <w:sz w:val="21"/>
                <w:szCs w:val="21"/>
                <w:highlight w:val="none"/>
              </w:rPr>
              <w:t>屏体框架</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6F2396F1">
            <w:pPr>
              <w:widowControl/>
              <w:jc w:val="center"/>
              <w:rPr>
                <w:rFonts w:ascii="宋体" w:hAnsi="宋体"/>
                <w:color w:val="auto"/>
                <w:sz w:val="21"/>
                <w:szCs w:val="21"/>
                <w:highlight w:val="none"/>
              </w:rPr>
            </w:pPr>
            <w:r>
              <w:rPr>
                <w:rFonts w:ascii="宋体" w:hAnsi="宋体"/>
                <w:color w:val="auto"/>
                <w:sz w:val="21"/>
                <w:szCs w:val="21"/>
                <w:highlight w:val="none"/>
              </w:rPr>
              <w:t>平方米</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C83A843">
            <w:pPr>
              <w:widowControl/>
              <w:jc w:val="center"/>
              <w:rPr>
                <w:rFonts w:ascii="宋体" w:hAnsi="宋体"/>
                <w:color w:val="auto"/>
                <w:sz w:val="21"/>
                <w:szCs w:val="21"/>
                <w:highlight w:val="none"/>
              </w:rPr>
            </w:pPr>
            <w:r>
              <w:rPr>
                <w:rFonts w:ascii="宋体" w:hAnsi="宋体"/>
                <w:color w:val="auto"/>
                <w:sz w:val="21"/>
                <w:szCs w:val="21"/>
                <w:highlight w:val="none"/>
              </w:rPr>
              <w:t>14</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42EBE01C">
            <w:pPr>
              <w:widowControl/>
              <w:jc w:val="left"/>
              <w:rPr>
                <w:rFonts w:ascii="宋体" w:hAnsi="宋体"/>
                <w:color w:val="auto"/>
                <w:sz w:val="21"/>
                <w:szCs w:val="21"/>
                <w:highlight w:val="none"/>
              </w:rPr>
            </w:pPr>
            <w:r>
              <w:rPr>
                <w:rFonts w:hint="eastAsia" w:ascii="宋体" w:hAnsi="宋体"/>
                <w:color w:val="auto"/>
                <w:sz w:val="21"/>
                <w:szCs w:val="21"/>
                <w:highlight w:val="none"/>
              </w:rPr>
              <w:t>1、屏体主（内）框架为235材质的镀锌钢架结构，主要材料4×4方钢。</w:t>
            </w:r>
          </w:p>
        </w:tc>
      </w:tr>
      <w:tr w14:paraId="5D8A6E2D">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0E3D124A">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ascii="宋体" w:hAnsi="宋体"/>
                <w:color w:val="auto"/>
                <w:sz w:val="21"/>
                <w:szCs w:val="21"/>
                <w:highlight w:val="none"/>
              </w:rPr>
              <w:t>.8</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32C3903E">
            <w:pPr>
              <w:widowControl/>
              <w:jc w:val="center"/>
              <w:rPr>
                <w:rFonts w:ascii="宋体" w:hAnsi="宋体"/>
                <w:color w:val="auto"/>
                <w:sz w:val="21"/>
                <w:szCs w:val="21"/>
                <w:highlight w:val="none"/>
              </w:rPr>
            </w:pPr>
            <w:r>
              <w:rPr>
                <w:rFonts w:ascii="宋体" w:hAnsi="宋体"/>
                <w:color w:val="auto"/>
                <w:sz w:val="21"/>
                <w:szCs w:val="21"/>
                <w:highlight w:val="none"/>
              </w:rPr>
              <w:t>播控软件</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3AC2C091">
            <w:pPr>
              <w:widowControl/>
              <w:jc w:val="center"/>
              <w:rPr>
                <w:rFonts w:ascii="宋体" w:hAnsi="宋体"/>
                <w:color w:val="auto"/>
                <w:sz w:val="21"/>
                <w:szCs w:val="21"/>
                <w:highlight w:val="none"/>
              </w:rPr>
            </w:pPr>
            <w:r>
              <w:rPr>
                <w:rFonts w:ascii="宋体" w:hAnsi="宋体"/>
                <w:color w:val="auto"/>
                <w:sz w:val="21"/>
                <w:szCs w:val="21"/>
                <w:highlight w:val="none"/>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012F164E">
            <w:pPr>
              <w:widowControl/>
              <w:jc w:val="center"/>
              <w:rPr>
                <w:rFonts w:ascii="宋体" w:hAnsi="宋体"/>
                <w:color w:val="auto"/>
                <w:sz w:val="21"/>
                <w:szCs w:val="21"/>
                <w:highlight w:val="none"/>
              </w:rPr>
            </w:pPr>
            <w:r>
              <w:rPr>
                <w:rFonts w:ascii="宋体" w:hAnsi="宋体"/>
                <w:color w:val="auto"/>
                <w:sz w:val="21"/>
                <w:szCs w:val="21"/>
                <w:highlight w:val="none"/>
              </w:rPr>
              <w:t>1</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0EBA7CFD">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1、系统控制端同时采用B/S、C/S架构，显示系统支持通过显卡将显示内容推送至显示屏，显示视频、图片、PDF、Execl、Word、网页、Windoows应用程序内容，系统控制端同时具备B/S、C/S构架。</w:t>
            </w:r>
          </w:p>
          <w:p w14:paraId="573C925C">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2、系统支持通过采集接入外部信号，可以达到3840X2160P@24/25/30fps，支持显示外部接入的C-Video标清视频信号、YPbPr/HDMI/HD-SDI高清视频信号。</w:t>
            </w:r>
          </w:p>
          <w:p w14:paraId="105332D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3、系统提供固定显示布局，显示内容能根据窗口位置和大小自动填充。服务端可自动适配显示。</w:t>
            </w:r>
          </w:p>
          <w:p w14:paraId="6126099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4、▲系统支持延时、快速切换方式实现窗口显示内容的交换操作。系统支持根据预先创建的显示布局样式，对显示窗口进行自动套用排列，可根据不同窗口数量，自动套用预先设置好的对应窗口数量的显示布局样式，可实现显示内容的快速打开、排列。（需提供具有</w:t>
            </w:r>
            <w:r>
              <w:rPr>
                <w:rFonts w:hint="eastAsia" w:ascii="宋体" w:hAnsi="宋体"/>
                <w:color w:val="auto"/>
                <w:sz w:val="21"/>
                <w:szCs w:val="21"/>
                <w:highlight w:val="none"/>
                <w:lang w:eastAsia="zh-CN"/>
              </w:rPr>
              <w:t>CMA或CNAS</w:t>
            </w:r>
            <w:r>
              <w:rPr>
                <w:rFonts w:hint="eastAsia" w:ascii="宋体" w:hAnsi="宋体"/>
                <w:color w:val="auto"/>
                <w:sz w:val="21"/>
                <w:szCs w:val="21"/>
                <w:highlight w:val="none"/>
              </w:rPr>
              <w:t>标识第三方检测机构检测报告复印件）</w:t>
            </w:r>
          </w:p>
          <w:p w14:paraId="5400ACE5">
            <w:pPr>
              <w:widowControl/>
              <w:jc w:val="left"/>
              <w:rPr>
                <w:rFonts w:hint="eastAsia" w:ascii="宋体" w:hAnsi="宋体"/>
                <w:color w:val="auto"/>
                <w:sz w:val="21"/>
                <w:szCs w:val="21"/>
                <w:highlight w:val="none"/>
              </w:rPr>
            </w:pPr>
            <w:r>
              <w:rPr>
                <w:rFonts w:hint="eastAsia" w:ascii="宋体" w:hAnsi="宋体"/>
                <w:color w:val="auto"/>
                <w:sz w:val="21"/>
                <w:szCs w:val="21"/>
                <w:highlight w:val="none"/>
              </w:rPr>
              <w:t>5、支持多种方式的视频信号接入（采集卡、Windows&amp;IOS&amp;Android平台的智能设备）；支持IOS设备通过自带的Airplay直接推送视频信号；支持6个设备通过无线投屏同时推送视频信号支持根据显示屏实际分辨率即可点对点显示采集内容。</w:t>
            </w:r>
          </w:p>
          <w:p w14:paraId="250F9608">
            <w:pPr>
              <w:widowControl/>
              <w:jc w:val="left"/>
              <w:rPr>
                <w:rFonts w:hint="eastAsia" w:ascii="宋体" w:hAnsi="宋体"/>
                <w:color w:val="auto"/>
                <w:sz w:val="21"/>
                <w:szCs w:val="21"/>
                <w:highlight w:val="none"/>
              </w:rPr>
            </w:pPr>
            <w:r>
              <w:rPr>
                <w:rFonts w:hint="eastAsia" w:ascii="宋体" w:hAnsi="宋体"/>
                <w:color w:val="auto"/>
                <w:sz w:val="21"/>
                <w:szCs w:val="21"/>
                <w:highlight w:val="none"/>
              </w:rPr>
              <w:t>6、支持创建组合指令控制，通过一个指令可以触发多个控制指令，可设定每个指令执行的指令及指令执行的间隔时间；支持与视频拼接处理器、视频控台进行联动控制，同时支持灯光、音乐、供电系统的控制协议，可完成声光电一体化控制，根据控制设备不同，支持编辑控制协议。。</w:t>
            </w:r>
          </w:p>
          <w:p w14:paraId="75C4E061">
            <w:pPr>
              <w:widowControl/>
              <w:jc w:val="left"/>
              <w:rPr>
                <w:rFonts w:hint="eastAsia" w:ascii="宋体" w:hAnsi="宋体"/>
                <w:color w:val="auto"/>
                <w:sz w:val="21"/>
                <w:szCs w:val="21"/>
                <w:highlight w:val="none"/>
              </w:rPr>
            </w:pPr>
            <w:r>
              <w:rPr>
                <w:rFonts w:hint="eastAsia" w:ascii="宋体" w:hAnsi="宋体"/>
                <w:color w:val="auto"/>
                <w:sz w:val="21"/>
                <w:szCs w:val="21"/>
                <w:highlight w:val="none"/>
              </w:rPr>
              <w:t>7、支持通过IP地址和端口登录高分可视化显示主机；支持多平台登录（Windows&amp;IOS&amp;Android）；支持完整的登录界面展现和功能需求（用户名、密码、登入/退出、错误提示）；无需执行退出、登录操作，客户端支持切换控制多台媒体服务器。</w:t>
            </w:r>
          </w:p>
          <w:p w14:paraId="06847B05">
            <w:pPr>
              <w:widowControl/>
              <w:jc w:val="left"/>
              <w:rPr>
                <w:rFonts w:ascii="宋体" w:hAnsi="宋体"/>
                <w:color w:val="auto"/>
                <w:sz w:val="21"/>
                <w:szCs w:val="21"/>
                <w:highlight w:val="none"/>
              </w:rPr>
            </w:pPr>
            <w:r>
              <w:rPr>
                <w:rFonts w:hint="eastAsia" w:ascii="宋体" w:hAnsi="宋体"/>
                <w:color w:val="auto"/>
                <w:sz w:val="21"/>
                <w:szCs w:val="21"/>
                <w:highlight w:val="none"/>
              </w:rPr>
              <w:t>8、支持接入网路流媒体视频；支持接入IP视频，支持ONVIF网络摄像机（Lumens型FULLHD全高清型网络摄像机）的接入及云台控制；支持管理网页库、接入网页内容；支持保存、调用预设模式。              9、支持可视化编辑，编辑画面布局时实时模拟输出画面，完成所见即所得的节目编辑；支持将设定的预案场景、播放计划、系统参数设置数据进行备份操作，并可以根据需要通过还原功能快速恢复设定。                                                              10、支持在视频采集里查看要采集的设备；支持在媒体文件手动设置上传路径以及上传到服务器；支持远程重启和远程关闭。                                                                          11、支持对打开的窗口进行批注（包括视频、图片、PDF、PPT、Excel、Word、网页、应有程序）；支持对批注进行编辑（大小、颜色、擦除、删除）。</w:t>
            </w:r>
          </w:p>
        </w:tc>
      </w:tr>
      <w:tr w14:paraId="22BD6963">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33E6695A">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ascii="宋体" w:hAnsi="宋体"/>
                <w:color w:val="auto"/>
                <w:sz w:val="21"/>
                <w:szCs w:val="21"/>
                <w:highlight w:val="none"/>
              </w:rPr>
              <w:t>.9</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7A3CE9ED">
            <w:pPr>
              <w:widowControl/>
              <w:jc w:val="center"/>
              <w:rPr>
                <w:rFonts w:ascii="宋体" w:hAnsi="宋体"/>
                <w:color w:val="auto"/>
                <w:sz w:val="21"/>
                <w:szCs w:val="21"/>
                <w:highlight w:val="none"/>
              </w:rPr>
            </w:pPr>
            <w:r>
              <w:rPr>
                <w:rFonts w:ascii="宋体" w:hAnsi="宋体"/>
                <w:color w:val="auto"/>
                <w:sz w:val="21"/>
                <w:szCs w:val="21"/>
                <w:highlight w:val="none"/>
              </w:rPr>
              <w:t>交换机</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0630251C">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359A780">
            <w:pPr>
              <w:widowControl/>
              <w:jc w:val="center"/>
              <w:rPr>
                <w:rFonts w:ascii="宋体" w:hAnsi="宋体"/>
                <w:color w:val="auto"/>
                <w:sz w:val="21"/>
                <w:szCs w:val="21"/>
                <w:highlight w:val="none"/>
              </w:rPr>
            </w:pPr>
            <w:r>
              <w:rPr>
                <w:rFonts w:ascii="宋体" w:hAnsi="宋体"/>
                <w:color w:val="auto"/>
                <w:sz w:val="21"/>
                <w:szCs w:val="21"/>
                <w:highlight w:val="none"/>
              </w:rPr>
              <w:t>1</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1C6EC84B">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1、交换容量：≥598Gbps/5.98Tbps；</w:t>
            </w:r>
          </w:p>
          <w:p w14:paraId="2AC6435A">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2、包转发率：≥148Mpps/222Mpps；</w:t>
            </w:r>
          </w:p>
          <w:p w14:paraId="53A9C1D4">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3、业务端口≥24个10/100/1000BASE-T 端口；</w:t>
            </w:r>
          </w:p>
          <w:p w14:paraId="78956D06">
            <w:pPr>
              <w:widowControl/>
              <w:jc w:val="left"/>
              <w:rPr>
                <w:rFonts w:ascii="宋体" w:hAnsi="宋体"/>
                <w:color w:val="auto"/>
                <w:sz w:val="21"/>
                <w:szCs w:val="21"/>
                <w:highlight w:val="none"/>
              </w:rPr>
            </w:pPr>
            <w:r>
              <w:rPr>
                <w:rFonts w:hint="eastAsia" w:ascii="宋体" w:hAnsi="宋体"/>
                <w:color w:val="auto"/>
                <w:sz w:val="21"/>
                <w:szCs w:val="21"/>
                <w:highlight w:val="none"/>
              </w:rPr>
              <w:t>4、≥4个1G/10GBASE-X SFP Plus 端口。</w:t>
            </w:r>
          </w:p>
        </w:tc>
      </w:tr>
      <w:tr w14:paraId="639F545D">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25E22AAE">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ascii="宋体" w:hAnsi="宋体"/>
                <w:color w:val="auto"/>
                <w:sz w:val="21"/>
                <w:szCs w:val="21"/>
                <w:highlight w:val="none"/>
              </w:rPr>
              <w:t>.10</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3993F9C7">
            <w:pPr>
              <w:widowControl/>
              <w:jc w:val="center"/>
              <w:rPr>
                <w:rFonts w:ascii="宋体" w:hAnsi="宋体"/>
                <w:color w:val="auto"/>
                <w:sz w:val="21"/>
                <w:szCs w:val="21"/>
                <w:highlight w:val="none"/>
              </w:rPr>
            </w:pPr>
            <w:r>
              <w:rPr>
                <w:rFonts w:ascii="宋体" w:hAnsi="宋体"/>
                <w:color w:val="auto"/>
                <w:sz w:val="21"/>
                <w:szCs w:val="21"/>
                <w:highlight w:val="none"/>
              </w:rPr>
              <w:t>万兆模块</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062D34B6">
            <w:pPr>
              <w:widowControl/>
              <w:jc w:val="center"/>
              <w:rPr>
                <w:rFonts w:ascii="宋体" w:hAnsi="宋体"/>
                <w:color w:val="auto"/>
                <w:sz w:val="21"/>
                <w:szCs w:val="21"/>
                <w:highlight w:val="none"/>
              </w:rPr>
            </w:pPr>
            <w:r>
              <w:rPr>
                <w:rFonts w:ascii="宋体" w:hAnsi="宋体"/>
                <w:color w:val="auto"/>
                <w:sz w:val="21"/>
                <w:szCs w:val="21"/>
                <w:highlight w:val="none"/>
              </w:rPr>
              <w:t>个</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342431FC">
            <w:pPr>
              <w:widowControl/>
              <w:jc w:val="center"/>
              <w:rPr>
                <w:rFonts w:ascii="宋体" w:hAnsi="宋体"/>
                <w:color w:val="auto"/>
                <w:sz w:val="21"/>
                <w:szCs w:val="21"/>
                <w:highlight w:val="none"/>
              </w:rPr>
            </w:pPr>
            <w:r>
              <w:rPr>
                <w:rFonts w:ascii="宋体" w:hAnsi="宋体"/>
                <w:color w:val="auto"/>
                <w:sz w:val="21"/>
                <w:szCs w:val="21"/>
                <w:highlight w:val="none"/>
              </w:rPr>
              <w:t>2</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2363A46F">
            <w:pPr>
              <w:widowControl/>
              <w:jc w:val="left"/>
              <w:rPr>
                <w:rFonts w:ascii="宋体" w:hAnsi="宋体"/>
                <w:color w:val="auto"/>
                <w:sz w:val="21"/>
                <w:szCs w:val="21"/>
                <w:highlight w:val="none"/>
              </w:rPr>
            </w:pPr>
            <w:r>
              <w:rPr>
                <w:rFonts w:hint="eastAsia" w:ascii="宋体" w:hAnsi="宋体"/>
                <w:color w:val="auto"/>
                <w:sz w:val="21"/>
                <w:szCs w:val="21"/>
                <w:highlight w:val="none"/>
              </w:rPr>
              <w:t>1、SFP+ 万兆光模块(1310nm,10km,LX,LC)。</w:t>
            </w:r>
          </w:p>
        </w:tc>
      </w:tr>
      <w:tr w14:paraId="7D1060C8">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30371F50">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ascii="宋体" w:hAnsi="宋体"/>
                <w:color w:val="auto"/>
                <w:sz w:val="21"/>
                <w:szCs w:val="21"/>
                <w:highlight w:val="none"/>
              </w:rPr>
              <w:t>.11</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1E058D5D">
            <w:pPr>
              <w:widowControl/>
              <w:jc w:val="center"/>
              <w:rPr>
                <w:rFonts w:ascii="宋体" w:hAnsi="宋体"/>
                <w:color w:val="auto"/>
                <w:sz w:val="21"/>
                <w:szCs w:val="21"/>
                <w:highlight w:val="none"/>
              </w:rPr>
            </w:pPr>
            <w:r>
              <w:rPr>
                <w:rFonts w:ascii="宋体" w:hAnsi="宋体"/>
                <w:color w:val="auto"/>
                <w:sz w:val="21"/>
                <w:szCs w:val="21"/>
                <w:highlight w:val="none"/>
              </w:rPr>
              <w:t>无线AP</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15898A14">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F87D85F">
            <w:pPr>
              <w:widowControl/>
              <w:jc w:val="center"/>
              <w:rPr>
                <w:rFonts w:ascii="宋体" w:hAnsi="宋体"/>
                <w:color w:val="auto"/>
                <w:sz w:val="21"/>
                <w:szCs w:val="21"/>
                <w:highlight w:val="none"/>
              </w:rPr>
            </w:pPr>
            <w:r>
              <w:rPr>
                <w:rFonts w:ascii="宋体" w:hAnsi="宋体"/>
                <w:color w:val="auto"/>
                <w:sz w:val="21"/>
                <w:szCs w:val="21"/>
                <w:highlight w:val="none"/>
              </w:rPr>
              <w:t>1</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653C755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1、最高传输速率：≥2.975Gbps；</w:t>
            </w:r>
          </w:p>
          <w:p w14:paraId="5F177A59">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2、可同时在线的用户数量：≤80；</w:t>
            </w:r>
          </w:p>
          <w:p w14:paraId="75EE98E0">
            <w:pPr>
              <w:widowControl/>
              <w:jc w:val="left"/>
              <w:rPr>
                <w:rFonts w:ascii="宋体" w:hAnsi="宋体"/>
                <w:color w:val="auto"/>
                <w:sz w:val="21"/>
                <w:szCs w:val="21"/>
                <w:highlight w:val="none"/>
              </w:rPr>
            </w:pPr>
            <w:r>
              <w:rPr>
                <w:rFonts w:hint="eastAsia" w:ascii="宋体" w:hAnsi="宋体"/>
                <w:color w:val="auto"/>
                <w:sz w:val="21"/>
                <w:szCs w:val="21"/>
                <w:highlight w:val="none"/>
              </w:rPr>
              <w:t>3、最大发射功率：≥2.4G。</w:t>
            </w:r>
          </w:p>
        </w:tc>
      </w:tr>
      <w:tr w14:paraId="31C64F40">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7CF98F94">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ascii="宋体" w:hAnsi="宋体"/>
                <w:color w:val="auto"/>
                <w:sz w:val="21"/>
                <w:szCs w:val="21"/>
                <w:highlight w:val="none"/>
              </w:rPr>
              <w:t>.12</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388F6E85">
            <w:pPr>
              <w:widowControl/>
              <w:jc w:val="center"/>
              <w:rPr>
                <w:rFonts w:ascii="宋体" w:hAnsi="宋体"/>
                <w:color w:val="auto"/>
                <w:sz w:val="21"/>
                <w:szCs w:val="21"/>
                <w:highlight w:val="none"/>
              </w:rPr>
            </w:pPr>
            <w:r>
              <w:rPr>
                <w:rFonts w:ascii="宋体" w:hAnsi="宋体"/>
                <w:color w:val="auto"/>
                <w:sz w:val="21"/>
                <w:szCs w:val="21"/>
                <w:highlight w:val="none"/>
              </w:rPr>
              <w:t>无线投屏</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69241EC0">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25D92F0">
            <w:pPr>
              <w:widowControl/>
              <w:jc w:val="center"/>
              <w:rPr>
                <w:rFonts w:ascii="宋体" w:hAnsi="宋体"/>
                <w:color w:val="auto"/>
                <w:sz w:val="21"/>
                <w:szCs w:val="21"/>
                <w:highlight w:val="none"/>
              </w:rPr>
            </w:pPr>
            <w:r>
              <w:rPr>
                <w:rFonts w:ascii="宋体" w:hAnsi="宋体"/>
                <w:color w:val="auto"/>
                <w:sz w:val="21"/>
                <w:szCs w:val="21"/>
                <w:highlight w:val="none"/>
              </w:rPr>
              <w:t>1</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597273C7">
            <w:pPr>
              <w:widowControl/>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1、传屏器：≥1个USB传屏器；</w:t>
            </w:r>
          </w:p>
          <w:p w14:paraId="5D560109">
            <w:pPr>
              <w:widowControl/>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2、内置操作系统，采用配置≥Mali-G52 MP2双核，≥Quad-Core A55四核处理器、≥2G内存、≥16GB存储空间；</w:t>
            </w:r>
          </w:p>
          <w:p w14:paraId="043B3C77">
            <w:pPr>
              <w:widowControl/>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3、支持将国产信创系统显示内容以无线形式同屏到任何显示终端上；</w:t>
            </w:r>
          </w:p>
          <w:p w14:paraId="008D94B7">
            <w:pPr>
              <w:widowControl/>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4、接收机带载投屏器数量≥16个；同时投屏显示设备≥9个；</w:t>
            </w:r>
          </w:p>
          <w:p w14:paraId="6F7D32BC">
            <w:pPr>
              <w:widowControl/>
              <w:jc w:val="left"/>
              <w:rPr>
                <w:rFonts w:ascii="宋体" w:hAnsi="宋体"/>
                <w:color w:val="auto"/>
                <w:sz w:val="21"/>
                <w:szCs w:val="21"/>
                <w:highlight w:val="none"/>
              </w:rPr>
            </w:pPr>
            <w:r>
              <w:rPr>
                <w:rFonts w:hint="eastAsia" w:ascii="宋体" w:hAnsi="宋体" w:cs="宋体"/>
                <w:color w:val="auto"/>
                <w:sz w:val="21"/>
                <w:szCs w:val="21"/>
                <w:highlight w:val="none"/>
                <w:lang w:val="en-US" w:eastAsia="zh-CN"/>
              </w:rPr>
              <w:t>5、输入端口：USB3.0≥1个；USB2.0≥1个；HDMI 2.0（3840p 30帧）≥1个；输出端口：HDMI 2.0（3840p 30帧）≥2个；AUDIO(小三芯接口)≥1个；RJ45≥1个。</w:t>
            </w:r>
          </w:p>
        </w:tc>
      </w:tr>
      <w:tr w14:paraId="77D1447C">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7FE8215F">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ascii="宋体" w:hAnsi="宋体"/>
                <w:color w:val="auto"/>
                <w:sz w:val="21"/>
                <w:szCs w:val="21"/>
                <w:highlight w:val="none"/>
              </w:rPr>
              <w:t>.13</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0608CA93">
            <w:pPr>
              <w:widowControl/>
              <w:jc w:val="center"/>
              <w:rPr>
                <w:rFonts w:ascii="宋体" w:hAnsi="宋体"/>
                <w:color w:val="auto"/>
                <w:sz w:val="21"/>
                <w:szCs w:val="21"/>
                <w:highlight w:val="none"/>
              </w:rPr>
            </w:pPr>
            <w:r>
              <w:rPr>
                <w:rFonts w:ascii="宋体" w:hAnsi="宋体"/>
                <w:color w:val="auto"/>
                <w:sz w:val="21"/>
                <w:szCs w:val="21"/>
                <w:highlight w:val="none"/>
              </w:rPr>
              <w:t>功放</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296E3E40">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2F076D64">
            <w:pPr>
              <w:widowControl/>
              <w:jc w:val="center"/>
              <w:rPr>
                <w:rFonts w:ascii="宋体" w:hAnsi="宋体"/>
                <w:color w:val="auto"/>
                <w:sz w:val="21"/>
                <w:szCs w:val="21"/>
                <w:highlight w:val="none"/>
              </w:rPr>
            </w:pPr>
            <w:r>
              <w:rPr>
                <w:rFonts w:ascii="宋体" w:hAnsi="宋体"/>
                <w:color w:val="auto"/>
                <w:sz w:val="21"/>
                <w:szCs w:val="21"/>
                <w:highlight w:val="none"/>
              </w:rPr>
              <w:t>2</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100A841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1、1U机箱设计；</w:t>
            </w:r>
          </w:p>
          <w:p w14:paraId="5BDB476C">
            <w:pPr>
              <w:widowControl/>
              <w:jc w:val="left"/>
              <w:rPr>
                <w:rFonts w:hint="eastAsia" w:ascii="宋体" w:hAnsi="宋体"/>
                <w:color w:val="auto"/>
                <w:sz w:val="21"/>
                <w:szCs w:val="21"/>
                <w:highlight w:val="none"/>
              </w:rPr>
            </w:pPr>
            <w:r>
              <w:rPr>
                <w:rFonts w:hint="eastAsia" w:ascii="宋体" w:hAnsi="宋体"/>
                <w:color w:val="auto"/>
                <w:sz w:val="21"/>
                <w:szCs w:val="21"/>
                <w:highlight w:val="none"/>
              </w:rPr>
              <w:t xml:space="preserve">2、标准XLR输入接口，和LINK输出口； </w:t>
            </w:r>
          </w:p>
          <w:p w14:paraId="236BC68B">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3、输出功率：立体声@8Ω：≥350W×2；立体声@4Ω：≥600W×2。</w:t>
            </w:r>
          </w:p>
        </w:tc>
      </w:tr>
      <w:tr w14:paraId="7FF3D08F">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5D8C4702">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ascii="宋体" w:hAnsi="宋体"/>
                <w:color w:val="auto"/>
                <w:sz w:val="21"/>
                <w:szCs w:val="21"/>
                <w:highlight w:val="none"/>
              </w:rPr>
              <w:t>.14</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6020C5E8">
            <w:pPr>
              <w:widowControl/>
              <w:jc w:val="center"/>
              <w:rPr>
                <w:rFonts w:ascii="宋体" w:hAnsi="宋体"/>
                <w:color w:val="auto"/>
                <w:sz w:val="21"/>
                <w:szCs w:val="21"/>
                <w:highlight w:val="none"/>
              </w:rPr>
            </w:pPr>
            <w:r>
              <w:rPr>
                <w:rFonts w:ascii="宋体" w:hAnsi="宋体"/>
                <w:color w:val="auto"/>
                <w:sz w:val="21"/>
                <w:szCs w:val="21"/>
                <w:highlight w:val="none"/>
              </w:rPr>
              <w:t>音箱</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2AD75D58">
            <w:pPr>
              <w:widowControl/>
              <w:jc w:val="center"/>
              <w:rPr>
                <w:rFonts w:ascii="宋体" w:hAnsi="宋体"/>
                <w:color w:val="auto"/>
                <w:sz w:val="21"/>
                <w:szCs w:val="21"/>
                <w:highlight w:val="none"/>
              </w:rPr>
            </w:pPr>
            <w:r>
              <w:rPr>
                <w:rFonts w:ascii="宋体" w:hAnsi="宋体"/>
                <w:color w:val="auto"/>
                <w:sz w:val="21"/>
                <w:szCs w:val="21"/>
                <w:highlight w:val="none"/>
              </w:rPr>
              <w:t>个</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222DC154">
            <w:pPr>
              <w:widowControl/>
              <w:jc w:val="center"/>
              <w:rPr>
                <w:rFonts w:ascii="宋体" w:hAnsi="宋体"/>
                <w:color w:val="auto"/>
                <w:sz w:val="21"/>
                <w:szCs w:val="21"/>
                <w:highlight w:val="none"/>
              </w:rPr>
            </w:pPr>
            <w:r>
              <w:rPr>
                <w:rFonts w:ascii="宋体" w:hAnsi="宋体"/>
                <w:color w:val="auto"/>
                <w:sz w:val="21"/>
                <w:szCs w:val="21"/>
                <w:highlight w:val="none"/>
              </w:rPr>
              <w:t>4</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2B531D27">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1、阻抗≤8Ω；</w:t>
            </w:r>
          </w:p>
          <w:p w14:paraId="2B2F37E1">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2、频响等同或优于60Hz~20KHz；</w:t>
            </w:r>
          </w:p>
          <w:p w14:paraId="72DC7EB1">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3、额定功率≥200W；</w:t>
            </w:r>
          </w:p>
          <w:p w14:paraId="24CBED77">
            <w:pPr>
              <w:widowControl/>
              <w:jc w:val="left"/>
              <w:rPr>
                <w:rFonts w:hint="eastAsia" w:ascii="宋体" w:hAnsi="宋体"/>
                <w:color w:val="auto"/>
                <w:sz w:val="21"/>
                <w:szCs w:val="21"/>
                <w:highlight w:val="none"/>
              </w:rPr>
            </w:pPr>
            <w:r>
              <w:rPr>
                <w:rFonts w:hint="eastAsia" w:ascii="宋体" w:hAnsi="宋体"/>
                <w:color w:val="auto"/>
                <w:sz w:val="21"/>
                <w:szCs w:val="21"/>
                <w:highlight w:val="none"/>
              </w:rPr>
              <w:t>4、灵敏度≥96dB/W/M；</w:t>
            </w:r>
          </w:p>
          <w:p w14:paraId="32604840">
            <w:pPr>
              <w:widowControl/>
              <w:jc w:val="left"/>
              <w:rPr>
                <w:rFonts w:hint="eastAsia" w:ascii="宋体" w:hAnsi="宋体"/>
                <w:color w:val="auto"/>
                <w:sz w:val="21"/>
                <w:szCs w:val="21"/>
                <w:highlight w:val="none"/>
              </w:rPr>
            </w:pPr>
            <w:r>
              <w:rPr>
                <w:rFonts w:hint="eastAsia" w:ascii="宋体" w:hAnsi="宋体"/>
                <w:color w:val="auto"/>
                <w:sz w:val="21"/>
                <w:szCs w:val="21"/>
                <w:highlight w:val="none"/>
              </w:rPr>
              <w:t>5、水平覆盖角≥80°，垂直覆盖角≥60°；</w:t>
            </w:r>
          </w:p>
          <w:p w14:paraId="25E8A317">
            <w:pPr>
              <w:widowControl/>
              <w:jc w:val="left"/>
              <w:rPr>
                <w:rFonts w:hint="eastAsia" w:ascii="宋体" w:hAnsi="宋体"/>
                <w:color w:val="auto"/>
                <w:sz w:val="21"/>
                <w:szCs w:val="21"/>
                <w:highlight w:val="none"/>
              </w:rPr>
            </w:pPr>
            <w:r>
              <w:rPr>
                <w:rFonts w:hint="eastAsia" w:ascii="宋体" w:hAnsi="宋体"/>
                <w:color w:val="auto"/>
                <w:sz w:val="21"/>
                <w:szCs w:val="21"/>
                <w:highlight w:val="none"/>
              </w:rPr>
              <w:t>6、高音≥1.4"压缩高音单元×1；</w:t>
            </w:r>
          </w:p>
          <w:p w14:paraId="609CEA0B">
            <w:pPr>
              <w:widowControl/>
              <w:jc w:val="left"/>
              <w:rPr>
                <w:rFonts w:hint="eastAsia" w:ascii="宋体" w:hAnsi="宋体"/>
                <w:color w:val="auto"/>
                <w:sz w:val="21"/>
                <w:szCs w:val="21"/>
                <w:highlight w:val="none"/>
              </w:rPr>
            </w:pPr>
            <w:r>
              <w:rPr>
                <w:rFonts w:hint="eastAsia" w:ascii="宋体" w:hAnsi="宋体"/>
                <w:color w:val="auto"/>
                <w:sz w:val="21"/>
                <w:szCs w:val="21"/>
                <w:highlight w:val="none"/>
              </w:rPr>
              <w:t>7、低音≥8"低音×1。</w:t>
            </w:r>
          </w:p>
          <w:p w14:paraId="20AE50C3">
            <w:pPr>
              <w:widowControl/>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以上参数</w:t>
            </w:r>
            <w:r>
              <w:rPr>
                <w:rFonts w:hint="eastAsia" w:ascii="宋体" w:hAnsi="宋体"/>
                <w:color w:val="auto"/>
                <w:sz w:val="21"/>
                <w:szCs w:val="21"/>
                <w:highlight w:val="none"/>
              </w:rPr>
              <w:t>需提供具有</w:t>
            </w:r>
            <w:r>
              <w:rPr>
                <w:rFonts w:hint="eastAsia" w:ascii="宋体" w:hAnsi="宋体"/>
                <w:color w:val="auto"/>
                <w:sz w:val="21"/>
                <w:szCs w:val="21"/>
                <w:highlight w:val="none"/>
                <w:lang w:eastAsia="zh-CN"/>
              </w:rPr>
              <w:t>CMA或CNAS</w:t>
            </w:r>
            <w:r>
              <w:rPr>
                <w:rFonts w:hint="eastAsia" w:ascii="宋体" w:hAnsi="宋体"/>
                <w:color w:val="auto"/>
                <w:sz w:val="21"/>
                <w:szCs w:val="21"/>
                <w:highlight w:val="none"/>
              </w:rPr>
              <w:t>标识第三方检测机构检测报告复印件</w:t>
            </w:r>
          </w:p>
        </w:tc>
      </w:tr>
      <w:tr w14:paraId="36EF06FA">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48AA5947">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ascii="宋体" w:hAnsi="宋体"/>
                <w:color w:val="auto"/>
                <w:sz w:val="21"/>
                <w:szCs w:val="21"/>
                <w:highlight w:val="none"/>
              </w:rPr>
              <w:t>.15</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29203AD6">
            <w:pPr>
              <w:widowControl/>
              <w:jc w:val="center"/>
              <w:rPr>
                <w:rFonts w:ascii="宋体" w:hAnsi="宋体"/>
                <w:color w:val="auto"/>
                <w:sz w:val="21"/>
                <w:szCs w:val="21"/>
                <w:highlight w:val="none"/>
              </w:rPr>
            </w:pPr>
            <w:r>
              <w:rPr>
                <w:rFonts w:ascii="宋体" w:hAnsi="宋体"/>
                <w:color w:val="auto"/>
                <w:sz w:val="21"/>
                <w:szCs w:val="21"/>
                <w:highlight w:val="none"/>
              </w:rPr>
              <w:t>支架</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20A535A5">
            <w:pPr>
              <w:widowControl/>
              <w:jc w:val="center"/>
              <w:rPr>
                <w:rFonts w:ascii="宋体" w:hAnsi="宋体"/>
                <w:color w:val="auto"/>
                <w:sz w:val="21"/>
                <w:szCs w:val="21"/>
                <w:highlight w:val="none"/>
              </w:rPr>
            </w:pPr>
            <w:r>
              <w:rPr>
                <w:rFonts w:ascii="宋体" w:hAnsi="宋体"/>
                <w:color w:val="auto"/>
                <w:sz w:val="21"/>
                <w:szCs w:val="21"/>
                <w:highlight w:val="none"/>
              </w:rPr>
              <w:t>个</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ECBC800">
            <w:pPr>
              <w:widowControl/>
              <w:jc w:val="center"/>
              <w:rPr>
                <w:rFonts w:ascii="宋体" w:hAnsi="宋体"/>
                <w:color w:val="auto"/>
                <w:sz w:val="21"/>
                <w:szCs w:val="21"/>
                <w:highlight w:val="none"/>
              </w:rPr>
            </w:pPr>
            <w:r>
              <w:rPr>
                <w:rFonts w:ascii="宋体" w:hAnsi="宋体"/>
                <w:color w:val="auto"/>
                <w:sz w:val="21"/>
                <w:szCs w:val="21"/>
                <w:highlight w:val="none"/>
              </w:rPr>
              <w:t>4</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03F8D9E6">
            <w:pPr>
              <w:widowControl/>
              <w:jc w:val="left"/>
              <w:rPr>
                <w:rFonts w:ascii="宋体" w:hAnsi="宋体"/>
                <w:color w:val="auto"/>
                <w:sz w:val="21"/>
                <w:szCs w:val="21"/>
                <w:highlight w:val="none"/>
              </w:rPr>
            </w:pPr>
            <w:r>
              <w:rPr>
                <w:rFonts w:hint="eastAsia" w:ascii="宋体" w:hAnsi="宋体"/>
                <w:color w:val="auto"/>
                <w:sz w:val="21"/>
                <w:szCs w:val="21"/>
                <w:highlight w:val="none"/>
              </w:rPr>
              <w:t>1、音箱支架。</w:t>
            </w:r>
          </w:p>
        </w:tc>
      </w:tr>
      <w:tr w14:paraId="65CAF682">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234B395A">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ascii="宋体" w:hAnsi="宋体"/>
                <w:color w:val="auto"/>
                <w:sz w:val="21"/>
                <w:szCs w:val="21"/>
                <w:highlight w:val="none"/>
              </w:rPr>
              <w:t>.16</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551E4037">
            <w:pPr>
              <w:widowControl/>
              <w:jc w:val="center"/>
              <w:rPr>
                <w:rFonts w:ascii="宋体" w:hAnsi="宋体"/>
                <w:color w:val="auto"/>
                <w:sz w:val="21"/>
                <w:szCs w:val="21"/>
                <w:highlight w:val="none"/>
              </w:rPr>
            </w:pPr>
            <w:r>
              <w:rPr>
                <w:rFonts w:ascii="宋体" w:hAnsi="宋体"/>
                <w:color w:val="auto"/>
                <w:sz w:val="21"/>
                <w:szCs w:val="21"/>
                <w:highlight w:val="none"/>
              </w:rPr>
              <w:t>调音台</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44CB5FF8">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31D159F8">
            <w:pPr>
              <w:widowControl/>
              <w:jc w:val="center"/>
              <w:rPr>
                <w:rFonts w:ascii="宋体" w:hAnsi="宋体"/>
                <w:color w:val="auto"/>
                <w:sz w:val="21"/>
                <w:szCs w:val="21"/>
                <w:highlight w:val="none"/>
              </w:rPr>
            </w:pPr>
            <w:r>
              <w:rPr>
                <w:rFonts w:ascii="宋体" w:hAnsi="宋体"/>
                <w:color w:val="auto"/>
                <w:sz w:val="21"/>
                <w:szCs w:val="21"/>
                <w:highlight w:val="none"/>
              </w:rPr>
              <w:t>1</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2CF35265">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1、支持≥8路麦克风输入兼容6路线路输入接口，支持≥2路立体声输入接口，≥4路RCA输入，话筒接口幻象电源：+48V；</w:t>
            </w:r>
          </w:p>
          <w:p w14:paraId="610B1DE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2、具有≥2组立体主输出、≥4路编组输出、≥4路辅助输出、≥1组立体声监听输出、≥1个耳机监听输出、≥1个效果输出、≥1组主混音断点插入、≥6个断点插入；</w:t>
            </w:r>
          </w:p>
          <w:p w14:paraId="13C20D08">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3、内置≥24位DSP效果器，提供≥100种预设效果；</w:t>
            </w:r>
          </w:p>
          <w:p w14:paraId="795AB5A8">
            <w:pPr>
              <w:widowControl/>
              <w:jc w:val="left"/>
              <w:rPr>
                <w:rFonts w:hint="eastAsia" w:ascii="宋体" w:hAnsi="宋体"/>
                <w:color w:val="auto"/>
                <w:sz w:val="21"/>
                <w:szCs w:val="21"/>
                <w:highlight w:val="none"/>
              </w:rPr>
            </w:pPr>
            <w:r>
              <w:rPr>
                <w:rFonts w:hint="eastAsia" w:ascii="宋体" w:hAnsi="宋体"/>
                <w:color w:val="auto"/>
                <w:sz w:val="21"/>
                <w:szCs w:val="21"/>
                <w:highlight w:val="none"/>
              </w:rPr>
              <w:t>4、具备≥13个60mm行程的高精密碳膜推子；</w:t>
            </w:r>
          </w:p>
          <w:p w14:paraId="6BEF86BF">
            <w:pPr>
              <w:widowControl/>
              <w:jc w:val="left"/>
              <w:rPr>
                <w:rFonts w:ascii="宋体" w:hAnsi="宋体"/>
                <w:color w:val="auto"/>
                <w:sz w:val="21"/>
                <w:szCs w:val="21"/>
                <w:highlight w:val="none"/>
              </w:rPr>
            </w:pPr>
            <w:r>
              <w:rPr>
                <w:rFonts w:hint="eastAsia" w:ascii="宋体" w:hAnsi="宋体"/>
                <w:color w:val="auto"/>
                <w:sz w:val="21"/>
                <w:szCs w:val="21"/>
                <w:highlight w:val="none"/>
              </w:rPr>
              <w:t>5、内置USB声卡模块，支持连接电脑进行音乐播放和声音录音；内置MP3播放器，支持≥1个USB接口接U盘播放音乐。</w:t>
            </w:r>
          </w:p>
        </w:tc>
      </w:tr>
      <w:tr w14:paraId="77B619A2">
        <w:tblPrEx>
          <w:tblCellMar>
            <w:top w:w="0" w:type="dxa"/>
            <w:left w:w="108" w:type="dxa"/>
            <w:bottom w:w="0" w:type="dxa"/>
            <w:right w:w="108" w:type="dxa"/>
          </w:tblCellMar>
        </w:tblPrEx>
        <w:trPr>
          <w:gridAfter w:val="1"/>
          <w:wAfter w:w="26" w:type="pct"/>
          <w:trHeight w:val="2962"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4FEB7C55">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ascii="宋体" w:hAnsi="宋体"/>
                <w:color w:val="auto"/>
                <w:sz w:val="21"/>
                <w:szCs w:val="21"/>
                <w:highlight w:val="none"/>
              </w:rPr>
              <w:t>.17</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7B9447C1">
            <w:pPr>
              <w:widowControl/>
              <w:jc w:val="center"/>
              <w:rPr>
                <w:rFonts w:ascii="宋体" w:hAnsi="宋体"/>
                <w:color w:val="auto"/>
                <w:sz w:val="21"/>
                <w:szCs w:val="21"/>
                <w:highlight w:val="none"/>
              </w:rPr>
            </w:pPr>
            <w:r>
              <w:rPr>
                <w:rFonts w:ascii="宋体" w:hAnsi="宋体"/>
                <w:color w:val="auto"/>
                <w:sz w:val="21"/>
                <w:szCs w:val="21"/>
                <w:highlight w:val="none"/>
              </w:rPr>
              <w:t>音频处理器</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3AC97B28">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59D43716">
            <w:pPr>
              <w:widowControl/>
              <w:jc w:val="center"/>
              <w:rPr>
                <w:rFonts w:ascii="宋体" w:hAnsi="宋体"/>
                <w:b w:val="0"/>
                <w:bCs w:val="0"/>
                <w:color w:val="auto"/>
                <w:sz w:val="21"/>
                <w:szCs w:val="21"/>
                <w:highlight w:val="none"/>
              </w:rPr>
            </w:pPr>
            <w:r>
              <w:rPr>
                <w:rFonts w:ascii="宋体" w:hAnsi="宋体"/>
                <w:b w:val="0"/>
                <w:bCs w:val="0"/>
                <w:color w:val="auto"/>
                <w:sz w:val="21"/>
                <w:szCs w:val="21"/>
                <w:highlight w:val="none"/>
              </w:rPr>
              <w:t>1</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2992F4CF">
            <w:pPr>
              <w:widowControl/>
              <w:jc w:val="lef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1、数字音频处理器：≥4路平衡式话筒/线路输入通道，采用裸线接口端子，平衡接法；支持≥4路平衡式线路输出，采用裸线接口端子，平衡接法；</w:t>
            </w:r>
          </w:p>
          <w:p w14:paraId="36ABA24F">
            <w:pPr>
              <w:widowControl/>
              <w:jc w:val="lef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2、输入通道支持前级放大、信号发生器、扩展器、压缩器、≥12段参量均衡，≥31段图示均衡、闪避器、AGC自动增益、AM自动混音功能（门限式、增益共享式）、AFC自适应反馈消除、AEC回声消除、ANC噪声消除、音频矩阵；</w:t>
            </w:r>
          </w:p>
          <w:p w14:paraId="57667BBC">
            <w:pPr>
              <w:widowControl/>
              <w:jc w:val="lef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3、输出通道支持≥12段参量均衡，≥31段图示均衡、延时器、分频器、高低通滤波器、限幅器；</w:t>
            </w:r>
          </w:p>
          <w:p w14:paraId="4F9AA6CD">
            <w:pPr>
              <w:widowControl/>
              <w:jc w:val="left"/>
              <w:rPr>
                <w:rFonts w:ascii="宋体" w:hAnsi="宋体"/>
                <w:b w:val="0"/>
                <w:bCs w:val="0"/>
                <w:color w:val="auto"/>
                <w:sz w:val="21"/>
                <w:szCs w:val="21"/>
                <w:highlight w:val="none"/>
              </w:rPr>
            </w:pPr>
            <w:r>
              <w:rPr>
                <w:rFonts w:hint="eastAsia" w:ascii="宋体" w:hAnsi="宋体"/>
                <w:b w:val="0"/>
                <w:bCs w:val="0"/>
                <w:color w:val="auto"/>
                <w:sz w:val="21"/>
                <w:szCs w:val="21"/>
                <w:highlight w:val="none"/>
              </w:rPr>
              <w:t>4、高性能专业DSP处理器，支持≥32bit/48kHz的声音，支持输入通道48V幻象供电。</w:t>
            </w:r>
          </w:p>
        </w:tc>
      </w:tr>
      <w:tr w14:paraId="22934578">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3F134875">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ascii="宋体" w:hAnsi="宋体"/>
                <w:color w:val="auto"/>
                <w:sz w:val="21"/>
                <w:szCs w:val="21"/>
                <w:highlight w:val="none"/>
              </w:rPr>
              <w:t>.18</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2CF2AE48">
            <w:pPr>
              <w:widowControl/>
              <w:jc w:val="center"/>
              <w:rPr>
                <w:rFonts w:ascii="宋体" w:hAnsi="宋体"/>
                <w:color w:val="auto"/>
                <w:sz w:val="21"/>
                <w:szCs w:val="21"/>
                <w:highlight w:val="none"/>
              </w:rPr>
            </w:pPr>
            <w:r>
              <w:rPr>
                <w:rFonts w:ascii="宋体" w:hAnsi="宋体"/>
                <w:color w:val="auto"/>
                <w:sz w:val="21"/>
                <w:szCs w:val="21"/>
                <w:highlight w:val="none"/>
              </w:rPr>
              <w:t>无线话筒</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08E6377E">
            <w:pPr>
              <w:widowControl/>
              <w:jc w:val="center"/>
              <w:rPr>
                <w:rFonts w:ascii="宋体" w:hAnsi="宋体"/>
                <w:color w:val="auto"/>
                <w:sz w:val="21"/>
                <w:szCs w:val="21"/>
                <w:highlight w:val="none"/>
              </w:rPr>
            </w:pPr>
            <w:r>
              <w:rPr>
                <w:rFonts w:ascii="宋体" w:hAnsi="宋体"/>
                <w:color w:val="auto"/>
                <w:sz w:val="21"/>
                <w:szCs w:val="21"/>
                <w:highlight w:val="none"/>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CCF8420">
            <w:pPr>
              <w:widowControl/>
              <w:jc w:val="center"/>
              <w:rPr>
                <w:rFonts w:ascii="宋体" w:hAnsi="宋体"/>
                <w:color w:val="auto"/>
                <w:sz w:val="21"/>
                <w:szCs w:val="21"/>
                <w:highlight w:val="none"/>
              </w:rPr>
            </w:pPr>
            <w:r>
              <w:rPr>
                <w:rFonts w:ascii="宋体" w:hAnsi="宋体"/>
                <w:color w:val="auto"/>
                <w:sz w:val="21"/>
                <w:szCs w:val="21"/>
                <w:highlight w:val="none"/>
              </w:rPr>
              <w:t>1</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347ACD31">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1、具有≥1台接收主机、≥双手持发射机；频率范围等同或优于470-510MHz、540MHz-590MHz、640MHz-690MHz、807MHz-830MHz；</w:t>
            </w:r>
          </w:p>
          <w:p w14:paraId="2D1DF521">
            <w:pPr>
              <w:widowControl/>
              <w:jc w:val="left"/>
              <w:rPr>
                <w:rFonts w:ascii="宋体" w:hAnsi="宋体"/>
                <w:color w:val="auto"/>
                <w:sz w:val="21"/>
                <w:szCs w:val="21"/>
                <w:highlight w:val="none"/>
              </w:rPr>
            </w:pPr>
            <w:r>
              <w:rPr>
                <w:rFonts w:hint="eastAsia" w:ascii="宋体" w:hAnsi="宋体"/>
                <w:color w:val="auto"/>
                <w:sz w:val="21"/>
                <w:szCs w:val="21"/>
                <w:highlight w:val="none"/>
              </w:rPr>
              <w:t>2、接收机具有≥2路平衡输出、≥1路非平衡混音输出。</w:t>
            </w:r>
          </w:p>
        </w:tc>
      </w:tr>
      <w:tr w14:paraId="56B05AA5">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38A5A17D">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ascii="宋体" w:hAnsi="宋体"/>
                <w:color w:val="auto"/>
                <w:sz w:val="21"/>
                <w:szCs w:val="21"/>
                <w:highlight w:val="none"/>
              </w:rPr>
              <w:t>.19</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071E1569">
            <w:pPr>
              <w:widowControl/>
              <w:jc w:val="center"/>
              <w:rPr>
                <w:rFonts w:ascii="宋体" w:hAnsi="宋体"/>
                <w:color w:val="auto"/>
                <w:sz w:val="21"/>
                <w:szCs w:val="21"/>
                <w:highlight w:val="none"/>
              </w:rPr>
            </w:pPr>
            <w:r>
              <w:rPr>
                <w:rFonts w:ascii="宋体" w:hAnsi="宋体"/>
                <w:color w:val="auto"/>
                <w:sz w:val="21"/>
                <w:szCs w:val="21"/>
                <w:highlight w:val="none"/>
              </w:rPr>
              <w:t>电源管理器</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67442586">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E37F167">
            <w:pPr>
              <w:widowControl/>
              <w:jc w:val="center"/>
              <w:rPr>
                <w:rFonts w:ascii="宋体" w:hAnsi="宋体"/>
                <w:color w:val="auto"/>
                <w:sz w:val="21"/>
                <w:szCs w:val="21"/>
                <w:highlight w:val="none"/>
              </w:rPr>
            </w:pPr>
            <w:r>
              <w:rPr>
                <w:rFonts w:ascii="宋体" w:hAnsi="宋体"/>
                <w:color w:val="auto"/>
                <w:sz w:val="21"/>
                <w:szCs w:val="21"/>
                <w:highlight w:val="none"/>
              </w:rPr>
              <w:t>1</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24168E80">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1、支持≥8通道电源时序打开/关闭，每路动作延时时间：≤1秒，支持远程控制（上电+24V直流信号）8通道电源时序打开/关闭—当电源开关处于off位置时有效。支持配置CH1和CH2通道为受控或不受控状态；</w:t>
            </w:r>
          </w:p>
          <w:p w14:paraId="0EE87B30">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2、单个通道最大负载功率≥2200W，所有通道负载总功率≥6000W。输出连接器：多用途电源插座；</w:t>
            </w:r>
          </w:p>
          <w:p w14:paraId="006ED186">
            <w:pPr>
              <w:widowControl/>
              <w:jc w:val="left"/>
              <w:rPr>
                <w:rFonts w:ascii="宋体" w:hAnsi="宋体"/>
                <w:color w:val="auto"/>
                <w:sz w:val="21"/>
                <w:szCs w:val="21"/>
                <w:highlight w:val="none"/>
              </w:rPr>
            </w:pPr>
            <w:r>
              <w:rPr>
                <w:rFonts w:hint="eastAsia" w:ascii="宋体" w:hAnsi="宋体"/>
                <w:color w:val="auto"/>
                <w:sz w:val="21"/>
                <w:szCs w:val="21"/>
                <w:highlight w:val="none"/>
              </w:rPr>
              <w:t>3、具有一路及以上USB输出接口。</w:t>
            </w:r>
          </w:p>
        </w:tc>
      </w:tr>
      <w:tr w14:paraId="748F89EC">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5B29B9AA">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ascii="宋体" w:hAnsi="宋体"/>
                <w:color w:val="auto"/>
                <w:sz w:val="21"/>
                <w:szCs w:val="21"/>
                <w:highlight w:val="none"/>
              </w:rPr>
              <w:t>.20</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548F8893">
            <w:pPr>
              <w:widowControl/>
              <w:jc w:val="center"/>
              <w:rPr>
                <w:rFonts w:ascii="宋体" w:hAnsi="宋体"/>
                <w:color w:val="auto"/>
                <w:sz w:val="21"/>
                <w:szCs w:val="21"/>
                <w:highlight w:val="none"/>
              </w:rPr>
            </w:pPr>
            <w:r>
              <w:rPr>
                <w:rFonts w:ascii="宋体" w:hAnsi="宋体"/>
                <w:color w:val="auto"/>
                <w:sz w:val="21"/>
                <w:szCs w:val="21"/>
                <w:highlight w:val="none"/>
              </w:rPr>
              <w:t>机柜</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19FA2E35">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C8DCF69">
            <w:pPr>
              <w:widowControl/>
              <w:jc w:val="center"/>
              <w:rPr>
                <w:rFonts w:ascii="宋体" w:hAnsi="宋体"/>
                <w:color w:val="auto"/>
                <w:sz w:val="21"/>
                <w:szCs w:val="21"/>
                <w:highlight w:val="none"/>
              </w:rPr>
            </w:pPr>
            <w:r>
              <w:rPr>
                <w:rFonts w:ascii="宋体" w:hAnsi="宋体"/>
                <w:color w:val="auto"/>
                <w:sz w:val="21"/>
                <w:szCs w:val="21"/>
                <w:highlight w:val="none"/>
              </w:rPr>
              <w:t>1</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1956C1B7">
            <w:pPr>
              <w:widowControl/>
              <w:jc w:val="left"/>
              <w:rPr>
                <w:rFonts w:ascii="宋体" w:hAnsi="宋体"/>
                <w:color w:val="auto"/>
                <w:sz w:val="21"/>
                <w:szCs w:val="21"/>
                <w:highlight w:val="none"/>
              </w:rPr>
            </w:pPr>
            <w:r>
              <w:rPr>
                <w:rFonts w:hint="eastAsia" w:ascii="宋体" w:hAnsi="宋体"/>
                <w:color w:val="auto"/>
                <w:sz w:val="21"/>
                <w:szCs w:val="21"/>
                <w:highlight w:val="none"/>
              </w:rPr>
              <w:t>1、42U网络机柜，600*600*2000。</w:t>
            </w:r>
          </w:p>
        </w:tc>
      </w:tr>
      <w:tr w14:paraId="5058C4C8">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38BF66EA">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ascii="宋体" w:hAnsi="宋体"/>
                <w:color w:val="auto"/>
                <w:sz w:val="21"/>
                <w:szCs w:val="21"/>
                <w:highlight w:val="none"/>
              </w:rPr>
              <w:t>.21</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146B2F16">
            <w:pPr>
              <w:widowControl/>
              <w:jc w:val="center"/>
              <w:rPr>
                <w:rFonts w:ascii="宋体" w:hAnsi="宋体"/>
                <w:color w:val="auto"/>
                <w:sz w:val="21"/>
                <w:szCs w:val="21"/>
                <w:highlight w:val="none"/>
              </w:rPr>
            </w:pPr>
            <w:r>
              <w:rPr>
                <w:rFonts w:ascii="宋体" w:hAnsi="宋体"/>
                <w:color w:val="auto"/>
                <w:sz w:val="21"/>
                <w:szCs w:val="21"/>
                <w:highlight w:val="none"/>
              </w:rPr>
              <w:t>静电地板</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23D8CFF7">
            <w:pPr>
              <w:widowControl/>
              <w:jc w:val="center"/>
              <w:rPr>
                <w:rFonts w:ascii="宋体" w:hAnsi="宋体"/>
                <w:color w:val="auto"/>
                <w:sz w:val="21"/>
                <w:szCs w:val="21"/>
                <w:highlight w:val="none"/>
              </w:rPr>
            </w:pPr>
            <w:r>
              <w:rPr>
                <w:rFonts w:ascii="宋体" w:hAnsi="宋体"/>
                <w:color w:val="auto"/>
                <w:sz w:val="21"/>
                <w:szCs w:val="21"/>
                <w:highlight w:val="none"/>
              </w:rPr>
              <w:t>平方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5F73A3FB">
            <w:pPr>
              <w:widowControl/>
              <w:jc w:val="center"/>
              <w:rPr>
                <w:rFonts w:ascii="宋体" w:hAnsi="宋体"/>
                <w:color w:val="auto"/>
                <w:sz w:val="21"/>
                <w:szCs w:val="21"/>
                <w:highlight w:val="none"/>
              </w:rPr>
            </w:pPr>
            <w:r>
              <w:rPr>
                <w:rFonts w:ascii="宋体" w:hAnsi="宋体"/>
                <w:color w:val="auto"/>
                <w:sz w:val="21"/>
                <w:szCs w:val="21"/>
                <w:highlight w:val="none"/>
              </w:rPr>
              <w:t>25</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1BAF0650">
            <w:pPr>
              <w:widowControl/>
              <w:jc w:val="left"/>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w:t>
            </w:r>
            <w:r>
              <w:rPr>
                <w:rFonts w:hint="eastAsia" w:ascii="宋体" w:hAnsi="宋体"/>
                <w:color w:val="auto"/>
                <w:sz w:val="21"/>
                <w:szCs w:val="21"/>
                <w:highlight w:val="none"/>
              </w:rPr>
              <w:t>600*600*35mm瓷砖面无边静电地板，200高，35厚、含配件及辅材。</w:t>
            </w:r>
          </w:p>
        </w:tc>
      </w:tr>
      <w:tr w14:paraId="0BCDCD2C">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3E217C3B">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ascii="宋体" w:hAnsi="宋体"/>
                <w:color w:val="auto"/>
                <w:sz w:val="21"/>
                <w:szCs w:val="21"/>
                <w:highlight w:val="none"/>
              </w:rPr>
              <w:t>.22</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27E3F0B9">
            <w:pPr>
              <w:widowControl/>
              <w:jc w:val="center"/>
              <w:rPr>
                <w:rFonts w:ascii="宋体" w:hAnsi="宋体"/>
                <w:color w:val="auto"/>
                <w:sz w:val="21"/>
                <w:szCs w:val="21"/>
                <w:highlight w:val="none"/>
              </w:rPr>
            </w:pPr>
            <w:r>
              <w:rPr>
                <w:rFonts w:ascii="宋体" w:hAnsi="宋体"/>
                <w:color w:val="auto"/>
                <w:sz w:val="21"/>
                <w:szCs w:val="21"/>
                <w:highlight w:val="none"/>
              </w:rPr>
              <w:t>操作台</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40514FB4">
            <w:pPr>
              <w:widowControl/>
              <w:jc w:val="center"/>
              <w:rPr>
                <w:rFonts w:ascii="宋体" w:hAnsi="宋体"/>
                <w:color w:val="auto"/>
                <w:sz w:val="21"/>
                <w:szCs w:val="21"/>
                <w:highlight w:val="none"/>
              </w:rPr>
            </w:pPr>
            <w:r>
              <w:rPr>
                <w:rFonts w:ascii="宋体" w:hAnsi="宋体"/>
                <w:color w:val="auto"/>
                <w:sz w:val="21"/>
                <w:szCs w:val="21"/>
                <w:highlight w:val="none"/>
              </w:rPr>
              <w:t>个</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02CF8709">
            <w:pPr>
              <w:widowControl/>
              <w:jc w:val="center"/>
              <w:rPr>
                <w:rFonts w:ascii="宋体" w:hAnsi="宋体"/>
                <w:color w:val="auto"/>
                <w:sz w:val="21"/>
                <w:szCs w:val="21"/>
                <w:highlight w:val="none"/>
              </w:rPr>
            </w:pPr>
            <w:r>
              <w:rPr>
                <w:rFonts w:ascii="宋体" w:hAnsi="宋体"/>
                <w:color w:val="auto"/>
                <w:sz w:val="21"/>
                <w:szCs w:val="21"/>
                <w:highlight w:val="none"/>
              </w:rPr>
              <w:t>1</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62881395">
            <w:pPr>
              <w:widowControl/>
              <w:jc w:val="left"/>
              <w:rPr>
                <w:rFonts w:ascii="宋体" w:hAnsi="宋体"/>
                <w:color w:val="auto"/>
                <w:sz w:val="21"/>
                <w:szCs w:val="21"/>
                <w:highlight w:val="none"/>
              </w:rPr>
            </w:pPr>
            <w:r>
              <w:rPr>
                <w:rFonts w:hint="eastAsia" w:ascii="宋体" w:hAnsi="宋体"/>
                <w:color w:val="auto"/>
                <w:sz w:val="21"/>
                <w:szCs w:val="21"/>
                <w:highlight w:val="none"/>
              </w:rPr>
              <w:t>1、2工位操作平台尺寸1.2米*0.8米*0.8米。</w:t>
            </w:r>
          </w:p>
        </w:tc>
      </w:tr>
      <w:tr w14:paraId="550D612A">
        <w:tblPrEx>
          <w:tblCellMar>
            <w:top w:w="0" w:type="dxa"/>
            <w:left w:w="108" w:type="dxa"/>
            <w:bottom w:w="0" w:type="dxa"/>
            <w:right w:w="108" w:type="dxa"/>
          </w:tblCellMar>
        </w:tblPrEx>
        <w:trPr>
          <w:gridAfter w:val="1"/>
          <w:wAfter w:w="26" w:type="pct"/>
          <w:trHeight w:val="340" w:hRule="atLeast"/>
        </w:trPr>
        <w:tc>
          <w:tcPr>
            <w:tcW w:w="1556" w:type="pct"/>
            <w:gridSpan w:val="6"/>
            <w:tcBorders>
              <w:top w:val="single" w:color="000000" w:sz="4" w:space="0"/>
              <w:left w:val="single" w:color="000000" w:sz="4" w:space="0"/>
              <w:bottom w:val="single" w:color="000000" w:sz="4" w:space="0"/>
              <w:right w:val="single" w:color="000000" w:sz="4" w:space="0"/>
            </w:tcBorders>
            <w:noWrap w:val="0"/>
            <w:vAlign w:val="center"/>
          </w:tcPr>
          <w:p w14:paraId="7349BEBA">
            <w:pPr>
              <w:widowControl/>
              <w:jc w:val="left"/>
              <w:rPr>
                <w:rFonts w:ascii="宋体" w:hAnsi="宋体"/>
                <w:color w:val="auto"/>
                <w:sz w:val="21"/>
                <w:szCs w:val="21"/>
                <w:highlight w:val="none"/>
              </w:rPr>
            </w:pPr>
            <w:r>
              <w:rPr>
                <w:rFonts w:hint="eastAsia" w:ascii="宋体" w:hAnsi="宋体"/>
                <w:color w:val="auto"/>
                <w:sz w:val="21"/>
                <w:szCs w:val="21"/>
                <w:highlight w:val="none"/>
                <w:lang w:val="en-US" w:eastAsia="zh-CN"/>
              </w:rPr>
              <w:t>二</w:t>
            </w:r>
            <w:r>
              <w:rPr>
                <w:rFonts w:ascii="宋体" w:hAnsi="宋体"/>
                <w:color w:val="auto"/>
                <w:sz w:val="21"/>
                <w:szCs w:val="21"/>
                <w:highlight w:val="none"/>
              </w:rPr>
              <w:t>、网络安全建设</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5DC6C2B6">
            <w:pPr>
              <w:widowControl/>
              <w:jc w:val="left"/>
              <w:rPr>
                <w:rFonts w:ascii="宋体" w:hAnsi="宋体"/>
                <w:color w:val="auto"/>
                <w:sz w:val="21"/>
                <w:szCs w:val="21"/>
                <w:highlight w:val="none"/>
              </w:rPr>
            </w:pPr>
          </w:p>
        </w:tc>
      </w:tr>
      <w:tr w14:paraId="11133EBF">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1A03F9AE">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ascii="宋体" w:hAnsi="宋体"/>
                <w:color w:val="auto"/>
                <w:sz w:val="21"/>
                <w:szCs w:val="21"/>
                <w:highlight w:val="none"/>
              </w:rPr>
              <w:t>.1</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6550E99C">
            <w:pPr>
              <w:widowControl/>
              <w:jc w:val="center"/>
              <w:rPr>
                <w:rFonts w:hint="eastAsia" w:ascii="宋体" w:hAnsi="宋体"/>
                <w:b/>
                <w:bCs/>
                <w:color w:val="auto"/>
                <w:sz w:val="21"/>
                <w:szCs w:val="21"/>
                <w:highlight w:val="none"/>
                <w:lang w:val="en-US" w:eastAsia="zh-CN"/>
              </w:rPr>
            </w:pPr>
            <w:r>
              <w:rPr>
                <w:rFonts w:ascii="宋体" w:hAnsi="宋体"/>
                <w:b/>
                <w:bCs/>
                <w:color w:val="auto"/>
                <w:sz w:val="21"/>
                <w:szCs w:val="21"/>
                <w:highlight w:val="none"/>
              </w:rPr>
              <w:t>国际出口下一代防火墙(万兆)</w:t>
            </w:r>
            <w:r>
              <w:rPr>
                <w:rFonts w:hint="eastAsia" w:ascii="宋体" w:hAnsi="宋体"/>
                <w:b/>
                <w:bCs/>
                <w:color w:val="auto"/>
                <w:sz w:val="21"/>
                <w:szCs w:val="21"/>
                <w:highlight w:val="none"/>
                <w:lang w:val="en-US" w:eastAsia="zh-CN"/>
              </w:rPr>
              <w:t>--</w:t>
            </w:r>
          </w:p>
          <w:p w14:paraId="0B86A351">
            <w:pPr>
              <w:widowControl/>
              <w:jc w:val="center"/>
              <w:rPr>
                <w:rFonts w:hint="default" w:ascii="宋体" w:hAnsi="宋体" w:eastAsia="宋体"/>
                <w:color w:val="auto"/>
                <w:sz w:val="21"/>
                <w:szCs w:val="21"/>
                <w:highlight w:val="none"/>
                <w:lang w:val="en-US" w:eastAsia="zh-CN"/>
              </w:rPr>
            </w:pP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5E575630">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387753DD">
            <w:pPr>
              <w:widowControl/>
              <w:jc w:val="center"/>
              <w:rPr>
                <w:rFonts w:ascii="宋体" w:hAnsi="宋体"/>
                <w:color w:val="auto"/>
                <w:sz w:val="21"/>
                <w:szCs w:val="21"/>
                <w:highlight w:val="none"/>
              </w:rPr>
            </w:pPr>
            <w:r>
              <w:rPr>
                <w:rFonts w:ascii="宋体" w:hAnsi="宋体"/>
                <w:color w:val="auto"/>
                <w:sz w:val="21"/>
                <w:szCs w:val="21"/>
                <w:highlight w:val="none"/>
              </w:rPr>
              <w:t>2</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6BED28F1">
            <w:pPr>
              <w:keepNext w:val="0"/>
              <w:keepLines w:val="0"/>
              <w:widowControl/>
              <w:numPr>
                <w:ilvl w:val="0"/>
                <w:numId w:val="6"/>
              </w:numPr>
              <w:suppressLineNumbers w:val="0"/>
              <w:jc w:val="left"/>
              <w:textAlignment w:val="center"/>
              <w:rPr>
                <w:rFonts w:hint="eastAsia" w:ascii="宋体" w:hAnsi="宋体"/>
                <w:color w:val="auto"/>
                <w:sz w:val="21"/>
                <w:szCs w:val="21"/>
                <w:highlight w:val="none"/>
                <w:lang w:eastAsia="zh-CN"/>
              </w:rPr>
            </w:pPr>
            <w:r>
              <w:rPr>
                <w:rFonts w:hint="eastAsia" w:ascii="宋体" w:hAnsi="宋体"/>
                <w:color w:val="auto"/>
                <w:sz w:val="21"/>
                <w:szCs w:val="21"/>
                <w:highlight w:val="none"/>
              </w:rPr>
              <w:t>国产化，内存≥32G,硬盘≥480 SSD, 接口≥8个千兆电口，≥8个千兆电口, ≥4个万兆光口，冗余电源。</w:t>
            </w:r>
          </w:p>
          <w:p w14:paraId="2F06D3F2">
            <w:pPr>
              <w:keepNext w:val="0"/>
              <w:keepLines w:val="0"/>
              <w:widowControl/>
              <w:numPr>
                <w:ilvl w:val="0"/>
                <w:numId w:val="6"/>
              </w:numPr>
              <w:suppressLineNumbers w:val="0"/>
              <w:jc w:val="left"/>
              <w:textAlignment w:val="center"/>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五年</w:t>
            </w:r>
            <w:r>
              <w:rPr>
                <w:rFonts w:hint="eastAsia" w:ascii="宋体" w:hAnsi="宋体"/>
                <w:color w:val="auto"/>
                <w:sz w:val="21"/>
                <w:szCs w:val="21"/>
                <w:highlight w:val="none"/>
              </w:rPr>
              <w:t>质保</w:t>
            </w:r>
            <w:r>
              <w:rPr>
                <w:rFonts w:hint="eastAsia" w:ascii="宋体" w:hAnsi="宋体"/>
                <w:color w:val="auto"/>
                <w:sz w:val="21"/>
                <w:szCs w:val="21"/>
                <w:highlight w:val="none"/>
                <w:lang w:eastAsia="zh-CN"/>
              </w:rPr>
              <w:t>。</w:t>
            </w:r>
          </w:p>
          <w:p w14:paraId="5D9C1D15">
            <w:pPr>
              <w:keepNext w:val="0"/>
              <w:keepLines w:val="0"/>
              <w:widowControl/>
              <w:numPr>
                <w:ilvl w:val="0"/>
                <w:numId w:val="0"/>
              </w:numPr>
              <w:suppressLineNumbers w:val="0"/>
              <w:jc w:val="left"/>
              <w:textAlignment w:val="center"/>
              <w:rPr>
                <w:rFonts w:hint="eastAsia" w:ascii="宋体" w:hAnsi="宋体" w:eastAsia="宋体"/>
                <w:color w:val="auto"/>
                <w:sz w:val="21"/>
                <w:szCs w:val="21"/>
                <w:highlight w:val="none"/>
                <w:lang w:val="en-US" w:eastAsia="zh-CN"/>
              </w:rPr>
            </w:pPr>
            <w:r>
              <w:rPr>
                <w:rFonts w:hint="eastAsia" w:ascii="Times New Roman" w:hAnsi="Times New Roman" w:eastAsia="宋体" w:cs="Times New Roman"/>
                <w:color w:val="auto"/>
                <w:highlight w:val="none"/>
                <w:lang w:val="zh-CN"/>
              </w:rPr>
              <w:t>★</w:t>
            </w:r>
            <w:r>
              <w:rPr>
                <w:rFonts w:hint="eastAsia" w:ascii="宋体" w:hAnsi="宋体"/>
                <w:color w:val="auto"/>
                <w:sz w:val="21"/>
                <w:szCs w:val="21"/>
                <w:highlight w:val="none"/>
                <w:lang w:val="en-US" w:eastAsia="zh-CN"/>
              </w:rPr>
              <w:t>3.CPU核心部件、操作系统需符合安全可靠测评要求。</w:t>
            </w:r>
          </w:p>
          <w:p w14:paraId="2D17BF32">
            <w:pPr>
              <w:keepNext w:val="0"/>
              <w:keepLines w:val="0"/>
              <w:widowControl/>
              <w:numPr>
                <w:ilvl w:val="0"/>
                <w:numId w:val="0"/>
              </w:numPr>
              <w:suppressLineNumbers w:val="0"/>
              <w:jc w:val="left"/>
              <w:textAlignment w:val="center"/>
              <w:rPr>
                <w:rFonts w:hint="eastAsia" w:ascii="宋体" w:hAnsi="宋体" w:eastAsia="宋体"/>
                <w:color w:val="auto"/>
                <w:sz w:val="21"/>
                <w:szCs w:val="21"/>
                <w:highlight w:val="none"/>
                <w:lang w:val="en-US" w:eastAsia="zh-CN"/>
              </w:rPr>
            </w:pPr>
            <w:r>
              <w:rPr>
                <w:rFonts w:hint="eastAsia" w:cs="Times New Roman"/>
                <w:color w:val="auto"/>
                <w:szCs w:val="24"/>
                <w:highlight w:val="none"/>
                <w:lang w:val="en-US" w:eastAsia="zh-CN"/>
              </w:rPr>
              <w:t>4.</w:t>
            </w:r>
            <w:r>
              <w:rPr>
                <w:rFonts w:hint="eastAsia" w:cs="Times New Roman"/>
                <w:color w:val="auto"/>
                <w:szCs w:val="24"/>
                <w:highlight w:val="none"/>
              </w:rPr>
              <w:t>IPS与杀毒软件更新5年</w:t>
            </w:r>
            <w:r>
              <w:rPr>
                <w:rFonts w:hint="eastAsia" w:cs="Times New Roman"/>
                <w:color w:val="auto"/>
                <w:szCs w:val="24"/>
                <w:highlight w:val="none"/>
                <w:lang w:eastAsia="zh-CN"/>
              </w:rPr>
              <w:t>。</w:t>
            </w:r>
          </w:p>
          <w:p w14:paraId="3887CFC2">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网络层吞吐≥80Gbps，应用层吞吐≥35Gbps，全威胁应用层吞吐≥20Gbps；最大并发连接数≥4000万，每秒最大新建http连接数≥150万。</w:t>
            </w:r>
          </w:p>
          <w:p w14:paraId="4E609833">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开通防病毒模块、入侵检测与防御模块、应用协议管理模块、Web安全防护模块。</w:t>
            </w:r>
          </w:p>
          <w:p w14:paraId="1F0EB1B4">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实现路由模式、透明（网桥）模式、混合模式、旁路镜像模式</w:t>
            </w:r>
          </w:p>
          <w:p w14:paraId="7D78316B">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支持静态路由、策略路由、RIP、OSPF、BGP、IS-IS等路由协议</w:t>
            </w:r>
          </w:p>
          <w:p w14:paraId="2B5724DC">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支持一对一、多对一、多对多等多种形式的NAT，支持DNS、FTP、H.323、RTSP、ILS、PPTP、SIP、SQLNET、MGCP、RSH、ICMP差错报文、TFTP、RTSP、SCTP、XDMCP、NBT、SCCP、HTTP等多种NAT ALG功能。NAT地址池支持动态探测和可用地址分配</w:t>
            </w:r>
          </w:p>
          <w:p w14:paraId="692E8626">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支持NAT44、NAT46、NAT64、NAT66</w:t>
            </w:r>
          </w:p>
          <w:p w14:paraId="02285631">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可基于每个SSL VPN用户的会话连接数、连接时间和流量阀值进行细颗粒度的管控。</w:t>
            </w:r>
          </w:p>
          <w:p w14:paraId="54DECC5A">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SSL VPN支持页面定制功能特性，包括登录页面、交互信息、提示信息的定制功能； 防火墙在SSL VPN页面上修改用户密码，支持防暴力破解密码</w:t>
            </w:r>
          </w:p>
          <w:p w14:paraId="29FB75EE">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13.</w:t>
            </w:r>
            <w:r>
              <w:rPr>
                <w:rFonts w:hint="eastAsia" w:ascii="宋体" w:hAnsi="宋体"/>
                <w:color w:val="auto"/>
                <w:sz w:val="21"/>
                <w:szCs w:val="21"/>
                <w:highlight w:val="none"/>
              </w:rPr>
              <w:t>实现IPSec、L2TP、GRE VPN、SSL VPN等功能。</w:t>
            </w:r>
          </w:p>
          <w:p w14:paraId="72C4EC00">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支持SSL的版本包括TLS1.0、TLS1.1、TLS1.2、TLS1.3</w:t>
            </w:r>
          </w:p>
          <w:p w14:paraId="4328738E">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支持一体化安全策略，能够基于源/目的安全域、源IP/MAC地址、目的IP地址、地区、服务、时间、用户/用户组、应用层协议、五元组、内容安全（WAF、IPS、数据过滤、文件过滤、AV、URL过滤和APT防御等）统一界面进行安全策略配置</w:t>
            </w:r>
          </w:p>
          <w:p w14:paraId="72597425">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16.</w:t>
            </w:r>
            <w:r>
              <w:rPr>
                <w:rFonts w:hint="eastAsia" w:ascii="宋体" w:hAnsi="宋体"/>
                <w:color w:val="auto"/>
                <w:sz w:val="21"/>
                <w:szCs w:val="21"/>
                <w:highlight w:val="none"/>
              </w:rPr>
              <w:t>支持基于源安全域、目的安全域、源IP/MAC地址、目的IP地址、用户、应用、终端、服务、VRF和时间段进行策略冗余分析， 冲突策略分析以及命中率统计。</w:t>
            </w:r>
          </w:p>
          <w:p w14:paraId="15706382">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17.</w:t>
            </w:r>
            <w:r>
              <w:rPr>
                <w:rFonts w:hint="eastAsia" w:ascii="宋体" w:hAnsi="宋体"/>
                <w:color w:val="auto"/>
                <w:sz w:val="21"/>
                <w:szCs w:val="21"/>
                <w:highlight w:val="none"/>
              </w:rPr>
              <w:t>支持策略风险调优，支持安全策略优化分析，支持策略数冗余及命中分析，支持基于应用风险的自动批量和手动逐条策略调优，可根据流量、应用、风险类型等细粒度展示，并给出总体安全评分，便于用户更好的管理安全策略。</w:t>
            </w:r>
          </w:p>
          <w:p w14:paraId="30BBE0F0">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18.</w:t>
            </w:r>
            <w:r>
              <w:rPr>
                <w:rFonts w:hint="eastAsia" w:ascii="宋体" w:hAnsi="宋体"/>
                <w:color w:val="auto"/>
                <w:sz w:val="21"/>
                <w:szCs w:val="21"/>
                <w:highlight w:val="none"/>
              </w:rPr>
              <w:t>支持为Web应用提供基于 HTTP 和 HTTPS 的流量防护。对来自Web应用程序客户端的各类请求进行内容检测和验证，确保其安全性与合法性，对非法的请求予以实时阻断，从而对各类网站进行有效防护。</w:t>
            </w:r>
          </w:p>
          <w:p w14:paraId="3A133CBD">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支持SQL注入、跨站脚本、远程代码执行、字符编码等攻击的防护，支持对网络设备、网页服务器、数据库、网页应用等设备的专属特征分类，支持CC攻击防护，可基于检测请求报文头的X-Forwarded-For字段，以获取真正的源IP地址</w:t>
            </w:r>
          </w:p>
          <w:p w14:paraId="77F71407">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支持至少5000种独立Web特征的攻击检测和防御特征库</w:t>
            </w:r>
          </w:p>
          <w:p w14:paraId="31A731E7">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设备提供海量预分类的URL地址库，支持根据URL类别实现URL过滤；</w:t>
            </w:r>
          </w:p>
          <w:p w14:paraId="4770A21D">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支持HTTPS加密流量的安全检测，支持TCP代理和SSL代理，且代理策略中可同时配置多类过滤条件，具体包括：源安全域、目的安全域、源地址、目的地址、用户和服务。一类过滤条件可以配置多个匹配项</w:t>
            </w:r>
          </w:p>
          <w:p w14:paraId="5C53561D">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23.</w:t>
            </w:r>
            <w:r>
              <w:rPr>
                <w:rFonts w:hint="eastAsia" w:ascii="宋体" w:hAnsi="宋体"/>
                <w:color w:val="auto"/>
                <w:sz w:val="21"/>
                <w:szCs w:val="21"/>
                <w:highlight w:val="none"/>
              </w:rPr>
              <w:t xml:space="preserve">支持不解密的方式实现HTTPS URL过滤 </w:t>
            </w:r>
          </w:p>
          <w:p w14:paraId="7EBEB900">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24.</w:t>
            </w:r>
            <w:r>
              <w:rPr>
                <w:rFonts w:hint="eastAsia" w:ascii="宋体" w:hAnsi="宋体"/>
                <w:color w:val="auto"/>
                <w:sz w:val="21"/>
                <w:szCs w:val="21"/>
                <w:highlight w:val="none"/>
              </w:rPr>
              <w:t>支持基于对包括但不限于操作系统、网络设备、办公软件、网页服务等保护对象的入侵防御策略，支持基于对漏洞、恶意文件、信息收集类攻击等的攻击分类的防护策略，支持基于服务器、客户端的防护策略。且缺省动作支持黑名单</w:t>
            </w:r>
          </w:p>
          <w:p w14:paraId="529A3113">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25.</w:t>
            </w:r>
            <w:r>
              <w:rPr>
                <w:rFonts w:hint="eastAsia" w:ascii="宋体" w:hAnsi="宋体"/>
                <w:color w:val="auto"/>
                <w:sz w:val="21"/>
                <w:szCs w:val="21"/>
                <w:highlight w:val="none"/>
              </w:rPr>
              <w:t>实现对黑客攻击、蠕虫/病毒、木马、恶意代码、间谍软件/广告软件等攻击的防御，实现缓冲区溢出、SQL注入、IDS/IPS逃逸等攻击的防御，实现攻击特征库的分类。IPS发现攻击后抓取报文，并支持通过WEB下载对应抓包文件，供客户进行分析</w:t>
            </w:r>
          </w:p>
          <w:p w14:paraId="71E05F66">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26.</w:t>
            </w:r>
            <w:r>
              <w:rPr>
                <w:rFonts w:hint="eastAsia" w:ascii="宋体" w:hAnsi="宋体"/>
                <w:color w:val="auto"/>
                <w:sz w:val="21"/>
                <w:szCs w:val="21"/>
                <w:highlight w:val="none"/>
              </w:rPr>
              <w:t>可基于病毒特征进行检测，实现病毒库手动和自动升级，实现病毒日志和报表；防病毒本地库数量600万+；支持基于文件协议、邮件协议（SMTP/POP3/iMAP)、共享协议（NFS/SMB）的病毒功能。可基于病毒特征进行检测、动作响应、提供报表。发现病毒发送的告警信息，支持用户编辑告警内容</w:t>
            </w:r>
          </w:p>
          <w:p w14:paraId="6263CCE8">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27.</w:t>
            </w:r>
            <w:r>
              <w:rPr>
                <w:rFonts w:hint="eastAsia" w:ascii="宋体" w:hAnsi="宋体"/>
                <w:color w:val="auto"/>
                <w:sz w:val="21"/>
                <w:szCs w:val="21"/>
                <w:highlight w:val="none"/>
              </w:rPr>
              <w:t>多出口智能选路，支持基于链路权重、带宽、配置优先级、链路质量、用户业务、运营商、域名、时间、DSCP、PPPoE、DNS、地址加权HASH等智能选路方式</w:t>
            </w:r>
          </w:p>
          <w:p w14:paraId="0BFDE963">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28.</w:t>
            </w:r>
            <w:r>
              <w:rPr>
                <w:rFonts w:hint="eastAsia" w:ascii="宋体" w:hAnsi="宋体"/>
                <w:color w:val="auto"/>
                <w:sz w:val="21"/>
                <w:szCs w:val="21"/>
                <w:highlight w:val="none"/>
              </w:rPr>
              <w:t>支持DNS透明代理功能，可基于负载均衡算法代理内网用户进行DNS请求转发，避免单运营商DNS解析出现单一链路流量过载，平衡多条运营商线路的带宽利用率。</w:t>
            </w:r>
          </w:p>
          <w:p w14:paraId="0F254A9C">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29.</w:t>
            </w:r>
            <w:r>
              <w:rPr>
                <w:rFonts w:hint="eastAsia" w:ascii="宋体" w:hAnsi="宋体"/>
                <w:color w:val="auto"/>
                <w:sz w:val="21"/>
                <w:szCs w:val="21"/>
                <w:highlight w:val="none"/>
              </w:rPr>
              <w:t>能够防范DoS/DDoS攻击：Land、Smurf、Fraggle、Ping of Death、Tear Drop、IP Spoofing、IP分片报文、ARP欺骗、ARP主动反向查询、TCP报文标志位不合法、超大ICMP报文、地址扫描、端口扫描等攻击防范，还包括针对SYN Flood、UPD Flood、ICMP Flood、DNS Flood、HTTP Flood、HTTPS Flood、SIP Flood等常见DDoS攻击的检测防御。</w:t>
            </w:r>
          </w:p>
          <w:p w14:paraId="4CB00166">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支持流量自学习功能，可设置自学习时间，并自动生成DDoS防范策略。</w:t>
            </w:r>
          </w:p>
          <w:p w14:paraId="1B2883A0">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31.</w:t>
            </w:r>
            <w:r>
              <w:rPr>
                <w:rFonts w:hint="eastAsia" w:ascii="宋体" w:hAnsi="宋体"/>
                <w:color w:val="auto"/>
                <w:sz w:val="21"/>
                <w:szCs w:val="21"/>
                <w:highlight w:val="none"/>
              </w:rPr>
              <w:t>所投设备须支持虚拟防火墙功能：支持虚拟防火墙的创建、启动、关闭、删除功能；可独立分配CPU/内存等计算资源；虚拟防火墙可独立管理，独立保存配置；虚拟防火墙具备独立会话管理、NAT、路由等功能。</w:t>
            </w:r>
          </w:p>
          <w:p w14:paraId="3004AFDF">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32.</w:t>
            </w:r>
            <w:r>
              <w:rPr>
                <w:rFonts w:hint="eastAsia" w:ascii="宋体" w:hAnsi="宋体"/>
                <w:color w:val="auto"/>
                <w:sz w:val="21"/>
                <w:szCs w:val="21"/>
                <w:highlight w:val="none"/>
              </w:rPr>
              <w:t>支持Context+VRF二级虚拟化技术，支持CPU、内存、存储等硬件资源划分的完全虚拟化；支持vSys虚拟防火墙技术，可以将一台物理设备虚拟成N台相互独立的虚拟设备</w:t>
            </w:r>
          </w:p>
          <w:p w14:paraId="182A99BA">
            <w:pPr>
              <w:widowControl/>
              <w:jc w:val="left"/>
              <w:rPr>
                <w:rFonts w:ascii="宋体" w:hAnsi="宋体"/>
                <w:color w:val="auto"/>
                <w:sz w:val="21"/>
                <w:szCs w:val="21"/>
                <w:highlight w:val="none"/>
              </w:rPr>
            </w:pPr>
            <w:r>
              <w:rPr>
                <w:rFonts w:hint="eastAsia" w:ascii="宋体" w:hAnsi="宋体"/>
                <w:color w:val="auto"/>
                <w:sz w:val="21"/>
                <w:szCs w:val="21"/>
                <w:highlight w:val="none"/>
                <w:lang w:val="en-US" w:eastAsia="zh-CN"/>
              </w:rPr>
              <w:t>33.</w:t>
            </w:r>
            <w:r>
              <w:rPr>
                <w:rFonts w:hint="eastAsia" w:ascii="宋体" w:hAnsi="宋体"/>
                <w:color w:val="auto"/>
                <w:sz w:val="21"/>
                <w:szCs w:val="21"/>
                <w:highlight w:val="none"/>
              </w:rPr>
              <w:t>中标后三个工作日内，采购方有权向预中标单位要求提供样机进行上述功能要求的逐一测试验证，全部通过后才能执行合同流程，测试中发现虚假应标的行为将予以废标处理并保留对该厂商和供应商报价人追究相关责任的权利。</w:t>
            </w:r>
          </w:p>
        </w:tc>
      </w:tr>
      <w:tr w14:paraId="6FD9148B">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4323FC04">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ascii="宋体" w:hAnsi="宋体"/>
                <w:color w:val="auto"/>
                <w:sz w:val="21"/>
                <w:szCs w:val="21"/>
                <w:highlight w:val="none"/>
              </w:rPr>
              <w:t>.2</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369C2967">
            <w:pPr>
              <w:widowControl/>
              <w:jc w:val="center"/>
              <w:rPr>
                <w:rFonts w:ascii="宋体" w:hAnsi="宋体"/>
                <w:color w:val="auto"/>
                <w:sz w:val="21"/>
                <w:szCs w:val="21"/>
                <w:highlight w:val="none"/>
              </w:rPr>
            </w:pPr>
            <w:r>
              <w:rPr>
                <w:rFonts w:ascii="宋体" w:hAnsi="宋体"/>
                <w:color w:val="auto"/>
                <w:sz w:val="21"/>
                <w:szCs w:val="21"/>
                <w:highlight w:val="none"/>
              </w:rPr>
              <w:t>国际出口上网行为管理系统</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2AF77132">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205D9733">
            <w:pPr>
              <w:widowControl/>
              <w:jc w:val="center"/>
              <w:rPr>
                <w:rFonts w:ascii="宋体" w:hAnsi="宋体"/>
                <w:color w:val="auto"/>
                <w:sz w:val="21"/>
                <w:szCs w:val="21"/>
                <w:highlight w:val="none"/>
              </w:rPr>
            </w:pPr>
            <w:r>
              <w:rPr>
                <w:rFonts w:ascii="宋体" w:hAnsi="宋体"/>
                <w:color w:val="auto"/>
                <w:sz w:val="21"/>
                <w:szCs w:val="21"/>
                <w:highlight w:val="none"/>
              </w:rPr>
              <w:t>1</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5EE4B90F">
            <w:pPr>
              <w:widowControl/>
              <w:numPr>
                <w:ilvl w:val="0"/>
                <w:numId w:val="0"/>
              </w:numPr>
              <w:jc w:val="left"/>
              <w:rPr>
                <w:rFonts w:hint="eastAsia" w:ascii="宋体" w:hAnsi="宋体"/>
                <w:color w:val="auto"/>
                <w:sz w:val="21"/>
                <w:szCs w:val="21"/>
                <w:highlight w:val="none"/>
              </w:rPr>
            </w:pPr>
            <w:r>
              <w:rPr>
                <w:rFonts w:hint="eastAsia" w:ascii="宋体" w:hAnsi="宋体"/>
                <w:color w:val="auto"/>
                <w:kern w:val="2"/>
                <w:sz w:val="21"/>
                <w:szCs w:val="21"/>
                <w:highlight w:val="none"/>
                <w:lang w:val="en-US" w:eastAsia="zh-CN" w:bidi="ar-SA"/>
              </w:rPr>
              <w:t>1.</w:t>
            </w:r>
            <w:r>
              <w:rPr>
                <w:rFonts w:hint="eastAsia" w:ascii="宋体" w:hAnsi="宋体"/>
                <w:color w:val="auto"/>
                <w:sz w:val="21"/>
                <w:szCs w:val="21"/>
                <w:highlight w:val="none"/>
              </w:rPr>
              <w:t>国产化，内存≥8G, 硬盘≥1T,接口≥10个千兆电口，≥4个个光电复用接口, 扩展槽位≥2个，冗余电源。</w:t>
            </w:r>
          </w:p>
          <w:p w14:paraId="7EB20A7B">
            <w:pPr>
              <w:widowControl/>
              <w:numPr>
                <w:ilvl w:val="0"/>
                <w:numId w:val="0"/>
              </w:numPr>
              <w:jc w:val="left"/>
              <w:rPr>
                <w:rFonts w:hint="eastAsia" w:ascii="宋体" w:hAnsi="宋体"/>
                <w:color w:val="auto"/>
                <w:sz w:val="21"/>
                <w:szCs w:val="21"/>
                <w:highlight w:val="none"/>
              </w:rPr>
            </w:pPr>
            <w:r>
              <w:rPr>
                <w:rFonts w:hint="eastAsia" w:ascii="宋体" w:hAnsi="宋体"/>
                <w:color w:val="auto"/>
                <w:kern w:val="2"/>
                <w:sz w:val="21"/>
                <w:szCs w:val="21"/>
                <w:highlight w:val="none"/>
                <w:lang w:val="en-US" w:eastAsia="zh-CN" w:bidi="ar-SA"/>
              </w:rPr>
              <w:t>2.</w:t>
            </w:r>
            <w:r>
              <w:rPr>
                <w:rFonts w:hint="eastAsia" w:ascii="宋体" w:hAnsi="宋体"/>
                <w:color w:val="auto"/>
                <w:sz w:val="21"/>
                <w:szCs w:val="21"/>
                <w:highlight w:val="none"/>
                <w:lang w:val="en-US" w:eastAsia="zh-CN"/>
              </w:rPr>
              <w:t>五</w:t>
            </w:r>
            <w:r>
              <w:rPr>
                <w:rFonts w:hint="eastAsia" w:ascii="宋体" w:hAnsi="宋体"/>
                <w:color w:val="auto"/>
                <w:sz w:val="21"/>
                <w:szCs w:val="21"/>
                <w:highlight w:val="none"/>
              </w:rPr>
              <w:t>年质保。</w:t>
            </w:r>
          </w:p>
          <w:p w14:paraId="09C51E46">
            <w:pPr>
              <w:widowControl/>
              <w:numPr>
                <w:ilvl w:val="0"/>
                <w:numId w:val="0"/>
              </w:numPr>
              <w:jc w:val="left"/>
              <w:rPr>
                <w:rFonts w:hint="eastAsia" w:ascii="宋体" w:hAnsi="宋体"/>
                <w:color w:val="auto"/>
                <w:sz w:val="21"/>
                <w:szCs w:val="21"/>
                <w:highlight w:val="none"/>
              </w:rPr>
            </w:pPr>
            <w:r>
              <w:rPr>
                <w:rFonts w:hint="eastAsia" w:ascii="Times New Roman" w:hAnsi="Times New Roman" w:eastAsia="宋体" w:cs="Times New Roman"/>
                <w:color w:val="auto"/>
                <w:highlight w:val="none"/>
                <w:lang w:val="zh-CN"/>
              </w:rPr>
              <w:t>★</w:t>
            </w:r>
            <w:r>
              <w:rPr>
                <w:rFonts w:hint="eastAsia" w:ascii="宋体" w:hAnsi="宋体"/>
                <w:color w:val="auto"/>
                <w:kern w:val="2"/>
                <w:sz w:val="21"/>
                <w:szCs w:val="21"/>
                <w:highlight w:val="none"/>
                <w:lang w:val="en-US" w:eastAsia="zh-CN" w:bidi="ar-SA"/>
              </w:rPr>
              <w:t>3.</w:t>
            </w:r>
            <w:r>
              <w:rPr>
                <w:rFonts w:hint="eastAsia" w:ascii="宋体" w:hAnsi="宋体"/>
                <w:color w:val="auto"/>
                <w:sz w:val="21"/>
                <w:szCs w:val="21"/>
                <w:highlight w:val="none"/>
                <w:lang w:val="en-US" w:eastAsia="zh-CN"/>
              </w:rPr>
              <w:t>CPU核心部件、操作系统需符合安全可靠测评要求。</w:t>
            </w:r>
          </w:p>
          <w:p w14:paraId="7E8B0E88">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网络层吞吐≥15Gbps；最大并发连接数≥1000万，每秒最大新建http连接数≥10万。</w:t>
            </w:r>
          </w:p>
          <w:p w14:paraId="6F487379">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支持路由模式、透明（网桥）模式、混合模式、旁路模式；旁路部署支持加入多个物理接口；部署模式切换无需重启设备</w:t>
            </w:r>
          </w:p>
          <w:p w14:paraId="0C11D0A6">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接口实际配置支持second IP地址</w:t>
            </w:r>
          </w:p>
          <w:p w14:paraId="4510C7E9">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支持负载在出接口的DNS请求主动完成DNS服务器替换</w:t>
            </w:r>
          </w:p>
          <w:p w14:paraId="6296FA4B">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支持七元组策略路由，支持基于线路权重进行负载转发</w:t>
            </w:r>
          </w:p>
          <w:p w14:paraId="4500D2D0">
            <w:pPr>
              <w:widowControl/>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支持5元组的负载均衡策略，转换类型支持地址映射或端口映射</w:t>
            </w:r>
            <w:r>
              <w:rPr>
                <w:rFonts w:hint="eastAsia" w:ascii="宋体" w:hAnsi="宋体"/>
                <w:color w:val="auto"/>
                <w:sz w:val="21"/>
                <w:szCs w:val="21"/>
                <w:highlight w:val="none"/>
                <w:lang w:eastAsia="zh-CN"/>
              </w:rPr>
              <w:t>。</w:t>
            </w:r>
          </w:p>
          <w:p w14:paraId="1ABA119C">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负载算法支持权重、源地址散列+权重</w:t>
            </w:r>
          </w:p>
          <w:p w14:paraId="3CBE8CB4">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支持针对服务器进行连通性探测，支持会话保持。</w:t>
            </w:r>
          </w:p>
          <w:p w14:paraId="64305C48">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支持接口虚拟化功能，使用VRF功能可以从系统层面隔离不同VRF组里的流量信息和路由信息，使用VRF功能可以作为MPLS组网里的MCE设备。</w:t>
            </w:r>
          </w:p>
          <w:p w14:paraId="3FF3BAFC">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13.</w:t>
            </w:r>
            <w:r>
              <w:rPr>
                <w:rFonts w:hint="eastAsia" w:ascii="宋体" w:hAnsi="宋体"/>
                <w:color w:val="auto"/>
                <w:sz w:val="21"/>
                <w:szCs w:val="21"/>
                <w:highlight w:val="none"/>
              </w:rPr>
              <w:t>不同vrf下的接口可以配置相同的ip地址</w:t>
            </w:r>
          </w:p>
          <w:p w14:paraId="3690EFBC">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应用特征不少于7500个，移动应用不少于450个。</w:t>
            </w:r>
          </w:p>
          <w:p w14:paraId="277735CE">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支持根据标签选择应用，预置标签分类至少包含安全风险、高带宽消耗、降低工作效率等10大类；支持给每个应用自定义标签；支持根据标签选择一类应用做控制。</w:t>
            </w:r>
          </w:p>
          <w:p w14:paraId="3A940DD7">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16.</w:t>
            </w:r>
            <w:r>
              <w:rPr>
                <w:rFonts w:hint="eastAsia" w:ascii="宋体" w:hAnsi="宋体"/>
                <w:color w:val="auto"/>
                <w:sz w:val="21"/>
                <w:szCs w:val="21"/>
                <w:highlight w:val="none"/>
              </w:rPr>
              <w:t>支持自定义应用，包括但不限于数据包方向、协议、端口、IP地址、目标域名、关键字识别等维度，数据包方向包括任意、请求数据、响应数据，关键字匹配模式支持文本或正则表达式；支持DNS域名学习模式，可引用数据包特征中的目标域名或指定域名。</w:t>
            </w:r>
          </w:p>
          <w:p w14:paraId="4B21F0DF">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17.</w:t>
            </w:r>
            <w:r>
              <w:rPr>
                <w:rFonts w:hint="eastAsia" w:ascii="宋体" w:hAnsi="宋体"/>
                <w:color w:val="auto"/>
                <w:sz w:val="21"/>
                <w:szCs w:val="21"/>
                <w:highlight w:val="none"/>
              </w:rPr>
              <w:t>支持智能和快速识别模式配置。</w:t>
            </w:r>
          </w:p>
          <w:p w14:paraId="47A76ED3">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18.</w:t>
            </w:r>
            <w:r>
              <w:rPr>
                <w:rFonts w:hint="eastAsia" w:ascii="宋体" w:hAnsi="宋体"/>
                <w:color w:val="auto"/>
                <w:sz w:val="21"/>
                <w:szCs w:val="21"/>
                <w:highlight w:val="none"/>
              </w:rPr>
              <w:t>支持针对搜索引擎、http、网页内容进行关键字过滤并实时生成日志记录，日志级别包括但不少于紧急、告警、严重、通知、信息、调试、不记录等，方便管理员快速区分用户上网行为属性和定位日志级别。</w:t>
            </w:r>
          </w:p>
          <w:p w14:paraId="6ECA3643">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支持邮件控制，支持基于发件人黑、白名单，收件人黑白名单、主题、内容关键字、邮件大小、附件个数进行行为过滤</w:t>
            </w:r>
          </w:p>
          <w:p w14:paraId="5BFF9A62">
            <w:pPr>
              <w:widowControl/>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支持基于协议、端口、策略的会话维持功能，老化时间不少于2000小时</w:t>
            </w:r>
            <w:r>
              <w:rPr>
                <w:rFonts w:hint="eastAsia" w:ascii="宋体" w:hAnsi="宋体"/>
                <w:color w:val="auto"/>
                <w:sz w:val="21"/>
                <w:szCs w:val="21"/>
                <w:highlight w:val="none"/>
                <w:lang w:eastAsia="zh-CN"/>
              </w:rPr>
              <w:t>。</w:t>
            </w:r>
          </w:p>
          <w:p w14:paraId="200A3170">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支持自定义URL过滤，包括恶意URL白名单、恶意URL黑名单、URL白名单等，并支持URL的模糊匹配。</w:t>
            </w:r>
          </w:p>
          <w:p w14:paraId="75CA6D8D">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支持基于DNS前置技术实现在DNS解析阶段针对http和https域名进行过滤，防止https域名过滤逃逸情况，</w:t>
            </w:r>
          </w:p>
          <w:p w14:paraId="434BA221">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23.</w:t>
            </w:r>
            <w:r>
              <w:rPr>
                <w:rFonts w:hint="eastAsia" w:ascii="宋体" w:hAnsi="宋体"/>
                <w:color w:val="auto"/>
                <w:sz w:val="21"/>
                <w:szCs w:val="21"/>
                <w:highlight w:val="none"/>
              </w:rPr>
              <w:t>支持在设备旁路部署时针对违规上网行为进行阻断过滤。</w:t>
            </w:r>
          </w:p>
          <w:p w14:paraId="485912D7">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支持防网络共享行为，针对私接路由器和非法无线热点行为进行识别和阻断</w:t>
            </w:r>
          </w:p>
          <w:p w14:paraId="2023E504">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24.</w:t>
            </w:r>
            <w:r>
              <w:rPr>
                <w:rFonts w:hint="eastAsia" w:ascii="宋体" w:hAnsi="宋体"/>
                <w:color w:val="auto"/>
                <w:sz w:val="21"/>
                <w:szCs w:val="21"/>
                <w:highlight w:val="none"/>
              </w:rPr>
              <w:t>检测方式包括但不限于时间戳、UA识别、应用特征、Flash Cookie、微信长连接等</w:t>
            </w:r>
          </w:p>
          <w:p w14:paraId="3A3A67CB">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25.</w:t>
            </w:r>
            <w:r>
              <w:rPr>
                <w:rFonts w:hint="eastAsia" w:ascii="宋体" w:hAnsi="宋体"/>
                <w:color w:val="auto"/>
                <w:sz w:val="21"/>
                <w:szCs w:val="21"/>
                <w:highlight w:val="none"/>
              </w:rPr>
              <w:t>支持自定义配置终端数量、冻结时间和添加信任列表，信任列表支持IP、IP端和用户等；支持例外排除功能，可针对终端类型分别设置阀值数量</w:t>
            </w:r>
          </w:p>
          <w:p w14:paraId="3D11C847">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26.</w:t>
            </w:r>
            <w:r>
              <w:rPr>
                <w:rFonts w:hint="eastAsia" w:ascii="宋体" w:hAnsi="宋体"/>
                <w:color w:val="auto"/>
                <w:sz w:val="21"/>
                <w:szCs w:val="21"/>
                <w:highlight w:val="none"/>
              </w:rPr>
              <w:t>▲针对私接网络行为，惩罚方式包括但不限于无操作、阻断和限速，阻断和限速支持自定义惩罚时长。以上参数提供web配置界面截图</w:t>
            </w:r>
          </w:p>
          <w:p w14:paraId="00B27A45">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27.</w:t>
            </w:r>
            <w:r>
              <w:rPr>
                <w:rFonts w:hint="eastAsia" w:ascii="宋体" w:hAnsi="宋体"/>
                <w:color w:val="auto"/>
                <w:sz w:val="21"/>
                <w:szCs w:val="21"/>
                <w:highlight w:val="none"/>
              </w:rPr>
              <w:t>支持单用户全天行为分析报表，一个界面同时展示用户名、用户组、在线时长、虚拟身份（如QQ号码、微博账号等）、日志关联情况、全天流量使用分布、网站访问类别分布、全天关键网络行为轴等信息。</w:t>
            </w:r>
          </w:p>
          <w:p w14:paraId="2DBCBB37">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28.</w:t>
            </w:r>
            <w:r>
              <w:rPr>
                <w:rFonts w:hint="eastAsia" w:ascii="宋体" w:hAnsi="宋体"/>
                <w:color w:val="auto"/>
                <w:sz w:val="21"/>
                <w:szCs w:val="21"/>
                <w:highlight w:val="none"/>
              </w:rPr>
              <w:t>支持设备健康监控与统计，包括但不少于整机转发流量（包括上下行）、会话数（包括允许会话和阻断会话）、CPU趋势、内存趋势、会话信息（包括当前会话和新建会话），统计时间维度包括但不少于1小时、4小时、1天、1周等；支持数据下钻跳转至详细内容。</w:t>
            </w:r>
          </w:p>
          <w:p w14:paraId="718FA128">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29.</w:t>
            </w:r>
            <w:r>
              <w:rPr>
                <w:rFonts w:hint="eastAsia" w:ascii="宋体" w:hAnsi="宋体"/>
                <w:color w:val="auto"/>
                <w:sz w:val="21"/>
                <w:szCs w:val="21"/>
                <w:highlight w:val="none"/>
              </w:rPr>
              <w:t>支持基于1小时、1天、1周等时间维度进行流量和用户统计，统计结果为了更直观更方便的向管理员呈现，展示效果包括但不限于趋势图、饼状图和表格。统计结果支持数据下钻跳转至详细列表，更清晰的将用户、应用、时间、流量等信息进行关联，帮助管理员快速了解内网行为趋势和行为组成。</w:t>
            </w:r>
          </w:p>
          <w:p w14:paraId="199EE036">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支持会话的统计与分析，支持统计会话源Top20、会话目的Top20，以趋势图方式展示并发会话、新建、TCP、UDP、其他协议等趋势信息；针对会话支持正向排名，支持数据下钻跳转至详细列表，深入钻取会话中用户、用户组、源目IP、源目端口、协议、连接类型、应用、流量、时间等信息；支持多条件组合形成筛选条件。以上参数提供web配置界面截图</w:t>
            </w:r>
          </w:p>
          <w:p w14:paraId="3D4F2ECE">
            <w:pPr>
              <w:widowControl/>
              <w:jc w:val="left"/>
              <w:rPr>
                <w:rFonts w:ascii="宋体" w:hAnsi="宋体"/>
                <w:color w:val="auto"/>
                <w:sz w:val="21"/>
                <w:szCs w:val="21"/>
                <w:highlight w:val="none"/>
              </w:rPr>
            </w:pPr>
            <w:r>
              <w:rPr>
                <w:rFonts w:hint="eastAsia" w:ascii="宋体" w:hAnsi="宋体"/>
                <w:color w:val="auto"/>
                <w:sz w:val="21"/>
                <w:szCs w:val="21"/>
                <w:highlight w:val="none"/>
                <w:lang w:val="en-US" w:eastAsia="zh-CN"/>
              </w:rPr>
              <w:t>31.</w:t>
            </w:r>
            <w:r>
              <w:rPr>
                <w:rFonts w:hint="eastAsia" w:ascii="宋体" w:hAnsi="宋体"/>
                <w:color w:val="auto"/>
                <w:sz w:val="21"/>
                <w:szCs w:val="21"/>
                <w:highlight w:val="none"/>
              </w:rPr>
              <w:t>中标后三个工作日内，采购方有权向预中标单位要求提供样机进行上述功能要求的逐一测试验证，全部通过后才能执行合同流程，测试中发现虚假应标的行为将予以废标处理并保留对该厂商和供应商报价人追究相关责任的权利。</w:t>
            </w:r>
          </w:p>
        </w:tc>
      </w:tr>
      <w:tr w14:paraId="7C307A1C">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2E886DE7">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ascii="宋体" w:hAnsi="宋体"/>
                <w:color w:val="auto"/>
                <w:sz w:val="21"/>
                <w:szCs w:val="21"/>
                <w:highlight w:val="none"/>
              </w:rPr>
              <w:t>.3</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48811423">
            <w:pPr>
              <w:widowControl/>
              <w:jc w:val="center"/>
              <w:rPr>
                <w:rFonts w:ascii="宋体" w:hAnsi="宋体"/>
                <w:color w:val="auto"/>
                <w:sz w:val="21"/>
                <w:szCs w:val="21"/>
                <w:highlight w:val="none"/>
              </w:rPr>
            </w:pPr>
            <w:r>
              <w:rPr>
                <w:rFonts w:ascii="宋体" w:hAnsi="宋体"/>
                <w:color w:val="auto"/>
                <w:sz w:val="21"/>
                <w:szCs w:val="21"/>
                <w:highlight w:val="none"/>
              </w:rPr>
              <w:t>国际出口负载均衡</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08806CB7">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6E14C15">
            <w:pPr>
              <w:widowControl/>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48F3BC5E">
            <w:pPr>
              <w:widowControl/>
              <w:numPr>
                <w:ilvl w:val="0"/>
                <w:numId w:val="7"/>
              </w:numPr>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内存容量≥16G</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标准2U设备，双电源</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标准配置1个专用带外管理口、1个HA接口，8个10/100M/1000M自适应千兆电接口、8个千兆SFP接口（不含SFP光模块）、4个万兆SFP+接口（不含SFP+光模块）及4个接口扩展槽位；标配512G SSD硬盘</w:t>
            </w:r>
            <w:r>
              <w:rPr>
                <w:rFonts w:hint="eastAsia" w:ascii="宋体" w:hAnsi="宋体" w:eastAsia="宋体" w:cs="Times New Roman"/>
                <w:color w:val="auto"/>
                <w:sz w:val="21"/>
                <w:szCs w:val="21"/>
                <w:highlight w:val="none"/>
                <w:lang w:val="en-US" w:eastAsia="zh-CN"/>
              </w:rPr>
              <w:t>.</w:t>
            </w:r>
          </w:p>
          <w:p w14:paraId="4A1A56E1">
            <w:pPr>
              <w:widowControl/>
              <w:numPr>
                <w:ilvl w:val="0"/>
                <w:numId w:val="0"/>
              </w:numPr>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2.5年质保。</w:t>
            </w:r>
          </w:p>
          <w:p w14:paraId="6A29DF95">
            <w:pPr>
              <w:widowControl/>
              <w:jc w:val="left"/>
              <w:rPr>
                <w:rFonts w:hint="eastAsia"/>
                <w:color w:val="auto"/>
                <w:highlight w:val="none"/>
                <w:lang w:eastAsia="zh-CN"/>
              </w:rPr>
            </w:pPr>
            <w:r>
              <w:rPr>
                <w:rFonts w:hint="eastAsia" w:ascii="Times New Roman" w:hAnsi="Times New Roman" w:eastAsia="宋体" w:cs="Times New Roman"/>
                <w:color w:val="auto"/>
                <w:highlight w:val="none"/>
                <w:lang w:val="zh-CN"/>
              </w:rPr>
              <w:t>★</w:t>
            </w:r>
            <w:r>
              <w:rPr>
                <w:rFonts w:hint="eastAsia" w:ascii="宋体" w:hAnsi="宋体" w:eastAsia="宋体" w:cs="Times New Roman"/>
                <w:color w:val="auto"/>
                <w:sz w:val="21"/>
                <w:szCs w:val="21"/>
                <w:highlight w:val="none"/>
                <w:lang w:val="en-US" w:eastAsia="zh-CN"/>
              </w:rPr>
              <w:t>3.CPU核心部件、操作系统需符合安全可靠测评要求。</w:t>
            </w:r>
          </w:p>
          <w:p w14:paraId="3F53A201">
            <w:pPr>
              <w:widowControl/>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.四层最大有效吞吐(goodput)45G，四层最大并发连接数2200万，四层每秒新建连接数（CPS）38万，七层每秒新建连接数（RPS10）52万；</w:t>
            </w:r>
          </w:p>
          <w:p w14:paraId="4727AFA8">
            <w:pPr>
              <w:widowControl/>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.支持主主（AA）、主备（AS）工作模式，IP地址可在设备间漂移，根据设备状态将流量牵引到主设备。支持包括半连接，全连接会话信息全状态同步；支持会话保持信息同步；以保障业务不间断切换。</w:t>
            </w:r>
          </w:p>
          <w:p w14:paraId="5A5691F6">
            <w:pPr>
              <w:widowControl/>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 xml:space="preserve">.单一设备即可同时支持包括链路负载均衡、服务器负载均衡，全局负载，应用加速，智能DNS，单边加速、SSL VPN、IPSEC VPN、虚拟化等功能。至少支持对10条以上链路进行流量均衡，不需要额外的授权。 </w:t>
            </w:r>
          </w:p>
          <w:p w14:paraId="45723AF3">
            <w:pPr>
              <w:widowControl/>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7</w:t>
            </w:r>
            <w:r>
              <w:rPr>
                <w:rFonts w:hint="eastAsia" w:ascii="宋体" w:hAnsi="宋体" w:eastAsia="宋体" w:cs="Times New Roman"/>
                <w:color w:val="auto"/>
                <w:sz w:val="21"/>
                <w:szCs w:val="21"/>
                <w:highlight w:val="none"/>
              </w:rPr>
              <w:t>.▲支持SSL VPN 远程接入功能，支持IPSEC VPN隧道模式，提供双边场景的安全防护。（提供截图证明）</w:t>
            </w:r>
          </w:p>
          <w:p w14:paraId="37D7FFE0">
            <w:pPr>
              <w:widowControl/>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8</w:t>
            </w:r>
            <w:r>
              <w:rPr>
                <w:rFonts w:hint="eastAsia" w:ascii="宋体" w:hAnsi="宋体" w:eastAsia="宋体" w:cs="Times New Roman"/>
                <w:color w:val="auto"/>
                <w:sz w:val="21"/>
                <w:szCs w:val="21"/>
                <w:highlight w:val="none"/>
              </w:rPr>
              <w:t>.业务的带宽保障：在链路拥塞时，支持对指定业务分配优先级，高优先级的业务优先处理，可以实现对指定业务的带宽保证，链路空闲时，所有业务可以任意使用带宽，链路拥塞时，可保障指定业务使用带宽。</w:t>
            </w:r>
          </w:p>
          <w:p w14:paraId="23596945">
            <w:pPr>
              <w:widowControl/>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9</w:t>
            </w:r>
            <w:r>
              <w:rPr>
                <w:rFonts w:hint="eastAsia" w:ascii="宋体" w:hAnsi="宋体" w:eastAsia="宋体" w:cs="Times New Roman"/>
                <w:color w:val="auto"/>
                <w:sz w:val="21"/>
                <w:szCs w:val="21"/>
                <w:highlight w:val="none"/>
              </w:rPr>
              <w:t>.支持轮询、加权轮询、最小连接数、加权最小连接数、源ip哈希、源ip+端口哈希、目的IP哈希、最快响应、动态反馈、最小流量、加权最小流量、顺序优先、随机算法等服务器负载均衡算法。</w:t>
            </w:r>
          </w:p>
          <w:p w14:paraId="7421F0E2">
            <w:pPr>
              <w:widowControl/>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10</w:t>
            </w:r>
            <w:r>
              <w:rPr>
                <w:rFonts w:hint="eastAsia" w:ascii="宋体" w:hAnsi="宋体" w:eastAsia="宋体" w:cs="Times New Roman"/>
                <w:color w:val="auto"/>
                <w:sz w:val="21"/>
                <w:szCs w:val="21"/>
                <w:highlight w:val="none"/>
              </w:rPr>
              <w:t>.支持手动、自动创建系统快照，可在系统异常时，快速恢复正常的系统版本及配置。</w:t>
            </w:r>
          </w:p>
          <w:p w14:paraId="2E653313">
            <w:pPr>
              <w:widowControl/>
              <w:jc w:val="left"/>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11</w:t>
            </w:r>
            <w:r>
              <w:rPr>
                <w:rFonts w:hint="eastAsia" w:ascii="宋体" w:hAnsi="宋体" w:eastAsia="宋体" w:cs="Times New Roman"/>
                <w:color w:val="auto"/>
                <w:sz w:val="21"/>
                <w:szCs w:val="21"/>
                <w:highlight w:val="none"/>
              </w:rPr>
              <w:t>.支持SPDY技术，通过HTTP协议的增强，实现数据流的多路复用、请求优先级及HTTP报头压缩技术，用以最小化延迟、提升网络速度、优化用户的网络使用体验。保障系统安全性的同时，实现业务加速效果。</w:t>
            </w:r>
          </w:p>
        </w:tc>
      </w:tr>
      <w:tr w14:paraId="492EB0CF">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2B78DADE">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ascii="宋体" w:hAnsi="宋体"/>
                <w:color w:val="auto"/>
                <w:sz w:val="21"/>
                <w:szCs w:val="21"/>
                <w:highlight w:val="none"/>
              </w:rPr>
              <w:t>.4</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021090E2">
            <w:pPr>
              <w:widowControl/>
              <w:jc w:val="center"/>
              <w:rPr>
                <w:rFonts w:ascii="宋体" w:hAnsi="宋体"/>
                <w:color w:val="auto"/>
                <w:sz w:val="21"/>
                <w:szCs w:val="21"/>
                <w:highlight w:val="none"/>
              </w:rPr>
            </w:pPr>
            <w:r>
              <w:rPr>
                <w:rFonts w:ascii="宋体" w:hAnsi="宋体"/>
                <w:color w:val="auto"/>
                <w:sz w:val="21"/>
                <w:szCs w:val="21"/>
                <w:highlight w:val="none"/>
              </w:rPr>
              <w:t>国内出口下一代防火墙（万兆）</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701CF5A3">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7B472EE">
            <w:pPr>
              <w:widowControl/>
              <w:jc w:val="center"/>
              <w:rPr>
                <w:rFonts w:ascii="宋体" w:hAnsi="宋体"/>
                <w:color w:val="auto"/>
                <w:sz w:val="21"/>
                <w:szCs w:val="21"/>
                <w:highlight w:val="none"/>
              </w:rPr>
            </w:pPr>
            <w:r>
              <w:rPr>
                <w:rFonts w:ascii="宋体" w:hAnsi="宋体"/>
                <w:color w:val="auto"/>
                <w:sz w:val="21"/>
                <w:szCs w:val="21"/>
                <w:highlight w:val="none"/>
              </w:rPr>
              <w:t>1</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60F85FE6">
            <w:pPr>
              <w:rPr>
                <w:rFonts w:hint="eastAsia" w:ascii="宋体" w:hAnsi="宋体" w:eastAsia="宋体" w:cs="Times New Roman"/>
                <w:color w:val="auto"/>
                <w:sz w:val="21"/>
                <w:szCs w:val="21"/>
                <w:highlight w:val="none"/>
                <w:lang w:val="en-US" w:eastAsia="zh-CN"/>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国产化，内存≥32G,硬盘≥480 SSD, 接口≥8个千兆电口，≥8个千兆电</w:t>
            </w:r>
            <w:r>
              <w:rPr>
                <w:rFonts w:hint="eastAsia" w:ascii="宋体" w:hAnsi="宋体" w:eastAsia="宋体" w:cs="Times New Roman"/>
                <w:color w:val="auto"/>
                <w:sz w:val="21"/>
                <w:szCs w:val="21"/>
                <w:highlight w:val="none"/>
                <w:lang w:val="en-US" w:eastAsia="zh-CN"/>
              </w:rPr>
              <w:t>口, ≥4个万兆光口，冗余电源。IPS与杀毒软件更新5年。</w:t>
            </w:r>
          </w:p>
          <w:p w14:paraId="51610029">
            <w:pPr>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2.五年质保年。</w:t>
            </w:r>
          </w:p>
          <w:p w14:paraId="74D38702">
            <w:pP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zh-CN" w:eastAsia="zh-CN"/>
              </w:rPr>
              <w:t>★</w:t>
            </w:r>
            <w:r>
              <w:rPr>
                <w:rFonts w:hint="eastAsia" w:ascii="宋体" w:hAnsi="宋体" w:eastAsia="宋体" w:cs="Times New Roman"/>
                <w:color w:val="auto"/>
                <w:sz w:val="21"/>
                <w:szCs w:val="21"/>
                <w:highlight w:val="none"/>
                <w:lang w:val="en-US" w:eastAsia="zh-CN"/>
              </w:rPr>
              <w:t>3.CPU核心部件、操作系统需符合安全可靠测评要求。</w:t>
            </w:r>
          </w:p>
          <w:p w14:paraId="0B12598C">
            <w:pPr>
              <w:rPr>
                <w:rFonts w:hint="eastAsia" w:ascii="宋体" w:hAnsi="宋体"/>
                <w:color w:val="auto"/>
                <w:sz w:val="21"/>
                <w:szCs w:val="21"/>
                <w:highlight w:val="none"/>
              </w:rPr>
            </w:pPr>
            <w:r>
              <w:rPr>
                <w:rFonts w:hint="eastAsia" w:ascii="宋体" w:hAnsi="宋体" w:eastAsia="宋体" w:cs="Times New Roman"/>
                <w:color w:val="auto"/>
                <w:sz w:val="21"/>
                <w:szCs w:val="21"/>
                <w:highlight w:val="none"/>
                <w:lang w:val="en-US" w:eastAsia="zh-CN"/>
              </w:rPr>
              <w:t>4.网络层吞吐≥80Gbps，应</w:t>
            </w:r>
            <w:r>
              <w:rPr>
                <w:rFonts w:hint="eastAsia" w:ascii="宋体" w:hAnsi="宋体"/>
                <w:color w:val="auto"/>
                <w:sz w:val="21"/>
                <w:szCs w:val="21"/>
                <w:highlight w:val="none"/>
              </w:rPr>
              <w:t>用层吞吐≥35Gbps，全威胁应用层吞吐≥20Gbps；最大并发连接数≥4000万，每秒最大新建http连接数≥150万。</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开通防病毒模块、入侵检测与防御模块、应用协议管理模块、Web安全防护模块。</w:t>
            </w:r>
          </w:p>
          <w:p w14:paraId="38AAAEAE">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实现路由模式、透明（网桥）模式、混合模式、旁路镜像模式</w:t>
            </w:r>
          </w:p>
          <w:p w14:paraId="61C11395">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支持静态路由、策略路由、RIP、OSPF、BGP、IS-IS等路由协议</w:t>
            </w:r>
          </w:p>
          <w:p w14:paraId="19E32212">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支持一对一、多对一、多对多等多种形式的NAT，支持DNS、FTP、H.323、RTSP、ILS、PPTP、SIP、SQLNET、MGCP、RSH、ICMP差错报文、TFTP、RTSP、SCTP、XDMCP、NBT、SCCP、HTTP等多种NAT ALG功能。NAT地址池支持动态探测和可用地址分配</w:t>
            </w:r>
          </w:p>
          <w:p w14:paraId="3BC81360">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支持NAT44、NAT46、NAT64、NAT66</w:t>
            </w:r>
          </w:p>
          <w:p w14:paraId="3946628A">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可基于每个SSL VPN用户的会话连接数、连接时间和流量阀值进行细颗粒度的管控。</w:t>
            </w:r>
          </w:p>
          <w:p w14:paraId="740CD0CF">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SSL VPN支持页面定制功能特性，包括登录页面、交互信息、提示信息的定制功能； 防火墙在SSL VPN页面上修改用户密码，支持防暴力破解密码</w:t>
            </w:r>
          </w:p>
          <w:p w14:paraId="4CDDB268">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实现IPSec、L2TP、GRE VPN、SSL VPN等功能。</w:t>
            </w:r>
          </w:p>
          <w:p w14:paraId="195B716B">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支持SSL的版本包括TLS1.0、TLS1.1、TLS1.2、TLS1.3（提供功能截图）</w:t>
            </w:r>
          </w:p>
          <w:p w14:paraId="438FC543">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13.</w:t>
            </w:r>
            <w:r>
              <w:rPr>
                <w:rFonts w:hint="eastAsia" w:ascii="宋体" w:hAnsi="宋体"/>
                <w:color w:val="auto"/>
                <w:sz w:val="21"/>
                <w:szCs w:val="21"/>
                <w:highlight w:val="none"/>
              </w:rPr>
              <w:t>支持一体化安全策略，能够基于源/目的安全域、源IP/MAC地址、目的IP地址、地区、服务、时间、用户/用户组、应用层协议、五元组、内容安全（WAF、IPS、数据过滤、文件过滤、AV、URL过滤和APT防御等）统一界面进行安全策略配置</w:t>
            </w:r>
          </w:p>
          <w:p w14:paraId="4EA9AFD3">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支持基于源安全域、目的安全域、源IP/MAC地址、目的IP地址、用户、应用、终端、服务、VRF和时间段进行策略冗余分析， 冲突策略分析以及命中率统计。</w:t>
            </w:r>
          </w:p>
          <w:p w14:paraId="4A2816E1">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15.</w:t>
            </w:r>
            <w:r>
              <w:rPr>
                <w:rFonts w:hint="eastAsia" w:ascii="宋体" w:hAnsi="宋体"/>
                <w:color w:val="auto"/>
                <w:szCs w:val="21"/>
                <w:highlight w:val="none"/>
              </w:rPr>
              <w:t>▲</w:t>
            </w:r>
            <w:r>
              <w:rPr>
                <w:rFonts w:hint="eastAsia" w:ascii="宋体" w:hAnsi="宋体"/>
                <w:color w:val="auto"/>
                <w:sz w:val="21"/>
                <w:szCs w:val="21"/>
                <w:highlight w:val="none"/>
              </w:rPr>
              <w:t>支持策略风险调优，支持安全策略优化分析，支持策略数冗余及命中分析，支持基于应用风险的自动批量和手动逐条策略调优，可根据流量、应用、风险类型等细粒度展示，并给出总体安全评分，便于用户更好的管理安全策略。</w:t>
            </w:r>
            <w:r>
              <w:rPr>
                <w:rFonts w:hint="eastAsia" w:ascii="宋体" w:hAnsi="宋体"/>
                <w:color w:val="auto"/>
                <w:szCs w:val="21"/>
                <w:highlight w:val="none"/>
              </w:rPr>
              <w:t>（提供功能截图）</w:t>
            </w:r>
          </w:p>
          <w:p w14:paraId="2548F890">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16.</w:t>
            </w:r>
            <w:r>
              <w:rPr>
                <w:rFonts w:hint="eastAsia" w:ascii="宋体" w:hAnsi="宋体"/>
                <w:color w:val="auto"/>
                <w:sz w:val="21"/>
                <w:szCs w:val="21"/>
                <w:highlight w:val="none"/>
              </w:rPr>
              <w:t>支持为Web应用提供基于 HTTP 和 HTTPS 的流量防护。对来自Web应用程序客户端的各类请求进行内容检测和验证，确保其安全性与合法性，对非法的请求予以实时阻断，从而对各类网站进行有效防护。</w:t>
            </w:r>
          </w:p>
          <w:p w14:paraId="2782B376">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17.</w:t>
            </w:r>
            <w:r>
              <w:rPr>
                <w:rFonts w:hint="eastAsia" w:ascii="宋体" w:hAnsi="宋体"/>
                <w:color w:val="auto"/>
                <w:sz w:val="21"/>
                <w:szCs w:val="21"/>
                <w:highlight w:val="none"/>
              </w:rPr>
              <w:t>支持SQL注入、跨站脚本、远程代码执行、字符编码等攻击的防护，支持对网络设备、网页服务器、数据库、网页应用等设备的专属特征分类，支持CC攻击防护，可基于检测请求报文头的X-Forwarded-For字段，以获取真正的源IP地址</w:t>
            </w:r>
          </w:p>
          <w:p w14:paraId="751B65C3">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18.</w:t>
            </w:r>
            <w:r>
              <w:rPr>
                <w:rFonts w:hint="eastAsia" w:ascii="宋体" w:hAnsi="宋体"/>
                <w:color w:val="auto"/>
                <w:sz w:val="21"/>
                <w:szCs w:val="21"/>
                <w:highlight w:val="none"/>
              </w:rPr>
              <w:t>支持至少5000种独立Web特征的攻击检测和防御特征库</w:t>
            </w:r>
          </w:p>
          <w:p w14:paraId="62A59D7B">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设备提供海量预分类的URL地址库，支持根据URL类别实现URL过滤；</w:t>
            </w:r>
          </w:p>
          <w:p w14:paraId="63CC3E28">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支持HTTPS加密流量的安全检测，支持TCP代理和SSL代理，且代理策略中可同时配置多类过滤条件，具体包括：源安全域、目的安全域、源地址、目的地址、用户和服务。一类过滤条件可以配置多个匹配项（提供功能截图）</w:t>
            </w:r>
          </w:p>
          <w:p w14:paraId="13DAB7FC">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 xml:space="preserve">支持不解密的方式实现HTTPS URL过滤 </w:t>
            </w:r>
          </w:p>
          <w:p w14:paraId="6DFC8618">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支持基于对包括但不限于操作系统、网络设备、办公软件、网页服务等保护对象的入侵防御策略，支持基于对漏洞、恶意文件、信息收集类攻击等的攻击分类的防护策略，支持基于服务器、客户端的防护策略。且缺省动作支持黑名单</w:t>
            </w:r>
          </w:p>
          <w:p w14:paraId="049B4410">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23.</w:t>
            </w:r>
            <w:r>
              <w:rPr>
                <w:rFonts w:hint="eastAsia" w:ascii="宋体" w:hAnsi="宋体"/>
                <w:color w:val="auto"/>
                <w:sz w:val="21"/>
                <w:szCs w:val="21"/>
                <w:highlight w:val="none"/>
              </w:rPr>
              <w:t>实现对黑客攻击、蠕虫/病毒、木马、恶意代码、间谍软件/广告软件等攻击的防御，实现缓冲区溢出、SQL注入、IDS/IPS逃逸等攻击的防御，实现攻击特征库的分类。IPS发现攻击后抓取报文，并支持通过WEB下载对应抓包文件，供客户进行分析</w:t>
            </w:r>
          </w:p>
          <w:p w14:paraId="4674BE2F">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24.</w:t>
            </w:r>
            <w:r>
              <w:rPr>
                <w:rFonts w:hint="eastAsia" w:ascii="宋体" w:hAnsi="宋体"/>
                <w:color w:val="auto"/>
                <w:sz w:val="21"/>
                <w:szCs w:val="21"/>
                <w:highlight w:val="none"/>
              </w:rPr>
              <w:t>可基于病毒特征进行检测，实现病毒库手动和自动升级，实现病毒日志和报表；防病毒本地库数量600万+；支持基于文件协议、邮件协议（SMTP/POP3/iMAP)、共享协议（NFS/SMB）的病毒功能。可基于病毒特征进行检测、动作响应、提供报表。发现病毒发送的告警信息，支持用户编辑告警内容</w:t>
            </w:r>
          </w:p>
          <w:p w14:paraId="13303A8F">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25.</w:t>
            </w:r>
            <w:r>
              <w:rPr>
                <w:rFonts w:hint="eastAsia" w:ascii="宋体" w:hAnsi="宋体"/>
                <w:color w:val="auto"/>
                <w:sz w:val="21"/>
                <w:szCs w:val="21"/>
                <w:highlight w:val="none"/>
              </w:rPr>
              <w:t>多出口智能选路，支持基于链路权重、带宽、配置优先级、链路质量、用户业务、运营商、域名、时间、DSCP、PPPoE、DNS、地址加权HASH等智能选路方式</w:t>
            </w:r>
          </w:p>
          <w:p w14:paraId="320FA340">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26.</w:t>
            </w:r>
            <w:r>
              <w:rPr>
                <w:rFonts w:hint="eastAsia" w:ascii="宋体" w:hAnsi="宋体"/>
                <w:color w:val="auto"/>
                <w:sz w:val="21"/>
                <w:szCs w:val="21"/>
                <w:highlight w:val="none"/>
              </w:rPr>
              <w:t>支持DNS透明代理功能，可基于负载均衡算法代理内网用户进行DNS请求转发，避免单运营商DNS解析出现单一链路流量过载，平衡多条运营商线路的带宽利用率。</w:t>
            </w:r>
          </w:p>
          <w:p w14:paraId="10392E5D">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27.</w:t>
            </w:r>
            <w:r>
              <w:rPr>
                <w:rFonts w:hint="eastAsia" w:ascii="宋体" w:hAnsi="宋体"/>
                <w:color w:val="auto"/>
                <w:sz w:val="21"/>
                <w:szCs w:val="21"/>
                <w:highlight w:val="none"/>
              </w:rPr>
              <w:t>能够防范DoS/DDoS攻击：Land、Smurf、Fraggle、Ping of Death、Tear Drop、IP Spoofing、IP分片报文、ARP欺骗、ARP主动反向查询、TCP报文标志位不合法、超大ICMP报文、地址扫描、端口扫描等攻击防范，还包括针对SYN Flood、UPD Flood、ICMP Flood、DNS Flood、HTTP Flood、HTTPS Flood、SIP Flood等常见DDoS攻击的检测防御。</w:t>
            </w:r>
          </w:p>
          <w:p w14:paraId="555A4E91">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28.</w:t>
            </w:r>
            <w:r>
              <w:rPr>
                <w:rFonts w:hint="eastAsia" w:ascii="宋体" w:hAnsi="宋体"/>
                <w:color w:val="auto"/>
                <w:sz w:val="21"/>
                <w:szCs w:val="21"/>
                <w:highlight w:val="none"/>
              </w:rPr>
              <w:t>支持流量自学习功能，可设置自学习时间，并自动生成DDoS防范策略。</w:t>
            </w:r>
          </w:p>
          <w:p w14:paraId="4B3139F4">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29.</w:t>
            </w:r>
            <w:r>
              <w:rPr>
                <w:rFonts w:hint="eastAsia" w:ascii="宋体" w:hAnsi="宋体"/>
                <w:color w:val="auto"/>
                <w:sz w:val="21"/>
                <w:szCs w:val="21"/>
                <w:highlight w:val="none"/>
              </w:rPr>
              <w:t>所投设备须支持虚拟防火墙功能：支持虚拟防火墙的创建、启动、关闭、删除功能；可独立分配CPU/内存等计算资源；虚拟防火墙可独立管理，独立保存配置；虚拟防火墙具备独立会话管理、NAT、路由等功能。</w:t>
            </w:r>
          </w:p>
          <w:p w14:paraId="52A857D2">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支持Context+VRF二级虚拟化技术，支持CPU、内存、存储等硬件资源划分的完全虚拟化；支持vSys虚拟防火墙技术，可以将一台物理设备虚拟成N台相互独立的虚拟设备</w:t>
            </w:r>
          </w:p>
          <w:p w14:paraId="6D3E0716">
            <w:pPr>
              <w:widowControl/>
              <w:jc w:val="left"/>
              <w:rPr>
                <w:rFonts w:ascii="宋体" w:hAnsi="宋体"/>
                <w:color w:val="auto"/>
                <w:sz w:val="21"/>
                <w:szCs w:val="21"/>
                <w:highlight w:val="none"/>
              </w:rPr>
            </w:pPr>
            <w:r>
              <w:rPr>
                <w:rFonts w:hint="eastAsia" w:ascii="宋体" w:hAnsi="宋体"/>
                <w:color w:val="auto"/>
                <w:sz w:val="21"/>
                <w:szCs w:val="21"/>
                <w:highlight w:val="none"/>
                <w:lang w:val="en-US" w:eastAsia="zh-CN"/>
              </w:rPr>
              <w:t>31.</w:t>
            </w:r>
            <w:r>
              <w:rPr>
                <w:rFonts w:hint="eastAsia" w:ascii="宋体" w:hAnsi="宋体"/>
                <w:color w:val="auto"/>
                <w:sz w:val="21"/>
                <w:szCs w:val="21"/>
                <w:highlight w:val="none"/>
              </w:rPr>
              <w:t>中标后三个工作日内，采购方有权向预中标单位要求提供样机进行上述功能要求的逐一测试验证，全部通过后才能执行合同流程，测试中发现虚假应标的行为将予以废标处理并保留对该厂商和供应商报价人追究相关责任的权利。</w:t>
            </w:r>
          </w:p>
        </w:tc>
      </w:tr>
      <w:tr w14:paraId="0C259245">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474B582B">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ascii="宋体" w:hAnsi="宋体"/>
                <w:color w:val="auto"/>
                <w:sz w:val="21"/>
                <w:szCs w:val="21"/>
                <w:highlight w:val="none"/>
              </w:rPr>
              <w:t>.5</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7B5C85A6">
            <w:pPr>
              <w:widowControl/>
              <w:jc w:val="center"/>
              <w:rPr>
                <w:rFonts w:ascii="宋体" w:hAnsi="宋体"/>
                <w:color w:val="auto"/>
                <w:sz w:val="21"/>
                <w:szCs w:val="21"/>
                <w:highlight w:val="none"/>
              </w:rPr>
            </w:pPr>
            <w:r>
              <w:rPr>
                <w:rFonts w:ascii="宋体" w:hAnsi="宋体"/>
                <w:color w:val="auto"/>
                <w:sz w:val="21"/>
                <w:szCs w:val="21"/>
                <w:highlight w:val="none"/>
              </w:rPr>
              <w:t>APT威胁检测系统</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4AB50BA5">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2952EF53">
            <w:pPr>
              <w:widowControl/>
              <w:jc w:val="center"/>
              <w:rPr>
                <w:rFonts w:ascii="宋体" w:hAnsi="宋体"/>
                <w:color w:val="auto"/>
                <w:sz w:val="21"/>
                <w:szCs w:val="21"/>
                <w:highlight w:val="none"/>
              </w:rPr>
            </w:pPr>
            <w:r>
              <w:rPr>
                <w:rFonts w:ascii="宋体" w:hAnsi="宋体"/>
                <w:color w:val="auto"/>
                <w:sz w:val="21"/>
                <w:szCs w:val="21"/>
                <w:highlight w:val="none"/>
              </w:rPr>
              <w:t>1</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146D3EAA">
            <w:pPr>
              <w:widowControl/>
              <w:numPr>
                <w:ilvl w:val="0"/>
                <w:numId w:val="0"/>
              </w:numPr>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国产化产品，2U标准机架式设备，网络层吞吐≥1Gbps，接口≥4个千兆电口；内存≥32GB；硬盘≥4TB；可扩展插槽≥3个，冗余电源。</w:t>
            </w:r>
          </w:p>
          <w:p w14:paraId="50168CBE">
            <w:pPr>
              <w:widowControl/>
              <w:numPr>
                <w:ilvl w:val="0"/>
                <w:numId w:val="0"/>
              </w:numPr>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2.五年</w:t>
            </w:r>
            <w:r>
              <w:rPr>
                <w:rFonts w:hint="eastAsia" w:ascii="宋体" w:hAnsi="宋体"/>
                <w:color w:val="auto"/>
                <w:sz w:val="21"/>
                <w:szCs w:val="21"/>
                <w:highlight w:val="none"/>
              </w:rPr>
              <w:t>质保。</w:t>
            </w:r>
          </w:p>
          <w:p w14:paraId="2A1C5559">
            <w:pPr>
              <w:widowControl/>
              <w:numPr>
                <w:ilvl w:val="0"/>
                <w:numId w:val="0"/>
              </w:numPr>
              <w:jc w:val="left"/>
              <w:rPr>
                <w:rFonts w:hint="default" w:ascii="宋体" w:hAnsi="宋体"/>
                <w:color w:val="auto"/>
                <w:sz w:val="21"/>
                <w:szCs w:val="21"/>
                <w:highlight w:val="none"/>
                <w:lang w:val="en-US" w:eastAsia="zh-CN"/>
              </w:rPr>
            </w:pPr>
            <w:r>
              <w:rPr>
                <w:rFonts w:hint="eastAsia" w:ascii="Times New Roman" w:hAnsi="Times New Roman" w:eastAsia="宋体" w:cs="Times New Roman"/>
                <w:color w:val="auto"/>
                <w:highlight w:val="none"/>
                <w:lang w:val="zh-CN"/>
              </w:rPr>
              <w:t>★</w:t>
            </w:r>
            <w:r>
              <w:rPr>
                <w:rFonts w:hint="eastAsia" w:ascii="宋体" w:hAnsi="宋体"/>
                <w:color w:val="auto"/>
                <w:sz w:val="21"/>
                <w:szCs w:val="21"/>
                <w:highlight w:val="none"/>
                <w:lang w:val="en-US" w:eastAsia="zh-CN"/>
              </w:rPr>
              <w:t>3.CPU核心部件、操作系统需符合安全可靠测评要求</w:t>
            </w:r>
            <w:r>
              <w:rPr>
                <w:rFonts w:hint="eastAsia" w:ascii="宋体" w:hAnsi="宋体"/>
                <w:color w:val="auto"/>
                <w:sz w:val="21"/>
                <w:szCs w:val="21"/>
                <w:highlight w:val="none"/>
              </w:rPr>
              <w:t>。</w:t>
            </w:r>
          </w:p>
          <w:p w14:paraId="5CB5E21F">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支持HTTP、FTP、SMTP、POP3、SMB、IMAP、DNS、HTTPS、SMTPS、POP3S、IMAPS、RADIUS、KRB5、SNMP、NETFLOW、TFTP、NNTP等100+种协议报文识别，支持1000+种应用识别</w:t>
            </w:r>
          </w:p>
          <w:p w14:paraId="180B5A9D">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支持多层 VLAN、VxLAN、MPLS、GRE等网络流量的解析检测</w:t>
            </w:r>
          </w:p>
          <w:p w14:paraId="36F85C09">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提供多样性的挖矿检测手段，能够检测挖矿木马投递、挖矿木马横向移动行为、挖矿软件、矿池域名解析、矿池连接、矿池协议等</w:t>
            </w:r>
          </w:p>
          <w:p w14:paraId="6E668AF5">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挖矿告警须提供专项告警页面，独立于其它告警，且矿池协议告警须提供虚拟币种类别</w:t>
            </w:r>
          </w:p>
          <w:p w14:paraId="7C086991">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具有文件威胁检测能力，能够准确识别300多种文件类型；支持恶意程序分类；针对检测出的恶意文件，能够给区分类型，如木马、勒索病毒等等。能够侦测各种文件型病毒，如勒索病毒、木马、僵尸、后门等，并支持多种高危病毒的侦测</w:t>
            </w:r>
          </w:p>
          <w:p w14:paraId="4108C1A7">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支持25000条以上攻击检测规则，涵盖Web攻击、漏洞利用、恶意软件、隐蔽隧道、黑客工具、内网安全等多种威胁类型</w:t>
            </w:r>
          </w:p>
          <w:p w14:paraId="24591160">
            <w:pPr>
              <w:widowControl/>
              <w:jc w:val="left"/>
              <w:rPr>
                <w:rFonts w:hint="eastAsia" w:ascii="宋体" w:hAnsi="宋体"/>
                <w:color w:val="auto"/>
                <w:sz w:val="21"/>
                <w:szCs w:val="21"/>
                <w:highlight w:val="none"/>
              </w:rPr>
            </w:pPr>
            <w:r>
              <w:rPr>
                <w:rFonts w:hint="eastAsia" w:ascii="宋体" w:hAnsi="宋体"/>
                <w:color w:val="auto"/>
                <w:sz w:val="21"/>
                <w:szCs w:val="21"/>
                <w:highlight w:val="none"/>
              </w:rPr>
              <w:t>支持通过机器学习引擎，对XSS跨站脚本、SQL注入攻击、代码执行、命令执行等10多种场景Web攻击进行检测</w:t>
            </w:r>
          </w:p>
          <w:p w14:paraId="15659837">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支持主流Webshell工具检测：冰蝎、哥斯拉、菜刀、蚁剑、weevely、开山斧等</w:t>
            </w:r>
          </w:p>
          <w:p w14:paraId="0E5EABB1">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支持WEBSHELL检测，可检测访问webshell的行为，包含具体对应的URL、返回码、返回数据包内容等，可显示Webshell后门是否植入成功</w:t>
            </w:r>
          </w:p>
          <w:p w14:paraId="307520E3">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支持HTTP、TELNET、FTP、MYSQL、PGSQL、REDIS、IMAP、POP3、SMTP、RDP、SSH、SMB、DB2、MongoDB、MSSQL等协议的暴力破解，能识别出登录次数、账户信息、爆破成功与否的攻击状态；</w:t>
            </w:r>
          </w:p>
          <w:p w14:paraId="3A66AD30">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13.</w:t>
            </w:r>
            <w:r>
              <w:rPr>
                <w:rFonts w:hint="eastAsia" w:ascii="宋体" w:hAnsi="宋体"/>
                <w:color w:val="auto"/>
                <w:sz w:val="21"/>
                <w:szCs w:val="21"/>
                <w:highlight w:val="none"/>
              </w:rPr>
              <w:t>支持自定义启用/禁用暴力破解模型；并支持自定义配置模型统计周期、登录次数、聚合维度、检测机制等参数</w:t>
            </w:r>
          </w:p>
          <w:p w14:paraId="2FF663EF">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支持分布式爆破、慢速爆破检测，且界面可配置</w:t>
            </w:r>
          </w:p>
          <w:p w14:paraId="7FFB8C1D">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支持加密协议解密检测</w:t>
            </w:r>
          </w:p>
          <w:p w14:paraId="799DF78F">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16.</w:t>
            </w:r>
            <w:r>
              <w:rPr>
                <w:rFonts w:hint="eastAsia" w:ascii="宋体" w:hAnsi="宋体"/>
                <w:color w:val="auto"/>
                <w:sz w:val="21"/>
                <w:szCs w:val="21"/>
                <w:highlight w:val="none"/>
              </w:rPr>
              <w:t>支持识别流量中的个人敏感信息，包括身份证、银行卡、手机号、港澳通行证等，并展示传输信息的协议、网站域名、URL、客户端IP、服务端IP，便于用户发现敏感信息的传输安全隐患和处置</w:t>
            </w:r>
          </w:p>
          <w:p w14:paraId="53D29287">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17.</w:t>
            </w:r>
            <w:r>
              <w:rPr>
                <w:rFonts w:hint="eastAsia" w:ascii="宋体" w:hAnsi="宋体"/>
                <w:color w:val="auto"/>
                <w:sz w:val="21"/>
                <w:szCs w:val="21"/>
                <w:highlight w:val="none"/>
              </w:rPr>
              <w:t>提供内置沙箱功能，能够对样本进行过滤去重减少分析数量</w:t>
            </w:r>
          </w:p>
          <w:p w14:paraId="2A21AF2D">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18.</w:t>
            </w:r>
            <w:r>
              <w:rPr>
                <w:rFonts w:hint="eastAsia" w:ascii="宋体" w:hAnsi="宋体"/>
                <w:color w:val="auto"/>
                <w:sz w:val="21"/>
                <w:szCs w:val="21"/>
                <w:highlight w:val="none"/>
              </w:rPr>
              <w:t>具有安全风险评估技术分析：包含针对注册表、内存、程序、网络活动、文件系统等操作系统环境的变化进行记录与分析</w:t>
            </w:r>
          </w:p>
          <w:p w14:paraId="78F56936">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沙箱能够对未知漏洞利用代码和恶意程序的以下行为进行动态分析</w:t>
            </w:r>
          </w:p>
          <w:p w14:paraId="10DDDEC0">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内置情报数据，失陷主机检测功能具备威胁情报IOC检测能力，支持的威胁类型包括但不限于：远控、钓鱼、僵尸网络、矿池地址、挖矿木马、勒索软件、窃密木马、远控木马、网络蠕虫、黑客工具、APT攻击事件、流氓推广、其他恶意软件，IOC情报总量达800万以上。</w:t>
            </w:r>
          </w:p>
          <w:p w14:paraId="087C525F">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支持提供域名、URL、IP类型的威胁情报检测，对IP情报可以精确到端口级别。</w:t>
            </w:r>
          </w:p>
          <w:p w14:paraId="1C35253B">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支持网络威胁自定义与威胁情报自定义，网络威胁能自主添加规则名称，规则等级与规则类型，语法兼容业界最常用的snort规则的写法。</w:t>
            </w:r>
          </w:p>
          <w:p w14:paraId="7F265515">
            <w:pPr>
              <w:widowControl/>
              <w:jc w:val="left"/>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23.</w:t>
            </w:r>
            <w:r>
              <w:rPr>
                <w:rFonts w:hint="eastAsia" w:ascii="宋体" w:hAnsi="宋体"/>
                <w:color w:val="auto"/>
                <w:sz w:val="21"/>
                <w:szCs w:val="21"/>
                <w:highlight w:val="none"/>
              </w:rPr>
              <w:t>威胁情报自定义包括IP、URL、DOMAIN、文件HASH四种类型，可以根据具体的使用场景进行选择</w:t>
            </w:r>
            <w:r>
              <w:rPr>
                <w:rFonts w:hint="eastAsia" w:ascii="宋体" w:hAnsi="宋体"/>
                <w:color w:val="auto"/>
                <w:sz w:val="21"/>
                <w:szCs w:val="21"/>
                <w:highlight w:val="none"/>
                <w:lang w:eastAsia="zh-CN"/>
              </w:rPr>
              <w:t>（</w:t>
            </w:r>
            <w:r>
              <w:rPr>
                <w:rFonts w:hint="eastAsia" w:ascii="宋体" w:hAnsi="宋体"/>
                <w:color w:val="auto"/>
                <w:sz w:val="21"/>
                <w:szCs w:val="21"/>
                <w:highlight w:val="none"/>
              </w:rPr>
              <w:t>须截图证明）</w:t>
            </w:r>
          </w:p>
          <w:p w14:paraId="056BBBED">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24.</w:t>
            </w:r>
            <w:r>
              <w:rPr>
                <w:rFonts w:hint="eastAsia" w:ascii="宋体" w:hAnsi="宋体"/>
                <w:color w:val="auto"/>
                <w:sz w:val="21"/>
                <w:szCs w:val="21"/>
                <w:highlight w:val="none"/>
              </w:rPr>
              <w:t>威胁情报自定义的规则可以支持多个同类对象的集合，比如对多个IP同时进行监控能够按照预设的条件，对相同攻击源、攻击目标、攻击类型的事件告警进行聚合，减少不必要的重复告警</w:t>
            </w:r>
          </w:p>
          <w:p w14:paraId="18E7D9D3">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25.</w:t>
            </w:r>
            <w:r>
              <w:rPr>
                <w:rFonts w:hint="eastAsia" w:ascii="宋体" w:hAnsi="宋体"/>
                <w:color w:val="auto"/>
                <w:sz w:val="21"/>
                <w:szCs w:val="21"/>
                <w:highlight w:val="none"/>
              </w:rPr>
              <w:t>具有自动研判功能，能够对攻击方向、攻击结果进行自动判定，并在告警中展示攻击结果。对于聚合后的告警，能展示不同攻击结果的次数</w:t>
            </w:r>
          </w:p>
          <w:p w14:paraId="5EB43050">
            <w:pPr>
              <w:widowControl/>
              <w:jc w:val="left"/>
              <w:rPr>
                <w:rFonts w:hint="eastAsia" w:ascii="宋体" w:hAnsi="宋体"/>
                <w:color w:val="auto"/>
                <w:sz w:val="21"/>
                <w:szCs w:val="21"/>
                <w:highlight w:val="none"/>
              </w:rPr>
            </w:pPr>
            <w:r>
              <w:rPr>
                <w:rFonts w:hint="eastAsia" w:ascii="宋体" w:hAnsi="宋体"/>
                <w:color w:val="auto"/>
                <w:sz w:val="21"/>
                <w:szCs w:val="21"/>
                <w:highlight w:val="none"/>
              </w:rPr>
              <w:t>聚合后的告警须显示攻击发生的次数、最初检测的时间和最后检测的时间，并能够钻取原始告警</w:t>
            </w:r>
          </w:p>
          <w:p w14:paraId="6B0D37F2">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26.</w:t>
            </w:r>
            <w:r>
              <w:rPr>
                <w:rFonts w:hint="eastAsia" w:ascii="宋体" w:hAnsi="宋体"/>
                <w:color w:val="auto"/>
                <w:sz w:val="21"/>
                <w:szCs w:val="21"/>
                <w:highlight w:val="none"/>
              </w:rPr>
              <w:t>支持在web攻击告警页面中展示HTTP请求头、请求体、响应头、响应体的详细内容</w:t>
            </w:r>
          </w:p>
          <w:p w14:paraId="68615ED6">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27.</w:t>
            </w:r>
            <w:r>
              <w:rPr>
                <w:rFonts w:hint="eastAsia" w:ascii="宋体" w:hAnsi="宋体"/>
                <w:color w:val="auto"/>
                <w:sz w:val="21"/>
                <w:szCs w:val="21"/>
                <w:highlight w:val="none"/>
              </w:rPr>
              <w:t>告警页面中能够展示和安全事件的上下文网络会话信息和原始数据包序列，能够在告警页面中展示关联的原始数据包包头和payload信息，并提供原始数据包下载</w:t>
            </w:r>
          </w:p>
          <w:p w14:paraId="601DFCA8">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28.</w:t>
            </w:r>
            <w:r>
              <w:rPr>
                <w:rFonts w:hint="eastAsia" w:ascii="宋体" w:hAnsi="宋体"/>
                <w:color w:val="auto"/>
                <w:sz w:val="21"/>
                <w:szCs w:val="21"/>
                <w:highlight w:val="none"/>
              </w:rPr>
              <w:t>能够使用统计模型对产生的告警日志进行噪声分析。用户在分析日志时，可以根据噪声级别对日志进行实时过滤。支持对历史数据进行噪声标记；分析模型支持在线更新</w:t>
            </w:r>
          </w:p>
          <w:p w14:paraId="7FFC124D">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29.</w:t>
            </w:r>
            <w:r>
              <w:rPr>
                <w:rFonts w:hint="eastAsia" w:ascii="宋体" w:hAnsi="宋体"/>
                <w:color w:val="auto"/>
                <w:sz w:val="21"/>
                <w:szCs w:val="21"/>
                <w:highlight w:val="none"/>
              </w:rPr>
              <w:t>支持动态聚合，能够支持基于攻击手法的告警日志实时聚合，支持对告警日志先建模再聚合</w:t>
            </w:r>
          </w:p>
          <w:p w14:paraId="4A78594C">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▲能够追踪到风险主机IP号、最近更新时间、主机风险状态、攻击结果、规则触发次数以及风险因素等信息的能力（须截图证明）</w:t>
            </w:r>
          </w:p>
          <w:p w14:paraId="1EFAAA44">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31.</w:t>
            </w:r>
            <w:r>
              <w:rPr>
                <w:rFonts w:hint="eastAsia" w:ascii="宋体" w:hAnsi="宋体"/>
                <w:color w:val="auto"/>
                <w:sz w:val="21"/>
                <w:szCs w:val="21"/>
                <w:highlight w:val="none"/>
              </w:rPr>
              <w:t>能够提供攻击详情分析，包含风险信息概览，攻击链阶段，攻击关系图，风险主机涉及的告警列表详情，入侵检测攻击上下文等</w:t>
            </w:r>
          </w:p>
          <w:p w14:paraId="57BCB257">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32.</w:t>
            </w:r>
            <w:r>
              <w:rPr>
                <w:rFonts w:hint="eastAsia" w:ascii="宋体" w:hAnsi="宋体"/>
                <w:color w:val="auto"/>
                <w:sz w:val="21"/>
                <w:szCs w:val="21"/>
                <w:highlight w:val="none"/>
              </w:rPr>
              <w:t>▲能够以某个恶意文件为中心，溯源整个文件的流转记录，并以图形化方式展示出来，直观展示在不同时间点上该恶意文件在不同主机服务器上的传播路径，支持文件下载。需截图证明</w:t>
            </w:r>
          </w:p>
          <w:p w14:paraId="312A371A">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33.</w:t>
            </w:r>
            <w:r>
              <w:rPr>
                <w:rFonts w:hint="eastAsia" w:ascii="宋体" w:hAnsi="宋体"/>
                <w:color w:val="auto"/>
                <w:sz w:val="21"/>
                <w:szCs w:val="21"/>
                <w:highlight w:val="none"/>
              </w:rPr>
              <w:t>支持威胁流量的自动存储，及威胁流量PCAP文件格式下载</w:t>
            </w:r>
          </w:p>
          <w:p w14:paraId="3B13CE23">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34.</w:t>
            </w:r>
            <w:r>
              <w:rPr>
                <w:rFonts w:hint="eastAsia" w:ascii="宋体" w:hAnsi="宋体"/>
                <w:color w:val="auto"/>
                <w:sz w:val="21"/>
                <w:szCs w:val="21"/>
                <w:highlight w:val="none"/>
              </w:rPr>
              <w:t>支持对网络Http攻击流量的应答码及攻击状态展示</w:t>
            </w:r>
          </w:p>
          <w:p w14:paraId="7CD5235D">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35.</w:t>
            </w:r>
            <w:r>
              <w:rPr>
                <w:rFonts w:hint="eastAsia" w:ascii="宋体" w:hAnsi="宋体"/>
                <w:color w:val="auto"/>
                <w:sz w:val="21"/>
                <w:szCs w:val="21"/>
                <w:highlight w:val="none"/>
              </w:rPr>
              <w:t>支持pcap回放功能，对导入的pcap进行回放并进行威胁检测，回放产生的告警必须和生产网络流量的告警分页面展示，避免干扰正常安全运营</w:t>
            </w:r>
          </w:p>
          <w:p w14:paraId="301FE0EB">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36.</w:t>
            </w:r>
            <w:r>
              <w:rPr>
                <w:rFonts w:hint="eastAsia" w:ascii="宋体" w:hAnsi="宋体"/>
                <w:color w:val="auto"/>
                <w:sz w:val="21"/>
                <w:szCs w:val="21"/>
                <w:highlight w:val="none"/>
              </w:rPr>
              <w:t>支持按照网络攻击、挖矿、扫描、暴力破解、恶意文件、威胁情报等告警进行分类，提高运维效率。</w:t>
            </w:r>
          </w:p>
          <w:p w14:paraId="4F3ADF9A">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37.</w:t>
            </w:r>
            <w:r>
              <w:rPr>
                <w:rFonts w:hint="eastAsia" w:ascii="宋体" w:hAnsi="宋体"/>
                <w:color w:val="auto"/>
                <w:sz w:val="21"/>
                <w:szCs w:val="21"/>
                <w:highlight w:val="none"/>
              </w:rPr>
              <w:t>支持大屏展示，展示威胁分类统计数据，排名前五的病毒事件，失陷风险最高的TOP5主机，攻击源和攻击目标地理位置展示</w:t>
            </w:r>
          </w:p>
          <w:p w14:paraId="2EB2033D">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38.</w:t>
            </w:r>
            <w:r>
              <w:rPr>
                <w:rFonts w:hint="eastAsia" w:ascii="宋体" w:hAnsi="宋体"/>
                <w:color w:val="auto"/>
                <w:sz w:val="21"/>
                <w:szCs w:val="21"/>
                <w:highlight w:val="none"/>
              </w:rPr>
              <w:t>预设报表，包括日报、周报、月报，并支持自定义报表生成时间，内置通用报表模板和挖矿专项报表模板</w:t>
            </w:r>
          </w:p>
          <w:p w14:paraId="19117899">
            <w:pPr>
              <w:widowControl/>
              <w:jc w:val="left"/>
              <w:rPr>
                <w:rFonts w:ascii="宋体" w:hAnsi="宋体"/>
                <w:color w:val="auto"/>
                <w:sz w:val="21"/>
                <w:szCs w:val="21"/>
                <w:highlight w:val="none"/>
              </w:rPr>
            </w:pPr>
            <w:r>
              <w:rPr>
                <w:rFonts w:hint="eastAsia" w:ascii="宋体" w:hAnsi="宋体"/>
                <w:color w:val="auto"/>
                <w:sz w:val="21"/>
                <w:szCs w:val="21"/>
                <w:highlight w:val="none"/>
                <w:lang w:val="en-US" w:eastAsia="zh-CN"/>
              </w:rPr>
              <w:t>39.</w:t>
            </w:r>
            <w:r>
              <w:rPr>
                <w:rFonts w:hint="eastAsia" w:ascii="宋体" w:hAnsi="宋体"/>
                <w:color w:val="auto"/>
                <w:sz w:val="21"/>
                <w:szCs w:val="21"/>
                <w:highlight w:val="none"/>
              </w:rPr>
              <w:t>中标后三个工作日内，采购方有权向预中标单位要求提供样机进行上述功能要求的逐一测试验证，全部通过后才能执行合同流程，测试中发现虚假应标的行为将予以废标处理并保留对该厂商和供应商报价人追究相关责任的权利。</w:t>
            </w:r>
          </w:p>
        </w:tc>
      </w:tr>
      <w:tr w14:paraId="33CE2008">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68E9A3FF">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ascii="宋体" w:hAnsi="宋体"/>
                <w:color w:val="auto"/>
                <w:sz w:val="21"/>
                <w:szCs w:val="21"/>
                <w:highlight w:val="none"/>
              </w:rPr>
              <w:t>.6</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0450AC70">
            <w:pPr>
              <w:widowControl/>
              <w:jc w:val="center"/>
              <w:rPr>
                <w:rFonts w:ascii="宋体" w:hAnsi="宋体"/>
                <w:color w:val="auto"/>
                <w:sz w:val="21"/>
                <w:szCs w:val="21"/>
                <w:highlight w:val="none"/>
              </w:rPr>
            </w:pPr>
            <w:r>
              <w:rPr>
                <w:rFonts w:ascii="宋体" w:hAnsi="宋体"/>
                <w:color w:val="auto"/>
                <w:sz w:val="21"/>
                <w:szCs w:val="21"/>
                <w:highlight w:val="none"/>
              </w:rPr>
              <w:t>24口万兆接入交换机</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0B68D0C5">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E49A0D6">
            <w:pPr>
              <w:widowControl/>
              <w:jc w:val="center"/>
              <w:rPr>
                <w:rFonts w:ascii="宋体" w:hAnsi="宋体"/>
                <w:color w:val="auto"/>
                <w:sz w:val="21"/>
                <w:szCs w:val="21"/>
                <w:highlight w:val="none"/>
              </w:rPr>
            </w:pPr>
            <w:r>
              <w:rPr>
                <w:rFonts w:ascii="宋体" w:hAnsi="宋体"/>
                <w:color w:val="auto"/>
                <w:sz w:val="21"/>
                <w:szCs w:val="21"/>
                <w:highlight w:val="none"/>
              </w:rPr>
              <w:t>3</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1CFBA73B">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1、交换容量：≥598Gbps/5.98Tbps；</w:t>
            </w:r>
          </w:p>
          <w:p w14:paraId="0610059C">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2、包转发率：≥148Mpps/222Mpps；</w:t>
            </w:r>
          </w:p>
          <w:p w14:paraId="4CF1A501">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3、业务端口：≥24 个 10/100/1000BASE-T 端口；</w:t>
            </w:r>
          </w:p>
          <w:p w14:paraId="59FE01E9">
            <w:pPr>
              <w:widowControl/>
              <w:jc w:val="left"/>
              <w:rPr>
                <w:rFonts w:ascii="宋体" w:hAnsi="宋体"/>
                <w:color w:val="auto"/>
                <w:sz w:val="21"/>
                <w:szCs w:val="21"/>
                <w:highlight w:val="none"/>
              </w:rPr>
            </w:pPr>
            <w:r>
              <w:rPr>
                <w:rFonts w:hint="eastAsia" w:ascii="宋体" w:hAnsi="宋体"/>
                <w:color w:val="auto"/>
                <w:sz w:val="21"/>
                <w:szCs w:val="21"/>
                <w:highlight w:val="none"/>
              </w:rPr>
              <w:t>4、≥4个1G/10GBASE-X SFP Plus 端口。</w:t>
            </w:r>
          </w:p>
        </w:tc>
      </w:tr>
      <w:tr w14:paraId="1A6A4C0C">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29AE13F4">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ascii="宋体" w:hAnsi="宋体"/>
                <w:color w:val="auto"/>
                <w:sz w:val="21"/>
                <w:szCs w:val="21"/>
                <w:highlight w:val="none"/>
              </w:rPr>
              <w:t>.7</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61EB596F">
            <w:pPr>
              <w:widowControl/>
              <w:jc w:val="center"/>
              <w:rPr>
                <w:rFonts w:ascii="宋体" w:hAnsi="宋体"/>
                <w:color w:val="auto"/>
                <w:sz w:val="21"/>
                <w:szCs w:val="21"/>
                <w:highlight w:val="none"/>
              </w:rPr>
            </w:pPr>
            <w:r>
              <w:rPr>
                <w:rFonts w:ascii="宋体" w:hAnsi="宋体"/>
                <w:color w:val="auto"/>
                <w:sz w:val="21"/>
                <w:szCs w:val="21"/>
                <w:highlight w:val="none"/>
              </w:rPr>
              <w:t>单模万兆模块</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777B173B">
            <w:pPr>
              <w:widowControl/>
              <w:jc w:val="center"/>
              <w:rPr>
                <w:rFonts w:ascii="宋体" w:hAnsi="宋体"/>
                <w:color w:val="auto"/>
                <w:sz w:val="21"/>
                <w:szCs w:val="21"/>
                <w:highlight w:val="none"/>
              </w:rPr>
            </w:pPr>
            <w:r>
              <w:rPr>
                <w:rFonts w:ascii="宋体" w:hAnsi="宋体"/>
                <w:color w:val="auto"/>
                <w:sz w:val="21"/>
                <w:szCs w:val="21"/>
                <w:highlight w:val="none"/>
              </w:rPr>
              <w:t>个</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53ACB686">
            <w:pPr>
              <w:widowControl/>
              <w:jc w:val="center"/>
              <w:rPr>
                <w:rFonts w:ascii="宋体" w:hAnsi="宋体"/>
                <w:color w:val="auto"/>
                <w:sz w:val="21"/>
                <w:szCs w:val="21"/>
                <w:highlight w:val="none"/>
              </w:rPr>
            </w:pPr>
            <w:r>
              <w:rPr>
                <w:rFonts w:ascii="宋体" w:hAnsi="宋体"/>
                <w:color w:val="auto"/>
                <w:sz w:val="21"/>
                <w:szCs w:val="21"/>
                <w:highlight w:val="none"/>
              </w:rPr>
              <w:t>32</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5CE0E578">
            <w:pPr>
              <w:widowControl/>
              <w:jc w:val="left"/>
              <w:rPr>
                <w:rFonts w:ascii="宋体" w:hAnsi="宋体"/>
                <w:color w:val="auto"/>
                <w:sz w:val="21"/>
                <w:szCs w:val="21"/>
                <w:highlight w:val="none"/>
              </w:rPr>
            </w:pPr>
            <w:r>
              <w:rPr>
                <w:rFonts w:hint="eastAsia" w:ascii="宋体" w:hAnsi="宋体"/>
                <w:color w:val="auto"/>
                <w:sz w:val="21"/>
                <w:szCs w:val="21"/>
                <w:highlight w:val="none"/>
              </w:rPr>
              <w:t>1、光模块-SFP+10G-单模模块（1310nm,10km,LC）。</w:t>
            </w:r>
          </w:p>
        </w:tc>
      </w:tr>
      <w:tr w14:paraId="3169258D">
        <w:tblPrEx>
          <w:tblCellMar>
            <w:top w:w="0" w:type="dxa"/>
            <w:left w:w="108" w:type="dxa"/>
            <w:bottom w:w="0" w:type="dxa"/>
            <w:right w:w="108" w:type="dxa"/>
          </w:tblCellMar>
        </w:tblPrEx>
        <w:trPr>
          <w:gridAfter w:val="1"/>
          <w:wAfter w:w="26" w:type="pct"/>
          <w:trHeight w:val="340" w:hRule="atLeast"/>
        </w:trPr>
        <w:tc>
          <w:tcPr>
            <w:tcW w:w="1556" w:type="pct"/>
            <w:gridSpan w:val="6"/>
            <w:tcBorders>
              <w:top w:val="single" w:color="000000" w:sz="4" w:space="0"/>
              <w:left w:val="single" w:color="000000" w:sz="4" w:space="0"/>
              <w:bottom w:val="single" w:color="000000" w:sz="4" w:space="0"/>
              <w:right w:val="single" w:color="000000" w:sz="4" w:space="0"/>
            </w:tcBorders>
            <w:noWrap w:val="0"/>
            <w:vAlign w:val="center"/>
          </w:tcPr>
          <w:p w14:paraId="33753331">
            <w:pPr>
              <w:widowControl/>
              <w:jc w:val="left"/>
              <w:rPr>
                <w:rFonts w:ascii="宋体" w:hAnsi="宋体"/>
                <w:color w:val="auto"/>
                <w:sz w:val="21"/>
                <w:szCs w:val="21"/>
                <w:highlight w:val="none"/>
              </w:rPr>
            </w:pPr>
            <w:r>
              <w:rPr>
                <w:rFonts w:hint="eastAsia" w:ascii="宋体" w:hAnsi="宋体"/>
                <w:color w:val="auto"/>
                <w:sz w:val="21"/>
                <w:szCs w:val="21"/>
                <w:highlight w:val="none"/>
                <w:lang w:val="en-US" w:eastAsia="zh-CN"/>
              </w:rPr>
              <w:t>三</w:t>
            </w:r>
            <w:r>
              <w:rPr>
                <w:rFonts w:ascii="宋体" w:hAnsi="宋体"/>
                <w:color w:val="auto"/>
                <w:sz w:val="21"/>
                <w:szCs w:val="21"/>
                <w:highlight w:val="none"/>
              </w:rPr>
              <w:t>、物联感知设备建设</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43A5F358">
            <w:pPr>
              <w:widowControl/>
              <w:jc w:val="left"/>
              <w:rPr>
                <w:rFonts w:ascii="宋体" w:hAnsi="宋体"/>
                <w:color w:val="auto"/>
                <w:sz w:val="21"/>
                <w:szCs w:val="21"/>
                <w:highlight w:val="none"/>
              </w:rPr>
            </w:pPr>
          </w:p>
        </w:tc>
      </w:tr>
      <w:tr w14:paraId="51FF5B5A">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389FF214">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ascii="宋体" w:hAnsi="宋体"/>
                <w:color w:val="auto"/>
                <w:sz w:val="21"/>
                <w:szCs w:val="21"/>
                <w:highlight w:val="none"/>
              </w:rPr>
              <w:t>.1</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23E3BAC9">
            <w:pPr>
              <w:widowControl/>
              <w:jc w:val="center"/>
              <w:rPr>
                <w:rFonts w:ascii="宋体" w:hAnsi="宋体"/>
                <w:color w:val="auto"/>
                <w:sz w:val="21"/>
                <w:szCs w:val="21"/>
                <w:highlight w:val="none"/>
              </w:rPr>
            </w:pPr>
            <w:r>
              <w:rPr>
                <w:rFonts w:ascii="宋体" w:hAnsi="宋体"/>
                <w:color w:val="auto"/>
                <w:sz w:val="21"/>
                <w:szCs w:val="21"/>
                <w:highlight w:val="none"/>
              </w:rPr>
              <w:t>三相四线智能电表</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60CA2B01">
            <w:pPr>
              <w:widowControl/>
              <w:jc w:val="center"/>
              <w:rPr>
                <w:rFonts w:ascii="宋体" w:hAnsi="宋体"/>
                <w:color w:val="auto"/>
                <w:sz w:val="21"/>
                <w:szCs w:val="21"/>
                <w:highlight w:val="none"/>
              </w:rPr>
            </w:pPr>
            <w:r>
              <w:rPr>
                <w:rFonts w:ascii="宋体" w:hAnsi="宋体"/>
                <w:color w:val="auto"/>
                <w:sz w:val="21"/>
                <w:szCs w:val="21"/>
                <w:highlight w:val="none"/>
              </w:rPr>
              <w:t>个</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D3C8AAA">
            <w:pPr>
              <w:widowControl/>
              <w:jc w:val="center"/>
              <w:rPr>
                <w:rFonts w:ascii="宋体" w:hAnsi="宋体"/>
                <w:color w:val="auto"/>
                <w:sz w:val="21"/>
                <w:szCs w:val="21"/>
                <w:highlight w:val="none"/>
              </w:rPr>
            </w:pPr>
            <w:r>
              <w:rPr>
                <w:rFonts w:ascii="宋体" w:hAnsi="宋体"/>
                <w:color w:val="auto"/>
                <w:sz w:val="21"/>
                <w:szCs w:val="21"/>
                <w:highlight w:val="none"/>
              </w:rPr>
              <w:t>12</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2F8309E5">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1、三相四线智能电表，额定电压：3×220/380V，有功电能、无功电能的精确计量，计量精度0.5级（单相1.0级）；</w:t>
            </w:r>
          </w:p>
          <w:p w14:paraId="7CB9AF01">
            <w:pPr>
              <w:widowControl/>
              <w:jc w:val="left"/>
              <w:rPr>
                <w:rFonts w:ascii="宋体" w:hAnsi="宋体"/>
                <w:color w:val="auto"/>
                <w:sz w:val="21"/>
                <w:szCs w:val="21"/>
                <w:highlight w:val="none"/>
              </w:rPr>
            </w:pPr>
            <w:r>
              <w:rPr>
                <w:rFonts w:hint="eastAsia" w:ascii="宋体" w:hAnsi="宋体"/>
                <w:color w:val="auto"/>
                <w:sz w:val="21"/>
                <w:szCs w:val="21"/>
                <w:highlight w:val="none"/>
              </w:rPr>
              <w:t>2、具有红外和RS485通讯接口。</w:t>
            </w:r>
          </w:p>
        </w:tc>
      </w:tr>
      <w:tr w14:paraId="079A7419">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3F7C2369">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ascii="宋体" w:hAnsi="宋体"/>
                <w:color w:val="auto"/>
                <w:sz w:val="21"/>
                <w:szCs w:val="21"/>
                <w:highlight w:val="none"/>
              </w:rPr>
              <w:t>.2</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6DC2393D">
            <w:pPr>
              <w:widowControl/>
              <w:jc w:val="center"/>
              <w:rPr>
                <w:rFonts w:ascii="宋体" w:hAnsi="宋体"/>
                <w:color w:val="auto"/>
                <w:sz w:val="21"/>
                <w:szCs w:val="21"/>
                <w:highlight w:val="none"/>
              </w:rPr>
            </w:pPr>
            <w:r>
              <w:rPr>
                <w:rFonts w:ascii="宋体" w:hAnsi="宋体"/>
                <w:color w:val="auto"/>
                <w:sz w:val="21"/>
                <w:szCs w:val="21"/>
                <w:highlight w:val="none"/>
              </w:rPr>
              <w:t>智能水表</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7C723EB8">
            <w:pPr>
              <w:widowControl/>
              <w:jc w:val="center"/>
              <w:rPr>
                <w:rFonts w:ascii="宋体" w:hAnsi="宋体"/>
                <w:color w:val="auto"/>
                <w:sz w:val="21"/>
                <w:szCs w:val="21"/>
                <w:highlight w:val="none"/>
              </w:rPr>
            </w:pPr>
            <w:r>
              <w:rPr>
                <w:rFonts w:ascii="宋体" w:hAnsi="宋体"/>
                <w:color w:val="auto"/>
                <w:sz w:val="21"/>
                <w:szCs w:val="21"/>
                <w:highlight w:val="none"/>
              </w:rPr>
              <w:t>个</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566997F">
            <w:pPr>
              <w:widowControl/>
              <w:jc w:val="center"/>
              <w:rPr>
                <w:rFonts w:ascii="宋体" w:hAnsi="宋体"/>
                <w:color w:val="auto"/>
                <w:sz w:val="21"/>
                <w:szCs w:val="21"/>
                <w:highlight w:val="none"/>
              </w:rPr>
            </w:pPr>
            <w:r>
              <w:rPr>
                <w:rFonts w:ascii="宋体" w:hAnsi="宋体"/>
                <w:color w:val="auto"/>
                <w:sz w:val="21"/>
                <w:szCs w:val="21"/>
                <w:highlight w:val="none"/>
              </w:rPr>
              <w:t>1</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272D7587">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1、直径:DN40，直接读取表计的计数器码盘示数，即“表记窗口值”，不存在累计脉冲与换算数值的二次计量过程，没有累计误差；</w:t>
            </w:r>
          </w:p>
          <w:p w14:paraId="35593387">
            <w:pPr>
              <w:widowControl/>
              <w:jc w:val="left"/>
              <w:rPr>
                <w:rFonts w:ascii="宋体" w:hAnsi="宋体"/>
                <w:color w:val="auto"/>
                <w:sz w:val="21"/>
                <w:szCs w:val="21"/>
                <w:highlight w:val="none"/>
              </w:rPr>
            </w:pPr>
            <w:r>
              <w:rPr>
                <w:rFonts w:hint="eastAsia" w:ascii="宋体" w:hAnsi="宋体"/>
                <w:color w:val="auto"/>
                <w:sz w:val="21"/>
                <w:szCs w:val="21"/>
                <w:highlight w:val="none"/>
              </w:rPr>
              <w:t>2、表计内的电子部分与表计的计数码盘等装置没有任何机械接触，不影响表计计量精度，不改变机械计量的显示方式。</w:t>
            </w:r>
          </w:p>
        </w:tc>
      </w:tr>
      <w:tr w14:paraId="412A9091">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656BEA59">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ascii="宋体" w:hAnsi="宋体"/>
                <w:color w:val="auto"/>
                <w:sz w:val="21"/>
                <w:szCs w:val="21"/>
                <w:highlight w:val="none"/>
              </w:rPr>
              <w:t>.3</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7EEE984C">
            <w:pPr>
              <w:widowControl/>
              <w:jc w:val="center"/>
              <w:rPr>
                <w:rFonts w:ascii="宋体" w:hAnsi="宋体"/>
                <w:color w:val="auto"/>
                <w:sz w:val="21"/>
                <w:szCs w:val="21"/>
                <w:highlight w:val="none"/>
              </w:rPr>
            </w:pPr>
            <w:r>
              <w:rPr>
                <w:rFonts w:ascii="宋体" w:hAnsi="宋体"/>
                <w:color w:val="auto"/>
                <w:sz w:val="21"/>
                <w:szCs w:val="21"/>
                <w:highlight w:val="none"/>
              </w:rPr>
              <w:t>设备控制箱</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6D6068F6">
            <w:pPr>
              <w:widowControl/>
              <w:jc w:val="center"/>
              <w:rPr>
                <w:rFonts w:ascii="宋体" w:hAnsi="宋体"/>
                <w:color w:val="auto"/>
                <w:sz w:val="21"/>
                <w:szCs w:val="21"/>
                <w:highlight w:val="none"/>
              </w:rPr>
            </w:pPr>
            <w:r>
              <w:rPr>
                <w:rFonts w:ascii="宋体" w:hAnsi="宋体"/>
                <w:color w:val="auto"/>
                <w:sz w:val="21"/>
                <w:szCs w:val="21"/>
                <w:highlight w:val="none"/>
              </w:rPr>
              <w:t>个</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56908B40">
            <w:pPr>
              <w:widowControl/>
              <w:jc w:val="center"/>
              <w:rPr>
                <w:rFonts w:ascii="宋体" w:hAnsi="宋体"/>
                <w:color w:val="auto"/>
                <w:sz w:val="21"/>
                <w:szCs w:val="21"/>
                <w:highlight w:val="none"/>
              </w:rPr>
            </w:pPr>
            <w:r>
              <w:rPr>
                <w:rFonts w:ascii="宋体" w:hAnsi="宋体"/>
                <w:color w:val="auto"/>
                <w:sz w:val="21"/>
                <w:szCs w:val="21"/>
                <w:highlight w:val="none"/>
              </w:rPr>
              <w:t>2</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31C60A16">
            <w:pPr>
              <w:widowControl/>
              <w:jc w:val="left"/>
              <w:rPr>
                <w:rFonts w:ascii="宋体" w:hAnsi="宋体"/>
                <w:color w:val="auto"/>
                <w:sz w:val="21"/>
                <w:szCs w:val="21"/>
                <w:highlight w:val="none"/>
              </w:rPr>
            </w:pPr>
            <w:r>
              <w:rPr>
                <w:rFonts w:hint="eastAsia" w:ascii="宋体" w:hAnsi="宋体"/>
                <w:color w:val="auto"/>
                <w:sz w:val="21"/>
                <w:szCs w:val="21"/>
                <w:highlight w:val="none"/>
              </w:rPr>
              <w:t>1、设备控制箱子，含导轨等设备。</w:t>
            </w:r>
          </w:p>
        </w:tc>
      </w:tr>
      <w:tr w14:paraId="39700CCB">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6C2209E9">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ascii="宋体" w:hAnsi="宋体"/>
                <w:color w:val="auto"/>
                <w:sz w:val="21"/>
                <w:szCs w:val="21"/>
                <w:highlight w:val="none"/>
              </w:rPr>
              <w:t>.4</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40ACA439">
            <w:pPr>
              <w:widowControl/>
              <w:jc w:val="center"/>
              <w:rPr>
                <w:rFonts w:ascii="宋体" w:hAnsi="宋体"/>
                <w:color w:val="auto"/>
                <w:sz w:val="21"/>
                <w:szCs w:val="21"/>
                <w:highlight w:val="none"/>
              </w:rPr>
            </w:pPr>
            <w:r>
              <w:rPr>
                <w:rFonts w:ascii="宋体" w:hAnsi="宋体"/>
                <w:color w:val="auto"/>
                <w:sz w:val="21"/>
                <w:szCs w:val="21"/>
                <w:highlight w:val="none"/>
              </w:rPr>
              <w:t>设备采集网关</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23592C5D">
            <w:pPr>
              <w:widowControl/>
              <w:jc w:val="center"/>
              <w:rPr>
                <w:rFonts w:ascii="宋体" w:hAnsi="宋体"/>
                <w:color w:val="auto"/>
                <w:sz w:val="21"/>
                <w:szCs w:val="21"/>
                <w:highlight w:val="none"/>
              </w:rPr>
            </w:pPr>
            <w:r>
              <w:rPr>
                <w:rFonts w:ascii="宋体" w:hAnsi="宋体"/>
                <w:color w:val="auto"/>
                <w:sz w:val="21"/>
                <w:szCs w:val="21"/>
                <w:highlight w:val="none"/>
              </w:rPr>
              <w:t>个</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C22B6D6">
            <w:pPr>
              <w:widowControl/>
              <w:jc w:val="center"/>
              <w:rPr>
                <w:rFonts w:ascii="宋体" w:hAnsi="宋体"/>
                <w:color w:val="auto"/>
                <w:sz w:val="21"/>
                <w:szCs w:val="21"/>
                <w:highlight w:val="none"/>
              </w:rPr>
            </w:pPr>
            <w:r>
              <w:rPr>
                <w:rFonts w:ascii="宋体" w:hAnsi="宋体"/>
                <w:color w:val="auto"/>
                <w:sz w:val="21"/>
                <w:szCs w:val="21"/>
                <w:highlight w:val="none"/>
              </w:rPr>
              <w:t>2</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5C915F09">
            <w:pPr>
              <w:widowControl/>
              <w:jc w:val="left"/>
              <w:rPr>
                <w:rFonts w:ascii="宋体" w:hAnsi="宋体"/>
                <w:color w:val="auto"/>
                <w:sz w:val="21"/>
                <w:szCs w:val="21"/>
                <w:highlight w:val="none"/>
              </w:rPr>
            </w:pPr>
            <w:r>
              <w:rPr>
                <w:rFonts w:hint="eastAsia" w:ascii="宋体" w:hAnsi="宋体"/>
                <w:color w:val="auto"/>
                <w:sz w:val="21"/>
                <w:szCs w:val="21"/>
                <w:highlight w:val="none"/>
              </w:rPr>
              <w:t>1、最大电源消耗不大于10VA；平均无故障时间不少于10万小时。</w:t>
            </w:r>
          </w:p>
        </w:tc>
      </w:tr>
      <w:tr w14:paraId="6C9B05F8">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2A84A122">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ascii="宋体" w:hAnsi="宋体"/>
                <w:color w:val="auto"/>
                <w:sz w:val="21"/>
                <w:szCs w:val="21"/>
                <w:highlight w:val="none"/>
              </w:rPr>
              <w:t>.5</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27E74B56">
            <w:pPr>
              <w:widowControl/>
              <w:jc w:val="center"/>
              <w:rPr>
                <w:rFonts w:ascii="宋体" w:hAnsi="宋体"/>
                <w:color w:val="auto"/>
                <w:sz w:val="21"/>
                <w:szCs w:val="21"/>
                <w:highlight w:val="none"/>
              </w:rPr>
            </w:pPr>
            <w:r>
              <w:rPr>
                <w:rFonts w:ascii="宋体" w:hAnsi="宋体"/>
                <w:color w:val="auto"/>
                <w:sz w:val="21"/>
                <w:szCs w:val="21"/>
                <w:highlight w:val="none"/>
              </w:rPr>
              <w:t>空气质量检测、温湿度传感器</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2F69F83F">
            <w:pPr>
              <w:widowControl/>
              <w:jc w:val="center"/>
              <w:rPr>
                <w:rFonts w:ascii="宋体" w:hAnsi="宋体"/>
                <w:color w:val="auto"/>
                <w:sz w:val="21"/>
                <w:szCs w:val="21"/>
                <w:highlight w:val="none"/>
              </w:rPr>
            </w:pPr>
            <w:r>
              <w:rPr>
                <w:rFonts w:ascii="宋体" w:hAnsi="宋体"/>
                <w:color w:val="auto"/>
                <w:sz w:val="21"/>
                <w:szCs w:val="21"/>
                <w:highlight w:val="none"/>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D31F88D">
            <w:pPr>
              <w:widowControl/>
              <w:jc w:val="center"/>
              <w:rPr>
                <w:rFonts w:ascii="宋体" w:hAnsi="宋体"/>
                <w:color w:val="auto"/>
                <w:sz w:val="21"/>
                <w:szCs w:val="21"/>
                <w:highlight w:val="none"/>
              </w:rPr>
            </w:pPr>
            <w:r>
              <w:rPr>
                <w:rFonts w:ascii="宋体" w:hAnsi="宋体"/>
                <w:color w:val="auto"/>
                <w:sz w:val="21"/>
                <w:szCs w:val="21"/>
                <w:highlight w:val="none"/>
              </w:rPr>
              <w:t>8</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1A5114D1">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1、含温湿度传感模块，量程范围温度（-10~60℃），湿度（0~95%RH）；</w:t>
            </w:r>
          </w:p>
          <w:p w14:paraId="5209FFF8">
            <w:pPr>
              <w:widowControl/>
              <w:jc w:val="left"/>
              <w:rPr>
                <w:rFonts w:ascii="宋体" w:hAnsi="宋体"/>
                <w:color w:val="auto"/>
                <w:sz w:val="21"/>
                <w:szCs w:val="21"/>
                <w:highlight w:val="none"/>
              </w:rPr>
            </w:pPr>
            <w:r>
              <w:rPr>
                <w:rFonts w:hint="eastAsia" w:ascii="宋体" w:hAnsi="宋体"/>
                <w:color w:val="auto"/>
                <w:sz w:val="21"/>
                <w:szCs w:val="21"/>
                <w:highlight w:val="none"/>
              </w:rPr>
              <w:t>2、含空气质量检测模块，PM2.5量程范围（0~999ug/m3，PM10量程范围（0~999ug/m3），TVOC量程范围（0~1mg/m3)，二氧化碳量程范围（400-2000PPM）。</w:t>
            </w:r>
          </w:p>
        </w:tc>
      </w:tr>
      <w:tr w14:paraId="565B78CB">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664BF537">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ascii="宋体" w:hAnsi="宋体"/>
                <w:color w:val="auto"/>
                <w:sz w:val="21"/>
                <w:szCs w:val="21"/>
                <w:highlight w:val="none"/>
              </w:rPr>
              <w:t>.6</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136DF3D8">
            <w:pPr>
              <w:widowControl/>
              <w:jc w:val="center"/>
              <w:rPr>
                <w:rFonts w:ascii="宋体" w:hAnsi="宋体"/>
                <w:color w:val="auto"/>
                <w:sz w:val="21"/>
                <w:szCs w:val="21"/>
                <w:highlight w:val="none"/>
              </w:rPr>
            </w:pPr>
            <w:r>
              <w:rPr>
                <w:rFonts w:ascii="宋体" w:hAnsi="宋体"/>
                <w:color w:val="auto"/>
                <w:sz w:val="21"/>
                <w:szCs w:val="21"/>
                <w:highlight w:val="none"/>
              </w:rPr>
              <w:t>物联平台</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5BE7F2DA">
            <w:pPr>
              <w:widowControl/>
              <w:jc w:val="center"/>
              <w:rPr>
                <w:rFonts w:ascii="宋体" w:hAnsi="宋体"/>
                <w:color w:val="auto"/>
                <w:sz w:val="21"/>
                <w:szCs w:val="21"/>
                <w:highlight w:val="none"/>
              </w:rPr>
            </w:pPr>
            <w:r>
              <w:rPr>
                <w:rFonts w:ascii="宋体" w:hAnsi="宋体"/>
                <w:color w:val="auto"/>
                <w:sz w:val="21"/>
                <w:szCs w:val="21"/>
                <w:highlight w:val="none"/>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369F54B0">
            <w:pPr>
              <w:widowControl/>
              <w:jc w:val="center"/>
              <w:rPr>
                <w:rFonts w:ascii="宋体" w:hAnsi="宋体"/>
                <w:color w:val="auto"/>
                <w:sz w:val="21"/>
                <w:szCs w:val="21"/>
                <w:highlight w:val="none"/>
              </w:rPr>
            </w:pPr>
            <w:r>
              <w:rPr>
                <w:rFonts w:ascii="宋体" w:hAnsi="宋体"/>
                <w:color w:val="auto"/>
                <w:sz w:val="21"/>
                <w:szCs w:val="21"/>
                <w:highlight w:val="none"/>
              </w:rPr>
              <w:t>1</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46F26718">
            <w:pPr>
              <w:widowControl/>
              <w:numPr>
                <w:ilvl w:val="0"/>
                <w:numId w:val="8"/>
              </w:numPr>
              <w:jc w:val="left"/>
              <w:rPr>
                <w:rFonts w:hint="eastAsia" w:ascii="宋体" w:hAnsi="宋体"/>
                <w:color w:val="auto"/>
                <w:sz w:val="21"/>
                <w:szCs w:val="21"/>
                <w:highlight w:val="none"/>
              </w:rPr>
            </w:pPr>
            <w:r>
              <w:rPr>
                <w:rFonts w:hint="eastAsia" w:ascii="宋体" w:hAnsi="宋体"/>
                <w:color w:val="auto"/>
                <w:sz w:val="21"/>
                <w:szCs w:val="21"/>
                <w:highlight w:val="none"/>
              </w:rPr>
              <w:t>用于水电表物联设备的采集管理，用电情况实时数据监视和分析，电消耗统计和分析，实现报表及历史数据管理，以及空气环境环境数据相关数据接入平台。</w:t>
            </w:r>
          </w:p>
          <w:p w14:paraId="4BD6888E">
            <w:pPr>
              <w:widowControl/>
              <w:numPr>
                <w:ilvl w:val="0"/>
                <w:numId w:val="8"/>
              </w:numPr>
              <w:jc w:val="left"/>
              <w:rPr>
                <w:rFonts w:hint="eastAsia" w:ascii="宋体" w:hAnsi="宋体"/>
                <w:color w:val="auto"/>
                <w:sz w:val="21"/>
                <w:szCs w:val="21"/>
                <w:highlight w:val="none"/>
              </w:rPr>
            </w:pPr>
            <w:r>
              <w:rPr>
                <w:rFonts w:hint="eastAsia" w:ascii="宋体" w:hAnsi="宋体" w:eastAsia="宋体" w:cs="Times New Roman"/>
                <w:color w:val="auto"/>
                <w:sz w:val="21"/>
                <w:szCs w:val="21"/>
                <w:highlight w:val="none"/>
                <w:lang w:val="en-US" w:eastAsia="zh-CN"/>
              </w:rPr>
              <w:t>需对接数字孪生平台支持</w:t>
            </w:r>
            <w:r>
              <w:rPr>
                <w:rFonts w:hint="eastAsia" w:ascii="宋体" w:hAnsi="宋体"/>
                <w:color w:val="auto"/>
                <w:sz w:val="21"/>
                <w:szCs w:val="21"/>
                <w:highlight w:val="none"/>
                <w:lang w:val="en-US" w:eastAsia="zh-CN"/>
              </w:rPr>
              <w:t>设备告警概览：</w:t>
            </w:r>
            <w:r>
              <w:rPr>
                <w:rFonts w:hint="eastAsia" w:cs="Times New Roman"/>
                <w:color w:val="auto"/>
                <w:szCs w:val="24"/>
                <w:highlight w:val="none"/>
                <w:lang w:val="zh-CN"/>
              </w:rPr>
              <w:t>对设备资源分布进行整体管控，接入设备实时运行信息，对设备状态、设备详情进行统一集成化管理。当设备发生告警时可实时查看设备所在位置，并联动展示设备告警的信息。</w:t>
            </w:r>
          </w:p>
          <w:p w14:paraId="267474EC">
            <w:pPr>
              <w:widowControl/>
              <w:numPr>
                <w:ilvl w:val="0"/>
                <w:numId w:val="8"/>
              </w:numPr>
              <w:jc w:val="left"/>
              <w:rPr>
                <w:rFonts w:hint="eastAsia" w:ascii="宋体" w:hAnsi="宋体"/>
                <w:color w:val="auto"/>
                <w:sz w:val="21"/>
                <w:szCs w:val="21"/>
                <w:highlight w:val="none"/>
              </w:rPr>
            </w:pPr>
            <w:r>
              <w:rPr>
                <w:rFonts w:hint="eastAsia" w:ascii="宋体" w:hAnsi="宋体" w:eastAsia="宋体" w:cs="Times New Roman"/>
                <w:color w:val="auto"/>
                <w:sz w:val="21"/>
                <w:szCs w:val="21"/>
                <w:highlight w:val="none"/>
                <w:lang w:val="en-US" w:eastAsia="zh-CN"/>
              </w:rPr>
              <w:t>需对接数字孪生平台支持</w:t>
            </w:r>
            <w:r>
              <w:rPr>
                <w:rFonts w:hint="eastAsia" w:ascii="宋体" w:hAnsi="宋体"/>
                <w:color w:val="auto"/>
                <w:sz w:val="21"/>
                <w:szCs w:val="21"/>
                <w:highlight w:val="none"/>
                <w:lang w:val="en-US" w:eastAsia="zh-CN"/>
              </w:rPr>
              <w:t>设备分类统计：可按设备的不同分类以图表方式呈现，支持点击某个分类查看该分类下的设备清单列表数据，点击某个设备可快速飞行定位到三维场景该设备的位置，同时弹框展示该设备基本属性字段，包括设备名称、所属分类名称、设备状态等</w:t>
            </w:r>
          </w:p>
          <w:p w14:paraId="2955B8B8">
            <w:pPr>
              <w:widowControl/>
              <w:numPr>
                <w:ilvl w:val="0"/>
                <w:numId w:val="8"/>
              </w:numPr>
              <w:jc w:val="left"/>
              <w:rPr>
                <w:rFonts w:hint="eastAsia" w:ascii="宋体" w:hAnsi="宋体"/>
                <w:color w:val="auto"/>
                <w:sz w:val="21"/>
                <w:szCs w:val="21"/>
                <w:highlight w:val="none"/>
              </w:rPr>
            </w:pPr>
            <w:r>
              <w:rPr>
                <w:rFonts w:hint="eastAsia" w:ascii="宋体" w:hAnsi="宋体" w:eastAsia="宋体" w:cs="Times New Roman"/>
                <w:color w:val="auto"/>
                <w:sz w:val="21"/>
                <w:szCs w:val="21"/>
                <w:highlight w:val="none"/>
                <w:lang w:val="en-US" w:eastAsia="zh-CN"/>
              </w:rPr>
              <w:t>需对接数字孪生平台支持</w:t>
            </w:r>
            <w:r>
              <w:rPr>
                <w:rFonts w:hint="eastAsia" w:ascii="宋体" w:hAnsi="宋体"/>
                <w:color w:val="auto"/>
                <w:sz w:val="21"/>
                <w:szCs w:val="21"/>
                <w:highlight w:val="none"/>
                <w:lang w:val="en-US" w:eastAsia="zh-CN"/>
              </w:rPr>
              <w:t>设备台账信息：为便于用户快速查找设备空间位置分布，系统支持在三维场景里按指定区域绘制圆形、多边形来查出所属范围内容的设备列表，同时场景列表里将设备进行上图，点击设备图标可弹框展示设备基础信息，包括设备所属分类、设备名称、设备状态等。</w:t>
            </w:r>
          </w:p>
          <w:p w14:paraId="61A55523">
            <w:pPr>
              <w:widowControl/>
              <w:numPr>
                <w:ilvl w:val="0"/>
                <w:numId w:val="8"/>
              </w:numPr>
              <w:jc w:val="left"/>
              <w:rPr>
                <w:rFonts w:hint="eastAsia" w:ascii="宋体" w:hAnsi="宋体"/>
                <w:color w:val="auto"/>
                <w:sz w:val="21"/>
                <w:szCs w:val="21"/>
                <w:highlight w:val="none"/>
              </w:rPr>
            </w:pPr>
            <w:r>
              <w:rPr>
                <w:rFonts w:hint="eastAsia" w:ascii="宋体" w:hAnsi="宋体" w:eastAsia="宋体" w:cs="Times New Roman"/>
                <w:color w:val="auto"/>
                <w:sz w:val="21"/>
                <w:szCs w:val="21"/>
                <w:highlight w:val="none"/>
                <w:lang w:val="en-US" w:eastAsia="zh-CN"/>
              </w:rPr>
              <w:t>需对接数字孪生平台支持</w:t>
            </w:r>
            <w:r>
              <w:rPr>
                <w:rFonts w:hint="eastAsia" w:ascii="宋体" w:hAnsi="宋体"/>
                <w:color w:val="auto"/>
                <w:sz w:val="21"/>
                <w:szCs w:val="21"/>
                <w:highlight w:val="none"/>
              </w:rPr>
              <w:t>通过</w:t>
            </w:r>
            <w:r>
              <w:rPr>
                <w:rFonts w:hint="eastAsia" w:ascii="宋体" w:hAnsi="宋体"/>
                <w:color w:val="auto"/>
                <w:sz w:val="21"/>
                <w:szCs w:val="21"/>
                <w:highlight w:val="none"/>
                <w:lang w:val="en-US" w:eastAsia="zh-CN"/>
              </w:rPr>
              <w:t>与</w:t>
            </w:r>
            <w:r>
              <w:rPr>
                <w:rFonts w:hint="eastAsia" w:ascii="宋体" w:hAnsi="宋体"/>
                <w:color w:val="auto"/>
                <w:sz w:val="21"/>
                <w:szCs w:val="21"/>
                <w:highlight w:val="none"/>
              </w:rPr>
              <w:t>数字孪生</w:t>
            </w:r>
            <w:r>
              <w:rPr>
                <w:rFonts w:hint="eastAsia" w:ascii="宋体" w:hAnsi="宋体"/>
                <w:color w:val="auto"/>
                <w:sz w:val="21"/>
                <w:szCs w:val="21"/>
                <w:highlight w:val="none"/>
                <w:lang w:val="en-US" w:eastAsia="zh-CN"/>
              </w:rPr>
              <w:t>对接，</w:t>
            </w:r>
            <w:r>
              <w:rPr>
                <w:rFonts w:hint="eastAsia" w:ascii="宋体" w:hAnsi="宋体"/>
                <w:color w:val="auto"/>
                <w:sz w:val="21"/>
                <w:szCs w:val="21"/>
                <w:highlight w:val="none"/>
              </w:rPr>
              <w:t>构建管理室内置门禁模型，对模型进行单体化建模，并能够通过动画联动展示开关效果，实时展示室内门禁的状态。</w:t>
            </w:r>
          </w:p>
          <w:p w14:paraId="0B7D0688">
            <w:pPr>
              <w:widowControl/>
              <w:numPr>
                <w:ilvl w:val="0"/>
                <w:numId w:val="8"/>
              </w:numPr>
              <w:jc w:val="left"/>
              <w:rPr>
                <w:rFonts w:hint="eastAsia" w:ascii="宋体" w:hAnsi="宋体"/>
                <w:color w:val="auto"/>
                <w:sz w:val="21"/>
                <w:szCs w:val="21"/>
                <w:highlight w:val="none"/>
              </w:rPr>
            </w:pPr>
            <w:r>
              <w:rPr>
                <w:rFonts w:hint="eastAsia" w:ascii="宋体" w:hAnsi="宋体" w:eastAsia="宋体" w:cs="Times New Roman"/>
                <w:color w:val="auto"/>
                <w:sz w:val="21"/>
                <w:szCs w:val="21"/>
                <w:highlight w:val="none"/>
                <w:lang w:val="en-US" w:eastAsia="zh-CN"/>
              </w:rPr>
              <w:t>需对接数字孪生平台支持</w:t>
            </w:r>
            <w:r>
              <w:rPr>
                <w:rFonts w:hint="eastAsia" w:ascii="宋体" w:hAnsi="宋体"/>
                <w:color w:val="auto"/>
                <w:sz w:val="21"/>
                <w:szCs w:val="21"/>
                <w:highlight w:val="none"/>
              </w:rPr>
              <w:t>用户可以通过</w:t>
            </w:r>
            <w:r>
              <w:rPr>
                <w:rFonts w:hint="eastAsia" w:ascii="宋体" w:hAnsi="宋体"/>
                <w:color w:val="auto"/>
                <w:sz w:val="21"/>
                <w:szCs w:val="21"/>
                <w:highlight w:val="none"/>
                <w:lang w:val="en-US" w:eastAsia="zh-CN"/>
              </w:rPr>
              <w:t>对接</w:t>
            </w:r>
            <w:r>
              <w:rPr>
                <w:rFonts w:hint="eastAsia" w:ascii="宋体" w:hAnsi="宋体"/>
                <w:color w:val="auto"/>
                <w:sz w:val="21"/>
                <w:szCs w:val="21"/>
                <w:highlight w:val="none"/>
              </w:rPr>
              <w:t>数字孪生平台提供的操作面板对道闸进行查看及出入记录，赋予通道独立图层展示。</w:t>
            </w:r>
          </w:p>
        </w:tc>
      </w:tr>
      <w:tr w14:paraId="5B882956">
        <w:tblPrEx>
          <w:tblCellMar>
            <w:top w:w="0" w:type="dxa"/>
            <w:left w:w="108" w:type="dxa"/>
            <w:bottom w:w="0" w:type="dxa"/>
            <w:right w:w="108" w:type="dxa"/>
          </w:tblCellMar>
        </w:tblPrEx>
        <w:trPr>
          <w:gridAfter w:val="1"/>
          <w:wAfter w:w="26" w:type="pct"/>
          <w:trHeight w:val="340" w:hRule="atLeast"/>
        </w:trPr>
        <w:tc>
          <w:tcPr>
            <w:tcW w:w="1556" w:type="pct"/>
            <w:gridSpan w:val="6"/>
            <w:tcBorders>
              <w:top w:val="single" w:color="000000" w:sz="4" w:space="0"/>
              <w:left w:val="single" w:color="000000" w:sz="4" w:space="0"/>
              <w:bottom w:val="single" w:color="000000" w:sz="4" w:space="0"/>
              <w:right w:val="single" w:color="000000" w:sz="4" w:space="0"/>
            </w:tcBorders>
            <w:noWrap w:val="0"/>
            <w:vAlign w:val="center"/>
          </w:tcPr>
          <w:p w14:paraId="671D73B0">
            <w:pPr>
              <w:widowControl/>
              <w:jc w:val="left"/>
              <w:rPr>
                <w:rFonts w:ascii="宋体" w:hAnsi="宋体"/>
                <w:color w:val="auto"/>
                <w:sz w:val="21"/>
                <w:szCs w:val="21"/>
                <w:highlight w:val="none"/>
              </w:rPr>
            </w:pPr>
            <w:r>
              <w:rPr>
                <w:rFonts w:hint="eastAsia" w:ascii="宋体" w:hAnsi="宋体"/>
                <w:color w:val="auto"/>
                <w:sz w:val="21"/>
                <w:szCs w:val="21"/>
                <w:highlight w:val="none"/>
                <w:lang w:val="en-US" w:eastAsia="zh-CN"/>
              </w:rPr>
              <w:t>四</w:t>
            </w:r>
            <w:r>
              <w:rPr>
                <w:rFonts w:ascii="宋体" w:hAnsi="宋体"/>
                <w:color w:val="auto"/>
                <w:sz w:val="21"/>
                <w:szCs w:val="21"/>
                <w:highlight w:val="none"/>
              </w:rPr>
              <w:t>、安防系统提升建设</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2A79F41D">
            <w:pPr>
              <w:widowControl/>
              <w:jc w:val="left"/>
              <w:rPr>
                <w:rFonts w:ascii="宋体" w:hAnsi="宋体"/>
                <w:color w:val="auto"/>
                <w:sz w:val="21"/>
                <w:szCs w:val="21"/>
                <w:highlight w:val="none"/>
              </w:rPr>
            </w:pPr>
          </w:p>
        </w:tc>
      </w:tr>
      <w:tr w14:paraId="4B339EBB">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44B48E35">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ascii="宋体" w:hAnsi="宋体"/>
                <w:color w:val="auto"/>
                <w:sz w:val="21"/>
                <w:szCs w:val="21"/>
                <w:highlight w:val="none"/>
              </w:rPr>
              <w:t>.1</w:t>
            </w:r>
          </w:p>
        </w:tc>
        <w:tc>
          <w:tcPr>
            <w:tcW w:w="314" w:type="pct"/>
            <w:vMerge w:val="restart"/>
            <w:tcBorders>
              <w:top w:val="single" w:color="000000" w:sz="4" w:space="0"/>
              <w:left w:val="single" w:color="000000" w:sz="4" w:space="0"/>
              <w:bottom w:val="single" w:color="000000" w:sz="4" w:space="0"/>
              <w:right w:val="single" w:color="000000" w:sz="4" w:space="0"/>
            </w:tcBorders>
            <w:noWrap w:val="0"/>
            <w:vAlign w:val="center"/>
          </w:tcPr>
          <w:p w14:paraId="15352307">
            <w:pPr>
              <w:widowControl/>
              <w:jc w:val="center"/>
              <w:rPr>
                <w:rFonts w:ascii="宋体" w:hAnsi="宋体"/>
                <w:color w:val="auto"/>
                <w:sz w:val="21"/>
                <w:szCs w:val="21"/>
                <w:highlight w:val="none"/>
              </w:rPr>
            </w:pPr>
            <w:r>
              <w:rPr>
                <w:rFonts w:ascii="宋体" w:hAnsi="宋体"/>
                <w:color w:val="auto"/>
                <w:sz w:val="21"/>
                <w:szCs w:val="21"/>
                <w:highlight w:val="none"/>
              </w:rPr>
              <w:t>监控系统建设</w:t>
            </w: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34F3AEA1">
            <w:pPr>
              <w:widowControl/>
              <w:jc w:val="center"/>
              <w:rPr>
                <w:rFonts w:ascii="宋体" w:hAnsi="宋体"/>
                <w:color w:val="auto"/>
                <w:sz w:val="21"/>
                <w:szCs w:val="21"/>
                <w:highlight w:val="none"/>
              </w:rPr>
            </w:pPr>
            <w:r>
              <w:rPr>
                <w:rFonts w:ascii="宋体" w:hAnsi="宋体"/>
                <w:color w:val="auto"/>
                <w:sz w:val="21"/>
                <w:szCs w:val="21"/>
                <w:highlight w:val="none"/>
              </w:rPr>
              <w:t>智能网络摄橡机</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677F59DD">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5A04608C">
            <w:pPr>
              <w:widowControl/>
              <w:jc w:val="center"/>
              <w:rPr>
                <w:rFonts w:ascii="宋体" w:hAnsi="宋体"/>
                <w:color w:val="auto"/>
                <w:sz w:val="21"/>
                <w:szCs w:val="21"/>
                <w:highlight w:val="none"/>
              </w:rPr>
            </w:pPr>
            <w:r>
              <w:rPr>
                <w:rFonts w:ascii="宋体" w:hAnsi="宋体"/>
                <w:color w:val="auto"/>
                <w:sz w:val="21"/>
                <w:szCs w:val="21"/>
                <w:highlight w:val="none"/>
              </w:rPr>
              <w:t>11</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5761E801">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1.传感器类型：1/3英寸CMOS；</w:t>
            </w:r>
          </w:p>
          <w:p w14:paraId="62B90B6D">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2.像素：400万；</w:t>
            </w:r>
          </w:p>
          <w:p w14:paraId="527324F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3.最大分辨率：2560×1440；</w:t>
            </w:r>
          </w:p>
          <w:p w14:paraId="059DD503">
            <w:pPr>
              <w:widowControl/>
              <w:jc w:val="left"/>
              <w:rPr>
                <w:rFonts w:hint="eastAsia" w:ascii="宋体" w:hAnsi="宋体"/>
                <w:color w:val="auto"/>
                <w:sz w:val="21"/>
                <w:szCs w:val="21"/>
                <w:highlight w:val="none"/>
              </w:rPr>
            </w:pPr>
            <w:r>
              <w:rPr>
                <w:rFonts w:hint="eastAsia" w:ascii="宋体" w:hAnsi="宋体"/>
                <w:color w:val="auto"/>
                <w:sz w:val="21"/>
                <w:szCs w:val="21"/>
                <w:highlight w:val="none"/>
              </w:rPr>
              <w:t>4.最低照度：0.002lux（彩色模式）；0.0002lux（黑白模式）；0lux（补光灯开启）；</w:t>
            </w:r>
          </w:p>
          <w:p w14:paraId="762938DE">
            <w:pPr>
              <w:widowControl/>
              <w:jc w:val="left"/>
              <w:rPr>
                <w:rFonts w:hint="eastAsia" w:ascii="宋体" w:hAnsi="宋体"/>
                <w:color w:val="auto"/>
                <w:sz w:val="21"/>
                <w:szCs w:val="21"/>
                <w:highlight w:val="none"/>
              </w:rPr>
            </w:pPr>
            <w:r>
              <w:rPr>
                <w:rFonts w:hint="eastAsia" w:ascii="宋体" w:hAnsi="宋体"/>
                <w:color w:val="auto"/>
                <w:sz w:val="21"/>
                <w:szCs w:val="21"/>
                <w:highlight w:val="none"/>
              </w:rPr>
              <w:t>5.最大补光距离：60m（红外）；</w:t>
            </w:r>
          </w:p>
          <w:p w14:paraId="2D028BC8">
            <w:pPr>
              <w:widowControl/>
              <w:jc w:val="left"/>
              <w:rPr>
                <w:rFonts w:hint="eastAsia" w:ascii="宋体" w:hAnsi="宋体"/>
                <w:color w:val="auto"/>
                <w:sz w:val="21"/>
                <w:szCs w:val="21"/>
                <w:highlight w:val="none"/>
              </w:rPr>
            </w:pPr>
            <w:r>
              <w:rPr>
                <w:rFonts w:hint="eastAsia" w:ascii="宋体" w:hAnsi="宋体"/>
                <w:color w:val="auto"/>
                <w:sz w:val="21"/>
                <w:szCs w:val="21"/>
                <w:highlight w:val="none"/>
              </w:rPr>
              <w:t>6.补光灯：4颗（红外灯）；</w:t>
            </w:r>
          </w:p>
          <w:p w14:paraId="4774D8BF">
            <w:pPr>
              <w:widowControl/>
              <w:jc w:val="left"/>
              <w:rPr>
                <w:rFonts w:hint="eastAsia" w:ascii="宋体" w:hAnsi="宋体"/>
                <w:color w:val="auto"/>
                <w:sz w:val="21"/>
                <w:szCs w:val="21"/>
                <w:highlight w:val="none"/>
              </w:rPr>
            </w:pPr>
            <w:r>
              <w:rPr>
                <w:rFonts w:hint="eastAsia" w:ascii="宋体" w:hAnsi="宋体"/>
                <w:color w:val="auto"/>
                <w:sz w:val="21"/>
                <w:szCs w:val="21"/>
                <w:highlight w:val="none"/>
              </w:rPr>
              <w:t>7.镜头类型：电动变焦；</w:t>
            </w:r>
          </w:p>
          <w:p w14:paraId="1D9721B3">
            <w:pPr>
              <w:widowControl/>
              <w:jc w:val="left"/>
              <w:rPr>
                <w:rFonts w:hint="eastAsia" w:ascii="宋体" w:hAnsi="宋体"/>
                <w:color w:val="auto"/>
                <w:sz w:val="21"/>
                <w:szCs w:val="21"/>
                <w:highlight w:val="none"/>
              </w:rPr>
            </w:pPr>
            <w:r>
              <w:rPr>
                <w:rFonts w:hint="eastAsia" w:ascii="宋体" w:hAnsi="宋体"/>
                <w:color w:val="auto"/>
                <w:sz w:val="21"/>
                <w:szCs w:val="21"/>
                <w:highlight w:val="none"/>
              </w:rPr>
              <w:t>8.镜头焦距：2.7mm～13.5mm；</w:t>
            </w:r>
          </w:p>
          <w:p w14:paraId="62537B4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9.镜头光圈：F1.5；</w:t>
            </w:r>
          </w:p>
          <w:p w14:paraId="41915353">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10.视场角：水平：97°～27°；垂直：52°～15°；对角：116°～32°；</w:t>
            </w:r>
          </w:p>
          <w:p w14:paraId="2118C611">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11.通用行为分析：绊线入侵；区域入侵；</w:t>
            </w:r>
          </w:p>
          <w:p w14:paraId="507A081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12.智能编码：H.264：支持H.265：支持；</w:t>
            </w:r>
          </w:p>
          <w:p w14:paraId="30E2CA8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13.宽动态：120dB；</w:t>
            </w:r>
          </w:p>
          <w:p w14:paraId="4610AA4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14.走廊模式：90°/270°（在2560×1440分辨率及以下支持）；</w:t>
            </w:r>
          </w:p>
          <w:p w14:paraId="68742AAD">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15.音频接口：支持；</w:t>
            </w:r>
          </w:p>
          <w:p w14:paraId="196DF6FF">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16.内置MIC：支持；</w:t>
            </w:r>
          </w:p>
          <w:p w14:paraId="4DC58087">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17.报警事件：无SD卡；SD卡空间不足；SD卡出错；网络断开；IP冲突；非法访问；动态检测；视频遮挡；绊线入侵；区域入侵；音频异常侦测；电压检测；外部报警；安全异常；虚焦侦测；</w:t>
            </w:r>
          </w:p>
          <w:p w14:paraId="72A255C7">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18.接入标准：ONVIF（Profile S &amp; Profile G &amp; Profile T）；CGI；GB/T28181-2022（双国标）；</w:t>
            </w:r>
          </w:p>
          <w:p w14:paraId="02BD8F4E">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19.预览最大用户数：20个（总带宽：72Ｍ）；</w:t>
            </w:r>
          </w:p>
          <w:p w14:paraId="22E392A9">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20.最大Micro SD卡：128GB；</w:t>
            </w:r>
          </w:p>
          <w:p w14:paraId="5B984409">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21.音频输入：1路（RCA头）；</w:t>
            </w:r>
          </w:p>
          <w:p w14:paraId="6221439B">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22.音频输出：1路（RCA头）；</w:t>
            </w:r>
          </w:p>
          <w:p w14:paraId="2FE67CDD">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23.报警输入：3路（湿节点，支持直流3～5V电位，5mA电流）；</w:t>
            </w:r>
          </w:p>
          <w:p w14:paraId="7306C0C1">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24.报警输出：2路（湿节点，支持直流最大12V电位，0.3A电流）；</w:t>
            </w:r>
          </w:p>
          <w:p w14:paraId="5B1C1893">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25.供电方式：DC12V/PoE；</w:t>
            </w:r>
          </w:p>
          <w:p w14:paraId="4535F747">
            <w:pPr>
              <w:widowControl/>
              <w:jc w:val="left"/>
              <w:rPr>
                <w:rFonts w:ascii="宋体" w:hAnsi="宋体"/>
                <w:color w:val="auto"/>
                <w:sz w:val="21"/>
                <w:szCs w:val="21"/>
                <w:highlight w:val="none"/>
              </w:rPr>
            </w:pPr>
            <w:r>
              <w:rPr>
                <w:rFonts w:hint="eastAsia" w:ascii="宋体" w:hAnsi="宋体"/>
                <w:color w:val="auto"/>
                <w:sz w:val="21"/>
                <w:szCs w:val="21"/>
                <w:highlight w:val="none"/>
                <w:lang w:val="en-US" w:eastAsia="zh-CN"/>
              </w:rPr>
              <w:t>26.</w:t>
            </w:r>
            <w:r>
              <w:rPr>
                <w:rFonts w:hint="eastAsia" w:ascii="宋体" w:hAnsi="宋体"/>
                <w:color w:val="auto"/>
                <w:sz w:val="21"/>
                <w:szCs w:val="21"/>
                <w:highlight w:val="none"/>
              </w:rPr>
              <w:t>防护等级：IP67</w:t>
            </w:r>
          </w:p>
        </w:tc>
      </w:tr>
      <w:tr w14:paraId="348DA68B">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245BD872">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ascii="宋体" w:hAnsi="宋体"/>
                <w:color w:val="auto"/>
                <w:sz w:val="21"/>
                <w:szCs w:val="21"/>
                <w:highlight w:val="none"/>
              </w:rPr>
              <w:t>.2</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9845DF">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64DCB0ED">
            <w:pPr>
              <w:widowControl/>
              <w:jc w:val="center"/>
              <w:rPr>
                <w:rFonts w:ascii="宋体" w:hAnsi="宋体"/>
                <w:color w:val="auto"/>
                <w:sz w:val="21"/>
                <w:szCs w:val="21"/>
                <w:highlight w:val="none"/>
              </w:rPr>
            </w:pPr>
            <w:r>
              <w:rPr>
                <w:rFonts w:ascii="宋体" w:hAnsi="宋体"/>
                <w:color w:val="auto"/>
                <w:sz w:val="21"/>
                <w:szCs w:val="21"/>
                <w:highlight w:val="none"/>
              </w:rPr>
              <w:t>智能分析摄像机</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64002779">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424C4460">
            <w:pPr>
              <w:widowControl/>
              <w:jc w:val="center"/>
              <w:rPr>
                <w:rFonts w:ascii="宋体" w:hAnsi="宋体"/>
                <w:color w:val="auto"/>
                <w:sz w:val="21"/>
                <w:szCs w:val="21"/>
                <w:highlight w:val="none"/>
              </w:rPr>
            </w:pPr>
            <w:r>
              <w:rPr>
                <w:rFonts w:ascii="宋体" w:hAnsi="宋体"/>
                <w:color w:val="auto"/>
                <w:sz w:val="21"/>
                <w:szCs w:val="21"/>
                <w:highlight w:val="none"/>
              </w:rPr>
              <w:t>10</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54E9BDD7">
            <w:pPr>
              <w:widowControl/>
              <w:jc w:val="left"/>
              <w:rPr>
                <w:rFonts w:hint="eastAsia"/>
                <w:color w:val="auto"/>
                <w:sz w:val="21"/>
                <w:szCs w:val="21"/>
                <w:highlight w:val="none"/>
              </w:rPr>
            </w:pPr>
            <w:r>
              <w:rPr>
                <w:rFonts w:hint="eastAsia"/>
                <w:color w:val="auto"/>
                <w:sz w:val="21"/>
                <w:szCs w:val="21"/>
                <w:highlight w:val="none"/>
              </w:rPr>
              <w:t>1.采用3镜头、单通道一体化设计，枪型外观，支持立体视觉算法，实现精准行为识别；</w:t>
            </w:r>
          </w:p>
          <w:p w14:paraId="64F66543">
            <w:pPr>
              <w:widowControl/>
              <w:jc w:val="left"/>
              <w:rPr>
                <w:rFonts w:hint="eastAsia"/>
                <w:color w:val="auto"/>
                <w:sz w:val="21"/>
                <w:szCs w:val="21"/>
                <w:highlight w:val="none"/>
              </w:rPr>
            </w:pPr>
            <w:r>
              <w:rPr>
                <w:rFonts w:hint="eastAsia"/>
                <w:color w:val="auto"/>
                <w:sz w:val="21"/>
                <w:szCs w:val="21"/>
                <w:highlight w:val="none"/>
              </w:rPr>
              <w:t>2.内置不低于3个CMOS图像传感器、3个镜头，至少有一个不低于800万像素1/1.8英寸CMOS图像传感器，可输出800万(3840×2160)@25fps；</w:t>
            </w:r>
          </w:p>
          <w:p w14:paraId="3B565549">
            <w:pPr>
              <w:widowControl/>
              <w:jc w:val="left"/>
              <w:rPr>
                <w:rFonts w:hint="eastAsia"/>
                <w:color w:val="auto"/>
                <w:sz w:val="21"/>
                <w:szCs w:val="21"/>
                <w:highlight w:val="none"/>
              </w:rPr>
            </w:pPr>
            <w:r>
              <w:rPr>
                <w:rFonts w:hint="eastAsia"/>
                <w:color w:val="auto"/>
                <w:sz w:val="21"/>
                <w:szCs w:val="21"/>
                <w:highlight w:val="none"/>
              </w:rPr>
              <w:t>3.镜头焦距：2.8mm；</w:t>
            </w:r>
          </w:p>
          <w:p w14:paraId="59BB9A98">
            <w:pPr>
              <w:widowControl/>
              <w:jc w:val="left"/>
              <w:rPr>
                <w:rFonts w:hint="eastAsia"/>
                <w:color w:val="auto"/>
                <w:sz w:val="21"/>
                <w:szCs w:val="21"/>
                <w:highlight w:val="none"/>
              </w:rPr>
            </w:pPr>
            <w:r>
              <w:rPr>
                <w:rFonts w:hint="eastAsia"/>
                <w:color w:val="auto"/>
                <w:sz w:val="21"/>
                <w:szCs w:val="21"/>
                <w:highlight w:val="none"/>
              </w:rPr>
              <w:t>4.支持四种智能资源：立体行为分析、人数统计、人脸识别、通用行为分析，智能支持两两同开；</w:t>
            </w:r>
          </w:p>
          <w:p w14:paraId="40F49385">
            <w:pPr>
              <w:widowControl/>
              <w:jc w:val="left"/>
              <w:rPr>
                <w:rFonts w:hint="eastAsia"/>
                <w:color w:val="auto"/>
                <w:sz w:val="21"/>
                <w:szCs w:val="21"/>
                <w:highlight w:val="none"/>
              </w:rPr>
            </w:pPr>
            <w:r>
              <w:rPr>
                <w:rFonts w:hint="eastAsia"/>
                <w:color w:val="auto"/>
                <w:sz w:val="21"/>
                <w:szCs w:val="21"/>
                <w:highlight w:val="none"/>
              </w:rPr>
              <w:t>5.设备可水平、垂直、中心三个方向进行角度扭动调整，水平旋转角度:0°~360°；垂直旋转角度:0°~90°；轴向旋转角度:0°~360°；</w:t>
            </w:r>
          </w:p>
          <w:p w14:paraId="5DA14280">
            <w:pPr>
              <w:widowControl/>
              <w:jc w:val="left"/>
              <w:rPr>
                <w:rFonts w:hint="eastAsia"/>
                <w:color w:val="auto"/>
                <w:sz w:val="21"/>
                <w:szCs w:val="21"/>
                <w:highlight w:val="none"/>
              </w:rPr>
            </w:pPr>
            <w:r>
              <w:rPr>
                <w:rFonts w:hint="eastAsia"/>
                <w:color w:val="auto"/>
                <w:sz w:val="21"/>
                <w:szCs w:val="21"/>
                <w:highlight w:val="none"/>
              </w:rPr>
              <w:t>6.支持立体行为分析：穿越警戒线、入侵警戒区、奔跑检测、人员靠近检测、跌倒检测、剧烈运动检测（包含打架检测和打砸检测）、人数异常检测、人员停留检测；</w:t>
            </w:r>
          </w:p>
          <w:p w14:paraId="61B31DBD">
            <w:pPr>
              <w:widowControl/>
              <w:jc w:val="left"/>
              <w:rPr>
                <w:rFonts w:hint="eastAsia"/>
                <w:color w:val="auto"/>
                <w:sz w:val="21"/>
                <w:szCs w:val="21"/>
                <w:highlight w:val="none"/>
              </w:rPr>
            </w:pPr>
            <w:r>
              <w:rPr>
                <w:rFonts w:hint="eastAsia"/>
                <w:color w:val="auto"/>
                <w:sz w:val="21"/>
                <w:szCs w:val="21"/>
                <w:highlight w:val="none"/>
              </w:rPr>
              <w:t>7.内置2颗红外灯；</w:t>
            </w:r>
          </w:p>
          <w:p w14:paraId="0A70467C">
            <w:pPr>
              <w:widowControl/>
              <w:jc w:val="left"/>
              <w:rPr>
                <w:rFonts w:hint="eastAsia"/>
                <w:color w:val="auto"/>
                <w:sz w:val="21"/>
                <w:szCs w:val="21"/>
                <w:highlight w:val="none"/>
              </w:rPr>
            </w:pPr>
            <w:r>
              <w:rPr>
                <w:rFonts w:hint="eastAsia"/>
                <w:color w:val="auto"/>
                <w:sz w:val="21"/>
                <w:szCs w:val="21"/>
                <w:highlight w:val="none"/>
              </w:rPr>
              <w:t>8.支持深度图显示；</w:t>
            </w:r>
          </w:p>
          <w:p w14:paraId="0D89D329">
            <w:pPr>
              <w:widowControl/>
              <w:jc w:val="left"/>
              <w:rPr>
                <w:rFonts w:hint="eastAsia"/>
                <w:color w:val="auto"/>
                <w:sz w:val="21"/>
                <w:szCs w:val="21"/>
                <w:highlight w:val="none"/>
              </w:rPr>
            </w:pPr>
            <w:r>
              <w:rPr>
                <w:rFonts w:hint="eastAsia"/>
                <w:color w:val="auto"/>
                <w:sz w:val="21"/>
                <w:szCs w:val="21"/>
                <w:highlight w:val="none"/>
              </w:rPr>
              <w:t>9.设备开启非人声过滤功能后,可过滤常见的键盘敲击声、脚步声、击掌声、虫鸣鸟叫、汽车启动声、火车启动声、飞机启动声、邮轮启动声等室内外音频噪声,可设置非人声噪声灵敏度为高、中、低等级；</w:t>
            </w:r>
          </w:p>
          <w:p w14:paraId="08EB564F">
            <w:pPr>
              <w:widowControl/>
              <w:jc w:val="left"/>
              <w:rPr>
                <w:rFonts w:hint="eastAsia"/>
                <w:color w:val="auto"/>
                <w:sz w:val="21"/>
                <w:szCs w:val="21"/>
                <w:highlight w:val="none"/>
              </w:rPr>
            </w:pPr>
            <w:r>
              <w:rPr>
                <w:rFonts w:hint="eastAsia"/>
                <w:color w:val="auto"/>
                <w:sz w:val="21"/>
                <w:szCs w:val="21"/>
                <w:highlight w:val="none"/>
              </w:rPr>
              <w:t>10.设备开启定向拾音模式后,可采集以设备为原点,半径≤20m,水平方向±45°视场角内,分贝高于80dB(A)的人声；</w:t>
            </w:r>
          </w:p>
          <w:p w14:paraId="356337BA">
            <w:pPr>
              <w:widowControl/>
              <w:jc w:val="left"/>
              <w:rPr>
                <w:rFonts w:hint="eastAsia"/>
                <w:color w:val="auto"/>
                <w:sz w:val="21"/>
                <w:szCs w:val="21"/>
                <w:highlight w:val="none"/>
              </w:rPr>
            </w:pPr>
            <w:r>
              <w:rPr>
                <w:rFonts w:hint="eastAsia"/>
                <w:color w:val="auto"/>
                <w:sz w:val="21"/>
                <w:szCs w:val="21"/>
                <w:highlight w:val="none"/>
              </w:rPr>
              <w:t>11.支持报警3进2出，音频1进1出，485，BNC，支持不小于512G Micro SD卡，内置2个MIC，内置扬声器；</w:t>
            </w:r>
          </w:p>
          <w:p w14:paraId="7FB934CE">
            <w:pPr>
              <w:widowControl/>
              <w:jc w:val="left"/>
              <w:rPr>
                <w:rFonts w:hint="eastAsia"/>
                <w:color w:val="auto"/>
                <w:sz w:val="21"/>
                <w:szCs w:val="21"/>
                <w:highlight w:val="none"/>
              </w:rPr>
            </w:pPr>
            <w:r>
              <w:rPr>
                <w:rFonts w:hint="eastAsia"/>
                <w:color w:val="auto"/>
                <w:sz w:val="21"/>
                <w:szCs w:val="21"/>
                <w:highlight w:val="none"/>
              </w:rPr>
              <w:t>12.支持IP67防护等级；</w:t>
            </w:r>
          </w:p>
          <w:p w14:paraId="213D5643">
            <w:pPr>
              <w:widowControl/>
              <w:jc w:val="left"/>
              <w:rPr>
                <w:rFonts w:ascii="宋体" w:hAnsi="宋体"/>
                <w:color w:val="auto"/>
                <w:sz w:val="21"/>
                <w:szCs w:val="21"/>
                <w:highlight w:val="none"/>
              </w:rPr>
            </w:pPr>
            <w:r>
              <w:rPr>
                <w:rFonts w:hint="eastAsia"/>
                <w:color w:val="auto"/>
                <w:sz w:val="21"/>
                <w:szCs w:val="21"/>
                <w:highlight w:val="none"/>
                <w:lang w:val="en-US" w:eastAsia="zh-CN"/>
              </w:rPr>
              <w:t>13.</w:t>
            </w:r>
            <w:r>
              <w:rPr>
                <w:rFonts w:hint="eastAsia"/>
                <w:color w:val="auto"/>
                <w:sz w:val="21"/>
                <w:szCs w:val="21"/>
                <w:highlight w:val="none"/>
              </w:rPr>
              <w:t>支持DC12V/POE供电方式，12V电源返送。</w:t>
            </w:r>
          </w:p>
        </w:tc>
      </w:tr>
      <w:tr w14:paraId="61C13517">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7C1FF752">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ascii="宋体" w:hAnsi="宋体"/>
                <w:color w:val="auto"/>
                <w:sz w:val="21"/>
                <w:szCs w:val="21"/>
                <w:highlight w:val="none"/>
              </w:rPr>
              <w:t>.3</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F9550A">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4F4D4C5D">
            <w:pPr>
              <w:widowControl/>
              <w:jc w:val="center"/>
              <w:rPr>
                <w:rFonts w:ascii="宋体" w:hAnsi="宋体"/>
                <w:color w:val="auto"/>
                <w:sz w:val="21"/>
                <w:szCs w:val="21"/>
                <w:highlight w:val="none"/>
              </w:rPr>
            </w:pPr>
            <w:r>
              <w:rPr>
                <w:rFonts w:ascii="宋体" w:hAnsi="宋体"/>
                <w:color w:val="auto"/>
                <w:sz w:val="21"/>
                <w:szCs w:val="21"/>
                <w:highlight w:val="none"/>
              </w:rPr>
              <w:t>变焦人员检测筒型摄像机</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6A28EA16">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4C39BCF0">
            <w:pPr>
              <w:widowControl/>
              <w:jc w:val="center"/>
              <w:rPr>
                <w:rFonts w:ascii="宋体" w:hAnsi="宋体"/>
                <w:color w:val="auto"/>
                <w:sz w:val="21"/>
                <w:szCs w:val="21"/>
                <w:highlight w:val="none"/>
              </w:rPr>
            </w:pPr>
            <w:r>
              <w:rPr>
                <w:rFonts w:ascii="宋体" w:hAnsi="宋体"/>
                <w:color w:val="auto"/>
                <w:sz w:val="21"/>
                <w:szCs w:val="21"/>
                <w:highlight w:val="none"/>
              </w:rPr>
              <w:t>19</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640158E8">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1.传感器类型：1/2.7英寸CMOS；</w:t>
            </w:r>
          </w:p>
          <w:p w14:paraId="3D8044DC">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2.像素：400万；</w:t>
            </w:r>
          </w:p>
          <w:p w14:paraId="05BC8A60">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3.最大分辨率：2688×1520；</w:t>
            </w:r>
          </w:p>
          <w:p w14:paraId="53D4FD69">
            <w:pPr>
              <w:widowControl/>
              <w:jc w:val="left"/>
              <w:rPr>
                <w:rFonts w:hint="eastAsia" w:ascii="宋体" w:hAnsi="宋体"/>
                <w:color w:val="auto"/>
                <w:sz w:val="21"/>
                <w:szCs w:val="21"/>
                <w:highlight w:val="none"/>
              </w:rPr>
            </w:pPr>
            <w:r>
              <w:rPr>
                <w:rFonts w:hint="eastAsia" w:ascii="宋体" w:hAnsi="宋体"/>
                <w:color w:val="auto"/>
                <w:sz w:val="21"/>
                <w:szCs w:val="21"/>
                <w:highlight w:val="none"/>
              </w:rPr>
              <w:t>4.最低照度：0.002lux（彩色模式）；0.0002lux（黑白模式）；0lux（补光灯开启）；</w:t>
            </w:r>
          </w:p>
          <w:p w14:paraId="2C5C38C1">
            <w:pPr>
              <w:widowControl/>
              <w:jc w:val="left"/>
              <w:rPr>
                <w:rFonts w:hint="eastAsia" w:ascii="宋体" w:hAnsi="宋体"/>
                <w:color w:val="auto"/>
                <w:sz w:val="21"/>
                <w:szCs w:val="21"/>
                <w:highlight w:val="none"/>
              </w:rPr>
            </w:pPr>
            <w:r>
              <w:rPr>
                <w:rFonts w:hint="eastAsia" w:ascii="宋体" w:hAnsi="宋体"/>
                <w:color w:val="auto"/>
                <w:sz w:val="21"/>
                <w:szCs w:val="21"/>
                <w:highlight w:val="none"/>
              </w:rPr>
              <w:t>5.最大补光距离：60m（红外视频监控距离）30m（暖光视频监控距离）5m（暖光人脸检测距离）；</w:t>
            </w:r>
          </w:p>
          <w:p w14:paraId="1689CB98">
            <w:pPr>
              <w:widowControl/>
              <w:jc w:val="left"/>
              <w:rPr>
                <w:rFonts w:hint="eastAsia" w:ascii="宋体" w:hAnsi="宋体"/>
                <w:color w:val="auto"/>
                <w:sz w:val="21"/>
                <w:szCs w:val="21"/>
                <w:highlight w:val="none"/>
              </w:rPr>
            </w:pPr>
            <w:r>
              <w:rPr>
                <w:rFonts w:hint="eastAsia" w:ascii="宋体" w:hAnsi="宋体"/>
                <w:color w:val="auto"/>
                <w:sz w:val="21"/>
                <w:szCs w:val="21"/>
                <w:highlight w:val="none"/>
              </w:rPr>
              <w:t>6.补光灯：2颗（红外灯）；2颗（混光（红外+暖光）灯）；</w:t>
            </w:r>
          </w:p>
          <w:p w14:paraId="0C4DD63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7.镜头类型：电动变焦；</w:t>
            </w:r>
          </w:p>
          <w:p w14:paraId="2969FC15">
            <w:pPr>
              <w:widowControl/>
              <w:jc w:val="left"/>
              <w:rPr>
                <w:rFonts w:hint="eastAsia" w:ascii="宋体" w:hAnsi="宋体"/>
                <w:color w:val="auto"/>
                <w:sz w:val="21"/>
                <w:szCs w:val="21"/>
                <w:highlight w:val="none"/>
              </w:rPr>
            </w:pPr>
            <w:r>
              <w:rPr>
                <w:rFonts w:hint="eastAsia" w:ascii="宋体" w:hAnsi="宋体"/>
                <w:color w:val="auto"/>
                <w:sz w:val="21"/>
                <w:szCs w:val="21"/>
                <w:highlight w:val="none"/>
              </w:rPr>
              <w:t>8.镜头焦距：2.7mm～13.5mm；</w:t>
            </w:r>
          </w:p>
          <w:p w14:paraId="66B32A3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9.镜头光圈：F1.6；</w:t>
            </w:r>
          </w:p>
          <w:p w14:paraId="68CBF1C7">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10.视场角：水平：30°～102°；垂直：17°～53°；对角：34°～121°；</w:t>
            </w:r>
          </w:p>
          <w:p w14:paraId="45B7AAE4">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11.通用行为分析：物品遗留；物品搬移；</w:t>
            </w:r>
          </w:p>
          <w:p w14:paraId="0CA7B57C">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12.周界防范：绊线入侵；区域入侵；快速移动（三项均支持人车分类及精准检测）；徘徊检测；人员聚集；停车检测；</w:t>
            </w:r>
          </w:p>
          <w:p w14:paraId="7118692B">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13.人脸检测：支持人脸检测；支持跟踪；支持优选；支持抓拍；支持上报最优的人脸抓图；支持人脸增强，支持人脸曝光；支持人脸属性提取，支持6种属性8种表情:性别，年龄，眼镜，表情（愤怒，平静，高兴，悲伤，厌恶，惊讶，，困惑，害怕），口罩，胡子，支持人脸抠图区域可设:人脸， 单寸照，自定义；支持实时抓拍、优选抓拍、质量优先三种抓拍策略；支持人脸角度过滤功能；支持优选时长可设；</w:t>
            </w:r>
          </w:p>
          <w:p w14:paraId="7C2844D5">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14.人脸识别：支持人脸检测；支持跟踪；支持优选；支持抓拍；支持上报最优的人脸抓图；支持人脸增强，人脸曝光；支持人脸属性提取，支持6种属性8种表情：性别，年龄，眼镜，表情（愤怒，平静，高兴，悲伤，厌恶，惊讶，困惑，害怕），口罩，胡子 ；支持人脸抠图区域可设:人脸，单寸照；支持优选抓拍、识别优先2种抓拍策略；支持人脸角度过滤功能；支持优选时长可设；支持添加5个人脸库；支持单个以及批量人员注册；支持人脸识别相似度设置；支持3万人脸底库的人脸比对；</w:t>
            </w:r>
          </w:p>
          <w:p w14:paraId="71503C4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15.人脸比对准确率：可通过IE浏览器或客户端软件设置比对阈值,检测到超过阈值的人脸后,样机可抓拍图片并给出报警提示;对监控画面中出现的人脸与样机数据库中的人脸图片进行比对,支持人脸比对准确率不低于99%,试验100次,比对成功次数不少于99次(给出人脸相似度值即为比对成功)；</w:t>
            </w:r>
          </w:p>
          <w:p w14:paraId="1B81D007">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16.人脸识别优先抓拍功：可通过IE浏览器开启/关闭人脸识别优先抓拍功能,开启该功能后,当人脸识别结果超过相似度阈值时,可自动进行人脸抓拍；</w:t>
            </w:r>
          </w:p>
          <w:p w14:paraId="24FE5BDE">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17.人数统计：支持绊线人数统计，并可显示及输出日、月、年统计报表；支持区域内人数统计，支持排队管理功能，支持4个绊线人数统计，4个区域内人数统计，4个排队管理功能；</w:t>
            </w:r>
          </w:p>
          <w:p w14:paraId="2B48A46C">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18.道路监控：支持非机动车逆行检测；支持机动车占道检测；支持卡口；支持交通拥堵；支持绘制4个车道；支持车道方向可设；支持车辆拥堵阈值可设；支持拥堵时间可设；</w:t>
            </w:r>
          </w:p>
          <w:p w14:paraId="760B35F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19.视频结构化：支持机动车、非机动车、人脸、人体检测；支持跟踪；支持优选；支持抓拍；支持上报最优的人脸抓图机动车属性（车牌，车辆类型，车身颜色，车牌颜色，车标，车系/年款，其他属性:遮阳板，安全带，抽烟，打电话，车内饰品，年检标志）非机动车属性（类型，车身颜色，骑车人数，上衣类型，上衣颜色）人体属性（上衣类型，下衣类型，上衣颜色，下衣颜色，背包，帽子，性别）人脸属性（性别，年龄，表情，戴眼镜，戴口罩，胡子）；</w:t>
            </w:r>
          </w:p>
          <w:p w14:paraId="079237F8">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20.智能方案切换功能：可通过IE浏览器进行智能方案配置切换,切换过程无需重启设备；</w:t>
            </w:r>
          </w:p>
          <w:p w14:paraId="44994DE7">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21.智能编码：H.264:支持；H.265:支持；</w:t>
            </w:r>
          </w:p>
          <w:p w14:paraId="19B84B7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22.AI编码：H.264:支持（压缩率≥25%）；H.265:支持（压缩率≥25%）；</w:t>
            </w:r>
          </w:p>
          <w:p w14:paraId="0F26AF65">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23.宽动态：120dB；</w:t>
            </w:r>
          </w:p>
          <w:p w14:paraId="23E1947C">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24.走廊模式：90°/270°（在2688×1520分辨率及以下支持）；</w:t>
            </w:r>
          </w:p>
          <w:p w14:paraId="75B370EC">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25.音频接口：支持；</w:t>
            </w:r>
          </w:p>
          <w:p w14:paraId="645821D9">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26.内置MIC：支持，内置双MIC；</w:t>
            </w:r>
          </w:p>
          <w:p w14:paraId="6BA51FBD">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27.内置扬声器：支持，内置1个扬声器；</w:t>
            </w:r>
          </w:p>
          <w:p w14:paraId="4233413E">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28.报警事件：无SD卡；SD卡空间不足；SD卡出错；网络断开；IP冲突；非法访问；动态检测；视频遮挡；绊线入侵；区域入侵；快速移动；物品遗留；物品搬移；徘徊检测；人员聚集；停车检测；场景变更；音频异常侦测；声强突变；电压检测；虚焦侦测；安全异常；外部报警；人脸检测；人脸识别；视频结构化；区域内人数统计；滞留报警；人数统计；排队停留时间；排队人数异常；人员检测；机动车检测；非机动车检测；交通拥堵；非机动车逆行；有车占道；卡口；</w:t>
            </w:r>
          </w:p>
          <w:p w14:paraId="1F961CE4">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29.接入标准：ONVIF（Profile S &amp; Profile G &amp; Profile T）；CGI；GB/T28181-2022（双国标）；GA/T1400；GB/35114A；</w:t>
            </w:r>
          </w:p>
          <w:p w14:paraId="20059C79">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30.预览最大用户数：20个（总带宽:80M）；</w:t>
            </w:r>
          </w:p>
          <w:p w14:paraId="058DFE9E">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31.最大Micro SD卡：512GB；</w:t>
            </w:r>
          </w:p>
          <w:p w14:paraId="0849ECA4">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32.其他功能：灯光报警；声音报警；智能补光；</w:t>
            </w:r>
          </w:p>
          <w:p w14:paraId="636BF209">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33.RS-485接口：1个（波特率范围：1200bps～115200bps）；</w:t>
            </w:r>
          </w:p>
          <w:p w14:paraId="7A6A82C1">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34.音频输入：1路（RCA头）；</w:t>
            </w:r>
          </w:p>
          <w:p w14:paraId="177757FE">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35.音频输出：1路（RCA头）；</w:t>
            </w:r>
          </w:p>
          <w:p w14:paraId="4A801251">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36.报警输入：2路（湿节点，支持直流3～5V电位，5mA电流）；</w:t>
            </w:r>
          </w:p>
          <w:p w14:paraId="192F3DD1">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37.报警输出：2路（湿节点，支持直流最大12V电位，0.3A电流）；</w:t>
            </w:r>
          </w:p>
          <w:p w14:paraId="0C268334">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38.电源返送：支持DC12V电源返送，最大电流165mA，峰值电流700mA；</w:t>
            </w:r>
          </w:p>
          <w:p w14:paraId="796267DA">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39.供电方式：DC12V/PoE；</w:t>
            </w:r>
          </w:p>
          <w:p w14:paraId="391A4908">
            <w:pPr>
              <w:widowControl/>
              <w:jc w:val="left"/>
              <w:rPr>
                <w:rFonts w:hint="eastAsia" w:ascii="宋体" w:hAnsi="宋体"/>
                <w:color w:val="auto"/>
                <w:sz w:val="21"/>
                <w:szCs w:val="21"/>
                <w:highlight w:val="none"/>
              </w:rPr>
            </w:pPr>
            <w:r>
              <w:rPr>
                <w:rFonts w:hint="eastAsia" w:ascii="宋体" w:hAnsi="宋体"/>
                <w:color w:val="auto"/>
                <w:sz w:val="21"/>
                <w:szCs w:val="21"/>
                <w:highlight w:val="none"/>
              </w:rPr>
              <w:t>40.防护等级：IP67；</w:t>
            </w:r>
          </w:p>
          <w:p w14:paraId="64BAB363">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41.</w:t>
            </w:r>
            <w:r>
              <w:rPr>
                <w:rFonts w:hint="eastAsia" w:ascii="宋体" w:hAnsi="宋体"/>
                <w:color w:val="auto"/>
                <w:sz w:val="21"/>
                <w:szCs w:val="21"/>
                <w:highlight w:val="none"/>
              </w:rPr>
              <w:t>防腐蚀等级：普通防护</w:t>
            </w:r>
          </w:p>
        </w:tc>
      </w:tr>
      <w:tr w14:paraId="3A8CCDBF">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61AA9809">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ascii="宋体" w:hAnsi="宋体"/>
                <w:color w:val="auto"/>
                <w:sz w:val="21"/>
                <w:szCs w:val="21"/>
                <w:highlight w:val="none"/>
              </w:rPr>
              <w:t>.4</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6B3364">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19195C57">
            <w:pPr>
              <w:widowControl/>
              <w:jc w:val="center"/>
              <w:rPr>
                <w:rFonts w:ascii="宋体" w:hAnsi="宋体"/>
                <w:color w:val="auto"/>
                <w:sz w:val="21"/>
                <w:szCs w:val="21"/>
                <w:highlight w:val="none"/>
              </w:rPr>
            </w:pPr>
            <w:r>
              <w:rPr>
                <w:rFonts w:ascii="宋体" w:hAnsi="宋体"/>
                <w:color w:val="auto"/>
                <w:sz w:val="21"/>
                <w:szCs w:val="21"/>
                <w:highlight w:val="none"/>
              </w:rPr>
              <w:t>半球摄像机</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758CB3E1">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52895064">
            <w:pPr>
              <w:widowControl/>
              <w:jc w:val="center"/>
              <w:rPr>
                <w:rFonts w:ascii="宋体" w:hAnsi="宋体"/>
                <w:color w:val="auto"/>
                <w:sz w:val="21"/>
                <w:szCs w:val="21"/>
                <w:highlight w:val="none"/>
              </w:rPr>
            </w:pPr>
            <w:r>
              <w:rPr>
                <w:rFonts w:ascii="宋体" w:hAnsi="宋体"/>
                <w:color w:val="auto"/>
                <w:sz w:val="21"/>
                <w:szCs w:val="21"/>
                <w:highlight w:val="none"/>
              </w:rPr>
              <w:t>36</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2559C3BE">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1.传感器类型：1/3英寸CMOS；</w:t>
            </w:r>
          </w:p>
          <w:p w14:paraId="314411C4">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2.像素：400万；</w:t>
            </w:r>
          </w:p>
          <w:p w14:paraId="4671A2C1">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3.最大分辨率：2560×1440；</w:t>
            </w:r>
          </w:p>
          <w:p w14:paraId="21058484">
            <w:pPr>
              <w:widowControl/>
              <w:jc w:val="left"/>
              <w:rPr>
                <w:rFonts w:hint="eastAsia" w:ascii="宋体" w:hAnsi="宋体"/>
                <w:color w:val="auto"/>
                <w:sz w:val="21"/>
                <w:szCs w:val="21"/>
                <w:highlight w:val="none"/>
              </w:rPr>
            </w:pPr>
            <w:r>
              <w:rPr>
                <w:rFonts w:hint="eastAsia" w:ascii="宋体" w:hAnsi="宋体"/>
                <w:color w:val="auto"/>
                <w:sz w:val="21"/>
                <w:szCs w:val="21"/>
                <w:highlight w:val="none"/>
              </w:rPr>
              <w:t>4.最低照度：0.01lux（彩色模式）；0.001lux（黑白模式）；0lux（补光灯开启）；</w:t>
            </w:r>
          </w:p>
          <w:p w14:paraId="7C8F640C">
            <w:pPr>
              <w:widowControl/>
              <w:jc w:val="left"/>
              <w:rPr>
                <w:rFonts w:hint="eastAsia" w:ascii="宋体" w:hAnsi="宋体"/>
                <w:color w:val="auto"/>
                <w:sz w:val="21"/>
                <w:szCs w:val="21"/>
                <w:highlight w:val="none"/>
              </w:rPr>
            </w:pPr>
            <w:r>
              <w:rPr>
                <w:rFonts w:hint="eastAsia" w:ascii="宋体" w:hAnsi="宋体"/>
                <w:color w:val="auto"/>
                <w:sz w:val="21"/>
                <w:szCs w:val="21"/>
                <w:highlight w:val="none"/>
              </w:rPr>
              <w:t>5.最大补光距离：30m（红外）；</w:t>
            </w:r>
          </w:p>
          <w:p w14:paraId="5B0B82F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6.补光灯：1颗（红外灯）；</w:t>
            </w:r>
          </w:p>
          <w:p w14:paraId="5F585CD8">
            <w:pPr>
              <w:widowControl/>
              <w:jc w:val="left"/>
              <w:rPr>
                <w:rFonts w:hint="eastAsia" w:ascii="宋体" w:hAnsi="宋体"/>
                <w:color w:val="auto"/>
                <w:sz w:val="21"/>
                <w:szCs w:val="21"/>
                <w:highlight w:val="none"/>
              </w:rPr>
            </w:pPr>
            <w:r>
              <w:rPr>
                <w:rFonts w:hint="eastAsia" w:ascii="宋体" w:hAnsi="宋体"/>
                <w:color w:val="auto"/>
                <w:sz w:val="21"/>
                <w:szCs w:val="21"/>
                <w:highlight w:val="none"/>
              </w:rPr>
              <w:t>7.镜头类型：定焦；</w:t>
            </w:r>
          </w:p>
          <w:p w14:paraId="48C02011">
            <w:pPr>
              <w:widowControl/>
              <w:jc w:val="left"/>
              <w:rPr>
                <w:rFonts w:hint="eastAsia" w:ascii="宋体" w:hAnsi="宋体"/>
                <w:color w:val="auto"/>
                <w:sz w:val="21"/>
                <w:szCs w:val="21"/>
                <w:highlight w:val="none"/>
              </w:rPr>
            </w:pPr>
            <w:r>
              <w:rPr>
                <w:rFonts w:hint="eastAsia" w:ascii="宋体" w:hAnsi="宋体"/>
                <w:color w:val="auto"/>
                <w:sz w:val="21"/>
                <w:szCs w:val="21"/>
                <w:highlight w:val="none"/>
              </w:rPr>
              <w:t>8.镜头焦距：2.8mm；</w:t>
            </w:r>
          </w:p>
          <w:p w14:paraId="2413DD88">
            <w:pPr>
              <w:widowControl/>
              <w:jc w:val="left"/>
              <w:rPr>
                <w:rFonts w:hint="eastAsia" w:ascii="宋体" w:hAnsi="宋体"/>
                <w:color w:val="auto"/>
                <w:sz w:val="21"/>
                <w:szCs w:val="21"/>
                <w:highlight w:val="none"/>
              </w:rPr>
            </w:pPr>
            <w:r>
              <w:rPr>
                <w:rFonts w:hint="eastAsia" w:ascii="宋体" w:hAnsi="宋体"/>
                <w:color w:val="auto"/>
                <w:sz w:val="21"/>
                <w:szCs w:val="21"/>
                <w:highlight w:val="none"/>
              </w:rPr>
              <w:t>9.镜头光圈：F2.0；</w:t>
            </w:r>
          </w:p>
          <w:p w14:paraId="6309879D">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10.视场角：水平：90°；垂直：50°；对角：107°；</w:t>
            </w:r>
          </w:p>
          <w:p w14:paraId="17B3DE4F">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11.智能编码：H.264：支持；H.265：支持；</w:t>
            </w:r>
          </w:p>
          <w:p w14:paraId="76FE850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12.宽动态：支持；</w:t>
            </w:r>
          </w:p>
          <w:p w14:paraId="2584D39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13.内置MIC：支持；</w:t>
            </w:r>
          </w:p>
          <w:p w14:paraId="5CAEFC57">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14.报警事件：网络断开；IP冲突；非法访问；动态检测；视频遮挡；音频异常侦测；安全异常；</w:t>
            </w:r>
          </w:p>
          <w:p w14:paraId="2B46A9A8">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15.接入标准：ONVIF（Profile S &amp; Profile T）；CGI；GB/T28181-2022；</w:t>
            </w:r>
          </w:p>
          <w:p w14:paraId="065E5C4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16.预览最大用户数：6个（总带宽：24M）；</w:t>
            </w:r>
          </w:p>
          <w:p w14:paraId="2B16A6D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17.供电方式：DC12V/PoE；</w:t>
            </w:r>
          </w:p>
          <w:p w14:paraId="7982F436">
            <w:pPr>
              <w:widowControl/>
              <w:jc w:val="left"/>
              <w:rPr>
                <w:rFonts w:ascii="宋体" w:hAnsi="宋体"/>
                <w:color w:val="auto"/>
                <w:sz w:val="21"/>
                <w:szCs w:val="21"/>
                <w:highlight w:val="none"/>
              </w:rPr>
            </w:pPr>
            <w:r>
              <w:rPr>
                <w:rFonts w:hint="eastAsia" w:ascii="宋体" w:hAnsi="宋体"/>
                <w:color w:val="auto"/>
                <w:sz w:val="21"/>
                <w:szCs w:val="21"/>
                <w:highlight w:val="none"/>
              </w:rPr>
              <w:t>防护等级：IP67；IK10。</w:t>
            </w:r>
          </w:p>
        </w:tc>
      </w:tr>
      <w:tr w14:paraId="3EDC8445">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2BCDC37E">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ascii="宋体" w:hAnsi="宋体"/>
                <w:color w:val="auto"/>
                <w:sz w:val="21"/>
                <w:szCs w:val="21"/>
                <w:highlight w:val="none"/>
              </w:rPr>
              <w:t>.5</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015278">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731F10F5">
            <w:pPr>
              <w:widowControl/>
              <w:jc w:val="center"/>
              <w:rPr>
                <w:rFonts w:ascii="宋体" w:hAnsi="宋体"/>
                <w:color w:val="auto"/>
                <w:sz w:val="21"/>
                <w:szCs w:val="21"/>
                <w:highlight w:val="none"/>
              </w:rPr>
            </w:pPr>
            <w:r>
              <w:rPr>
                <w:rFonts w:ascii="宋体" w:hAnsi="宋体"/>
                <w:color w:val="auto"/>
                <w:sz w:val="21"/>
                <w:szCs w:val="21"/>
                <w:highlight w:val="none"/>
              </w:rPr>
              <w:t>智能球机</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57BE67F0">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4B2D679B">
            <w:pPr>
              <w:widowControl/>
              <w:jc w:val="center"/>
              <w:rPr>
                <w:rFonts w:ascii="宋体" w:hAnsi="宋体"/>
                <w:color w:val="auto"/>
                <w:sz w:val="21"/>
                <w:szCs w:val="21"/>
                <w:highlight w:val="none"/>
              </w:rPr>
            </w:pPr>
            <w:r>
              <w:rPr>
                <w:rFonts w:ascii="宋体" w:hAnsi="宋体"/>
                <w:color w:val="auto"/>
                <w:sz w:val="21"/>
                <w:szCs w:val="21"/>
                <w:highlight w:val="none"/>
              </w:rPr>
              <w:t>6</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1B13F3EF">
            <w:pPr>
              <w:widowControl/>
              <w:jc w:val="left"/>
              <w:rPr>
                <w:rFonts w:hint="eastAsia"/>
                <w:color w:val="auto"/>
                <w:sz w:val="21"/>
                <w:szCs w:val="21"/>
                <w:highlight w:val="none"/>
              </w:rPr>
            </w:pPr>
            <w:r>
              <w:rPr>
                <w:rFonts w:hint="eastAsia"/>
                <w:color w:val="auto"/>
                <w:sz w:val="21"/>
                <w:szCs w:val="21"/>
                <w:highlight w:val="none"/>
              </w:rPr>
              <w:t>1.传感器类型：全景：1/1.8英寸CMOS；细节：1/1.8英寸CMOS；</w:t>
            </w:r>
          </w:p>
          <w:p w14:paraId="16B4F24B">
            <w:pPr>
              <w:widowControl/>
              <w:jc w:val="left"/>
              <w:rPr>
                <w:rFonts w:hint="eastAsia"/>
                <w:color w:val="auto"/>
                <w:sz w:val="21"/>
                <w:szCs w:val="21"/>
                <w:highlight w:val="none"/>
              </w:rPr>
            </w:pPr>
            <w:r>
              <w:rPr>
                <w:rFonts w:hint="eastAsia"/>
                <w:color w:val="auto"/>
                <w:sz w:val="21"/>
                <w:szCs w:val="21"/>
                <w:highlight w:val="none"/>
              </w:rPr>
              <w:t>2.像素：全景：400万；细节：400万；</w:t>
            </w:r>
          </w:p>
          <w:p w14:paraId="07226D53">
            <w:pPr>
              <w:widowControl/>
              <w:jc w:val="left"/>
              <w:rPr>
                <w:rFonts w:hint="eastAsia"/>
                <w:color w:val="auto"/>
                <w:sz w:val="21"/>
                <w:szCs w:val="21"/>
                <w:highlight w:val="none"/>
              </w:rPr>
            </w:pPr>
            <w:r>
              <w:rPr>
                <w:rFonts w:hint="eastAsia"/>
                <w:color w:val="auto"/>
                <w:sz w:val="21"/>
                <w:szCs w:val="21"/>
                <w:highlight w:val="none"/>
              </w:rPr>
              <w:t>3.最大分辨率：全景2688×1520细节2688×1520；</w:t>
            </w:r>
          </w:p>
          <w:p w14:paraId="727DD06E">
            <w:pPr>
              <w:widowControl/>
              <w:jc w:val="left"/>
              <w:rPr>
                <w:rFonts w:hint="eastAsia"/>
                <w:color w:val="auto"/>
                <w:sz w:val="21"/>
                <w:szCs w:val="21"/>
                <w:highlight w:val="none"/>
              </w:rPr>
            </w:pPr>
            <w:r>
              <w:rPr>
                <w:rFonts w:hint="eastAsia"/>
                <w:color w:val="auto"/>
                <w:sz w:val="21"/>
                <w:szCs w:val="21"/>
                <w:highlight w:val="none"/>
              </w:rPr>
              <w:t>4.最低照度：全景：彩色：0.001Lux@F1.6黑白：0.0001Lux@F1.6细节：彩色：0.001Lux@F1.6黑白：0.0001Lux@F1.60Lux（红外灯开启）；</w:t>
            </w:r>
          </w:p>
          <w:p w14:paraId="7B060F74">
            <w:pPr>
              <w:widowControl/>
              <w:jc w:val="left"/>
              <w:rPr>
                <w:rFonts w:hint="eastAsia"/>
                <w:color w:val="auto"/>
                <w:sz w:val="21"/>
                <w:szCs w:val="21"/>
                <w:highlight w:val="none"/>
              </w:rPr>
            </w:pPr>
            <w:r>
              <w:rPr>
                <w:rFonts w:hint="eastAsia"/>
                <w:color w:val="auto"/>
                <w:sz w:val="21"/>
                <w:szCs w:val="21"/>
                <w:highlight w:val="none"/>
              </w:rPr>
              <w:t>5.最大补光距离：全景：30m（白光）；细节：100m（红外）；</w:t>
            </w:r>
          </w:p>
          <w:p w14:paraId="7F91090A">
            <w:pPr>
              <w:widowControl/>
              <w:jc w:val="left"/>
              <w:rPr>
                <w:rFonts w:hint="eastAsia"/>
                <w:color w:val="auto"/>
                <w:sz w:val="21"/>
                <w:szCs w:val="21"/>
                <w:highlight w:val="none"/>
              </w:rPr>
            </w:pPr>
            <w:r>
              <w:rPr>
                <w:rFonts w:hint="eastAsia"/>
                <w:color w:val="auto"/>
                <w:sz w:val="21"/>
                <w:szCs w:val="21"/>
                <w:highlight w:val="none"/>
              </w:rPr>
              <w:t>6.补光类型：全景：白光；细节：红外；</w:t>
            </w:r>
          </w:p>
          <w:p w14:paraId="219C5271">
            <w:pPr>
              <w:widowControl/>
              <w:jc w:val="left"/>
              <w:rPr>
                <w:rFonts w:hint="eastAsia"/>
                <w:color w:val="auto"/>
                <w:sz w:val="21"/>
                <w:szCs w:val="21"/>
                <w:highlight w:val="none"/>
              </w:rPr>
            </w:pPr>
            <w:r>
              <w:rPr>
                <w:rFonts w:hint="eastAsia"/>
                <w:color w:val="auto"/>
                <w:sz w:val="21"/>
                <w:szCs w:val="21"/>
                <w:highlight w:val="none"/>
              </w:rPr>
              <w:t>7.镜头焦距：全景2.8~12mm细节5.4mm~135mm；</w:t>
            </w:r>
          </w:p>
          <w:p w14:paraId="7EA4AEA4">
            <w:pPr>
              <w:widowControl/>
              <w:jc w:val="left"/>
              <w:rPr>
                <w:rFonts w:hint="eastAsia"/>
                <w:color w:val="auto"/>
                <w:sz w:val="21"/>
                <w:szCs w:val="21"/>
                <w:highlight w:val="none"/>
              </w:rPr>
            </w:pPr>
            <w:r>
              <w:rPr>
                <w:rFonts w:hint="eastAsia"/>
                <w:color w:val="auto"/>
                <w:sz w:val="21"/>
                <w:szCs w:val="21"/>
                <w:highlight w:val="none"/>
              </w:rPr>
              <w:t>8.镜头光圈：全景F1.6细节F1.6-F4.0；</w:t>
            </w:r>
          </w:p>
          <w:p w14:paraId="6C3A6D73">
            <w:pPr>
              <w:widowControl/>
              <w:jc w:val="left"/>
              <w:rPr>
                <w:rFonts w:hint="eastAsia"/>
                <w:color w:val="auto"/>
                <w:sz w:val="21"/>
                <w:szCs w:val="21"/>
                <w:highlight w:val="none"/>
              </w:rPr>
            </w:pPr>
            <w:r>
              <w:rPr>
                <w:rFonts w:hint="eastAsia"/>
                <w:color w:val="auto"/>
                <w:sz w:val="21"/>
                <w:szCs w:val="21"/>
                <w:highlight w:val="none"/>
              </w:rPr>
              <w:t>9.全景相机：水平范围：0°～360°连续旋转、垂直范围： 0°～30°；细节相机：水平范围：0°～305°，垂直范围： -10°～90；</w:t>
            </w:r>
          </w:p>
          <w:p w14:paraId="14D1140B">
            <w:pPr>
              <w:widowControl/>
              <w:jc w:val="left"/>
              <w:rPr>
                <w:rFonts w:hint="eastAsia"/>
                <w:color w:val="auto"/>
                <w:sz w:val="21"/>
                <w:szCs w:val="21"/>
                <w:highlight w:val="none"/>
              </w:rPr>
            </w:pPr>
            <w:r>
              <w:rPr>
                <w:rFonts w:hint="eastAsia"/>
                <w:color w:val="auto"/>
                <w:sz w:val="21"/>
                <w:szCs w:val="21"/>
                <w:highlight w:val="none"/>
              </w:rPr>
              <w:t>10.光学变倍：全景：4倍；细节：25倍；</w:t>
            </w:r>
          </w:p>
          <w:p w14:paraId="192C5C0C">
            <w:pPr>
              <w:widowControl/>
              <w:jc w:val="left"/>
              <w:rPr>
                <w:rFonts w:hint="eastAsia"/>
                <w:color w:val="auto"/>
                <w:sz w:val="21"/>
                <w:szCs w:val="21"/>
                <w:highlight w:val="none"/>
              </w:rPr>
            </w:pPr>
            <w:r>
              <w:rPr>
                <w:rFonts w:hint="eastAsia"/>
                <w:color w:val="auto"/>
                <w:sz w:val="21"/>
                <w:szCs w:val="21"/>
                <w:highlight w:val="none"/>
              </w:rPr>
              <w:t>11.全景云台：支持；</w:t>
            </w:r>
          </w:p>
          <w:p w14:paraId="229B402D">
            <w:pPr>
              <w:widowControl/>
              <w:jc w:val="left"/>
              <w:rPr>
                <w:rFonts w:hint="eastAsia"/>
                <w:color w:val="auto"/>
                <w:sz w:val="21"/>
                <w:szCs w:val="21"/>
                <w:highlight w:val="none"/>
              </w:rPr>
            </w:pPr>
            <w:r>
              <w:rPr>
                <w:rFonts w:hint="eastAsia"/>
                <w:color w:val="auto"/>
                <w:sz w:val="21"/>
                <w:szCs w:val="21"/>
                <w:highlight w:val="none"/>
              </w:rPr>
              <w:t>12.定时任务：预置点;巡航;线扫；</w:t>
            </w:r>
          </w:p>
          <w:p w14:paraId="23135F17">
            <w:pPr>
              <w:widowControl/>
              <w:jc w:val="left"/>
              <w:rPr>
                <w:rFonts w:hint="eastAsia"/>
                <w:color w:val="auto"/>
                <w:sz w:val="21"/>
                <w:szCs w:val="21"/>
                <w:highlight w:val="none"/>
              </w:rPr>
            </w:pPr>
            <w:r>
              <w:rPr>
                <w:rFonts w:hint="eastAsia"/>
                <w:color w:val="auto"/>
                <w:sz w:val="21"/>
                <w:szCs w:val="21"/>
                <w:highlight w:val="none"/>
              </w:rPr>
              <w:t>13.智能分类：合智能；</w:t>
            </w:r>
          </w:p>
          <w:p w14:paraId="07ECF8AD">
            <w:pPr>
              <w:widowControl/>
              <w:jc w:val="left"/>
              <w:rPr>
                <w:rFonts w:hint="eastAsia"/>
                <w:color w:val="auto"/>
                <w:sz w:val="21"/>
                <w:szCs w:val="21"/>
                <w:highlight w:val="none"/>
              </w:rPr>
            </w:pPr>
            <w:r>
              <w:rPr>
                <w:rFonts w:hint="eastAsia"/>
                <w:color w:val="auto"/>
                <w:sz w:val="21"/>
                <w:szCs w:val="21"/>
                <w:highlight w:val="none"/>
              </w:rPr>
              <w:t>14.视频结构化：支持机动车、非机动车、人脸、人体检测；支持优选；支持抓拍；支持上报最优的抓图机动车属性（车牌，车牌颜色 ，车辆类型，车身颜色，车标，车系/年款，遮阳板，安全带，抽烟，打电话，车内饰品，年检标志）非机动车属性（类型，车身颜色，骑车人数，上衣类型，上衣颜色，帽子）人体属性（上衣类型，下衣类型，上衣颜色，下衣颜色，背包，帽子，性别，雨伞）人脸属性（性别，年龄，表情，戴眼镜，戴口罩，胡子）；</w:t>
            </w:r>
          </w:p>
          <w:p w14:paraId="4B7A9097">
            <w:pPr>
              <w:widowControl/>
              <w:jc w:val="left"/>
              <w:rPr>
                <w:rFonts w:hint="eastAsia"/>
                <w:color w:val="auto"/>
                <w:sz w:val="21"/>
                <w:szCs w:val="21"/>
                <w:highlight w:val="none"/>
              </w:rPr>
            </w:pPr>
            <w:r>
              <w:rPr>
                <w:rFonts w:hint="eastAsia"/>
                <w:color w:val="auto"/>
                <w:sz w:val="21"/>
                <w:szCs w:val="21"/>
                <w:highlight w:val="none"/>
              </w:rPr>
              <w:t>15.周界防范：支持绊线入侵；支持区域入侵；支持穿越围栏；支持徘徊检测；支持物品遗留；支持物品搬移；支持快速移动；支持停车检测；支持人员聚集；支持人车分类报警；支持多种规则触发后联动细节相机定位、跟踪；</w:t>
            </w:r>
          </w:p>
          <w:p w14:paraId="05E2674C">
            <w:pPr>
              <w:widowControl/>
              <w:jc w:val="left"/>
              <w:rPr>
                <w:rFonts w:hint="eastAsia"/>
                <w:color w:val="auto"/>
                <w:sz w:val="21"/>
                <w:szCs w:val="21"/>
                <w:highlight w:val="none"/>
              </w:rPr>
            </w:pPr>
            <w:r>
              <w:rPr>
                <w:rFonts w:hint="eastAsia"/>
                <w:color w:val="auto"/>
                <w:sz w:val="21"/>
                <w:szCs w:val="21"/>
                <w:highlight w:val="none"/>
              </w:rPr>
              <w:t>16.人脸识别：支持人脸检测；支持人脸轨迹框；支持优选；支持抓拍；支持上报最优的人脸抓图；支持人脸增强，人脸曝光；支持人脸属性提取，支持6种属性，8种表情：性别，年龄，眼镜，表情（愤怒，悲伤，厌恶，害怕，惊讶，平静，高兴，困惑），口罩，胡子；支持人脸抠图区域可设：人脸，单寸照；支持实时抓拍，优选抓拍，质量优先三种抓拍策略；支持添加5个人脸库；支持单个以及批量人员注册；支持人脸识别相似度设置；支持1万人脸底库的人脸比对；</w:t>
            </w:r>
          </w:p>
          <w:p w14:paraId="7C3ABE52">
            <w:pPr>
              <w:widowControl/>
              <w:jc w:val="left"/>
              <w:rPr>
                <w:rFonts w:hint="eastAsia"/>
                <w:color w:val="auto"/>
                <w:sz w:val="21"/>
                <w:szCs w:val="21"/>
                <w:highlight w:val="none"/>
              </w:rPr>
            </w:pPr>
            <w:r>
              <w:rPr>
                <w:rFonts w:hint="eastAsia"/>
                <w:color w:val="auto"/>
                <w:sz w:val="21"/>
                <w:szCs w:val="21"/>
                <w:highlight w:val="none"/>
              </w:rPr>
              <w:t>17.支持联动态和独立态，独立态时，全景摄像机和细节摄像机可分别对监控画面中出现的行人、机动车、非机动车进行检测和抓拍；并在IE浏览器上显示行人、机动车、非机动车属性；</w:t>
            </w:r>
          </w:p>
          <w:p w14:paraId="64D613A8">
            <w:pPr>
              <w:widowControl/>
              <w:jc w:val="left"/>
              <w:rPr>
                <w:rFonts w:hint="eastAsia"/>
                <w:color w:val="auto"/>
                <w:sz w:val="21"/>
                <w:szCs w:val="21"/>
                <w:highlight w:val="none"/>
              </w:rPr>
            </w:pPr>
            <w:r>
              <w:rPr>
                <w:rFonts w:hint="eastAsia"/>
                <w:color w:val="auto"/>
                <w:sz w:val="21"/>
                <w:szCs w:val="21"/>
                <w:highlight w:val="none"/>
              </w:rPr>
              <w:t>18.可通过卡扣方式固定；</w:t>
            </w:r>
          </w:p>
          <w:p w14:paraId="106360D8">
            <w:pPr>
              <w:widowControl/>
              <w:jc w:val="left"/>
              <w:rPr>
                <w:rFonts w:hint="eastAsia"/>
                <w:color w:val="auto"/>
                <w:sz w:val="21"/>
                <w:szCs w:val="21"/>
                <w:highlight w:val="none"/>
              </w:rPr>
            </w:pPr>
            <w:r>
              <w:rPr>
                <w:rFonts w:hint="eastAsia"/>
                <w:color w:val="auto"/>
                <w:sz w:val="21"/>
                <w:szCs w:val="21"/>
                <w:highlight w:val="none"/>
              </w:rPr>
              <w:t>19.设备跟踪目标分类可设置，当选择的分类目标触发规则之后进行目标联动跟踪，变倍跟踪，跟踪时间可选择；</w:t>
            </w:r>
          </w:p>
          <w:p w14:paraId="7F34F6CE">
            <w:pPr>
              <w:widowControl/>
              <w:jc w:val="left"/>
              <w:rPr>
                <w:rFonts w:hint="eastAsia"/>
                <w:color w:val="auto"/>
                <w:sz w:val="21"/>
                <w:szCs w:val="21"/>
                <w:highlight w:val="none"/>
              </w:rPr>
            </w:pPr>
            <w:r>
              <w:rPr>
                <w:rFonts w:hint="eastAsia"/>
                <w:color w:val="auto"/>
                <w:sz w:val="21"/>
                <w:szCs w:val="21"/>
                <w:highlight w:val="none"/>
              </w:rPr>
              <w:t>20.透雾功能：电子透雾；</w:t>
            </w:r>
          </w:p>
          <w:p w14:paraId="41EC9158">
            <w:pPr>
              <w:widowControl/>
              <w:jc w:val="left"/>
              <w:rPr>
                <w:rFonts w:hint="eastAsia"/>
                <w:color w:val="auto"/>
                <w:sz w:val="21"/>
                <w:szCs w:val="21"/>
                <w:highlight w:val="none"/>
              </w:rPr>
            </w:pPr>
            <w:r>
              <w:rPr>
                <w:rFonts w:hint="eastAsia"/>
                <w:color w:val="auto"/>
                <w:sz w:val="21"/>
                <w:szCs w:val="21"/>
                <w:highlight w:val="none"/>
              </w:rPr>
              <w:t>21.网络接口：1个（内置RJ-45网口，支持10M/100M网络数据）；</w:t>
            </w:r>
          </w:p>
          <w:p w14:paraId="665525A1">
            <w:pPr>
              <w:widowControl/>
              <w:jc w:val="left"/>
              <w:rPr>
                <w:rFonts w:hint="eastAsia"/>
                <w:color w:val="auto"/>
                <w:sz w:val="21"/>
                <w:szCs w:val="21"/>
                <w:highlight w:val="none"/>
              </w:rPr>
            </w:pPr>
            <w:r>
              <w:rPr>
                <w:rFonts w:hint="eastAsia"/>
                <w:color w:val="auto"/>
                <w:sz w:val="21"/>
                <w:szCs w:val="21"/>
                <w:highlight w:val="none"/>
              </w:rPr>
              <w:t>22.音频输入：1路；</w:t>
            </w:r>
          </w:p>
          <w:p w14:paraId="0E6F8179">
            <w:pPr>
              <w:widowControl/>
              <w:jc w:val="left"/>
              <w:rPr>
                <w:rFonts w:hint="eastAsia"/>
                <w:color w:val="auto"/>
                <w:sz w:val="21"/>
                <w:szCs w:val="21"/>
                <w:highlight w:val="none"/>
              </w:rPr>
            </w:pPr>
            <w:r>
              <w:rPr>
                <w:rFonts w:hint="eastAsia"/>
                <w:color w:val="auto"/>
                <w:sz w:val="21"/>
                <w:szCs w:val="21"/>
                <w:highlight w:val="none"/>
              </w:rPr>
              <w:t>23.音频输出：1路；</w:t>
            </w:r>
          </w:p>
          <w:p w14:paraId="62B637F3">
            <w:pPr>
              <w:widowControl/>
              <w:jc w:val="left"/>
              <w:rPr>
                <w:rFonts w:hint="eastAsia"/>
                <w:color w:val="auto"/>
                <w:sz w:val="21"/>
                <w:szCs w:val="21"/>
                <w:highlight w:val="none"/>
              </w:rPr>
            </w:pPr>
            <w:r>
              <w:rPr>
                <w:rFonts w:hint="eastAsia"/>
                <w:color w:val="auto"/>
                <w:sz w:val="21"/>
                <w:szCs w:val="21"/>
                <w:highlight w:val="none"/>
              </w:rPr>
              <w:t>24.报警接口：2进1出；</w:t>
            </w:r>
          </w:p>
          <w:p w14:paraId="558C2B33">
            <w:pPr>
              <w:widowControl/>
              <w:jc w:val="left"/>
              <w:rPr>
                <w:rFonts w:hint="eastAsia"/>
                <w:color w:val="auto"/>
                <w:sz w:val="21"/>
                <w:szCs w:val="21"/>
                <w:highlight w:val="none"/>
              </w:rPr>
            </w:pPr>
            <w:r>
              <w:rPr>
                <w:rFonts w:hint="eastAsia"/>
                <w:color w:val="auto"/>
                <w:sz w:val="21"/>
                <w:szCs w:val="21"/>
                <w:highlight w:val="none"/>
              </w:rPr>
              <w:t>25.语音对讲：支持；</w:t>
            </w:r>
          </w:p>
          <w:p w14:paraId="4D21B544">
            <w:pPr>
              <w:widowControl/>
              <w:jc w:val="left"/>
              <w:rPr>
                <w:rFonts w:hint="eastAsia"/>
                <w:color w:val="auto"/>
                <w:sz w:val="21"/>
                <w:szCs w:val="21"/>
                <w:highlight w:val="none"/>
              </w:rPr>
            </w:pPr>
            <w:r>
              <w:rPr>
                <w:rFonts w:hint="eastAsia"/>
                <w:color w:val="auto"/>
                <w:sz w:val="21"/>
                <w:szCs w:val="21"/>
                <w:highlight w:val="none"/>
              </w:rPr>
              <w:t>26.报警输入：2路，开关量输入(0～5V DC)；</w:t>
            </w:r>
          </w:p>
          <w:p w14:paraId="7CD79A5D">
            <w:pPr>
              <w:widowControl/>
              <w:jc w:val="left"/>
              <w:rPr>
                <w:rFonts w:hint="eastAsia"/>
                <w:color w:val="auto"/>
                <w:sz w:val="21"/>
                <w:szCs w:val="21"/>
                <w:highlight w:val="none"/>
              </w:rPr>
            </w:pPr>
            <w:r>
              <w:rPr>
                <w:rFonts w:hint="eastAsia"/>
                <w:color w:val="auto"/>
                <w:sz w:val="21"/>
                <w:szCs w:val="21"/>
                <w:highlight w:val="none"/>
              </w:rPr>
              <w:t>27.报警输出：1路；</w:t>
            </w:r>
          </w:p>
          <w:p w14:paraId="33905342">
            <w:pPr>
              <w:widowControl/>
              <w:jc w:val="left"/>
              <w:rPr>
                <w:rFonts w:hint="eastAsia"/>
                <w:color w:val="auto"/>
                <w:sz w:val="21"/>
                <w:szCs w:val="21"/>
                <w:highlight w:val="none"/>
              </w:rPr>
            </w:pPr>
            <w:r>
              <w:rPr>
                <w:rFonts w:hint="eastAsia"/>
                <w:color w:val="auto"/>
                <w:sz w:val="21"/>
                <w:szCs w:val="21"/>
                <w:highlight w:val="none"/>
              </w:rPr>
              <w:t>28.供电方式：DC36V/2.23A（-25%~+25%）；</w:t>
            </w:r>
          </w:p>
          <w:p w14:paraId="6559FE2B">
            <w:pPr>
              <w:widowControl/>
              <w:jc w:val="left"/>
              <w:rPr>
                <w:rFonts w:hint="eastAsia"/>
                <w:color w:val="auto"/>
                <w:sz w:val="21"/>
                <w:szCs w:val="21"/>
                <w:highlight w:val="none"/>
              </w:rPr>
            </w:pPr>
            <w:r>
              <w:rPr>
                <w:rFonts w:hint="eastAsia"/>
                <w:color w:val="auto"/>
                <w:sz w:val="21"/>
                <w:szCs w:val="21"/>
                <w:highlight w:val="none"/>
              </w:rPr>
              <w:t>29.防护等级：IP67;TVS 8000V防雷、防浪涌和防突波保护;符合GB/T 17626.5 4级标准；</w:t>
            </w:r>
          </w:p>
          <w:p w14:paraId="6574A30F">
            <w:pPr>
              <w:widowControl/>
              <w:jc w:val="left"/>
              <w:rPr>
                <w:rFonts w:hint="eastAsia"/>
                <w:color w:val="auto"/>
                <w:sz w:val="21"/>
                <w:szCs w:val="21"/>
                <w:highlight w:val="none"/>
              </w:rPr>
            </w:pPr>
            <w:r>
              <w:rPr>
                <w:rFonts w:hint="eastAsia"/>
                <w:color w:val="auto"/>
                <w:sz w:val="21"/>
                <w:szCs w:val="21"/>
                <w:highlight w:val="none"/>
              </w:rPr>
              <w:t>30.球机尺寸：SDT-5X；</w:t>
            </w:r>
          </w:p>
          <w:p w14:paraId="5DDCB6B4">
            <w:pPr>
              <w:widowControl/>
              <w:jc w:val="left"/>
              <w:rPr>
                <w:rFonts w:ascii="宋体" w:hAnsi="宋体"/>
                <w:color w:val="auto"/>
                <w:sz w:val="21"/>
                <w:szCs w:val="21"/>
                <w:highlight w:val="none"/>
              </w:rPr>
            </w:pPr>
            <w:r>
              <w:rPr>
                <w:rFonts w:hint="eastAsia"/>
                <w:color w:val="auto"/>
                <w:sz w:val="21"/>
                <w:szCs w:val="21"/>
                <w:highlight w:val="none"/>
              </w:rPr>
              <w:t>接口类型：RJ45接口。</w:t>
            </w:r>
          </w:p>
        </w:tc>
      </w:tr>
      <w:tr w14:paraId="3D1AE84C">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6052C249">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ascii="宋体" w:hAnsi="宋体"/>
                <w:color w:val="auto"/>
                <w:sz w:val="21"/>
                <w:szCs w:val="21"/>
                <w:highlight w:val="none"/>
              </w:rPr>
              <w:t>.6</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ED958C">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5F39DCAF">
            <w:pPr>
              <w:widowControl/>
              <w:jc w:val="center"/>
              <w:rPr>
                <w:rFonts w:ascii="宋体" w:hAnsi="宋体"/>
                <w:color w:val="auto"/>
                <w:sz w:val="21"/>
                <w:szCs w:val="21"/>
                <w:highlight w:val="none"/>
              </w:rPr>
            </w:pPr>
            <w:r>
              <w:rPr>
                <w:rFonts w:ascii="宋体" w:hAnsi="宋体"/>
                <w:color w:val="auto"/>
                <w:sz w:val="21"/>
                <w:szCs w:val="21"/>
                <w:highlight w:val="none"/>
              </w:rPr>
              <w:t>边缘计算一体机</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06BE7585">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4CD55ECA">
            <w:pPr>
              <w:widowControl/>
              <w:jc w:val="center"/>
              <w:rPr>
                <w:rFonts w:ascii="宋体" w:hAnsi="宋体"/>
                <w:color w:val="auto"/>
                <w:sz w:val="21"/>
                <w:szCs w:val="21"/>
                <w:highlight w:val="none"/>
              </w:rPr>
            </w:pPr>
            <w:r>
              <w:rPr>
                <w:rFonts w:ascii="宋体" w:hAnsi="宋体"/>
                <w:color w:val="auto"/>
                <w:sz w:val="21"/>
                <w:szCs w:val="21"/>
                <w:highlight w:val="none"/>
              </w:rPr>
              <w:t>1</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0BA1A4CC">
            <w:pPr>
              <w:widowControl/>
              <w:jc w:val="left"/>
              <w:rPr>
                <w:rFonts w:hint="eastAsia"/>
                <w:color w:val="auto"/>
                <w:sz w:val="21"/>
                <w:szCs w:val="21"/>
                <w:highlight w:val="none"/>
              </w:rPr>
            </w:pPr>
            <w:r>
              <w:rPr>
                <w:rFonts w:hint="eastAsia"/>
                <w:color w:val="auto"/>
                <w:sz w:val="21"/>
                <w:szCs w:val="21"/>
                <w:highlight w:val="none"/>
                <w:lang w:val="en-US" w:eastAsia="zh-CN"/>
              </w:rPr>
              <w:t>1</w:t>
            </w:r>
            <w:r>
              <w:rPr>
                <w:rFonts w:hint="eastAsia"/>
                <w:color w:val="auto"/>
                <w:sz w:val="21"/>
                <w:szCs w:val="21"/>
                <w:highlight w:val="none"/>
              </w:rPr>
              <w:t>.前智能分析：支持人脸检测、人脸识别、视频结构化（人、车、非机动车）、通用行为分析、车牌比对、绊线人数统计、区域人数统计、排队人数异常报警、人像检测、吸烟、打电话；</w:t>
            </w:r>
          </w:p>
          <w:p w14:paraId="048FFE39">
            <w:pPr>
              <w:widowControl/>
              <w:jc w:val="left"/>
              <w:rPr>
                <w:rFonts w:hint="eastAsia"/>
                <w:color w:val="auto"/>
                <w:sz w:val="21"/>
                <w:szCs w:val="21"/>
                <w:highlight w:val="none"/>
              </w:rPr>
            </w:pPr>
            <w:r>
              <w:rPr>
                <w:rFonts w:hint="eastAsia"/>
                <w:color w:val="auto"/>
                <w:sz w:val="21"/>
                <w:szCs w:val="21"/>
                <w:highlight w:val="none"/>
                <w:lang w:val="en-US" w:eastAsia="zh-CN"/>
              </w:rPr>
              <w:t>2</w:t>
            </w:r>
            <w:r>
              <w:rPr>
                <w:rFonts w:hint="eastAsia"/>
                <w:color w:val="auto"/>
                <w:sz w:val="21"/>
                <w:szCs w:val="21"/>
                <w:highlight w:val="none"/>
              </w:rPr>
              <w:t>.GPU：设备内置1颗高性能GPU，单颗GPU算力22TOPS（int8），每颗GPU最多可虚拟成4个智能引擎，每个智能引擎支持最多单独运行一类算法（以具体算法的加载要求为准）；</w:t>
            </w:r>
          </w:p>
          <w:p w14:paraId="1E57237E">
            <w:pPr>
              <w:widowControl/>
              <w:jc w:val="left"/>
              <w:rPr>
                <w:rFonts w:hint="eastAsia"/>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.支持人员聚档功能，可自动将识别到的同一人员的人脸图片汇聚到一个人员档案中；可以查看人员出现的次数及对应的时间和地点， 并展示当时的抓拍信息及人员属性信息</w:t>
            </w:r>
          </w:p>
          <w:p w14:paraId="246247E5">
            <w:pPr>
              <w:widowControl/>
              <w:jc w:val="left"/>
              <w:rPr>
                <w:rFonts w:hint="eastAsia"/>
                <w:color w:val="auto"/>
                <w:sz w:val="21"/>
                <w:szCs w:val="21"/>
                <w:highlight w:val="none"/>
              </w:rPr>
            </w:pPr>
            <w:r>
              <w:rPr>
                <w:rFonts w:hint="eastAsia"/>
                <w:color w:val="auto"/>
                <w:sz w:val="21"/>
                <w:szCs w:val="21"/>
                <w:highlight w:val="none"/>
                <w:lang w:val="en-US" w:eastAsia="zh-CN"/>
              </w:rPr>
              <w:t>4</w:t>
            </w:r>
            <w:r>
              <w:rPr>
                <w:rFonts w:hint="eastAsia"/>
                <w:color w:val="auto"/>
                <w:sz w:val="21"/>
                <w:szCs w:val="21"/>
                <w:highlight w:val="none"/>
              </w:rPr>
              <w:t>.支持对进入、离开、经过的人次和人数进行统计，可以判断筛选出同一批次人员；可以按照性别、年龄、上衣颜色、下衣颜色类别进行分析客户画像；支持接入非智能IPC分析客流：1）支持客流分组统计、 组内去重， 可过滤特定人员库；2）持客群分析，按性别、年龄段统计</w:t>
            </w:r>
          </w:p>
          <w:p w14:paraId="0DAFE7B7">
            <w:pPr>
              <w:widowControl/>
              <w:jc w:val="left"/>
              <w:rPr>
                <w:rFonts w:hint="eastAsia"/>
                <w:color w:val="auto"/>
                <w:sz w:val="21"/>
                <w:szCs w:val="21"/>
                <w:highlight w:val="none"/>
              </w:rPr>
            </w:pPr>
            <w:r>
              <w:rPr>
                <w:rFonts w:hint="eastAsia"/>
                <w:color w:val="auto"/>
                <w:sz w:val="21"/>
                <w:szCs w:val="21"/>
                <w:highlight w:val="none"/>
                <w:lang w:val="en-US" w:eastAsia="zh-CN"/>
              </w:rPr>
              <w:t>5</w:t>
            </w:r>
            <w:r>
              <w:rPr>
                <w:rFonts w:hint="eastAsia"/>
                <w:color w:val="auto"/>
                <w:sz w:val="21"/>
                <w:szCs w:val="21"/>
                <w:highlight w:val="none"/>
              </w:rPr>
              <w:t>.人脸检测（前智能）：配套前智能摄像机，最大支持32路200万或32路400万分辨率前智能；</w:t>
            </w:r>
          </w:p>
          <w:p w14:paraId="5097A264">
            <w:pPr>
              <w:widowControl/>
              <w:jc w:val="left"/>
              <w:rPr>
                <w:rFonts w:hint="eastAsia"/>
                <w:color w:val="auto"/>
                <w:sz w:val="21"/>
                <w:szCs w:val="21"/>
                <w:highlight w:val="none"/>
              </w:rPr>
            </w:pPr>
            <w:r>
              <w:rPr>
                <w:rFonts w:hint="eastAsia"/>
                <w:color w:val="auto"/>
                <w:sz w:val="21"/>
                <w:szCs w:val="21"/>
                <w:highlight w:val="none"/>
                <w:lang w:val="en-US" w:eastAsia="zh-CN"/>
              </w:rPr>
              <w:t>6</w:t>
            </w:r>
            <w:r>
              <w:rPr>
                <w:rFonts w:hint="eastAsia"/>
                <w:color w:val="auto"/>
                <w:sz w:val="21"/>
                <w:szCs w:val="21"/>
                <w:highlight w:val="none"/>
              </w:rPr>
              <w:t>.人脸识别（前智能）：配套前智能摄像机，最大支持32路200万或32路400万分辨率前智能；</w:t>
            </w:r>
          </w:p>
          <w:p w14:paraId="28C1DC81">
            <w:pPr>
              <w:widowControl/>
              <w:jc w:val="left"/>
              <w:rPr>
                <w:rFonts w:hint="eastAsia"/>
                <w:color w:val="auto"/>
                <w:sz w:val="21"/>
                <w:szCs w:val="21"/>
                <w:highlight w:val="none"/>
              </w:rPr>
            </w:pPr>
            <w:r>
              <w:rPr>
                <w:rFonts w:hint="eastAsia"/>
                <w:color w:val="auto"/>
                <w:sz w:val="21"/>
                <w:szCs w:val="21"/>
                <w:highlight w:val="none"/>
                <w:lang w:val="en-US" w:eastAsia="zh-CN"/>
              </w:rPr>
              <w:t>7</w:t>
            </w:r>
            <w:r>
              <w:rPr>
                <w:rFonts w:hint="eastAsia"/>
                <w:color w:val="auto"/>
                <w:sz w:val="21"/>
                <w:szCs w:val="21"/>
                <w:highlight w:val="none"/>
              </w:rPr>
              <w:t>.结构化（前智能）：配套前智能摄像机，最大支持32路200万或32路400万分辨率前智能；</w:t>
            </w:r>
          </w:p>
          <w:p w14:paraId="41409903">
            <w:pPr>
              <w:widowControl/>
              <w:jc w:val="left"/>
              <w:rPr>
                <w:rFonts w:hint="eastAsia"/>
                <w:color w:val="auto"/>
                <w:sz w:val="21"/>
                <w:szCs w:val="21"/>
                <w:highlight w:val="none"/>
              </w:rPr>
            </w:pPr>
            <w:r>
              <w:rPr>
                <w:rFonts w:hint="eastAsia"/>
                <w:color w:val="auto"/>
                <w:sz w:val="21"/>
                <w:szCs w:val="21"/>
                <w:highlight w:val="none"/>
                <w:lang w:val="en-US" w:eastAsia="zh-CN"/>
              </w:rPr>
              <w:t>8</w:t>
            </w:r>
            <w:r>
              <w:rPr>
                <w:rFonts w:hint="eastAsia"/>
                <w:color w:val="auto"/>
                <w:sz w:val="21"/>
                <w:szCs w:val="21"/>
                <w:highlight w:val="none"/>
              </w:rPr>
              <w:t>.通用行为分析（前智能）：配套前智能摄像机，最大支持32路200万或32路400万分辨率前智能；</w:t>
            </w:r>
          </w:p>
          <w:p w14:paraId="1741FED2">
            <w:pPr>
              <w:widowControl/>
              <w:jc w:val="left"/>
              <w:rPr>
                <w:rFonts w:hint="eastAsia"/>
                <w:color w:val="auto"/>
                <w:sz w:val="21"/>
                <w:szCs w:val="21"/>
                <w:highlight w:val="none"/>
              </w:rPr>
            </w:pPr>
            <w:r>
              <w:rPr>
                <w:rFonts w:hint="eastAsia"/>
                <w:color w:val="auto"/>
                <w:sz w:val="21"/>
                <w:szCs w:val="21"/>
                <w:highlight w:val="none"/>
                <w:lang w:val="en-US" w:eastAsia="zh-CN"/>
              </w:rPr>
              <w:t>9</w:t>
            </w:r>
            <w:r>
              <w:rPr>
                <w:rFonts w:hint="eastAsia"/>
                <w:color w:val="auto"/>
                <w:sz w:val="21"/>
                <w:szCs w:val="21"/>
                <w:highlight w:val="none"/>
              </w:rPr>
              <w:t>.支持以图搜图， 可最多同时批量上传50张人脸图片， 并同时最多对10张目标人脸进行相似图片搜索， 支持智能关联可信度高的人脸图片进行二次检索，将关联的人脸和人体的以图搜图结果同时显示；</w:t>
            </w:r>
          </w:p>
          <w:p w14:paraId="18F45E5A">
            <w:pPr>
              <w:widowControl/>
              <w:jc w:val="left"/>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0</w:t>
            </w:r>
            <w:r>
              <w:rPr>
                <w:rFonts w:hint="eastAsia"/>
                <w:color w:val="auto"/>
                <w:sz w:val="21"/>
                <w:szCs w:val="21"/>
                <w:highlight w:val="none"/>
              </w:rPr>
              <w:t>.网络带宽及接入：接入路数：48路，256Mbps接入；256Mbps存储；256Mbps转发；</w:t>
            </w:r>
          </w:p>
          <w:p w14:paraId="031FDCC2">
            <w:pPr>
              <w:widowControl/>
              <w:jc w:val="left"/>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1</w:t>
            </w:r>
            <w:r>
              <w:rPr>
                <w:rFonts w:hint="eastAsia"/>
                <w:color w:val="auto"/>
                <w:sz w:val="21"/>
                <w:szCs w:val="21"/>
                <w:highlight w:val="none"/>
              </w:rPr>
              <w:t>.分辨率：32MP;24MP;16MP;12MP;8MP;6MP;5MP;4MP;3MP;1080p;720p；</w:t>
            </w:r>
          </w:p>
          <w:p w14:paraId="285105CE">
            <w:pPr>
              <w:widowControl/>
              <w:jc w:val="left"/>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2</w:t>
            </w:r>
            <w:r>
              <w:rPr>
                <w:rFonts w:hint="eastAsia"/>
                <w:color w:val="auto"/>
                <w:sz w:val="21"/>
                <w:szCs w:val="21"/>
                <w:highlight w:val="none"/>
              </w:rPr>
              <w:t>.解码能力：1路32MP;1路24MP;2路16MP;4路8MP@30fps;5路6MP@30fps;6路5MP@30fps;8路4MP@30fps;16路1080p@30fps;36路720p@30fps；</w:t>
            </w:r>
          </w:p>
          <w:p w14:paraId="770191C4">
            <w:pPr>
              <w:widowControl/>
              <w:jc w:val="left"/>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3</w:t>
            </w:r>
            <w:r>
              <w:rPr>
                <w:rFonts w:hint="eastAsia"/>
                <w:color w:val="auto"/>
                <w:sz w:val="21"/>
                <w:szCs w:val="21"/>
                <w:highlight w:val="none"/>
              </w:rPr>
              <w:t>.存储方式：支持本机硬盘；</w:t>
            </w:r>
          </w:p>
          <w:p w14:paraId="28E331FA">
            <w:pPr>
              <w:widowControl/>
              <w:jc w:val="left"/>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4</w:t>
            </w:r>
            <w:r>
              <w:rPr>
                <w:rFonts w:hint="eastAsia"/>
                <w:color w:val="auto"/>
                <w:sz w:val="21"/>
                <w:szCs w:val="21"/>
                <w:highlight w:val="none"/>
              </w:rPr>
              <w:t>.报警输入：4路；</w:t>
            </w:r>
          </w:p>
          <w:p w14:paraId="149C0B6C">
            <w:pPr>
              <w:widowControl/>
              <w:jc w:val="left"/>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5</w:t>
            </w:r>
            <w:r>
              <w:rPr>
                <w:rFonts w:hint="eastAsia"/>
                <w:color w:val="auto"/>
                <w:sz w:val="21"/>
                <w:szCs w:val="21"/>
                <w:highlight w:val="none"/>
              </w:rPr>
              <w:t>.报警输出：2路；</w:t>
            </w:r>
          </w:p>
          <w:p w14:paraId="4B1663ED">
            <w:pPr>
              <w:widowControl/>
              <w:jc w:val="left"/>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6</w:t>
            </w:r>
            <w:r>
              <w:rPr>
                <w:rFonts w:hint="eastAsia"/>
                <w:color w:val="auto"/>
                <w:sz w:val="21"/>
                <w:szCs w:val="21"/>
                <w:highlight w:val="none"/>
              </w:rPr>
              <w:t>.硬盘接口：1个；SATA 3.0；单盘最大16TB；本次配置10T以上硬盘；</w:t>
            </w:r>
          </w:p>
          <w:p w14:paraId="7DF2FF26">
            <w:pPr>
              <w:widowControl/>
              <w:jc w:val="left"/>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7</w:t>
            </w:r>
            <w:r>
              <w:rPr>
                <w:rFonts w:hint="eastAsia"/>
                <w:color w:val="auto"/>
                <w:sz w:val="21"/>
                <w:szCs w:val="21"/>
                <w:highlight w:val="none"/>
              </w:rPr>
              <w:t>.USB接口：4个，2个前置USB2.0接口、2个后置USB3.0接口；</w:t>
            </w:r>
          </w:p>
          <w:p w14:paraId="49DED24D">
            <w:pPr>
              <w:widowControl/>
              <w:jc w:val="left"/>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8</w:t>
            </w:r>
            <w:r>
              <w:rPr>
                <w:rFonts w:hint="eastAsia"/>
                <w:color w:val="auto"/>
                <w:sz w:val="21"/>
                <w:szCs w:val="21"/>
                <w:highlight w:val="none"/>
              </w:rPr>
              <w:t>.HDMI接口：2个， 支持4K；</w:t>
            </w:r>
          </w:p>
          <w:p w14:paraId="29180EA2">
            <w:pPr>
              <w:widowControl/>
              <w:jc w:val="left"/>
              <w:rPr>
                <w:rFonts w:hint="eastAsia"/>
                <w:color w:val="auto"/>
                <w:sz w:val="21"/>
                <w:szCs w:val="21"/>
                <w:highlight w:val="none"/>
              </w:rPr>
            </w:pPr>
            <w:r>
              <w:rPr>
                <w:rFonts w:hint="eastAsia"/>
                <w:color w:val="auto"/>
                <w:sz w:val="21"/>
                <w:szCs w:val="21"/>
                <w:highlight w:val="none"/>
                <w:lang w:val="en-US" w:eastAsia="zh-CN"/>
              </w:rPr>
              <w:t>19</w:t>
            </w:r>
            <w:r>
              <w:rPr>
                <w:rFonts w:hint="eastAsia"/>
                <w:color w:val="auto"/>
                <w:sz w:val="21"/>
                <w:szCs w:val="21"/>
                <w:highlight w:val="none"/>
              </w:rPr>
              <w:t>.网络接口：2个RJ-45，10/100/1000Mbps自适应以太网口（千兆电口）；</w:t>
            </w:r>
          </w:p>
          <w:p w14:paraId="1283A989">
            <w:pPr>
              <w:widowControl/>
              <w:jc w:val="left"/>
              <w:rPr>
                <w:rFonts w:hint="eastAsia"/>
                <w:color w:val="auto"/>
                <w:sz w:val="21"/>
                <w:szCs w:val="21"/>
                <w:highlight w:val="none"/>
              </w:rPr>
            </w:pPr>
            <w:r>
              <w:rPr>
                <w:rFonts w:hint="eastAsia"/>
                <w:color w:val="auto"/>
                <w:sz w:val="21"/>
                <w:szCs w:val="21"/>
                <w:highlight w:val="none"/>
              </w:rPr>
              <w:t>2</w:t>
            </w:r>
            <w:r>
              <w:rPr>
                <w:rFonts w:hint="eastAsia"/>
                <w:color w:val="auto"/>
                <w:sz w:val="21"/>
                <w:szCs w:val="21"/>
                <w:highlight w:val="none"/>
                <w:lang w:val="en-US" w:eastAsia="zh-CN"/>
              </w:rPr>
              <w:t>0</w:t>
            </w:r>
            <w:r>
              <w:rPr>
                <w:rFonts w:hint="eastAsia"/>
                <w:color w:val="auto"/>
                <w:sz w:val="21"/>
                <w:szCs w:val="21"/>
                <w:highlight w:val="none"/>
              </w:rPr>
              <w:t>.电源接口：单电源；</w:t>
            </w:r>
          </w:p>
          <w:p w14:paraId="0AC22180">
            <w:pPr>
              <w:widowControl/>
              <w:jc w:val="left"/>
              <w:rPr>
                <w:rFonts w:hint="eastAsia"/>
                <w:color w:val="auto"/>
                <w:sz w:val="21"/>
                <w:szCs w:val="21"/>
                <w:highlight w:val="none"/>
              </w:rPr>
            </w:pPr>
            <w:r>
              <w:rPr>
                <w:rFonts w:hint="eastAsia"/>
                <w:color w:val="auto"/>
                <w:sz w:val="21"/>
                <w:szCs w:val="21"/>
                <w:highlight w:val="none"/>
              </w:rPr>
              <w:t>2</w:t>
            </w:r>
            <w:r>
              <w:rPr>
                <w:rFonts w:hint="eastAsia"/>
                <w:color w:val="auto"/>
                <w:sz w:val="21"/>
                <w:szCs w:val="21"/>
                <w:highlight w:val="none"/>
                <w:lang w:val="en-US" w:eastAsia="zh-CN"/>
              </w:rPr>
              <w:t>1</w:t>
            </w:r>
            <w:r>
              <w:rPr>
                <w:rFonts w:hint="eastAsia"/>
                <w:color w:val="auto"/>
                <w:sz w:val="21"/>
                <w:szCs w:val="21"/>
                <w:highlight w:val="none"/>
              </w:rPr>
              <w:t>.外观形态：1U机架；</w:t>
            </w:r>
          </w:p>
          <w:p w14:paraId="731F69ED">
            <w:pPr>
              <w:widowControl/>
              <w:jc w:val="left"/>
              <w:rPr>
                <w:rFonts w:hint="eastAsia" w:ascii="宋体" w:hAnsi="宋体"/>
                <w:color w:val="auto"/>
                <w:sz w:val="21"/>
                <w:szCs w:val="21"/>
                <w:highlight w:val="none"/>
              </w:rPr>
            </w:pPr>
            <w:r>
              <w:rPr>
                <w:rFonts w:hint="eastAsia"/>
                <w:color w:val="auto"/>
                <w:sz w:val="21"/>
                <w:szCs w:val="21"/>
                <w:highlight w:val="none"/>
                <w:lang w:val="en-US" w:eastAsia="zh-CN"/>
              </w:rPr>
              <w:t>22.</w:t>
            </w:r>
            <w:r>
              <w:rPr>
                <w:rFonts w:hint="eastAsia"/>
                <w:color w:val="auto"/>
                <w:sz w:val="21"/>
                <w:szCs w:val="21"/>
                <w:highlight w:val="none"/>
              </w:rPr>
              <w:t>供电方式：12VDC,5A。</w:t>
            </w:r>
          </w:p>
          <w:p w14:paraId="330B3A8B">
            <w:pPr>
              <w:widowControl/>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23.</w:t>
            </w:r>
            <w:r>
              <w:rPr>
                <w:rFonts w:hint="eastAsia" w:ascii="宋体" w:hAnsi="宋体" w:eastAsia="宋体" w:cs="Times New Roman"/>
                <w:color w:val="auto"/>
                <w:sz w:val="21"/>
                <w:szCs w:val="21"/>
                <w:highlight w:val="none"/>
                <w:lang w:val="en-US" w:eastAsia="zh-CN"/>
              </w:rPr>
              <w:t>需对接数字孪生平台支持</w:t>
            </w:r>
            <w:r>
              <w:rPr>
                <w:rFonts w:hint="eastAsia" w:ascii="宋体" w:hAnsi="宋体"/>
                <w:color w:val="auto"/>
                <w:sz w:val="21"/>
                <w:szCs w:val="21"/>
                <w:highlight w:val="none"/>
                <w:lang w:val="en-US" w:eastAsia="zh-CN"/>
              </w:rPr>
              <w:t>基于数字孪生场景映射呈现体艺中心停车场各类型车位分布情况和使用情况</w:t>
            </w:r>
          </w:p>
          <w:p w14:paraId="3A5C51D7">
            <w:pPr>
              <w:widowControl/>
              <w:jc w:val="left"/>
              <w:rPr>
                <w:rFonts w:hint="eastAsia" w:ascii="宋体" w:hAnsi="宋体"/>
                <w:color w:val="auto"/>
                <w:sz w:val="21"/>
                <w:szCs w:val="21"/>
                <w:highlight w:val="none"/>
                <w:lang w:val="en-US" w:eastAsia="zh-CN"/>
              </w:rPr>
            </w:pPr>
            <w:r>
              <w:rPr>
                <w:rFonts w:hint="eastAsia" w:cs="Times New Roman"/>
                <w:color w:val="auto"/>
                <w:szCs w:val="24"/>
                <w:highlight w:val="none"/>
                <w:lang w:val="en-US" w:eastAsia="zh-CN"/>
              </w:rPr>
              <w:t>24.</w:t>
            </w:r>
            <w:r>
              <w:rPr>
                <w:rFonts w:hint="eastAsia" w:ascii="宋体" w:hAnsi="宋体" w:eastAsia="宋体" w:cs="Times New Roman"/>
                <w:color w:val="auto"/>
                <w:sz w:val="21"/>
                <w:szCs w:val="21"/>
                <w:highlight w:val="none"/>
                <w:lang w:val="en-US" w:eastAsia="zh-CN"/>
              </w:rPr>
              <w:t>需对接数字孪生平台</w:t>
            </w:r>
            <w:r>
              <w:rPr>
                <w:rFonts w:hint="eastAsia" w:cs="Times New Roman"/>
                <w:color w:val="auto"/>
                <w:szCs w:val="24"/>
                <w:highlight w:val="none"/>
                <w:lang w:val="zh-CN"/>
              </w:rPr>
              <w:t>整体呈现当日人员信息，包括工作人员、观众、实时客流等信息，可实时查看赛时阶段里人员动向。</w:t>
            </w:r>
          </w:p>
          <w:p w14:paraId="0E400250">
            <w:pPr>
              <w:widowControl/>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25.</w:t>
            </w:r>
            <w:r>
              <w:rPr>
                <w:rFonts w:hint="eastAsia" w:ascii="宋体" w:hAnsi="宋体" w:eastAsia="宋体" w:cs="Times New Roman"/>
                <w:color w:val="auto"/>
                <w:sz w:val="21"/>
                <w:szCs w:val="21"/>
                <w:highlight w:val="none"/>
                <w:lang w:val="en-US" w:eastAsia="zh-CN"/>
              </w:rPr>
              <w:t>需对接数字孪生平台支持</w:t>
            </w:r>
            <w:r>
              <w:rPr>
                <w:rFonts w:hint="eastAsia" w:cs="Times New Roman"/>
                <w:color w:val="auto"/>
                <w:szCs w:val="24"/>
                <w:highlight w:val="none"/>
                <w:lang w:val="zh-CN"/>
              </w:rPr>
              <w:t>对各类监控资源以目录树结合孪生空间定位的手段进行便捷管理与可视化查询。</w:t>
            </w:r>
          </w:p>
          <w:p w14:paraId="4ED26FB3">
            <w:pPr>
              <w:widowControl/>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26.</w:t>
            </w:r>
            <w:r>
              <w:rPr>
                <w:rFonts w:hint="eastAsia" w:ascii="宋体" w:hAnsi="宋体" w:eastAsia="宋体" w:cs="Times New Roman"/>
                <w:color w:val="auto"/>
                <w:sz w:val="21"/>
                <w:szCs w:val="21"/>
                <w:highlight w:val="none"/>
                <w:lang w:val="en-US" w:eastAsia="zh-CN"/>
              </w:rPr>
              <w:t>需对接数字孪生平台支持</w:t>
            </w:r>
            <w:r>
              <w:rPr>
                <w:rFonts w:hint="eastAsia" w:cs="Times New Roman"/>
                <w:color w:val="auto"/>
                <w:szCs w:val="24"/>
                <w:highlight w:val="none"/>
                <w:lang w:val="zh-CN"/>
              </w:rPr>
              <w:t>基于摄像头智能化算法，对监控数据进行智能分析和处理，结合数字孪生可视化技术，可以实现对异常情况的智能识别和自动报警，然后报警信息以孪生的方式展示报警信息。</w:t>
            </w:r>
          </w:p>
          <w:p w14:paraId="406E1157">
            <w:pPr>
              <w:widowControl/>
              <w:jc w:val="left"/>
              <w:rPr>
                <w:rFonts w:hint="default" w:ascii="宋体" w:hAnsi="宋体"/>
                <w:color w:val="auto"/>
                <w:sz w:val="21"/>
                <w:szCs w:val="21"/>
                <w:highlight w:val="none"/>
                <w:lang w:val="en-US" w:eastAsia="zh-CN"/>
              </w:rPr>
            </w:pPr>
            <w:r>
              <w:rPr>
                <w:rFonts w:hint="eastAsia" w:ascii="Times New Roman" w:hAnsi="Times New Roman" w:eastAsia="宋体" w:cs="Times New Roman"/>
                <w:color w:val="auto"/>
                <w:highlight w:val="none"/>
                <w:lang w:val="zh-CN"/>
              </w:rPr>
              <w:t>★</w:t>
            </w:r>
            <w:r>
              <w:rPr>
                <w:rFonts w:hint="eastAsia" w:ascii="宋体" w:hAnsi="宋体"/>
                <w:color w:val="auto"/>
                <w:sz w:val="21"/>
                <w:szCs w:val="21"/>
                <w:highlight w:val="none"/>
                <w:lang w:val="en-US" w:eastAsia="zh-CN"/>
              </w:rPr>
              <w:t>27.CPU需符合安全可靠测评要求</w:t>
            </w:r>
            <w:r>
              <w:rPr>
                <w:rFonts w:hint="eastAsia" w:ascii="宋体" w:hAnsi="宋体" w:cs="宋体"/>
                <w:color w:val="auto"/>
                <w:sz w:val="21"/>
                <w:szCs w:val="21"/>
                <w:highlight w:val="none"/>
                <w:lang w:val="en-US" w:eastAsia="zh-CN"/>
              </w:rPr>
              <w:t>。</w:t>
            </w:r>
          </w:p>
        </w:tc>
      </w:tr>
      <w:tr w14:paraId="79E4E234">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7C7A5B13">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ascii="宋体" w:hAnsi="宋体"/>
                <w:color w:val="auto"/>
                <w:sz w:val="21"/>
                <w:szCs w:val="21"/>
                <w:highlight w:val="none"/>
              </w:rPr>
              <w:t>.7</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EEA4C4">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1BA446F9">
            <w:pPr>
              <w:widowControl/>
              <w:jc w:val="center"/>
              <w:rPr>
                <w:rFonts w:ascii="宋体" w:hAnsi="宋体"/>
                <w:color w:val="auto"/>
                <w:sz w:val="21"/>
                <w:szCs w:val="21"/>
                <w:highlight w:val="none"/>
              </w:rPr>
            </w:pPr>
            <w:r>
              <w:rPr>
                <w:rFonts w:ascii="宋体" w:hAnsi="宋体"/>
                <w:color w:val="auto"/>
                <w:sz w:val="21"/>
                <w:szCs w:val="21"/>
                <w:highlight w:val="none"/>
              </w:rPr>
              <w:t>高位摄像机</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54FCF80B">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05217E91">
            <w:pPr>
              <w:widowControl/>
              <w:jc w:val="center"/>
              <w:rPr>
                <w:rFonts w:ascii="宋体" w:hAnsi="宋体"/>
                <w:color w:val="auto"/>
                <w:sz w:val="21"/>
                <w:szCs w:val="21"/>
                <w:highlight w:val="none"/>
              </w:rPr>
            </w:pPr>
            <w:r>
              <w:rPr>
                <w:rFonts w:ascii="宋体" w:hAnsi="宋体"/>
                <w:color w:val="auto"/>
                <w:sz w:val="21"/>
                <w:szCs w:val="21"/>
                <w:highlight w:val="none"/>
              </w:rPr>
              <w:t>3</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37D2168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1.传感器类型：1/1.8英寸CMOS；</w:t>
            </w:r>
          </w:p>
          <w:p w14:paraId="3968E87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2.像素：全景：2400万；球机：400万；</w:t>
            </w:r>
          </w:p>
          <w:p w14:paraId="6376227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3.最大分辨率：8192×2700；</w:t>
            </w:r>
          </w:p>
          <w:p w14:paraId="4DDEBF2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4.图像拼接功能:主视频图像支持自动拼接功能,可将任意连续的2个至6个视频画面基本进行无缝拼接显示；</w:t>
            </w:r>
          </w:p>
          <w:p w14:paraId="6863C0F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5.最低照度：全景：0.0005lux（彩色模式）；0.0001lux（黑白模式）；球机：0.001lux（彩色模式）；0.0005lux（黑白模式）；0lux（红外灯开启）；</w:t>
            </w:r>
          </w:p>
          <w:p w14:paraId="5834940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6.最大补光距离：全景：NA；球机：≥400米；；</w:t>
            </w:r>
          </w:p>
          <w:p w14:paraId="66B8B71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7.补光灯：全景：NA 球机：7颗（红外灯）；</w:t>
            </w:r>
          </w:p>
          <w:p w14:paraId="33EE4F5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8.镜头类型：全景：定焦；球机：电动变焦；</w:t>
            </w:r>
          </w:p>
          <w:p w14:paraId="23CA233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9.镜头焦距：全景：2.8mm；球机：5.5mm～220mm；</w:t>
            </w:r>
          </w:p>
          <w:p w14:paraId="6C2A1C3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10.镜头光圈：全景：F1.0 球机：F1.4；</w:t>
            </w:r>
          </w:p>
          <w:p w14:paraId="2DC7FE5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11.视场角：全景：水平：270°；垂直：103° 球机：水平：2.2°~61.8°；垂直：1.3°~36.3°；对角：2.4°~69.2°；</w:t>
            </w:r>
          </w:p>
          <w:p w14:paraId="34E0658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12.通用行为分析：全景: NA球机: NA；</w:t>
            </w:r>
          </w:p>
          <w:p w14:paraId="200E213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13.智能说明：全景：周界防范，人群分布图，车辆密度 球机：周界防范，视频结构化，人脸识别；</w:t>
            </w:r>
          </w:p>
          <w:p w14:paraId="6542679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14.深度智能：支持；</w:t>
            </w:r>
          </w:p>
          <w:p w14:paraId="6751FDA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15.周界防范：全景：绊线入侵；区域入侵；停车检测球机：绊线入侵；区域入侵；停车检测；穿越围栏；快速移动；物品遗留；物品搬移；人员聚集；徘徊检测；</w:t>
            </w:r>
          </w:p>
          <w:p w14:paraId="57379B7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16.人脸识别：全景：NA 球机：支持人脸检测；支持优选；支持抓拍；支持上报最优的人脸抓图；支持人脸增强；支持人脸属性提取，支持6种属性，8种表情：性别，年龄，眼镜，表情（愤怒，悲伤，厌恶，害怕，惊讶，平静，高兴，困惑），口罩，胡子；支持人脸抠图区域可设：人脸，单寸照；支持优选抓拍抓拍策略；支持添加5个人脸库；支持单个以及批量人员注册；支持人脸识别相似度设置；支持1万人脸底库的人脸比对。；</w:t>
            </w:r>
          </w:p>
          <w:p w14:paraId="1A6025E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17.车辆密度：全景：支持道路拥堵，停车上限和车辆拥堵报警功能  球机：NA；</w:t>
            </w:r>
          </w:p>
          <w:p w14:paraId="73F4AD7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18.人群分布图：全景：人群分布效果图、全局人数统计、区域人数统计 球机：NA；</w:t>
            </w:r>
          </w:p>
          <w:p w14:paraId="155B887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19.视频结构化：全景：NA 球机：支持机动车、非机动车、人脸、人体检测；支持优选；支持抓拍；支持上报最优的抓图机动车属性（车牌，车牌颜色 ，车辆类型，车身颜色，车标，车系/年款，遮阳板，安全带，抽烟，打电话，车内饰品，年检标志）非机动车属性（类型，车身颜色，骑车人数，上衣类型，上衣颜色，帽子）人体属性（上衣类型，下衣类型，上衣颜色，下衣颜色，背包，帽子，性别，雨伞）人脸属性（性别，年龄，表情，戴眼镜，戴口罩，胡子）；</w:t>
            </w:r>
          </w:p>
          <w:p w14:paraId="11547D4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20.智能检索：配合Smart NVR实现事件录像的二次智能检索、分析和浓缩播放；</w:t>
            </w:r>
          </w:p>
          <w:p w14:paraId="671A7CD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21.视频压缩标准：H.265；H.264；H.264H；H.264B；MJPEG（仅辅码流支持）；</w:t>
            </w:r>
          </w:p>
          <w:p w14:paraId="5FC90B7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22.智能编码：H.264:支持；H.265:支持；</w:t>
            </w:r>
          </w:p>
          <w:p w14:paraId="0867D50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23.视频帧率：全景：主码流（8192×2700@25/30fps）辅码流（2048×680@25/30fps）第三码流（3840×1248@25/30fps）球机：主码流：（2560×1440@25/30fps）辅码流：（704×576@25/30fps）第三码流：（1920×1080@25/30fps）；</w:t>
            </w:r>
          </w:p>
          <w:p w14:paraId="4E05CEE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24.宽动态：全景：WDR；球机：120dB；；</w:t>
            </w:r>
          </w:p>
          <w:p w14:paraId="739E3CD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25.默认分辨率下默认码流：全景：16384Kb/s（8192×2700）球机：4096Kb/s（2560×1440）；</w:t>
            </w:r>
          </w:p>
          <w:p w14:paraId="55E24B6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26.音频接口：支持；</w:t>
            </w:r>
          </w:p>
          <w:p w14:paraId="198233F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27.报警：支持；</w:t>
            </w:r>
          </w:p>
          <w:p w14:paraId="443E011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28.网络接口：1个（RJ-45网口，支持10M/100M/1000M 网络数据）；</w:t>
            </w:r>
          </w:p>
          <w:p w14:paraId="2DAED39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29.接入标准：ONVIF（Profile S &amp; Profile G &amp; Profile T）；CGI；GB/T28181-2022（双国标）；GA/T1400；GB/35114A；</w:t>
            </w:r>
          </w:p>
          <w:p w14:paraId="64AF687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30.最大Micro SD卡：512GB；</w:t>
            </w:r>
          </w:p>
          <w:p w14:paraId="2499CCF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31.低照等级：超星光；</w:t>
            </w:r>
          </w:p>
          <w:p w14:paraId="6C8F1A0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32.AR功能：支持；</w:t>
            </w:r>
          </w:p>
          <w:p w14:paraId="5173451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33.RS-485接口：1个（波特率范围：1200bps～115200bps）；</w:t>
            </w:r>
          </w:p>
          <w:p w14:paraId="1E5A943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34.光模块规格：内置千兆SFP光模块单模单纤20KmTX-1310nm/RX-1550nm；接收端另配；</w:t>
            </w:r>
          </w:p>
          <w:p w14:paraId="5608A50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35.光纤接口：FC；</w:t>
            </w:r>
          </w:p>
          <w:p w14:paraId="16FCDE2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36.音频输入：2路（接线端子）；</w:t>
            </w:r>
          </w:p>
          <w:p w14:paraId="05BCA58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37.音频输出：2路（接线端子）；</w:t>
            </w:r>
          </w:p>
          <w:p w14:paraId="5F5D38D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38.报警输入：7路（湿节点，支持直流3～5V电位，5mA电流）；</w:t>
            </w:r>
          </w:p>
          <w:p w14:paraId="0B40A77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39.报警输出：3路（干节点，支持直流最大30V电位，1A电流/交流最大50V电位，0.5A电流）；</w:t>
            </w:r>
          </w:p>
          <w:p w14:paraId="4A176DF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40.模拟输出接口：1路（CVBS输出 BNC接口）；</w:t>
            </w:r>
          </w:p>
          <w:p w14:paraId="786D47B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41.电源返送：支持DC12V电源返送，最大电流165mA，峰值电流700mA；</w:t>
            </w:r>
          </w:p>
          <w:p w14:paraId="186DFBA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42.供电方式：DC36V；</w:t>
            </w:r>
          </w:p>
          <w:p w14:paraId="11435F4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43.防护等级：IP66；</w:t>
            </w:r>
          </w:p>
          <w:p w14:paraId="61A2295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44.防腐蚀等级：低</w:t>
            </w:r>
          </w:p>
          <w:p w14:paraId="04085FC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45.5G功能:可设置在5G/4G/3G蜂窝网络间自动/手动切换</w:t>
            </w:r>
          </w:p>
          <w:p w14:paraId="1489434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 xml:space="preserve">46.WLAN设置:具有2.4G WLAN和5G WLAN设置选项 </w:t>
            </w:r>
          </w:p>
          <w:p w14:paraId="775ABA9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47.</w:t>
            </w:r>
            <w:r>
              <w:rPr>
                <w:rFonts w:hint="eastAsia" w:ascii="宋体" w:hAnsi="宋体"/>
                <w:color w:val="auto"/>
                <w:sz w:val="21"/>
                <w:szCs w:val="21"/>
                <w:highlight w:val="none"/>
              </w:rPr>
              <w:t>自带防水透气膜，内部水气可通过防水透气膜排出，外部的水气无法进入。</w:t>
            </w:r>
          </w:p>
        </w:tc>
      </w:tr>
      <w:tr w14:paraId="65EA786D">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731DC005">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ascii="宋体" w:hAnsi="宋体"/>
                <w:color w:val="auto"/>
                <w:sz w:val="21"/>
                <w:szCs w:val="21"/>
                <w:highlight w:val="none"/>
              </w:rPr>
              <w:t>.8</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B48E6A">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0143CE42">
            <w:pPr>
              <w:widowControl/>
              <w:jc w:val="center"/>
              <w:rPr>
                <w:rFonts w:ascii="宋体" w:hAnsi="宋体"/>
                <w:color w:val="auto"/>
                <w:sz w:val="21"/>
                <w:szCs w:val="21"/>
                <w:highlight w:val="none"/>
              </w:rPr>
            </w:pPr>
            <w:r>
              <w:rPr>
                <w:rFonts w:ascii="宋体" w:hAnsi="宋体"/>
                <w:color w:val="auto"/>
                <w:sz w:val="21"/>
                <w:szCs w:val="21"/>
                <w:highlight w:val="none"/>
              </w:rPr>
              <w:t>客流摄像机</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6F506137">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23B13047">
            <w:pPr>
              <w:widowControl/>
              <w:jc w:val="center"/>
              <w:rPr>
                <w:rFonts w:ascii="宋体" w:hAnsi="宋体"/>
                <w:color w:val="auto"/>
                <w:sz w:val="21"/>
                <w:szCs w:val="21"/>
                <w:highlight w:val="none"/>
              </w:rPr>
            </w:pPr>
            <w:r>
              <w:rPr>
                <w:rFonts w:ascii="宋体" w:hAnsi="宋体"/>
                <w:color w:val="auto"/>
                <w:sz w:val="21"/>
                <w:szCs w:val="21"/>
                <w:highlight w:val="none"/>
              </w:rPr>
              <w:t>13</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49155BE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1.传感器类型：1/2.9英寸CMOS；</w:t>
            </w:r>
          </w:p>
          <w:p w14:paraId="2A08C20B">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2.像素：400万；</w:t>
            </w:r>
          </w:p>
          <w:p w14:paraId="668A30E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3.最大分辨率：2560×1440；</w:t>
            </w:r>
          </w:p>
          <w:p w14:paraId="0293D848">
            <w:pPr>
              <w:widowControl/>
              <w:jc w:val="left"/>
              <w:rPr>
                <w:rFonts w:hint="eastAsia" w:ascii="宋体" w:hAnsi="宋体"/>
                <w:color w:val="auto"/>
                <w:sz w:val="21"/>
                <w:szCs w:val="21"/>
                <w:highlight w:val="none"/>
              </w:rPr>
            </w:pPr>
            <w:r>
              <w:rPr>
                <w:rFonts w:hint="eastAsia" w:ascii="宋体" w:hAnsi="宋体"/>
                <w:color w:val="auto"/>
                <w:sz w:val="21"/>
                <w:szCs w:val="21"/>
                <w:highlight w:val="none"/>
              </w:rPr>
              <w:t>4.最低照度：0.002lux（彩色模式）；0.0002lux（黑白模式）；0lux（补光灯开启）；</w:t>
            </w:r>
          </w:p>
          <w:p w14:paraId="0CBA044B">
            <w:pPr>
              <w:widowControl/>
              <w:jc w:val="left"/>
              <w:rPr>
                <w:rFonts w:hint="eastAsia" w:ascii="宋体" w:hAnsi="宋体"/>
                <w:color w:val="auto"/>
                <w:sz w:val="21"/>
                <w:szCs w:val="21"/>
                <w:highlight w:val="none"/>
              </w:rPr>
            </w:pPr>
            <w:r>
              <w:rPr>
                <w:rFonts w:hint="eastAsia" w:ascii="宋体" w:hAnsi="宋体"/>
                <w:color w:val="auto"/>
                <w:sz w:val="21"/>
                <w:szCs w:val="21"/>
                <w:highlight w:val="none"/>
              </w:rPr>
              <w:t>5.最大补光距离：15m（红外）；</w:t>
            </w:r>
          </w:p>
          <w:p w14:paraId="1BAF5047">
            <w:pPr>
              <w:widowControl/>
              <w:jc w:val="left"/>
              <w:rPr>
                <w:rFonts w:hint="eastAsia" w:ascii="宋体" w:hAnsi="宋体"/>
                <w:color w:val="auto"/>
                <w:sz w:val="21"/>
                <w:szCs w:val="21"/>
                <w:highlight w:val="none"/>
              </w:rPr>
            </w:pPr>
            <w:r>
              <w:rPr>
                <w:rFonts w:hint="eastAsia" w:ascii="宋体" w:hAnsi="宋体"/>
                <w:color w:val="auto"/>
                <w:sz w:val="21"/>
                <w:szCs w:val="21"/>
                <w:highlight w:val="none"/>
              </w:rPr>
              <w:t>6.补光灯：1颗（红外灯）；</w:t>
            </w:r>
          </w:p>
          <w:p w14:paraId="7C8FCA9E">
            <w:pPr>
              <w:widowControl/>
              <w:jc w:val="left"/>
              <w:rPr>
                <w:rFonts w:hint="eastAsia" w:ascii="宋体" w:hAnsi="宋体"/>
                <w:color w:val="auto"/>
                <w:sz w:val="21"/>
                <w:szCs w:val="21"/>
                <w:highlight w:val="none"/>
              </w:rPr>
            </w:pPr>
            <w:r>
              <w:rPr>
                <w:rFonts w:hint="eastAsia" w:ascii="宋体" w:hAnsi="宋体"/>
                <w:color w:val="auto"/>
                <w:sz w:val="21"/>
                <w:szCs w:val="21"/>
                <w:highlight w:val="none"/>
              </w:rPr>
              <w:t>7.镜头类型：定焦；</w:t>
            </w:r>
          </w:p>
          <w:p w14:paraId="1451FBE9">
            <w:pPr>
              <w:widowControl/>
              <w:jc w:val="left"/>
              <w:rPr>
                <w:rFonts w:hint="eastAsia" w:ascii="宋体" w:hAnsi="宋体"/>
                <w:color w:val="auto"/>
                <w:sz w:val="21"/>
                <w:szCs w:val="21"/>
                <w:highlight w:val="none"/>
              </w:rPr>
            </w:pPr>
            <w:r>
              <w:rPr>
                <w:rFonts w:hint="eastAsia" w:ascii="宋体" w:hAnsi="宋体"/>
                <w:color w:val="auto"/>
                <w:sz w:val="21"/>
                <w:szCs w:val="21"/>
                <w:highlight w:val="none"/>
              </w:rPr>
              <w:t>8.镜头焦距：2.8mm；</w:t>
            </w:r>
          </w:p>
          <w:p w14:paraId="737E29C8">
            <w:pPr>
              <w:widowControl/>
              <w:jc w:val="left"/>
              <w:rPr>
                <w:rFonts w:hint="eastAsia" w:ascii="宋体" w:hAnsi="宋体"/>
                <w:color w:val="auto"/>
                <w:sz w:val="21"/>
                <w:szCs w:val="21"/>
                <w:highlight w:val="none"/>
              </w:rPr>
            </w:pPr>
            <w:r>
              <w:rPr>
                <w:rFonts w:hint="eastAsia" w:ascii="宋体" w:hAnsi="宋体"/>
                <w:color w:val="auto"/>
                <w:sz w:val="21"/>
                <w:szCs w:val="21"/>
                <w:highlight w:val="none"/>
              </w:rPr>
              <w:t>9.镜头光圈：F1.6；</w:t>
            </w:r>
          </w:p>
          <w:p w14:paraId="089B0719">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10.视场角：水平：95°；垂直：52°；对角：114°；</w:t>
            </w:r>
          </w:p>
          <w:p w14:paraId="7590CA2A">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11.图像拼接功能:可将2个图像采集模块采集的视频图像,在浏览器上并排罗列显示；</w:t>
            </w:r>
          </w:p>
          <w:p w14:paraId="580F422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12.通用行为分析：物品遗留；物品搬移；</w:t>
            </w:r>
          </w:p>
          <w:p w14:paraId="093B0917">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13.周界防范：绊线入侵；区域入侵；快速移动（三项均支持人车分类及精准检测）；徘徊检测；人员聚集；停车检测；</w:t>
            </w:r>
          </w:p>
          <w:p w14:paraId="58E426F5">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14.人脸检测：支持人脸检测；支持跟踪；支持优选；支持抓拍；支持上报最优的人脸抓图；支持人脸增强，支持人脸曝光；支持人脸属性提取，支持6种属性8种表情:性别，年龄，眼镜，表情（愤怒，平静，高兴，悲伤，厌恶，惊讶，，困惑，害怕），口罩，胡子，支持人脸抠图区域可设:人脸， 单寸照；支持实时抓拍、优选抓拍、质量优先三种抓拍策略；支持人脸角度过滤功能；支持优选时长可设；</w:t>
            </w:r>
          </w:p>
          <w:p w14:paraId="0241D6A0">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15.人数统计：支持绊线人数统计，并可显示及输出日、周、月、年统计报表；支持区域内人数统计，支持排队管理功能，并可显示及输出日、周、月统计报表；支持4个绊线人数统计，4个区域内人数统计，4个排队管理功能；</w:t>
            </w:r>
          </w:p>
          <w:p w14:paraId="6EFF66B3">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16.高度自适应功能:支持高度自适应功能开关设置,样机可根据设备安装高度、安装角度自适应调整视场角及检测距离；</w:t>
            </w:r>
          </w:p>
          <w:p w14:paraId="6D9F782C">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17.人体高度过滤功能:支持最大、最小检测高度范围设置,可根据设定的范围进行人数统计过滤；</w:t>
            </w:r>
          </w:p>
          <w:p w14:paraId="68AE8E28">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18.智能编码：H.264:支持H.265:支持；</w:t>
            </w:r>
          </w:p>
          <w:p w14:paraId="2B3930DC">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19.宽动态：120dB；</w:t>
            </w:r>
          </w:p>
          <w:p w14:paraId="3BDE7E2E">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20.音频接口：支持；</w:t>
            </w:r>
          </w:p>
          <w:p w14:paraId="7BF41E8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21.内置MIC：支持，内置1个MIC；</w:t>
            </w:r>
          </w:p>
          <w:p w14:paraId="018CFA5E">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22.内置扬声器：支持；</w:t>
            </w:r>
          </w:p>
          <w:p w14:paraId="243BF2DD">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23.报警事件：无SD卡；SD卡空间不足；SD卡出错；网络断开；IP冲突；非法访问；动态检测；视频遮挡；绊线入侵；区域入侵；快速移动；物品遗留；物品搬移；徘徊检测；人员聚集；停车检测；场景变更；音频异常侦测；电压检测；外部报警；人脸检测；区域内人数统计；滞留报警；人数统计；人数异常检测；安全异常；</w:t>
            </w:r>
          </w:p>
          <w:p w14:paraId="26FF869D">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24.接入标准：ONVIF（Profile S &amp; Profile G &amp; Profile T）；CGI；GB/T28181-2022（双国标）；GA/T1400；乐橙云；大华云联；</w:t>
            </w:r>
          </w:p>
          <w:p w14:paraId="28257C79">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25.预览最大用户数：20个（总带宽:64M）；</w:t>
            </w:r>
          </w:p>
          <w:p w14:paraId="6523C640">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26.最大Micro SD卡：512GB；</w:t>
            </w:r>
          </w:p>
          <w:p w14:paraId="0D2DA9CB">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27.其他功能：专业客流；高度自适应（仅顶装下支持）；声音警戒，内置8种语音可选，支持用户自定义语音导入；</w:t>
            </w:r>
          </w:p>
          <w:p w14:paraId="1E27921E">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28.RS-485接口：1个（波特率范围：1200bps～115200bps）；</w:t>
            </w:r>
          </w:p>
          <w:p w14:paraId="3C6C1737">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29.音频输入：2路（RCA头）；</w:t>
            </w:r>
          </w:p>
          <w:p w14:paraId="338A456D">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30.音频输出：1路（RCA头）；</w:t>
            </w:r>
          </w:p>
          <w:p w14:paraId="307884F9">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31.报警输入：2路（湿节点，支持直流3～5V电位，5mA电流）；</w:t>
            </w:r>
          </w:p>
          <w:p w14:paraId="26B2EAD3">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32.报警输出：2路（湿节点，支持直流最大12V电位，0.3A电流）；</w:t>
            </w:r>
          </w:p>
          <w:p w14:paraId="09056D6D">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33.模拟输出接口：1路（CVBS输出 BNC接口）；</w:t>
            </w:r>
          </w:p>
          <w:p w14:paraId="0E740F14">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34.电源返送：支持DC12V电源返送，最大电流165mA，峰值电流700mA；</w:t>
            </w:r>
          </w:p>
          <w:p w14:paraId="67741B99">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35.供电方式：DC12V/PoE；</w:t>
            </w:r>
          </w:p>
          <w:p w14:paraId="397EFE92">
            <w:pPr>
              <w:widowControl/>
              <w:jc w:val="left"/>
              <w:rPr>
                <w:rFonts w:ascii="宋体" w:hAnsi="宋体"/>
                <w:color w:val="auto"/>
                <w:sz w:val="21"/>
                <w:szCs w:val="21"/>
                <w:highlight w:val="none"/>
              </w:rPr>
            </w:pPr>
            <w:r>
              <w:rPr>
                <w:rFonts w:hint="eastAsia" w:ascii="宋体" w:hAnsi="宋体"/>
                <w:color w:val="auto"/>
                <w:sz w:val="21"/>
                <w:szCs w:val="21"/>
                <w:highlight w:val="none"/>
              </w:rPr>
              <w:t>防护等级：IP67。</w:t>
            </w:r>
          </w:p>
        </w:tc>
      </w:tr>
      <w:tr w14:paraId="527A241B">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00FD1A9D">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ascii="宋体" w:hAnsi="宋体"/>
                <w:color w:val="auto"/>
                <w:sz w:val="21"/>
                <w:szCs w:val="21"/>
                <w:highlight w:val="none"/>
              </w:rPr>
              <w:t>.9</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B0657D">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5FDBD076">
            <w:pPr>
              <w:widowControl/>
              <w:jc w:val="center"/>
              <w:rPr>
                <w:rFonts w:ascii="宋体" w:hAnsi="宋体"/>
                <w:color w:val="auto"/>
                <w:sz w:val="21"/>
                <w:szCs w:val="21"/>
                <w:highlight w:val="none"/>
              </w:rPr>
            </w:pPr>
            <w:r>
              <w:rPr>
                <w:rFonts w:ascii="宋体" w:hAnsi="宋体"/>
                <w:color w:val="auto"/>
                <w:sz w:val="21"/>
                <w:szCs w:val="21"/>
                <w:highlight w:val="none"/>
              </w:rPr>
              <w:t>车辆抓拍摄像机</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188906C0">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05717651">
            <w:pPr>
              <w:widowControl/>
              <w:jc w:val="center"/>
              <w:rPr>
                <w:rFonts w:ascii="宋体" w:hAnsi="宋体"/>
                <w:color w:val="auto"/>
                <w:sz w:val="21"/>
                <w:szCs w:val="21"/>
                <w:highlight w:val="none"/>
              </w:rPr>
            </w:pPr>
            <w:r>
              <w:rPr>
                <w:rFonts w:ascii="宋体" w:hAnsi="宋体"/>
                <w:color w:val="auto"/>
                <w:sz w:val="21"/>
                <w:szCs w:val="21"/>
                <w:highlight w:val="none"/>
              </w:rPr>
              <w:t>8</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01F3F87C">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1.传感器类型：1/1.8英寸CMOS；</w:t>
            </w:r>
          </w:p>
          <w:p w14:paraId="0C48A131">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2.像素：≥400万；</w:t>
            </w:r>
          </w:p>
          <w:p w14:paraId="344013DA">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3.图像分辨率：≥2688×1520（不包含OSD黑边）；</w:t>
            </w:r>
          </w:p>
          <w:p w14:paraId="30DF0741">
            <w:pPr>
              <w:widowControl/>
              <w:jc w:val="left"/>
              <w:rPr>
                <w:rFonts w:hint="eastAsia" w:ascii="宋体" w:hAnsi="宋体"/>
                <w:color w:val="auto"/>
                <w:sz w:val="21"/>
                <w:szCs w:val="21"/>
                <w:highlight w:val="none"/>
              </w:rPr>
            </w:pPr>
            <w:r>
              <w:rPr>
                <w:rFonts w:hint="eastAsia" w:ascii="宋体" w:hAnsi="宋体"/>
                <w:color w:val="auto"/>
                <w:sz w:val="21"/>
                <w:szCs w:val="21"/>
                <w:highlight w:val="none"/>
              </w:rPr>
              <w:t>4.视频分辨率：主码流：4MP（2688×1520）/1080P（1920×1080）/720P（1280×720） 辅码流：960H（960×576）/D1（704× 576）；</w:t>
            </w:r>
          </w:p>
          <w:p w14:paraId="52E69E37">
            <w:pPr>
              <w:widowControl/>
              <w:jc w:val="left"/>
              <w:rPr>
                <w:rFonts w:hint="eastAsia" w:ascii="宋体" w:hAnsi="宋体"/>
                <w:color w:val="auto"/>
                <w:sz w:val="21"/>
                <w:szCs w:val="21"/>
                <w:highlight w:val="none"/>
              </w:rPr>
            </w:pPr>
            <w:r>
              <w:rPr>
                <w:rFonts w:hint="eastAsia" w:ascii="宋体" w:hAnsi="宋体"/>
                <w:color w:val="auto"/>
                <w:sz w:val="21"/>
                <w:szCs w:val="21"/>
                <w:highlight w:val="none"/>
              </w:rPr>
              <w:t>5.触发方式：支持视频检测、I/O线圈、混合三种触发方式；</w:t>
            </w:r>
          </w:p>
          <w:p w14:paraId="18AE7624">
            <w:pPr>
              <w:widowControl/>
              <w:jc w:val="left"/>
              <w:rPr>
                <w:rFonts w:hint="eastAsia" w:ascii="宋体" w:hAnsi="宋体"/>
                <w:color w:val="auto"/>
                <w:sz w:val="21"/>
                <w:szCs w:val="21"/>
                <w:highlight w:val="none"/>
              </w:rPr>
            </w:pPr>
            <w:r>
              <w:rPr>
                <w:rFonts w:hint="eastAsia" w:ascii="宋体" w:hAnsi="宋体"/>
                <w:color w:val="auto"/>
                <w:sz w:val="21"/>
                <w:szCs w:val="21"/>
                <w:highlight w:val="none"/>
              </w:rPr>
              <w:t>6.语音功能：支持，语音对讲和语音播报(需外设配合)；</w:t>
            </w:r>
          </w:p>
          <w:p w14:paraId="7A2DAF23">
            <w:pPr>
              <w:widowControl/>
              <w:jc w:val="left"/>
              <w:rPr>
                <w:rFonts w:hint="eastAsia" w:ascii="宋体" w:hAnsi="宋体"/>
                <w:color w:val="auto"/>
                <w:sz w:val="21"/>
                <w:szCs w:val="21"/>
                <w:highlight w:val="none"/>
              </w:rPr>
            </w:pPr>
            <w:r>
              <w:rPr>
                <w:rFonts w:hint="eastAsia" w:ascii="宋体" w:hAnsi="宋体"/>
                <w:color w:val="auto"/>
                <w:sz w:val="21"/>
                <w:szCs w:val="21"/>
                <w:highlight w:val="none"/>
              </w:rPr>
              <w:t>7.最大补光距离：7m；</w:t>
            </w:r>
          </w:p>
          <w:p w14:paraId="70A7BB37">
            <w:pPr>
              <w:widowControl/>
              <w:jc w:val="left"/>
              <w:rPr>
                <w:rFonts w:hint="eastAsia" w:ascii="宋体" w:hAnsi="宋体"/>
                <w:color w:val="auto"/>
                <w:sz w:val="21"/>
                <w:szCs w:val="21"/>
                <w:highlight w:val="none"/>
              </w:rPr>
            </w:pPr>
            <w:r>
              <w:rPr>
                <w:rFonts w:hint="eastAsia" w:ascii="宋体" w:hAnsi="宋体"/>
                <w:color w:val="auto"/>
                <w:sz w:val="21"/>
                <w:szCs w:val="21"/>
                <w:highlight w:val="none"/>
              </w:rPr>
              <w:t>8.抓拍距离：2.5～6m；</w:t>
            </w:r>
          </w:p>
          <w:p w14:paraId="76F93990">
            <w:pPr>
              <w:widowControl/>
              <w:jc w:val="left"/>
              <w:rPr>
                <w:rFonts w:hint="eastAsia" w:ascii="宋体" w:hAnsi="宋体"/>
                <w:color w:val="auto"/>
                <w:sz w:val="21"/>
                <w:szCs w:val="21"/>
                <w:highlight w:val="none"/>
              </w:rPr>
            </w:pPr>
            <w:r>
              <w:rPr>
                <w:rFonts w:hint="eastAsia" w:ascii="宋体" w:hAnsi="宋体"/>
                <w:color w:val="auto"/>
                <w:sz w:val="21"/>
                <w:szCs w:val="21"/>
                <w:highlight w:val="none"/>
              </w:rPr>
              <w:t>9.除雾功能：支持自动除雾；</w:t>
            </w:r>
          </w:p>
          <w:p w14:paraId="75EB83E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10.车辆检测：车辆捕获率≥99.9%；</w:t>
            </w:r>
          </w:p>
          <w:p w14:paraId="3B88CC9F">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11.车辆识别：支持车型、车标、车系、车身颜色、车脸特征、车牌、无牌车识别，车牌识别率≥99.9%；</w:t>
            </w:r>
          </w:p>
          <w:p w14:paraId="39C52A91">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12.视频结构化：支持；</w:t>
            </w:r>
          </w:p>
          <w:p w14:paraId="5DAF27B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13.智能轨迹帧：支持智能帧显示，可显示车牌和车辆行驶轨迹；</w:t>
            </w:r>
          </w:p>
          <w:p w14:paraId="74E65798">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14.供电方式：AC110–230V；</w:t>
            </w:r>
          </w:p>
          <w:p w14:paraId="163A0D0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15.镜头类型：变焦；</w:t>
            </w:r>
          </w:p>
          <w:p w14:paraId="5F292577">
            <w:pPr>
              <w:widowControl/>
              <w:jc w:val="left"/>
              <w:rPr>
                <w:rFonts w:ascii="宋体" w:hAnsi="宋体"/>
                <w:color w:val="auto"/>
                <w:sz w:val="21"/>
                <w:szCs w:val="21"/>
                <w:highlight w:val="none"/>
              </w:rPr>
            </w:pPr>
            <w:r>
              <w:rPr>
                <w:rFonts w:hint="eastAsia" w:ascii="宋体" w:hAnsi="宋体"/>
                <w:color w:val="auto"/>
                <w:sz w:val="21"/>
                <w:szCs w:val="21"/>
                <w:highlight w:val="none"/>
              </w:rPr>
              <w:t>镜头焦距：2.7mm～12mm。</w:t>
            </w:r>
          </w:p>
        </w:tc>
      </w:tr>
      <w:tr w14:paraId="120C0581">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2AE98D17">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ascii="宋体" w:hAnsi="宋体"/>
                <w:color w:val="auto"/>
                <w:sz w:val="21"/>
                <w:szCs w:val="21"/>
                <w:highlight w:val="none"/>
              </w:rPr>
              <w:t>.10</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87A55A">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08896D0A">
            <w:pPr>
              <w:widowControl/>
              <w:jc w:val="center"/>
              <w:rPr>
                <w:rFonts w:ascii="宋体" w:hAnsi="宋体"/>
                <w:color w:val="auto"/>
                <w:sz w:val="21"/>
                <w:szCs w:val="21"/>
                <w:highlight w:val="none"/>
              </w:rPr>
            </w:pPr>
            <w:r>
              <w:rPr>
                <w:rFonts w:ascii="宋体" w:hAnsi="宋体"/>
                <w:color w:val="auto"/>
                <w:sz w:val="21"/>
                <w:szCs w:val="21"/>
                <w:highlight w:val="none"/>
              </w:rPr>
              <w:t>摄像机支架</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0C39AE7A">
            <w:pPr>
              <w:widowControl/>
              <w:jc w:val="center"/>
              <w:rPr>
                <w:rFonts w:ascii="宋体" w:hAnsi="宋体"/>
                <w:color w:val="auto"/>
                <w:sz w:val="21"/>
                <w:szCs w:val="21"/>
                <w:highlight w:val="none"/>
              </w:rPr>
            </w:pPr>
            <w:r>
              <w:rPr>
                <w:rFonts w:ascii="宋体" w:hAnsi="宋体"/>
                <w:color w:val="auto"/>
                <w:sz w:val="21"/>
                <w:szCs w:val="21"/>
                <w:highlight w:val="none"/>
              </w:rPr>
              <w:t>个</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50710792">
            <w:pPr>
              <w:widowControl/>
              <w:jc w:val="center"/>
              <w:rPr>
                <w:rFonts w:ascii="宋体" w:hAnsi="宋体"/>
                <w:color w:val="auto"/>
                <w:sz w:val="21"/>
                <w:szCs w:val="21"/>
                <w:highlight w:val="none"/>
              </w:rPr>
            </w:pPr>
            <w:r>
              <w:rPr>
                <w:rFonts w:ascii="宋体" w:hAnsi="宋体"/>
                <w:color w:val="auto"/>
                <w:sz w:val="21"/>
                <w:szCs w:val="21"/>
                <w:highlight w:val="none"/>
              </w:rPr>
              <w:t>53</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17444B4A">
            <w:pPr>
              <w:widowControl/>
              <w:jc w:val="left"/>
              <w:rPr>
                <w:rFonts w:ascii="宋体" w:hAnsi="宋体"/>
                <w:color w:val="auto"/>
                <w:sz w:val="21"/>
                <w:szCs w:val="21"/>
                <w:highlight w:val="none"/>
              </w:rPr>
            </w:pPr>
            <w:r>
              <w:rPr>
                <w:rFonts w:hint="eastAsia" w:ascii="宋体" w:hAnsi="宋体"/>
                <w:color w:val="auto"/>
                <w:sz w:val="21"/>
                <w:szCs w:val="21"/>
                <w:highlight w:val="none"/>
              </w:rPr>
              <w:t>1、枪型摄像机壁装支架或客流相机支架。</w:t>
            </w:r>
          </w:p>
        </w:tc>
      </w:tr>
      <w:tr w14:paraId="74EAF259">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79E2D253">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ascii="宋体" w:hAnsi="宋体"/>
                <w:color w:val="auto"/>
                <w:sz w:val="21"/>
                <w:szCs w:val="21"/>
                <w:highlight w:val="none"/>
              </w:rPr>
              <w:t>.11</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422FFC">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18A21BBA">
            <w:pPr>
              <w:widowControl/>
              <w:jc w:val="center"/>
              <w:rPr>
                <w:rFonts w:ascii="宋体" w:hAnsi="宋体"/>
                <w:color w:val="auto"/>
                <w:sz w:val="21"/>
                <w:szCs w:val="21"/>
                <w:highlight w:val="none"/>
              </w:rPr>
            </w:pPr>
            <w:r>
              <w:rPr>
                <w:rFonts w:ascii="宋体" w:hAnsi="宋体"/>
                <w:color w:val="auto"/>
                <w:sz w:val="21"/>
                <w:szCs w:val="21"/>
                <w:highlight w:val="none"/>
              </w:rPr>
              <w:t>球机支架</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3A5338B7">
            <w:pPr>
              <w:widowControl/>
              <w:jc w:val="center"/>
              <w:rPr>
                <w:rFonts w:ascii="宋体" w:hAnsi="宋体"/>
                <w:color w:val="auto"/>
                <w:sz w:val="21"/>
                <w:szCs w:val="21"/>
                <w:highlight w:val="none"/>
              </w:rPr>
            </w:pPr>
            <w:r>
              <w:rPr>
                <w:rFonts w:ascii="宋体" w:hAnsi="宋体"/>
                <w:color w:val="auto"/>
                <w:sz w:val="21"/>
                <w:szCs w:val="21"/>
                <w:highlight w:val="none"/>
              </w:rPr>
              <w:t>个</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87570CF">
            <w:pPr>
              <w:widowControl/>
              <w:jc w:val="center"/>
              <w:rPr>
                <w:rFonts w:ascii="宋体" w:hAnsi="宋体"/>
                <w:color w:val="auto"/>
                <w:sz w:val="21"/>
                <w:szCs w:val="21"/>
                <w:highlight w:val="none"/>
              </w:rPr>
            </w:pPr>
            <w:r>
              <w:rPr>
                <w:rFonts w:ascii="宋体" w:hAnsi="宋体"/>
                <w:color w:val="auto"/>
                <w:sz w:val="21"/>
                <w:szCs w:val="21"/>
                <w:highlight w:val="none"/>
              </w:rPr>
              <w:t>6</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123F72BB">
            <w:pPr>
              <w:widowControl/>
              <w:jc w:val="left"/>
              <w:rPr>
                <w:rFonts w:ascii="宋体" w:hAnsi="宋体"/>
                <w:color w:val="auto"/>
                <w:sz w:val="21"/>
                <w:szCs w:val="21"/>
                <w:highlight w:val="none"/>
              </w:rPr>
            </w:pPr>
            <w:r>
              <w:rPr>
                <w:rFonts w:hint="eastAsia" w:ascii="宋体" w:hAnsi="宋体"/>
                <w:color w:val="auto"/>
                <w:sz w:val="21"/>
                <w:szCs w:val="21"/>
                <w:highlight w:val="none"/>
              </w:rPr>
              <w:t>1、球机壁装支架。</w:t>
            </w:r>
          </w:p>
        </w:tc>
      </w:tr>
      <w:tr w14:paraId="2B2C0594">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6BCA35EC">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ascii="宋体" w:hAnsi="宋体"/>
                <w:color w:val="auto"/>
                <w:sz w:val="21"/>
                <w:szCs w:val="21"/>
                <w:highlight w:val="none"/>
              </w:rPr>
              <w:t>.12</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9E2C55">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187C1D63">
            <w:pPr>
              <w:widowControl/>
              <w:jc w:val="center"/>
              <w:rPr>
                <w:rFonts w:ascii="宋体" w:hAnsi="宋体"/>
                <w:color w:val="auto"/>
                <w:sz w:val="21"/>
                <w:szCs w:val="21"/>
                <w:highlight w:val="none"/>
              </w:rPr>
            </w:pPr>
            <w:r>
              <w:rPr>
                <w:rFonts w:ascii="宋体" w:hAnsi="宋体"/>
                <w:color w:val="auto"/>
                <w:sz w:val="21"/>
                <w:szCs w:val="21"/>
                <w:highlight w:val="none"/>
              </w:rPr>
              <w:t>高位摄像机支架</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36CE6D77">
            <w:pPr>
              <w:widowControl/>
              <w:jc w:val="center"/>
              <w:rPr>
                <w:rFonts w:ascii="宋体" w:hAnsi="宋体"/>
                <w:color w:val="auto"/>
                <w:sz w:val="21"/>
                <w:szCs w:val="21"/>
                <w:highlight w:val="none"/>
              </w:rPr>
            </w:pPr>
            <w:r>
              <w:rPr>
                <w:rFonts w:ascii="宋体" w:hAnsi="宋体"/>
                <w:color w:val="auto"/>
                <w:sz w:val="21"/>
                <w:szCs w:val="21"/>
                <w:highlight w:val="none"/>
              </w:rPr>
              <w:t>个</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303E93E">
            <w:pPr>
              <w:widowControl/>
              <w:jc w:val="center"/>
              <w:rPr>
                <w:rFonts w:ascii="宋体" w:hAnsi="宋体"/>
                <w:color w:val="auto"/>
                <w:sz w:val="21"/>
                <w:szCs w:val="21"/>
                <w:highlight w:val="none"/>
              </w:rPr>
            </w:pPr>
            <w:r>
              <w:rPr>
                <w:rFonts w:ascii="宋体" w:hAnsi="宋体"/>
                <w:color w:val="auto"/>
                <w:sz w:val="21"/>
                <w:szCs w:val="21"/>
                <w:highlight w:val="none"/>
              </w:rPr>
              <w:t>3</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4F517971">
            <w:pPr>
              <w:widowControl/>
              <w:jc w:val="left"/>
              <w:rPr>
                <w:rFonts w:ascii="宋体" w:hAnsi="宋体"/>
                <w:color w:val="auto"/>
                <w:sz w:val="21"/>
                <w:szCs w:val="21"/>
                <w:highlight w:val="none"/>
              </w:rPr>
            </w:pPr>
            <w:r>
              <w:rPr>
                <w:rFonts w:hint="eastAsia" w:ascii="宋体" w:hAnsi="宋体"/>
                <w:color w:val="auto"/>
                <w:sz w:val="21"/>
                <w:szCs w:val="21"/>
                <w:highlight w:val="none"/>
              </w:rPr>
              <w:t>1、高位摄像机支架。</w:t>
            </w:r>
          </w:p>
        </w:tc>
      </w:tr>
      <w:tr w14:paraId="0FC1E922">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171E6E44">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ascii="宋体" w:hAnsi="宋体"/>
                <w:color w:val="auto"/>
                <w:sz w:val="21"/>
                <w:szCs w:val="21"/>
                <w:highlight w:val="none"/>
              </w:rPr>
              <w:t>.13</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CE24CC">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55838A45">
            <w:pPr>
              <w:widowControl/>
              <w:jc w:val="center"/>
              <w:rPr>
                <w:rFonts w:ascii="宋体" w:hAnsi="宋体"/>
                <w:color w:val="auto"/>
                <w:sz w:val="21"/>
                <w:szCs w:val="21"/>
                <w:highlight w:val="none"/>
              </w:rPr>
            </w:pPr>
            <w:r>
              <w:rPr>
                <w:rFonts w:ascii="宋体" w:hAnsi="宋体"/>
                <w:color w:val="auto"/>
                <w:sz w:val="21"/>
                <w:szCs w:val="21"/>
                <w:highlight w:val="none"/>
              </w:rPr>
              <w:t>摄像机电源</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52506784">
            <w:pPr>
              <w:widowControl/>
              <w:jc w:val="center"/>
              <w:rPr>
                <w:rFonts w:ascii="宋体" w:hAnsi="宋体"/>
                <w:color w:val="auto"/>
                <w:sz w:val="21"/>
                <w:szCs w:val="21"/>
                <w:highlight w:val="none"/>
              </w:rPr>
            </w:pPr>
            <w:r>
              <w:rPr>
                <w:rFonts w:ascii="宋体" w:hAnsi="宋体"/>
                <w:color w:val="auto"/>
                <w:sz w:val="21"/>
                <w:szCs w:val="21"/>
                <w:highlight w:val="none"/>
              </w:rPr>
              <w:t>个</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8C77E35">
            <w:pPr>
              <w:widowControl/>
              <w:jc w:val="center"/>
              <w:rPr>
                <w:rFonts w:ascii="宋体" w:hAnsi="宋体"/>
                <w:color w:val="auto"/>
                <w:sz w:val="21"/>
                <w:szCs w:val="21"/>
                <w:highlight w:val="none"/>
              </w:rPr>
            </w:pPr>
            <w:r>
              <w:rPr>
                <w:rFonts w:ascii="宋体" w:hAnsi="宋体"/>
                <w:color w:val="auto"/>
                <w:sz w:val="21"/>
                <w:szCs w:val="21"/>
                <w:highlight w:val="none"/>
              </w:rPr>
              <w:t>9</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559623E3">
            <w:pPr>
              <w:widowControl/>
              <w:jc w:val="left"/>
              <w:rPr>
                <w:rFonts w:ascii="宋体" w:hAnsi="宋体"/>
                <w:color w:val="auto"/>
                <w:sz w:val="21"/>
                <w:szCs w:val="21"/>
                <w:highlight w:val="none"/>
              </w:rPr>
            </w:pPr>
            <w:r>
              <w:rPr>
                <w:rFonts w:hint="eastAsia" w:ascii="宋体" w:hAnsi="宋体"/>
                <w:color w:val="auto"/>
                <w:sz w:val="21"/>
                <w:szCs w:val="21"/>
                <w:highlight w:val="none"/>
              </w:rPr>
              <w:t>1、DV36V/2A球机及高位摄像机专用电源。</w:t>
            </w:r>
          </w:p>
        </w:tc>
      </w:tr>
      <w:tr w14:paraId="320F5C1E">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354F843A">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ascii="宋体" w:hAnsi="宋体"/>
                <w:color w:val="auto"/>
                <w:sz w:val="21"/>
                <w:szCs w:val="21"/>
                <w:highlight w:val="none"/>
              </w:rPr>
              <w:t>.14</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C86425">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25B07127">
            <w:pPr>
              <w:widowControl/>
              <w:jc w:val="center"/>
              <w:rPr>
                <w:rFonts w:ascii="宋体" w:hAnsi="宋体"/>
                <w:color w:val="auto"/>
                <w:sz w:val="21"/>
                <w:szCs w:val="21"/>
                <w:highlight w:val="none"/>
              </w:rPr>
            </w:pPr>
            <w:r>
              <w:rPr>
                <w:rFonts w:ascii="宋体" w:hAnsi="宋体"/>
                <w:color w:val="auto"/>
                <w:sz w:val="21"/>
                <w:szCs w:val="21"/>
                <w:highlight w:val="none"/>
              </w:rPr>
              <w:t>综合安防管理平台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7D651549">
            <w:pPr>
              <w:widowControl/>
              <w:jc w:val="center"/>
              <w:rPr>
                <w:rFonts w:ascii="宋体" w:hAnsi="宋体"/>
                <w:color w:val="auto"/>
                <w:sz w:val="21"/>
                <w:szCs w:val="21"/>
                <w:highlight w:val="none"/>
              </w:rPr>
            </w:pPr>
            <w:r>
              <w:rPr>
                <w:rFonts w:ascii="宋体" w:hAnsi="宋体"/>
                <w:color w:val="auto"/>
                <w:sz w:val="21"/>
                <w:szCs w:val="21"/>
                <w:highlight w:val="none"/>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182326D">
            <w:pPr>
              <w:widowControl/>
              <w:jc w:val="center"/>
              <w:rPr>
                <w:rFonts w:ascii="宋体" w:hAnsi="宋体"/>
                <w:color w:val="auto"/>
                <w:sz w:val="21"/>
                <w:szCs w:val="21"/>
                <w:highlight w:val="none"/>
              </w:rPr>
            </w:pPr>
            <w:r>
              <w:rPr>
                <w:rFonts w:ascii="宋体" w:hAnsi="宋体"/>
                <w:color w:val="auto"/>
                <w:sz w:val="21"/>
                <w:szCs w:val="21"/>
                <w:highlight w:val="none"/>
              </w:rPr>
              <w:t>1</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182796B7">
            <w:pPr>
              <w:widowControl/>
              <w:jc w:val="left"/>
              <w:rPr>
                <w:rFonts w:hint="eastAsia" w:ascii="宋体" w:hAnsi="宋体"/>
                <w:color w:val="auto"/>
                <w:sz w:val="21"/>
                <w:szCs w:val="21"/>
                <w:highlight w:val="none"/>
              </w:rPr>
            </w:pPr>
            <w:r>
              <w:rPr>
                <w:rFonts w:hint="eastAsia" w:ascii="宋体" w:hAnsi="宋体"/>
                <w:color w:val="auto"/>
                <w:sz w:val="21"/>
                <w:szCs w:val="21"/>
                <w:highlight w:val="none"/>
              </w:rPr>
              <w:t>智能物联综合管理平台基础包，包括系统管理、视频管理、报警管理、门禁管理、可视对讲、车辆卡口、设备运维、停车管理8大业务系统。</w:t>
            </w:r>
          </w:p>
          <w:p w14:paraId="2EBE0BF9">
            <w:pPr>
              <w:widowControl/>
              <w:jc w:val="left"/>
              <w:rPr>
                <w:rFonts w:hint="eastAsia" w:ascii="宋体" w:hAnsi="宋体"/>
                <w:color w:val="auto"/>
                <w:sz w:val="21"/>
                <w:szCs w:val="21"/>
                <w:highlight w:val="none"/>
              </w:rPr>
            </w:pPr>
            <w:r>
              <w:rPr>
                <w:rFonts w:hint="eastAsia" w:ascii="宋体" w:hAnsi="宋体"/>
                <w:color w:val="auto"/>
                <w:sz w:val="21"/>
                <w:szCs w:val="21"/>
                <w:highlight w:val="none"/>
              </w:rPr>
              <w:t xml:space="preserve">1、系统管理：          </w:t>
            </w:r>
          </w:p>
          <w:p w14:paraId="4D42600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支持基础资源（组织、设备、人、卡、车等信息）管理，提供事件中心、数据存储、电子地图、日志记录等基础功能；</w:t>
            </w:r>
          </w:p>
          <w:p w14:paraId="0EA587A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支持平台运维，提供服务部署维护功能、支持模块化升级部署、系统资源使用情况监控等运维相关功能；</w:t>
            </w:r>
          </w:p>
          <w:p w14:paraId="3C0ED9D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支持级联、分布式、集群，实现系统核心能力提升；</w:t>
            </w:r>
          </w:p>
          <w:p w14:paraId="14AC5F97">
            <w:pPr>
              <w:widowControl/>
              <w:jc w:val="left"/>
              <w:rPr>
                <w:rFonts w:hint="eastAsia" w:ascii="宋体" w:hAnsi="宋体"/>
                <w:color w:val="auto"/>
                <w:sz w:val="21"/>
                <w:szCs w:val="21"/>
                <w:highlight w:val="none"/>
              </w:rPr>
            </w:pPr>
            <w:r>
              <w:rPr>
                <w:rFonts w:hint="eastAsia" w:ascii="宋体" w:hAnsi="宋体"/>
                <w:color w:val="auto"/>
                <w:sz w:val="21"/>
                <w:szCs w:val="21"/>
                <w:highlight w:val="none"/>
              </w:rPr>
              <w:t>支持双机热备，提升系统灾备能力，保障系统的可靠性；</w:t>
            </w:r>
          </w:p>
          <w:p w14:paraId="49A96688">
            <w:pPr>
              <w:widowControl/>
              <w:jc w:val="left"/>
              <w:rPr>
                <w:rFonts w:hint="eastAsia" w:ascii="宋体" w:hAnsi="宋体"/>
                <w:color w:val="auto"/>
                <w:sz w:val="21"/>
                <w:szCs w:val="21"/>
                <w:highlight w:val="none"/>
              </w:rPr>
            </w:pPr>
            <w:r>
              <w:rPr>
                <w:rFonts w:hint="eastAsia" w:ascii="宋体" w:hAnsi="宋体"/>
                <w:color w:val="auto"/>
                <w:sz w:val="21"/>
                <w:szCs w:val="21"/>
                <w:highlight w:val="none"/>
              </w:rPr>
              <w:t>支持mysql数据库、云数据库，统一云、标准云、智微云，满足图片、视频、结构化数据的按需求存储；</w:t>
            </w:r>
          </w:p>
          <w:p w14:paraId="283B932D">
            <w:pPr>
              <w:widowControl/>
              <w:jc w:val="left"/>
              <w:rPr>
                <w:rFonts w:hint="eastAsia" w:ascii="宋体" w:hAnsi="宋体"/>
                <w:color w:val="auto"/>
                <w:sz w:val="21"/>
                <w:szCs w:val="21"/>
                <w:highlight w:val="none"/>
              </w:rPr>
            </w:pPr>
            <w:r>
              <w:rPr>
                <w:rFonts w:hint="eastAsia" w:ascii="宋体" w:hAnsi="宋体"/>
                <w:color w:val="auto"/>
                <w:sz w:val="21"/>
                <w:szCs w:val="21"/>
                <w:highlight w:val="none"/>
              </w:rPr>
              <w:t>支持标准开放平台，提供rest ful 等多维度接口，显示数据互联互通；</w:t>
            </w:r>
          </w:p>
          <w:p w14:paraId="07F5B4AD">
            <w:pPr>
              <w:widowControl/>
              <w:jc w:val="left"/>
              <w:rPr>
                <w:rFonts w:hint="eastAsia" w:ascii="宋体" w:hAnsi="宋体"/>
                <w:color w:val="auto"/>
                <w:sz w:val="21"/>
                <w:szCs w:val="21"/>
                <w:highlight w:val="none"/>
              </w:rPr>
            </w:pPr>
            <w:r>
              <w:rPr>
                <w:rFonts w:hint="eastAsia" w:ascii="宋体" w:hAnsi="宋体"/>
                <w:color w:val="auto"/>
                <w:sz w:val="21"/>
                <w:szCs w:val="21"/>
                <w:highlight w:val="none"/>
              </w:rPr>
              <w:t>支持光栅、矢量、3D 三种类型，不同厂家的地图；</w:t>
            </w:r>
          </w:p>
          <w:p w14:paraId="01D60649">
            <w:pPr>
              <w:widowControl/>
              <w:jc w:val="left"/>
              <w:rPr>
                <w:rFonts w:hint="eastAsia" w:ascii="宋体" w:hAnsi="宋体"/>
                <w:color w:val="auto"/>
                <w:sz w:val="21"/>
                <w:szCs w:val="21"/>
                <w:highlight w:val="none"/>
              </w:rPr>
            </w:pPr>
            <w:r>
              <w:rPr>
                <w:rFonts w:hint="eastAsia" w:ascii="宋体" w:hAnsi="宋体"/>
                <w:color w:val="auto"/>
                <w:sz w:val="21"/>
                <w:szCs w:val="21"/>
                <w:highlight w:val="none"/>
              </w:rPr>
              <w:t>支持自定义定制，如：皮肤切换，设备校时，表单自定义；</w:t>
            </w:r>
          </w:p>
          <w:p w14:paraId="2E67D04E">
            <w:pPr>
              <w:widowControl/>
              <w:jc w:val="left"/>
              <w:rPr>
                <w:rFonts w:hint="eastAsia" w:ascii="宋体" w:hAnsi="宋体"/>
                <w:color w:val="auto"/>
                <w:sz w:val="21"/>
                <w:szCs w:val="21"/>
                <w:highlight w:val="none"/>
              </w:rPr>
            </w:pPr>
            <w:r>
              <w:rPr>
                <w:rFonts w:hint="eastAsia" w:ascii="宋体" w:hAnsi="宋体"/>
                <w:color w:val="auto"/>
                <w:sz w:val="21"/>
                <w:szCs w:val="21"/>
                <w:highlight w:val="none"/>
              </w:rPr>
              <w:t>支持按照用户配置的权限过滤展示组织设备树、部门人员树、数据查询；</w:t>
            </w:r>
          </w:p>
          <w:p w14:paraId="7E37CB95">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2、视频管理：</w:t>
            </w:r>
          </w:p>
          <w:p w14:paraId="42E35FC7">
            <w:pPr>
              <w:widowControl/>
              <w:jc w:val="left"/>
              <w:rPr>
                <w:rFonts w:hint="eastAsia" w:ascii="宋体" w:hAnsi="宋体"/>
                <w:color w:val="auto"/>
                <w:sz w:val="21"/>
                <w:szCs w:val="21"/>
                <w:highlight w:val="none"/>
              </w:rPr>
            </w:pPr>
            <w:r>
              <w:rPr>
                <w:rFonts w:hint="eastAsia" w:ascii="宋体" w:hAnsi="宋体"/>
                <w:color w:val="auto"/>
                <w:sz w:val="21"/>
                <w:szCs w:val="21"/>
                <w:highlight w:val="none"/>
              </w:rPr>
              <w:t>支持实时视频、录像回放、录像下载、电视墙、雷球联动，热成像；</w:t>
            </w:r>
          </w:p>
          <w:p w14:paraId="016232C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支持与车载单兵等移动设备的对接，提供车载单兵设备GPS信息接收服务；</w:t>
            </w:r>
          </w:p>
          <w:p w14:paraId="07D7A0D1">
            <w:pPr>
              <w:widowControl/>
              <w:jc w:val="left"/>
              <w:rPr>
                <w:rFonts w:hint="eastAsia" w:ascii="宋体" w:hAnsi="宋体"/>
                <w:color w:val="auto"/>
                <w:sz w:val="21"/>
                <w:szCs w:val="21"/>
                <w:highlight w:val="none"/>
              </w:rPr>
            </w:pPr>
            <w:r>
              <w:rPr>
                <w:rFonts w:hint="eastAsia" w:ascii="宋体" w:hAnsi="宋体"/>
                <w:color w:val="auto"/>
                <w:sz w:val="21"/>
                <w:szCs w:val="21"/>
                <w:highlight w:val="none"/>
              </w:rPr>
              <w:t>支持手机移动客户端进行实时视频监控，音频播放，本地截图，本地录像，云台控制，远程视频回放。</w:t>
            </w:r>
          </w:p>
          <w:p w14:paraId="11FBE3A4">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3、报警管理：</w:t>
            </w:r>
          </w:p>
          <w:p w14:paraId="0F96569E">
            <w:pPr>
              <w:widowControl/>
              <w:jc w:val="left"/>
              <w:rPr>
                <w:rFonts w:hint="eastAsia" w:ascii="宋体" w:hAnsi="宋体"/>
                <w:color w:val="auto"/>
                <w:sz w:val="21"/>
                <w:szCs w:val="21"/>
                <w:highlight w:val="none"/>
              </w:rPr>
            </w:pPr>
            <w:r>
              <w:rPr>
                <w:rFonts w:hint="eastAsia" w:ascii="宋体" w:hAnsi="宋体"/>
                <w:color w:val="auto"/>
                <w:sz w:val="21"/>
                <w:szCs w:val="21"/>
                <w:highlight w:val="none"/>
              </w:rPr>
              <w:t>支持报警主机接入及布撤防。</w:t>
            </w:r>
          </w:p>
          <w:p w14:paraId="35934225">
            <w:pPr>
              <w:widowControl/>
              <w:jc w:val="left"/>
              <w:rPr>
                <w:rFonts w:hint="eastAsia" w:ascii="宋体" w:hAnsi="宋体"/>
                <w:color w:val="auto"/>
                <w:sz w:val="21"/>
                <w:szCs w:val="21"/>
                <w:highlight w:val="none"/>
              </w:rPr>
            </w:pPr>
            <w:r>
              <w:rPr>
                <w:rFonts w:hint="eastAsia" w:ascii="宋体" w:hAnsi="宋体"/>
                <w:color w:val="auto"/>
                <w:sz w:val="21"/>
                <w:szCs w:val="21"/>
                <w:highlight w:val="none"/>
              </w:rPr>
              <w:t>4、门禁管理：</w:t>
            </w:r>
          </w:p>
          <w:p w14:paraId="3D195D69">
            <w:pPr>
              <w:widowControl/>
              <w:jc w:val="left"/>
              <w:rPr>
                <w:rFonts w:hint="eastAsia" w:ascii="宋体" w:hAnsi="宋体"/>
                <w:color w:val="auto"/>
                <w:sz w:val="21"/>
                <w:szCs w:val="21"/>
                <w:highlight w:val="none"/>
              </w:rPr>
            </w:pPr>
            <w:r>
              <w:rPr>
                <w:rFonts w:hint="eastAsia" w:ascii="宋体" w:hAnsi="宋体"/>
                <w:color w:val="auto"/>
                <w:sz w:val="21"/>
                <w:szCs w:val="21"/>
                <w:highlight w:val="none"/>
              </w:rPr>
              <w:t>支持门禁设备管理；</w:t>
            </w:r>
          </w:p>
          <w:p w14:paraId="6D522EFE">
            <w:pPr>
              <w:widowControl/>
              <w:jc w:val="left"/>
              <w:rPr>
                <w:rFonts w:hint="eastAsia" w:ascii="宋体" w:hAnsi="宋体"/>
                <w:color w:val="auto"/>
                <w:sz w:val="21"/>
                <w:szCs w:val="21"/>
                <w:highlight w:val="none"/>
              </w:rPr>
            </w:pPr>
            <w:r>
              <w:rPr>
                <w:rFonts w:hint="eastAsia" w:ascii="宋体" w:hAnsi="宋体"/>
                <w:color w:val="auto"/>
                <w:sz w:val="21"/>
                <w:szCs w:val="21"/>
                <w:highlight w:val="none"/>
              </w:rPr>
              <w:t>支持门禁控制，包括：门通道控制、门组分配、首卡开门、多卡开门、多门互锁、反潜回、开门计划、远程验证、常开常闭；</w:t>
            </w:r>
          </w:p>
          <w:p w14:paraId="08B4BB83">
            <w:pPr>
              <w:widowControl/>
              <w:jc w:val="left"/>
              <w:rPr>
                <w:rFonts w:hint="eastAsia" w:ascii="宋体" w:hAnsi="宋体"/>
                <w:color w:val="auto"/>
                <w:sz w:val="21"/>
                <w:szCs w:val="21"/>
                <w:highlight w:val="none"/>
              </w:rPr>
            </w:pPr>
            <w:r>
              <w:rPr>
                <w:rFonts w:hint="eastAsia" w:ascii="宋体" w:hAnsi="宋体"/>
                <w:color w:val="auto"/>
                <w:sz w:val="21"/>
                <w:szCs w:val="21"/>
                <w:highlight w:val="none"/>
              </w:rPr>
              <w:t>支持门禁控制授权及复核，支持门禁管理任务查询；</w:t>
            </w:r>
          </w:p>
          <w:p w14:paraId="24C7695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支持门禁系统集群，分布式方式提升接入能力；</w:t>
            </w:r>
          </w:p>
          <w:p w14:paraId="6B7C42F1">
            <w:pPr>
              <w:widowControl/>
              <w:jc w:val="left"/>
              <w:rPr>
                <w:rFonts w:hint="eastAsia" w:ascii="宋体" w:hAnsi="宋体"/>
                <w:color w:val="auto"/>
                <w:sz w:val="21"/>
                <w:szCs w:val="21"/>
                <w:highlight w:val="none"/>
              </w:rPr>
            </w:pPr>
            <w:r>
              <w:rPr>
                <w:rFonts w:hint="eastAsia" w:ascii="宋体" w:hAnsi="宋体"/>
                <w:color w:val="auto"/>
                <w:sz w:val="21"/>
                <w:szCs w:val="21"/>
                <w:highlight w:val="none"/>
              </w:rPr>
              <w:t>5、可视对讲：</w:t>
            </w:r>
          </w:p>
          <w:p w14:paraId="3943C3E7">
            <w:pPr>
              <w:widowControl/>
              <w:jc w:val="left"/>
              <w:rPr>
                <w:rFonts w:hint="eastAsia" w:ascii="宋体" w:hAnsi="宋体"/>
                <w:color w:val="auto"/>
                <w:sz w:val="21"/>
                <w:szCs w:val="21"/>
                <w:highlight w:val="none"/>
              </w:rPr>
            </w:pPr>
            <w:r>
              <w:rPr>
                <w:rFonts w:hint="eastAsia" w:ascii="宋体" w:hAnsi="宋体"/>
                <w:color w:val="auto"/>
                <w:sz w:val="21"/>
                <w:szCs w:val="21"/>
                <w:highlight w:val="none"/>
              </w:rPr>
              <w:t>支持设备管理、权限分组、呼叫分组、监控权限分组、信息发布分组；</w:t>
            </w:r>
          </w:p>
          <w:p w14:paraId="306A3ED0">
            <w:pPr>
              <w:widowControl/>
              <w:jc w:val="left"/>
              <w:rPr>
                <w:rFonts w:hint="eastAsia" w:ascii="宋体" w:hAnsi="宋体"/>
                <w:color w:val="auto"/>
                <w:sz w:val="21"/>
                <w:szCs w:val="21"/>
                <w:highlight w:val="none"/>
              </w:rPr>
            </w:pPr>
            <w:r>
              <w:rPr>
                <w:rFonts w:hint="eastAsia" w:ascii="宋体" w:hAnsi="宋体"/>
                <w:color w:val="auto"/>
                <w:sz w:val="21"/>
                <w:szCs w:val="21"/>
                <w:highlight w:val="none"/>
              </w:rPr>
              <w:t>支持卡片、人脸等授权及复核；</w:t>
            </w:r>
          </w:p>
          <w:p w14:paraId="51F5E974">
            <w:pPr>
              <w:widowControl/>
              <w:jc w:val="left"/>
              <w:rPr>
                <w:rFonts w:hint="eastAsia" w:ascii="宋体" w:hAnsi="宋体"/>
                <w:color w:val="auto"/>
                <w:sz w:val="21"/>
                <w:szCs w:val="21"/>
                <w:highlight w:val="none"/>
              </w:rPr>
            </w:pPr>
            <w:r>
              <w:rPr>
                <w:rFonts w:hint="eastAsia" w:ascii="宋体" w:hAnsi="宋体"/>
                <w:color w:val="auto"/>
                <w:sz w:val="21"/>
                <w:szCs w:val="21"/>
                <w:highlight w:val="none"/>
              </w:rPr>
              <w:t>支持呼叫通话、信息发布、开门记录查询；</w:t>
            </w:r>
          </w:p>
          <w:p w14:paraId="0BC2FAE8">
            <w:pPr>
              <w:widowControl/>
              <w:jc w:val="left"/>
              <w:rPr>
                <w:rFonts w:hint="eastAsia" w:ascii="宋体" w:hAnsi="宋体"/>
                <w:color w:val="auto"/>
                <w:sz w:val="21"/>
                <w:szCs w:val="21"/>
                <w:highlight w:val="none"/>
              </w:rPr>
            </w:pPr>
            <w:r>
              <w:rPr>
                <w:rFonts w:hint="eastAsia" w:ascii="宋体" w:hAnsi="宋体"/>
                <w:color w:val="auto"/>
                <w:sz w:val="21"/>
                <w:szCs w:val="21"/>
                <w:highlight w:val="none"/>
              </w:rPr>
              <w:t>支持同时最大100路对讲。</w:t>
            </w:r>
          </w:p>
          <w:p w14:paraId="24C810E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6、园区卡口：</w:t>
            </w:r>
          </w:p>
          <w:p w14:paraId="499D3BF7">
            <w:pPr>
              <w:widowControl/>
              <w:jc w:val="left"/>
              <w:rPr>
                <w:rFonts w:hint="eastAsia" w:ascii="宋体" w:hAnsi="宋体"/>
                <w:color w:val="auto"/>
                <w:sz w:val="21"/>
                <w:szCs w:val="21"/>
                <w:highlight w:val="none"/>
              </w:rPr>
            </w:pPr>
            <w:r>
              <w:rPr>
                <w:rFonts w:hint="eastAsia" w:ascii="宋体" w:hAnsi="宋体"/>
                <w:color w:val="auto"/>
                <w:sz w:val="21"/>
                <w:szCs w:val="21"/>
                <w:highlight w:val="none"/>
              </w:rPr>
              <w:t>支持道路监控、过车记录、布控记录、违章信息、区间测试；</w:t>
            </w:r>
          </w:p>
          <w:p w14:paraId="4CCD9801">
            <w:pPr>
              <w:widowControl/>
              <w:jc w:val="left"/>
              <w:rPr>
                <w:rFonts w:hint="eastAsia" w:ascii="宋体" w:hAnsi="宋体"/>
                <w:color w:val="auto"/>
                <w:sz w:val="21"/>
                <w:szCs w:val="21"/>
                <w:highlight w:val="none"/>
              </w:rPr>
            </w:pPr>
            <w:r>
              <w:rPr>
                <w:rFonts w:hint="eastAsia" w:ascii="宋体" w:hAnsi="宋体"/>
                <w:color w:val="auto"/>
                <w:sz w:val="21"/>
                <w:szCs w:val="21"/>
                <w:highlight w:val="none"/>
              </w:rPr>
              <w:t>支持布控报警及相关记录信息查询。</w:t>
            </w:r>
          </w:p>
          <w:p w14:paraId="0C735688">
            <w:pPr>
              <w:widowControl/>
              <w:jc w:val="left"/>
              <w:rPr>
                <w:rFonts w:hint="eastAsia" w:ascii="宋体" w:hAnsi="宋体"/>
                <w:color w:val="auto"/>
                <w:sz w:val="21"/>
                <w:szCs w:val="21"/>
                <w:highlight w:val="none"/>
              </w:rPr>
            </w:pPr>
            <w:r>
              <w:rPr>
                <w:rFonts w:hint="eastAsia" w:ascii="宋体" w:hAnsi="宋体"/>
                <w:color w:val="auto"/>
                <w:sz w:val="21"/>
                <w:szCs w:val="21"/>
                <w:highlight w:val="none"/>
              </w:rPr>
              <w:t>7、设备运维：</w:t>
            </w:r>
          </w:p>
          <w:p w14:paraId="209927DD">
            <w:pPr>
              <w:widowControl/>
              <w:jc w:val="left"/>
              <w:rPr>
                <w:rFonts w:hint="eastAsia" w:ascii="宋体" w:hAnsi="宋体"/>
                <w:color w:val="auto"/>
                <w:sz w:val="21"/>
                <w:szCs w:val="21"/>
                <w:highlight w:val="none"/>
              </w:rPr>
            </w:pPr>
            <w:r>
              <w:rPr>
                <w:rFonts w:hint="eastAsia" w:ascii="宋体" w:hAnsi="宋体"/>
                <w:color w:val="auto"/>
                <w:sz w:val="21"/>
                <w:szCs w:val="21"/>
                <w:highlight w:val="none"/>
              </w:rPr>
              <w:t>资源监控模块：最大支持对十万点位运维，支持对前端点位、物联设备、动环主机、服务器、服务进行统一纳管监控运，绘制服务拓扑；</w:t>
            </w:r>
          </w:p>
          <w:p w14:paraId="0A2563D1">
            <w:pPr>
              <w:widowControl/>
              <w:jc w:val="left"/>
              <w:rPr>
                <w:rFonts w:hint="eastAsia" w:ascii="宋体" w:hAnsi="宋体"/>
                <w:color w:val="auto"/>
                <w:sz w:val="21"/>
                <w:szCs w:val="21"/>
                <w:highlight w:val="none"/>
              </w:rPr>
            </w:pPr>
            <w:r>
              <w:rPr>
                <w:rFonts w:hint="eastAsia" w:ascii="宋体" w:hAnsi="宋体"/>
                <w:color w:val="auto"/>
                <w:sz w:val="21"/>
                <w:szCs w:val="21"/>
                <w:highlight w:val="none"/>
              </w:rPr>
              <w:t>报警管理模块：最大支持存储一年报警数据，支持对所纳管资源配置报警策略，并将产生的报警消息进行统一汇聚和展示，支持对报警进行确认处理，联动工单，推送报警消息、短信及邮件；</w:t>
            </w:r>
          </w:p>
          <w:p w14:paraId="606119BD">
            <w:pPr>
              <w:widowControl/>
              <w:jc w:val="left"/>
              <w:rPr>
                <w:rFonts w:hint="eastAsia" w:ascii="宋体" w:hAnsi="宋体"/>
                <w:color w:val="auto"/>
                <w:sz w:val="21"/>
                <w:szCs w:val="21"/>
                <w:highlight w:val="none"/>
              </w:rPr>
            </w:pPr>
            <w:r>
              <w:rPr>
                <w:rFonts w:hint="eastAsia" w:ascii="宋体" w:hAnsi="宋体"/>
                <w:color w:val="auto"/>
                <w:sz w:val="21"/>
                <w:szCs w:val="21"/>
                <w:highlight w:val="none"/>
              </w:rPr>
              <w:t>自动化巡检模块：支持对前端视频点位的视频质量及录像巡检、服务器及服务的资源占用巡检、网络环境巡检；</w:t>
            </w:r>
          </w:p>
          <w:p w14:paraId="04DAD569">
            <w:pPr>
              <w:widowControl/>
              <w:jc w:val="left"/>
              <w:rPr>
                <w:rFonts w:hint="eastAsia" w:ascii="宋体" w:hAnsi="宋体"/>
                <w:color w:val="auto"/>
                <w:sz w:val="21"/>
                <w:szCs w:val="21"/>
                <w:highlight w:val="none"/>
              </w:rPr>
            </w:pPr>
            <w:r>
              <w:rPr>
                <w:rFonts w:hint="eastAsia" w:ascii="宋体" w:hAnsi="宋体"/>
                <w:color w:val="auto"/>
                <w:sz w:val="21"/>
                <w:szCs w:val="21"/>
                <w:highlight w:val="none"/>
              </w:rPr>
              <w:t>可视化报表模块：支持故障工单统计和报警统计；</w:t>
            </w:r>
          </w:p>
          <w:p w14:paraId="03DB1D6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运维工具箱模块：提供巡检平台，支持上传可执行文件生成巡检记录和手动执行记录。</w:t>
            </w:r>
          </w:p>
          <w:p w14:paraId="79B35973">
            <w:pPr>
              <w:widowControl/>
              <w:jc w:val="left"/>
              <w:rPr>
                <w:rFonts w:hint="eastAsia" w:ascii="宋体" w:hAnsi="宋体"/>
                <w:color w:val="auto"/>
                <w:sz w:val="21"/>
                <w:szCs w:val="21"/>
                <w:highlight w:val="none"/>
              </w:rPr>
            </w:pPr>
            <w:r>
              <w:rPr>
                <w:rFonts w:hint="eastAsia" w:ascii="宋体" w:hAnsi="宋体"/>
                <w:color w:val="auto"/>
                <w:sz w:val="21"/>
                <w:szCs w:val="21"/>
                <w:highlight w:val="none"/>
              </w:rPr>
              <w:t>8、停车管理：</w:t>
            </w:r>
          </w:p>
          <w:p w14:paraId="6491BEAC">
            <w:pPr>
              <w:widowControl/>
              <w:jc w:val="left"/>
              <w:rPr>
                <w:rFonts w:hint="eastAsia" w:ascii="宋体" w:hAnsi="宋体"/>
                <w:color w:val="auto"/>
                <w:sz w:val="21"/>
                <w:szCs w:val="21"/>
                <w:highlight w:val="none"/>
              </w:rPr>
            </w:pPr>
            <w:r>
              <w:rPr>
                <w:rFonts w:hint="eastAsia" w:ascii="宋体" w:hAnsi="宋体"/>
                <w:color w:val="auto"/>
                <w:sz w:val="21"/>
                <w:szCs w:val="21"/>
                <w:highlight w:val="none"/>
              </w:rPr>
              <w:t>支持出入口管理、场区管理、地图管理、收费规则管理、用户布控设置、场内超速报警；</w:t>
            </w:r>
          </w:p>
          <w:p w14:paraId="44FCC9F8">
            <w:pPr>
              <w:widowControl/>
              <w:jc w:val="left"/>
              <w:rPr>
                <w:rFonts w:hint="eastAsia" w:ascii="宋体" w:hAnsi="宋体"/>
                <w:color w:val="auto"/>
                <w:sz w:val="21"/>
                <w:szCs w:val="21"/>
                <w:highlight w:val="none"/>
              </w:rPr>
            </w:pPr>
            <w:r>
              <w:rPr>
                <w:rFonts w:hint="eastAsia" w:ascii="宋体" w:hAnsi="宋体"/>
                <w:color w:val="auto"/>
                <w:sz w:val="21"/>
                <w:szCs w:val="21"/>
                <w:highlight w:val="none"/>
              </w:rPr>
              <w:t>单台系统支持出入口设备最大50进50出；</w:t>
            </w:r>
          </w:p>
        </w:tc>
      </w:tr>
      <w:tr w14:paraId="243AF8EB">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73CB978D">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ascii="宋体" w:hAnsi="宋体"/>
                <w:color w:val="auto"/>
                <w:sz w:val="21"/>
                <w:szCs w:val="21"/>
                <w:highlight w:val="none"/>
              </w:rPr>
              <w:t>.15</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15C428">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4FD48C17">
            <w:pPr>
              <w:widowControl/>
              <w:jc w:val="center"/>
              <w:rPr>
                <w:rFonts w:ascii="宋体" w:hAnsi="宋体"/>
                <w:color w:val="auto"/>
                <w:sz w:val="21"/>
                <w:szCs w:val="21"/>
                <w:highlight w:val="none"/>
              </w:rPr>
            </w:pPr>
            <w:r>
              <w:rPr>
                <w:rFonts w:ascii="宋体" w:hAnsi="宋体"/>
                <w:color w:val="auto"/>
                <w:sz w:val="21"/>
                <w:szCs w:val="21"/>
                <w:highlight w:val="none"/>
              </w:rPr>
              <w:t>磁盘阵列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2936F7AA">
            <w:pPr>
              <w:widowControl/>
              <w:jc w:val="center"/>
              <w:rPr>
                <w:rFonts w:ascii="宋体" w:hAnsi="宋体"/>
                <w:color w:val="auto"/>
                <w:sz w:val="21"/>
                <w:szCs w:val="21"/>
                <w:highlight w:val="none"/>
              </w:rPr>
            </w:pPr>
            <w:r>
              <w:rPr>
                <w:rFonts w:ascii="宋体" w:hAnsi="宋体"/>
                <w:color w:val="auto"/>
                <w:sz w:val="21"/>
                <w:szCs w:val="21"/>
                <w:highlight w:val="none"/>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50ECF0A">
            <w:pPr>
              <w:widowControl/>
              <w:jc w:val="center"/>
              <w:rPr>
                <w:rFonts w:ascii="宋体" w:hAnsi="宋体"/>
                <w:color w:val="auto"/>
                <w:sz w:val="21"/>
                <w:szCs w:val="21"/>
                <w:highlight w:val="none"/>
              </w:rPr>
            </w:pPr>
            <w:r>
              <w:rPr>
                <w:rFonts w:ascii="宋体" w:hAnsi="宋体"/>
                <w:color w:val="auto"/>
                <w:sz w:val="21"/>
                <w:szCs w:val="21"/>
                <w:highlight w:val="none"/>
              </w:rPr>
              <w:t>2</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566B85FF">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.单颗64位多核高性能处理器，6U机箱，1+1冗余电源，48盘位，单盘最大支持20TB硬盘，支持硬盘热插拔；</w:t>
            </w:r>
          </w:p>
          <w:p w14:paraId="76B24B75">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.4个千兆数据网口，1个百兆管理网口，支持扩展4个千兆数据网口，可选配万兆光口PCIE网卡，可选配千兆电口PCIE网卡；</w:t>
            </w:r>
          </w:p>
          <w:p w14:paraId="63A3F38D">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.1个HDMI，4个USB，1个eSATA，1个RS232；</w:t>
            </w:r>
          </w:p>
          <w:p w14:paraId="04DABCD4">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.支持RAID0/1/5/6/10/50/60，SRAID，支持全局热备和局部热备盘；</w:t>
            </w:r>
          </w:p>
          <w:p w14:paraId="1ADADDCA">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.支持320路H.264/H.265混合接入，网络带宽800Mbps接入，800Mbps存储，800Mbps转发；</w:t>
            </w:r>
          </w:p>
          <w:p w14:paraId="4CF7F2FE">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.可通过ONVIF、GB28181、RTSP、视图库、主动注册等协议管理不同厂家前端摄像头，实现视频存储；</w:t>
            </w:r>
          </w:p>
          <w:p w14:paraId="65570811">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.支持通过IPSAN、NAS（Samba、FTP、NFS）、视频直存模式访问存储资源；</w:t>
            </w:r>
          </w:p>
          <w:p w14:paraId="7E8134C0">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.支持iSCSI客户端模式，访问第三方存储资源，增加存储空间，延长存储周期；</w:t>
            </w:r>
          </w:p>
          <w:p w14:paraId="2EFD1E2A">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.支持硬盘健康状态监测，定期巡检，针对异常硬盘风险预警，支持系统盘、风扇、电源等异常告警；</w:t>
            </w:r>
          </w:p>
          <w:p w14:paraId="7927FF13">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0</w:t>
            </w:r>
            <w:r>
              <w:rPr>
                <w:rFonts w:hint="eastAsia" w:ascii="宋体" w:hAnsi="宋体"/>
                <w:color w:val="auto"/>
                <w:sz w:val="21"/>
                <w:szCs w:val="21"/>
                <w:highlight w:val="none"/>
              </w:rPr>
              <w:t>.可结合硬盘状态、RAID配置、存储模式、网络状态、录像状态等信息，智能诊断用户配置合规性，保障整机可靠运行；</w:t>
            </w:r>
          </w:p>
          <w:p w14:paraId="7CC8A2DB">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.可配合智能前端摄像头，实现结构化告警、周界告警、入户电梯告警等多种报警事件、图片透传平台；</w:t>
            </w:r>
          </w:p>
          <w:p w14:paraId="45678189">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.支持关键录像加锁，确保不被循环覆盖；</w:t>
            </w:r>
          </w:p>
          <w:p w14:paraId="1B782595">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13</w:t>
            </w:r>
            <w:r>
              <w:rPr>
                <w:rFonts w:hint="eastAsia" w:ascii="宋体" w:hAnsi="宋体"/>
                <w:color w:val="auto"/>
                <w:sz w:val="21"/>
                <w:szCs w:val="21"/>
                <w:highlight w:val="none"/>
              </w:rPr>
              <w:t>.支持N+M集群模式，可实现单台或多台设备故障时，故障设备业务自动迁移到其它健康设备上，保障业务不中断；</w:t>
            </w:r>
          </w:p>
          <w:p w14:paraId="208C1E43">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.支持纠删码技术，最多可以支持16个盘掉线或者损坏，数据仍然有效，保留的硬盘中的数据可正常读出，且新数据可正常写入、创建RAID后即为同步完成状态；</w:t>
            </w:r>
          </w:p>
          <w:p w14:paraId="30726987">
            <w:pPr>
              <w:widowControl/>
              <w:jc w:val="left"/>
              <w:rPr>
                <w:rFonts w:ascii="宋体" w:hAnsi="宋体"/>
                <w:color w:val="auto"/>
                <w:sz w:val="21"/>
                <w:szCs w:val="21"/>
                <w:highlight w:val="none"/>
              </w:rPr>
            </w:pP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当系统检查到硬盘损坏、坏块太多、读写大量异常或者无法获取硬盘信息等问题，硬盘会被定义为错误盘。用户界面中硬盘位标识为红色；硬盘灯也显示为红色长亮</w:t>
            </w:r>
          </w:p>
        </w:tc>
      </w:tr>
      <w:tr w14:paraId="2504D32F">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01C5912F">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ascii="宋体" w:hAnsi="宋体"/>
                <w:color w:val="auto"/>
                <w:sz w:val="21"/>
                <w:szCs w:val="21"/>
                <w:highlight w:val="none"/>
              </w:rPr>
              <w:t>.16</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7F44B9">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69BB741C">
            <w:pPr>
              <w:widowControl/>
              <w:jc w:val="center"/>
              <w:rPr>
                <w:rFonts w:ascii="宋体" w:hAnsi="宋体"/>
                <w:color w:val="auto"/>
                <w:sz w:val="21"/>
                <w:szCs w:val="21"/>
                <w:highlight w:val="none"/>
              </w:rPr>
            </w:pPr>
            <w:r>
              <w:rPr>
                <w:rFonts w:ascii="宋体" w:hAnsi="宋体"/>
                <w:color w:val="auto"/>
                <w:sz w:val="21"/>
                <w:szCs w:val="21"/>
                <w:highlight w:val="none"/>
              </w:rPr>
              <w:t>硬盘</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5C239042">
            <w:pPr>
              <w:widowControl/>
              <w:jc w:val="center"/>
              <w:rPr>
                <w:rFonts w:ascii="宋体" w:hAnsi="宋体"/>
                <w:color w:val="auto"/>
                <w:sz w:val="21"/>
                <w:szCs w:val="21"/>
                <w:highlight w:val="none"/>
              </w:rPr>
            </w:pPr>
            <w:r>
              <w:rPr>
                <w:rFonts w:ascii="宋体" w:hAnsi="宋体"/>
                <w:color w:val="auto"/>
                <w:sz w:val="21"/>
                <w:szCs w:val="21"/>
                <w:highlight w:val="none"/>
              </w:rPr>
              <w:t>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29FE2ABF">
            <w:pPr>
              <w:widowControl/>
              <w:jc w:val="center"/>
              <w:rPr>
                <w:rFonts w:ascii="宋体" w:hAnsi="宋体"/>
                <w:color w:val="auto"/>
                <w:sz w:val="21"/>
                <w:szCs w:val="21"/>
                <w:highlight w:val="none"/>
              </w:rPr>
            </w:pPr>
            <w:r>
              <w:rPr>
                <w:rFonts w:ascii="宋体" w:hAnsi="宋体"/>
                <w:color w:val="auto"/>
                <w:sz w:val="21"/>
                <w:szCs w:val="21"/>
                <w:highlight w:val="none"/>
              </w:rPr>
              <w:t>54</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4EA24856">
            <w:pPr>
              <w:widowControl/>
              <w:jc w:val="left"/>
              <w:rPr>
                <w:rFonts w:ascii="宋体" w:hAnsi="宋体"/>
                <w:color w:val="auto"/>
                <w:sz w:val="21"/>
                <w:szCs w:val="21"/>
                <w:highlight w:val="none"/>
              </w:rPr>
            </w:pPr>
            <w:r>
              <w:rPr>
                <w:rFonts w:hint="eastAsia" w:ascii="宋体" w:hAnsi="宋体"/>
                <w:color w:val="auto"/>
                <w:sz w:val="21"/>
                <w:szCs w:val="21"/>
                <w:highlight w:val="none"/>
              </w:rPr>
              <w:t>1、6T企业级硬盘。</w:t>
            </w:r>
          </w:p>
        </w:tc>
      </w:tr>
      <w:tr w14:paraId="334E8415">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2C1A83DD">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ascii="宋体" w:hAnsi="宋体"/>
                <w:color w:val="auto"/>
                <w:sz w:val="21"/>
                <w:szCs w:val="21"/>
                <w:highlight w:val="none"/>
              </w:rPr>
              <w:t>.17</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15F2FB">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0096531C">
            <w:pPr>
              <w:widowControl/>
              <w:jc w:val="center"/>
              <w:rPr>
                <w:rFonts w:ascii="宋体" w:hAnsi="宋体"/>
                <w:color w:val="auto"/>
                <w:sz w:val="21"/>
                <w:szCs w:val="21"/>
                <w:highlight w:val="none"/>
              </w:rPr>
            </w:pPr>
            <w:r>
              <w:rPr>
                <w:rFonts w:ascii="宋体" w:hAnsi="宋体"/>
                <w:color w:val="auto"/>
                <w:sz w:val="21"/>
                <w:szCs w:val="21"/>
                <w:highlight w:val="none"/>
              </w:rPr>
              <w:t>解码器</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79ED536A">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9385F41">
            <w:pPr>
              <w:widowControl/>
              <w:jc w:val="center"/>
              <w:rPr>
                <w:rFonts w:ascii="宋体" w:hAnsi="宋体"/>
                <w:color w:val="auto"/>
                <w:sz w:val="21"/>
                <w:szCs w:val="21"/>
                <w:highlight w:val="none"/>
              </w:rPr>
            </w:pPr>
            <w:r>
              <w:rPr>
                <w:rFonts w:ascii="宋体" w:hAnsi="宋体"/>
                <w:color w:val="auto"/>
                <w:sz w:val="21"/>
                <w:szCs w:val="21"/>
                <w:highlight w:val="none"/>
              </w:rPr>
              <w:t>1</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1D7DD998">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1.画面分割：单屏支持1/4/6/8/9/16/25/36固定分割；支持M×N自定义分割，M×N≤36；</w:t>
            </w:r>
          </w:p>
          <w:p w14:paraId="3C5F65B9">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2.视频压缩标准：H.265;H.264;MJPEG;MPEG4;SVAC;MPEG2；</w:t>
            </w:r>
          </w:p>
          <w:p w14:paraId="3B5E072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解码能力：整机解码支持6路32MP@25fps（仅H.265支持）/21路12MP@25fps/30路8MP@25fps/42路6MP@25fps/54路5MP@25fps/54路4MP@30fps/84路3MP@25fps/108路1080p@30fps/300路D1@30fps（每4个输出口为一组，各组均分整机性能，组内共享解码能力）；</w:t>
            </w:r>
          </w:p>
          <w:p w14:paraId="08CB0D84">
            <w:pPr>
              <w:widowControl/>
              <w:jc w:val="left"/>
              <w:rPr>
                <w:rFonts w:hint="eastAsia" w:ascii="宋体" w:hAnsi="宋体"/>
                <w:color w:val="auto"/>
                <w:sz w:val="21"/>
                <w:szCs w:val="21"/>
                <w:highlight w:val="none"/>
              </w:rPr>
            </w:pPr>
            <w:r>
              <w:rPr>
                <w:rFonts w:hint="eastAsia" w:ascii="宋体" w:hAnsi="宋体"/>
                <w:color w:val="auto"/>
                <w:sz w:val="21"/>
                <w:szCs w:val="21"/>
                <w:highlight w:val="none"/>
              </w:rPr>
              <w:t>4.视频输入：1路DP输入口，1路HDMI输入口；</w:t>
            </w:r>
          </w:p>
          <w:p w14:paraId="33406BA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5.视频输出路数：12路HDMI</w:t>
            </w:r>
          </w:p>
          <w:p w14:paraId="669AA865">
            <w:pPr>
              <w:widowControl/>
              <w:jc w:val="left"/>
              <w:rPr>
                <w:rFonts w:hint="eastAsia" w:ascii="宋体" w:hAnsi="宋体"/>
                <w:color w:val="auto"/>
                <w:sz w:val="21"/>
                <w:szCs w:val="21"/>
                <w:highlight w:val="none"/>
              </w:rPr>
            </w:pPr>
            <w:r>
              <w:rPr>
                <w:rFonts w:hint="eastAsia" w:ascii="宋体" w:hAnsi="宋体"/>
                <w:color w:val="auto"/>
                <w:sz w:val="21"/>
                <w:szCs w:val="21"/>
                <w:highlight w:val="none"/>
              </w:rPr>
              <w:t xml:space="preserve">6.支持接入前端带人群密度检测的IPC设备,实时展示人群密度图,并输出统计人数 </w:t>
            </w:r>
          </w:p>
          <w:p w14:paraId="3A7BFE6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 xml:space="preserve">7.为了满足安全保密需要，支持设置指定电脑允许的接管范围和窗口，除此之外的电脑内容不予以显示 </w:t>
            </w:r>
          </w:p>
          <w:p w14:paraId="7C4BE33B">
            <w:pPr>
              <w:widowControl/>
              <w:jc w:val="left"/>
              <w:rPr>
                <w:rFonts w:ascii="宋体" w:hAnsi="宋体"/>
                <w:color w:val="auto"/>
                <w:sz w:val="21"/>
                <w:szCs w:val="21"/>
                <w:highlight w:val="none"/>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 xml:space="preserve">解码资源借用功能：每个输出口同时实现40画面分割，每个子画面的主码流是1920*1080，并且帧率稳定在30帧，分辨率和帧率保持不变 </w:t>
            </w:r>
          </w:p>
        </w:tc>
      </w:tr>
      <w:tr w14:paraId="23DDAE6C">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38257B03">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ascii="宋体" w:hAnsi="宋体"/>
                <w:color w:val="auto"/>
                <w:sz w:val="21"/>
                <w:szCs w:val="21"/>
                <w:highlight w:val="none"/>
              </w:rPr>
              <w:t>.18</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865818">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6B27993D">
            <w:pPr>
              <w:widowControl/>
              <w:jc w:val="center"/>
              <w:rPr>
                <w:rFonts w:ascii="宋体" w:hAnsi="宋体"/>
                <w:color w:val="auto"/>
                <w:sz w:val="21"/>
                <w:szCs w:val="21"/>
                <w:highlight w:val="none"/>
              </w:rPr>
            </w:pPr>
            <w:r>
              <w:rPr>
                <w:rFonts w:ascii="宋体" w:hAnsi="宋体"/>
                <w:color w:val="auto"/>
                <w:sz w:val="21"/>
                <w:szCs w:val="21"/>
                <w:highlight w:val="none"/>
              </w:rPr>
              <w:t>拼接屏</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0910F075">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47C9605">
            <w:pPr>
              <w:widowControl/>
              <w:jc w:val="center"/>
              <w:rPr>
                <w:rFonts w:ascii="宋体" w:hAnsi="宋体"/>
                <w:color w:val="auto"/>
                <w:sz w:val="21"/>
                <w:szCs w:val="21"/>
                <w:highlight w:val="none"/>
              </w:rPr>
            </w:pPr>
            <w:r>
              <w:rPr>
                <w:rFonts w:ascii="宋体" w:hAnsi="宋体"/>
                <w:color w:val="auto"/>
                <w:sz w:val="21"/>
                <w:szCs w:val="21"/>
                <w:highlight w:val="none"/>
              </w:rPr>
              <w:t>9</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68D13B61">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1.产品尺寸：46寸；</w:t>
            </w:r>
          </w:p>
          <w:p w14:paraId="356976B5">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2.双边拼缝：≤2.5mm；</w:t>
            </w:r>
          </w:p>
          <w:p w14:paraId="5891921A">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3.分辨率：1920*1080；</w:t>
            </w:r>
          </w:p>
          <w:p w14:paraId="5EF4822D">
            <w:pPr>
              <w:widowControl/>
              <w:jc w:val="left"/>
              <w:rPr>
                <w:rFonts w:hint="eastAsia" w:ascii="宋体" w:hAnsi="宋体"/>
                <w:color w:val="auto"/>
                <w:sz w:val="21"/>
                <w:szCs w:val="21"/>
                <w:highlight w:val="none"/>
              </w:rPr>
            </w:pPr>
            <w:r>
              <w:rPr>
                <w:rFonts w:hint="eastAsia" w:ascii="宋体" w:hAnsi="宋体"/>
                <w:color w:val="auto"/>
                <w:sz w:val="21"/>
                <w:szCs w:val="21"/>
                <w:highlight w:val="none"/>
              </w:rPr>
              <w:t>4.亮度：500cd/m2；</w:t>
            </w:r>
          </w:p>
          <w:p w14:paraId="2CC886A3">
            <w:pPr>
              <w:widowControl/>
              <w:jc w:val="left"/>
              <w:rPr>
                <w:rFonts w:hint="eastAsia" w:ascii="宋体" w:hAnsi="宋体"/>
                <w:color w:val="auto"/>
                <w:sz w:val="21"/>
                <w:szCs w:val="21"/>
                <w:highlight w:val="none"/>
              </w:rPr>
            </w:pPr>
            <w:r>
              <w:rPr>
                <w:rFonts w:hint="eastAsia" w:ascii="宋体" w:hAnsi="宋体"/>
                <w:color w:val="auto"/>
                <w:sz w:val="21"/>
                <w:szCs w:val="21"/>
                <w:highlight w:val="none"/>
              </w:rPr>
              <w:t>5.输入接口：VGA(D-Sub)*1、CVBS(BNC)*2、DVI-D*1、HDMI*1、RS232(RJ45)*1、USB（升级和多媒体）*1；</w:t>
            </w:r>
          </w:p>
          <w:p w14:paraId="5193759A">
            <w:pPr>
              <w:widowControl/>
              <w:jc w:val="left"/>
              <w:rPr>
                <w:rFonts w:ascii="宋体" w:hAnsi="宋体"/>
                <w:color w:val="auto"/>
                <w:sz w:val="21"/>
                <w:szCs w:val="21"/>
                <w:highlight w:val="none"/>
              </w:rPr>
            </w:pPr>
            <w:r>
              <w:rPr>
                <w:rFonts w:hint="eastAsia" w:ascii="宋体" w:hAnsi="宋体"/>
                <w:color w:val="auto"/>
                <w:sz w:val="21"/>
                <w:szCs w:val="21"/>
                <w:highlight w:val="none"/>
              </w:rPr>
              <w:t>输出接口：CVBS(BNC)*2、RS232(RJ45)*1。</w:t>
            </w:r>
          </w:p>
        </w:tc>
      </w:tr>
      <w:tr w14:paraId="5FCB8297">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161750B2">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ascii="宋体" w:hAnsi="宋体"/>
                <w:color w:val="auto"/>
                <w:sz w:val="21"/>
                <w:szCs w:val="21"/>
                <w:highlight w:val="none"/>
              </w:rPr>
              <w:t>.19</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4D3A99">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09C03104">
            <w:pPr>
              <w:widowControl/>
              <w:jc w:val="center"/>
              <w:rPr>
                <w:rFonts w:ascii="宋体" w:hAnsi="宋体"/>
                <w:color w:val="auto"/>
                <w:sz w:val="21"/>
                <w:szCs w:val="21"/>
                <w:highlight w:val="none"/>
              </w:rPr>
            </w:pPr>
            <w:r>
              <w:rPr>
                <w:rFonts w:ascii="宋体" w:hAnsi="宋体"/>
                <w:color w:val="auto"/>
                <w:sz w:val="21"/>
                <w:szCs w:val="21"/>
                <w:highlight w:val="none"/>
              </w:rPr>
              <w:t>拼接屏支架</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7430380F">
            <w:pPr>
              <w:widowControl/>
              <w:jc w:val="center"/>
              <w:rPr>
                <w:rFonts w:ascii="宋体" w:hAnsi="宋体"/>
                <w:color w:val="auto"/>
                <w:sz w:val="21"/>
                <w:szCs w:val="21"/>
                <w:highlight w:val="none"/>
              </w:rPr>
            </w:pPr>
            <w:r>
              <w:rPr>
                <w:rFonts w:ascii="宋体" w:hAnsi="宋体"/>
                <w:color w:val="auto"/>
                <w:sz w:val="21"/>
                <w:szCs w:val="21"/>
                <w:highlight w:val="none"/>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853DE8D">
            <w:pPr>
              <w:widowControl/>
              <w:jc w:val="center"/>
              <w:rPr>
                <w:rFonts w:ascii="宋体" w:hAnsi="宋体"/>
                <w:color w:val="auto"/>
                <w:sz w:val="21"/>
                <w:szCs w:val="21"/>
                <w:highlight w:val="none"/>
              </w:rPr>
            </w:pPr>
            <w:r>
              <w:rPr>
                <w:rFonts w:ascii="宋体" w:hAnsi="宋体"/>
                <w:color w:val="auto"/>
                <w:sz w:val="21"/>
                <w:szCs w:val="21"/>
                <w:highlight w:val="none"/>
              </w:rPr>
              <w:t>1</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30B72714">
            <w:pPr>
              <w:widowControl/>
              <w:jc w:val="left"/>
              <w:rPr>
                <w:rFonts w:ascii="宋体" w:hAnsi="宋体"/>
                <w:color w:val="auto"/>
                <w:sz w:val="21"/>
                <w:szCs w:val="21"/>
                <w:highlight w:val="none"/>
              </w:rPr>
            </w:pPr>
            <w:r>
              <w:rPr>
                <w:rFonts w:hint="eastAsia" w:ascii="宋体" w:hAnsi="宋体"/>
                <w:color w:val="auto"/>
                <w:sz w:val="21"/>
                <w:szCs w:val="21"/>
                <w:highlight w:val="none"/>
              </w:rPr>
              <w:t>1、前维护或者后维护定制。</w:t>
            </w:r>
          </w:p>
        </w:tc>
      </w:tr>
      <w:tr w14:paraId="2ECDA851">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6C2FACFD">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ascii="宋体" w:hAnsi="宋体"/>
                <w:color w:val="auto"/>
                <w:sz w:val="21"/>
                <w:szCs w:val="21"/>
                <w:highlight w:val="none"/>
              </w:rPr>
              <w:t>.20</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C8CB60">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227F0B55">
            <w:pPr>
              <w:widowControl/>
              <w:jc w:val="center"/>
              <w:rPr>
                <w:rFonts w:ascii="宋体" w:hAnsi="宋体"/>
                <w:color w:val="auto"/>
                <w:sz w:val="21"/>
                <w:szCs w:val="21"/>
                <w:highlight w:val="none"/>
              </w:rPr>
            </w:pPr>
            <w:r>
              <w:rPr>
                <w:rFonts w:ascii="宋体" w:hAnsi="宋体"/>
                <w:color w:val="auto"/>
                <w:sz w:val="21"/>
                <w:szCs w:val="21"/>
                <w:highlight w:val="none"/>
              </w:rPr>
              <w:t>网络键盘</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6207CA44">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294B3A5E">
            <w:pPr>
              <w:widowControl/>
              <w:jc w:val="center"/>
              <w:rPr>
                <w:rFonts w:ascii="宋体" w:hAnsi="宋体"/>
                <w:color w:val="auto"/>
                <w:sz w:val="21"/>
                <w:szCs w:val="21"/>
                <w:highlight w:val="none"/>
              </w:rPr>
            </w:pPr>
            <w:r>
              <w:rPr>
                <w:rFonts w:ascii="宋体" w:hAnsi="宋体"/>
                <w:color w:val="auto"/>
                <w:sz w:val="21"/>
                <w:szCs w:val="21"/>
                <w:highlight w:val="none"/>
              </w:rPr>
              <w:t>1</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6301E34E">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1.10.1英寸电容触摸屏，分辨率1280*800</w:t>
            </w:r>
          </w:p>
          <w:p w14:paraId="042C1DDA">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2.支持在触屏观看图像或通过HDMI将图像投到屏幕上</w:t>
            </w:r>
          </w:p>
          <w:p w14:paraId="74685395">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3.最大支持4路1080P或者1路4K解码</w:t>
            </w:r>
          </w:p>
          <w:p w14:paraId="37EBC998">
            <w:pPr>
              <w:widowControl/>
              <w:jc w:val="left"/>
              <w:rPr>
                <w:rFonts w:hint="eastAsia" w:ascii="宋体" w:hAnsi="宋体"/>
                <w:color w:val="auto"/>
                <w:sz w:val="21"/>
                <w:szCs w:val="21"/>
                <w:highlight w:val="none"/>
              </w:rPr>
            </w:pPr>
            <w:r>
              <w:rPr>
                <w:rFonts w:hint="eastAsia" w:ascii="宋体" w:hAnsi="宋体"/>
                <w:color w:val="auto"/>
                <w:sz w:val="21"/>
                <w:szCs w:val="21"/>
                <w:highlight w:val="none"/>
              </w:rPr>
              <w:t>4.解码延时≤80ms</w:t>
            </w:r>
          </w:p>
          <w:p w14:paraId="0C51638B">
            <w:pPr>
              <w:widowControl/>
              <w:jc w:val="left"/>
              <w:rPr>
                <w:rFonts w:hint="eastAsia" w:ascii="宋体" w:hAnsi="宋体"/>
                <w:color w:val="auto"/>
                <w:sz w:val="21"/>
                <w:szCs w:val="21"/>
                <w:highlight w:val="none"/>
              </w:rPr>
            </w:pPr>
            <w:r>
              <w:rPr>
                <w:rFonts w:hint="eastAsia" w:ascii="宋体" w:hAnsi="宋体"/>
                <w:color w:val="auto"/>
                <w:sz w:val="21"/>
                <w:szCs w:val="21"/>
                <w:highlight w:val="none"/>
              </w:rPr>
              <w:t>5.支持10000路以上设备控制</w:t>
            </w:r>
          </w:p>
          <w:p w14:paraId="18C7D043">
            <w:pPr>
              <w:widowControl/>
              <w:jc w:val="left"/>
              <w:rPr>
                <w:rFonts w:hint="eastAsia" w:ascii="宋体" w:hAnsi="宋体"/>
                <w:color w:val="auto"/>
                <w:sz w:val="21"/>
                <w:szCs w:val="21"/>
                <w:highlight w:val="none"/>
              </w:rPr>
            </w:pPr>
            <w:r>
              <w:rPr>
                <w:rFonts w:hint="eastAsia" w:ascii="宋体" w:hAnsi="宋体"/>
                <w:color w:val="auto"/>
                <w:sz w:val="21"/>
                <w:szCs w:val="21"/>
                <w:highlight w:val="none"/>
              </w:rPr>
              <w:t>6.支持支持抓图、录像功能，文件保存至U盘</w:t>
            </w:r>
          </w:p>
          <w:p w14:paraId="29E62EED">
            <w:pPr>
              <w:widowControl/>
              <w:jc w:val="left"/>
              <w:rPr>
                <w:rFonts w:hint="eastAsia" w:ascii="宋体" w:hAnsi="宋体"/>
                <w:color w:val="auto"/>
                <w:sz w:val="21"/>
                <w:szCs w:val="21"/>
                <w:highlight w:val="none"/>
              </w:rPr>
            </w:pPr>
            <w:r>
              <w:rPr>
                <w:rFonts w:hint="eastAsia" w:ascii="宋体" w:hAnsi="宋体"/>
                <w:color w:val="auto"/>
                <w:sz w:val="21"/>
                <w:szCs w:val="21"/>
                <w:highlight w:val="none"/>
              </w:rPr>
              <w:t>7.支持POE供电，语音对讲，一键抓图</w:t>
            </w:r>
          </w:p>
          <w:p w14:paraId="3F1DE7C0">
            <w:pPr>
              <w:widowControl/>
              <w:jc w:val="left"/>
              <w:rPr>
                <w:rFonts w:hint="eastAsia" w:ascii="宋体" w:hAnsi="宋体"/>
                <w:color w:val="auto"/>
                <w:sz w:val="21"/>
                <w:szCs w:val="21"/>
                <w:highlight w:val="none"/>
              </w:rPr>
            </w:pPr>
            <w:r>
              <w:rPr>
                <w:rFonts w:hint="eastAsia" w:ascii="宋体" w:hAnsi="宋体"/>
                <w:color w:val="auto"/>
                <w:sz w:val="21"/>
                <w:szCs w:val="21"/>
                <w:highlight w:val="none"/>
              </w:rPr>
              <w:t>8.支持画面预监，电视墙画面回显，场景预编辑功能</w:t>
            </w:r>
          </w:p>
          <w:p w14:paraId="739B55C2">
            <w:pPr>
              <w:widowControl/>
              <w:jc w:val="left"/>
              <w:rPr>
                <w:rFonts w:ascii="宋体" w:hAnsi="宋体"/>
                <w:color w:val="auto"/>
                <w:sz w:val="21"/>
                <w:szCs w:val="21"/>
                <w:highlight w:val="none"/>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支持将接入的图像通过HDMI/VGA接口外接显示。</w:t>
            </w:r>
          </w:p>
        </w:tc>
      </w:tr>
      <w:tr w14:paraId="7BAC91B1">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475DC228">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ascii="宋体" w:hAnsi="宋体"/>
                <w:color w:val="auto"/>
                <w:sz w:val="21"/>
                <w:szCs w:val="21"/>
                <w:highlight w:val="none"/>
              </w:rPr>
              <w:t>.21</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EE8D13">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01353CE7">
            <w:pPr>
              <w:widowControl/>
              <w:jc w:val="center"/>
              <w:rPr>
                <w:rFonts w:ascii="宋体" w:hAnsi="宋体"/>
                <w:color w:val="auto"/>
                <w:sz w:val="21"/>
                <w:szCs w:val="21"/>
                <w:highlight w:val="none"/>
              </w:rPr>
            </w:pPr>
            <w:r>
              <w:rPr>
                <w:rFonts w:ascii="宋体" w:hAnsi="宋体"/>
                <w:color w:val="auto"/>
                <w:sz w:val="21"/>
                <w:szCs w:val="21"/>
                <w:highlight w:val="none"/>
              </w:rPr>
              <w:t>操作台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6D2E7FA0">
            <w:pPr>
              <w:widowControl/>
              <w:jc w:val="center"/>
              <w:rPr>
                <w:rFonts w:ascii="宋体" w:hAnsi="宋体"/>
                <w:color w:val="auto"/>
                <w:sz w:val="21"/>
                <w:szCs w:val="21"/>
                <w:highlight w:val="none"/>
              </w:rPr>
            </w:pPr>
            <w:r>
              <w:rPr>
                <w:rFonts w:ascii="宋体" w:hAnsi="宋体"/>
                <w:color w:val="auto"/>
                <w:sz w:val="21"/>
                <w:szCs w:val="21"/>
                <w:highlight w:val="none"/>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20A5EE3">
            <w:pPr>
              <w:widowControl/>
              <w:jc w:val="center"/>
              <w:rPr>
                <w:rFonts w:ascii="宋体" w:hAnsi="宋体"/>
                <w:color w:val="auto"/>
                <w:sz w:val="21"/>
                <w:szCs w:val="21"/>
                <w:highlight w:val="none"/>
              </w:rPr>
            </w:pPr>
            <w:r>
              <w:rPr>
                <w:rFonts w:ascii="宋体" w:hAnsi="宋体"/>
                <w:color w:val="auto"/>
                <w:sz w:val="21"/>
                <w:szCs w:val="21"/>
                <w:highlight w:val="none"/>
              </w:rPr>
              <w:t>1</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425375A5">
            <w:pPr>
              <w:widowControl/>
              <w:jc w:val="left"/>
              <w:rPr>
                <w:rFonts w:ascii="宋体" w:hAnsi="宋体"/>
                <w:color w:val="auto"/>
                <w:sz w:val="21"/>
                <w:szCs w:val="21"/>
                <w:highlight w:val="none"/>
              </w:rPr>
            </w:pPr>
            <w:r>
              <w:rPr>
                <w:rFonts w:hint="eastAsia" w:ascii="宋体" w:hAnsi="宋体"/>
                <w:color w:val="auto"/>
                <w:sz w:val="21"/>
                <w:szCs w:val="21"/>
                <w:highlight w:val="none"/>
              </w:rPr>
              <w:t>1、5工位操作平台尺寸3米*0.8米*0.8米。</w:t>
            </w:r>
          </w:p>
        </w:tc>
      </w:tr>
      <w:tr w14:paraId="7E3A509E">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7D0F0903">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ascii="宋体" w:hAnsi="宋体"/>
                <w:color w:val="auto"/>
                <w:sz w:val="21"/>
                <w:szCs w:val="21"/>
                <w:highlight w:val="none"/>
              </w:rPr>
              <w:t>.22</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92E893">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2C1CD500">
            <w:pPr>
              <w:widowControl/>
              <w:jc w:val="center"/>
              <w:rPr>
                <w:rFonts w:ascii="宋体" w:hAnsi="宋体"/>
                <w:color w:val="auto"/>
                <w:sz w:val="21"/>
                <w:szCs w:val="21"/>
                <w:highlight w:val="none"/>
              </w:rPr>
            </w:pPr>
            <w:r>
              <w:rPr>
                <w:rFonts w:ascii="宋体" w:hAnsi="宋体"/>
                <w:color w:val="auto"/>
                <w:sz w:val="21"/>
                <w:szCs w:val="21"/>
                <w:highlight w:val="none"/>
              </w:rPr>
              <w:t>机柜</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256FBEAB">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A7B029F">
            <w:pPr>
              <w:widowControl/>
              <w:jc w:val="center"/>
              <w:rPr>
                <w:rFonts w:ascii="宋体" w:hAnsi="宋体"/>
                <w:color w:val="auto"/>
                <w:sz w:val="21"/>
                <w:szCs w:val="21"/>
                <w:highlight w:val="none"/>
              </w:rPr>
            </w:pPr>
            <w:r>
              <w:rPr>
                <w:rFonts w:ascii="宋体" w:hAnsi="宋体"/>
                <w:color w:val="auto"/>
                <w:sz w:val="21"/>
                <w:szCs w:val="21"/>
                <w:highlight w:val="none"/>
              </w:rPr>
              <w:t>1</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113C9F5F">
            <w:pPr>
              <w:widowControl/>
              <w:jc w:val="left"/>
              <w:rPr>
                <w:rFonts w:ascii="宋体" w:hAnsi="宋体"/>
                <w:color w:val="auto"/>
                <w:sz w:val="21"/>
                <w:szCs w:val="21"/>
                <w:highlight w:val="none"/>
              </w:rPr>
            </w:pPr>
            <w:r>
              <w:rPr>
                <w:rFonts w:hint="eastAsia" w:ascii="宋体" w:hAnsi="宋体"/>
                <w:color w:val="auto"/>
                <w:sz w:val="21"/>
                <w:szCs w:val="21"/>
                <w:highlight w:val="none"/>
              </w:rPr>
              <w:t>1、42U网络机柜，600*600*2000。</w:t>
            </w:r>
          </w:p>
        </w:tc>
      </w:tr>
      <w:tr w14:paraId="0AE4A7BA">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4B16AFA8">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ascii="宋体" w:hAnsi="宋体"/>
                <w:color w:val="auto"/>
                <w:sz w:val="21"/>
                <w:szCs w:val="21"/>
                <w:highlight w:val="none"/>
              </w:rPr>
              <w:t>.23</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A6CBD1">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1768C201">
            <w:pPr>
              <w:widowControl/>
              <w:jc w:val="center"/>
              <w:rPr>
                <w:rFonts w:ascii="宋体" w:hAnsi="宋体"/>
                <w:color w:val="auto"/>
                <w:sz w:val="21"/>
                <w:szCs w:val="21"/>
                <w:highlight w:val="none"/>
              </w:rPr>
            </w:pPr>
            <w:r>
              <w:rPr>
                <w:rFonts w:ascii="宋体" w:hAnsi="宋体"/>
                <w:color w:val="auto"/>
                <w:sz w:val="21"/>
                <w:szCs w:val="21"/>
                <w:highlight w:val="none"/>
              </w:rPr>
              <w:t>服务器机柜</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621D5451">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386A3735">
            <w:pPr>
              <w:widowControl/>
              <w:jc w:val="center"/>
              <w:rPr>
                <w:rFonts w:ascii="宋体" w:hAnsi="宋体"/>
                <w:color w:val="auto"/>
                <w:sz w:val="21"/>
                <w:szCs w:val="21"/>
                <w:highlight w:val="none"/>
              </w:rPr>
            </w:pPr>
            <w:r>
              <w:rPr>
                <w:rFonts w:ascii="宋体" w:hAnsi="宋体"/>
                <w:color w:val="auto"/>
                <w:sz w:val="21"/>
                <w:szCs w:val="21"/>
                <w:highlight w:val="none"/>
              </w:rPr>
              <w:t>1</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1597C4C0">
            <w:pPr>
              <w:widowControl/>
              <w:jc w:val="left"/>
              <w:rPr>
                <w:rFonts w:ascii="宋体" w:hAnsi="宋体"/>
                <w:color w:val="auto"/>
                <w:sz w:val="21"/>
                <w:szCs w:val="21"/>
                <w:highlight w:val="none"/>
              </w:rPr>
            </w:pPr>
            <w:r>
              <w:rPr>
                <w:rFonts w:hint="eastAsia" w:ascii="宋体" w:hAnsi="宋体"/>
                <w:color w:val="auto"/>
                <w:sz w:val="21"/>
                <w:szCs w:val="21"/>
                <w:highlight w:val="none"/>
              </w:rPr>
              <w:t>1、42U服务器机柜，尺寸600*800*2000。</w:t>
            </w:r>
          </w:p>
        </w:tc>
      </w:tr>
      <w:tr w14:paraId="71A8F07F">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75AB618A">
            <w:pPr>
              <w:widowControl/>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4</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17C1FD">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3BA56B58">
            <w:pPr>
              <w:widowControl/>
              <w:jc w:val="center"/>
              <w:rPr>
                <w:rFonts w:ascii="宋体" w:hAnsi="宋体"/>
                <w:color w:val="auto"/>
                <w:sz w:val="21"/>
                <w:szCs w:val="21"/>
                <w:highlight w:val="none"/>
              </w:rPr>
            </w:pPr>
            <w:r>
              <w:rPr>
                <w:rFonts w:ascii="宋体" w:hAnsi="宋体"/>
                <w:color w:val="auto"/>
                <w:sz w:val="21"/>
                <w:szCs w:val="21"/>
                <w:highlight w:val="none"/>
              </w:rPr>
              <w:t>监控核心交换机</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12784707">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306B5D03">
            <w:pPr>
              <w:widowControl/>
              <w:jc w:val="center"/>
              <w:rPr>
                <w:rFonts w:ascii="宋体" w:hAnsi="宋体"/>
                <w:color w:val="auto"/>
                <w:sz w:val="21"/>
                <w:szCs w:val="21"/>
                <w:highlight w:val="none"/>
              </w:rPr>
            </w:pPr>
            <w:r>
              <w:rPr>
                <w:rFonts w:ascii="宋体" w:hAnsi="宋体"/>
                <w:color w:val="auto"/>
                <w:sz w:val="21"/>
                <w:szCs w:val="21"/>
                <w:highlight w:val="none"/>
              </w:rPr>
              <w:t>1</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7439EBEF">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1、交换容量：≥38.4Tbps/168Tbps；</w:t>
            </w:r>
          </w:p>
          <w:p w14:paraId="1FA457F8">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2、包转发能力：≥7200Mpps/36000Mpps；</w:t>
            </w:r>
          </w:p>
          <w:p w14:paraId="59FAC65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3、槽位数≥3个；</w:t>
            </w:r>
          </w:p>
          <w:p w14:paraId="4A9D45BB">
            <w:pPr>
              <w:widowControl/>
              <w:jc w:val="left"/>
              <w:rPr>
                <w:rFonts w:ascii="宋体" w:hAnsi="宋体"/>
                <w:color w:val="auto"/>
                <w:sz w:val="21"/>
                <w:szCs w:val="21"/>
                <w:highlight w:val="none"/>
              </w:rPr>
            </w:pPr>
            <w:r>
              <w:rPr>
                <w:rFonts w:hint="eastAsia" w:ascii="宋体" w:hAnsi="宋体"/>
                <w:color w:val="auto"/>
                <w:sz w:val="21"/>
                <w:szCs w:val="21"/>
                <w:highlight w:val="none"/>
              </w:rPr>
              <w:t>4、≥24端口千兆以太网电口(RJ45)+24端口千兆以太网光口(SFP,LC)+2端口万兆以太网光口(SFP+,LC)。</w:t>
            </w:r>
          </w:p>
        </w:tc>
      </w:tr>
      <w:tr w14:paraId="366A59ED">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3B939713">
            <w:pPr>
              <w:widowControl/>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4</w:t>
            </w:r>
            <w:r>
              <w:rPr>
                <w:rFonts w:ascii="宋体" w:hAnsi="宋体"/>
                <w:color w:val="auto"/>
                <w:sz w:val="21"/>
                <w:szCs w:val="21"/>
                <w:highlight w:val="none"/>
              </w:rPr>
              <w:t>.2</w:t>
            </w:r>
            <w:r>
              <w:rPr>
                <w:rFonts w:hint="eastAsia" w:ascii="宋体" w:hAnsi="宋体"/>
                <w:color w:val="auto"/>
                <w:sz w:val="21"/>
                <w:szCs w:val="21"/>
                <w:highlight w:val="none"/>
                <w:lang w:val="en-US" w:eastAsia="zh-CN"/>
              </w:rPr>
              <w:t>5</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82CE44">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0C104971">
            <w:pPr>
              <w:widowControl/>
              <w:jc w:val="center"/>
              <w:rPr>
                <w:rFonts w:ascii="宋体" w:hAnsi="宋体"/>
                <w:color w:val="auto"/>
                <w:sz w:val="21"/>
                <w:szCs w:val="21"/>
                <w:highlight w:val="none"/>
              </w:rPr>
            </w:pPr>
            <w:r>
              <w:rPr>
                <w:rFonts w:ascii="宋体" w:hAnsi="宋体"/>
                <w:color w:val="auto"/>
                <w:sz w:val="21"/>
                <w:szCs w:val="21"/>
                <w:highlight w:val="none"/>
              </w:rPr>
              <w:t>24口万兆POE接入交换机</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3D190111">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5C054CA6">
            <w:pPr>
              <w:widowControl/>
              <w:jc w:val="center"/>
              <w:rPr>
                <w:rFonts w:ascii="宋体" w:hAnsi="宋体"/>
                <w:color w:val="auto"/>
                <w:sz w:val="21"/>
                <w:szCs w:val="21"/>
                <w:highlight w:val="none"/>
              </w:rPr>
            </w:pPr>
            <w:r>
              <w:rPr>
                <w:rFonts w:ascii="宋体" w:hAnsi="宋体"/>
                <w:color w:val="auto"/>
                <w:sz w:val="21"/>
                <w:szCs w:val="21"/>
                <w:highlight w:val="none"/>
              </w:rPr>
              <w:t>1</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5295932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1、交换容量：≥336Gbps；</w:t>
            </w:r>
          </w:p>
          <w:p w14:paraId="31733ACB">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2、包转发能力：≥108Mpps；</w:t>
            </w:r>
          </w:p>
          <w:p w14:paraId="46550CC7">
            <w:pPr>
              <w:widowControl/>
              <w:jc w:val="left"/>
              <w:rPr>
                <w:rFonts w:ascii="宋体" w:hAnsi="宋体"/>
                <w:color w:val="auto"/>
                <w:sz w:val="21"/>
                <w:szCs w:val="21"/>
                <w:highlight w:val="none"/>
              </w:rPr>
            </w:pPr>
            <w:r>
              <w:rPr>
                <w:rFonts w:hint="eastAsia" w:ascii="宋体" w:hAnsi="宋体"/>
                <w:color w:val="auto"/>
                <w:sz w:val="21"/>
                <w:szCs w:val="21"/>
                <w:highlight w:val="none"/>
              </w:rPr>
              <w:t>3、业务端口≥24个10/100/1000M自适应电口，4个10G/1G SFP+光口，24个电口支持PoE和PoE+,整机最大PoE输出功率为370W。</w:t>
            </w:r>
          </w:p>
        </w:tc>
      </w:tr>
      <w:tr w14:paraId="5EFB4A71">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7F7DA797">
            <w:pPr>
              <w:widowControl/>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4</w:t>
            </w:r>
            <w:r>
              <w:rPr>
                <w:rFonts w:ascii="宋体" w:hAnsi="宋体"/>
                <w:color w:val="auto"/>
                <w:sz w:val="21"/>
                <w:szCs w:val="21"/>
                <w:highlight w:val="none"/>
              </w:rPr>
              <w:t>.2</w:t>
            </w:r>
            <w:r>
              <w:rPr>
                <w:rFonts w:hint="eastAsia" w:ascii="宋体" w:hAnsi="宋体"/>
                <w:color w:val="auto"/>
                <w:sz w:val="21"/>
                <w:szCs w:val="21"/>
                <w:highlight w:val="none"/>
                <w:lang w:val="en-US" w:eastAsia="zh-CN"/>
              </w:rPr>
              <w:t>6</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46E589">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30698202">
            <w:pPr>
              <w:widowControl/>
              <w:jc w:val="center"/>
              <w:rPr>
                <w:rFonts w:ascii="宋体" w:hAnsi="宋体"/>
                <w:color w:val="auto"/>
                <w:sz w:val="21"/>
                <w:szCs w:val="21"/>
                <w:highlight w:val="none"/>
              </w:rPr>
            </w:pPr>
            <w:r>
              <w:rPr>
                <w:rFonts w:ascii="宋体" w:hAnsi="宋体"/>
                <w:color w:val="auto"/>
                <w:sz w:val="21"/>
                <w:szCs w:val="21"/>
                <w:highlight w:val="none"/>
              </w:rPr>
              <w:t>24口千兆POE接入交换机</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59B6CB09">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7E5AA3A">
            <w:pPr>
              <w:widowControl/>
              <w:jc w:val="center"/>
              <w:rPr>
                <w:rFonts w:ascii="宋体" w:hAnsi="宋体"/>
                <w:color w:val="auto"/>
                <w:sz w:val="21"/>
                <w:szCs w:val="21"/>
                <w:highlight w:val="none"/>
              </w:rPr>
            </w:pPr>
            <w:r>
              <w:rPr>
                <w:rFonts w:ascii="宋体" w:hAnsi="宋体"/>
                <w:color w:val="auto"/>
                <w:sz w:val="21"/>
                <w:szCs w:val="21"/>
                <w:highlight w:val="none"/>
              </w:rPr>
              <w:t>7</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468F0C8F">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1、交换容量：≥336Gbps；</w:t>
            </w:r>
          </w:p>
          <w:p w14:paraId="7819995E">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2、包转发率：≥78Mpps；</w:t>
            </w:r>
          </w:p>
          <w:p w14:paraId="2E0FD5C7">
            <w:pPr>
              <w:widowControl/>
              <w:jc w:val="left"/>
              <w:rPr>
                <w:rFonts w:ascii="宋体" w:hAnsi="宋体"/>
                <w:color w:val="auto"/>
                <w:sz w:val="21"/>
                <w:szCs w:val="21"/>
                <w:highlight w:val="none"/>
              </w:rPr>
            </w:pPr>
            <w:r>
              <w:rPr>
                <w:rFonts w:hint="eastAsia" w:ascii="宋体" w:hAnsi="宋体"/>
                <w:color w:val="auto"/>
                <w:sz w:val="21"/>
                <w:szCs w:val="21"/>
                <w:highlight w:val="none"/>
              </w:rPr>
              <w:t>3、业务端口≥24个10/100/1000M自适应电口，4个1G SFP光口，24个电口支持PoE和PoE+,整机最大PoE输出功率为370W。</w:t>
            </w:r>
          </w:p>
        </w:tc>
      </w:tr>
      <w:tr w14:paraId="2A524E21">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53555102">
            <w:pPr>
              <w:widowControl/>
              <w:jc w:val="center"/>
              <w:rPr>
                <w:rFonts w:hint="eastAsia" w:ascii="宋体" w:hAnsi="宋体" w:eastAsia="宋体"/>
                <w:color w:val="auto"/>
                <w:sz w:val="21"/>
                <w:szCs w:val="21"/>
                <w:highlight w:val="none"/>
                <w:lang w:val="en-US" w:eastAsia="zh-CN"/>
              </w:rPr>
            </w:pPr>
            <w:r>
              <w:rPr>
                <w:rFonts w:ascii="宋体" w:hAnsi="宋体"/>
                <w:color w:val="auto"/>
                <w:sz w:val="21"/>
                <w:szCs w:val="21"/>
                <w:highlight w:val="none"/>
              </w:rPr>
              <w:t>5.2</w:t>
            </w:r>
            <w:r>
              <w:rPr>
                <w:rFonts w:hint="eastAsia" w:ascii="宋体" w:hAnsi="宋体"/>
                <w:color w:val="auto"/>
                <w:sz w:val="21"/>
                <w:szCs w:val="21"/>
                <w:highlight w:val="none"/>
                <w:lang w:val="en-US" w:eastAsia="zh-CN"/>
              </w:rPr>
              <w:t>7</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ADA9D2">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4AD9867C">
            <w:pPr>
              <w:widowControl/>
              <w:jc w:val="center"/>
              <w:rPr>
                <w:rFonts w:ascii="宋体" w:hAnsi="宋体"/>
                <w:color w:val="auto"/>
                <w:sz w:val="21"/>
                <w:szCs w:val="21"/>
                <w:highlight w:val="none"/>
              </w:rPr>
            </w:pPr>
            <w:r>
              <w:rPr>
                <w:rFonts w:ascii="宋体" w:hAnsi="宋体"/>
                <w:color w:val="auto"/>
                <w:sz w:val="21"/>
                <w:szCs w:val="21"/>
                <w:highlight w:val="none"/>
              </w:rPr>
              <w:t>8口千兆POE接入交换机</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18D40AF6">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20844150">
            <w:pPr>
              <w:widowControl/>
              <w:jc w:val="center"/>
              <w:rPr>
                <w:rFonts w:ascii="宋体" w:hAnsi="宋体"/>
                <w:color w:val="auto"/>
                <w:sz w:val="21"/>
                <w:szCs w:val="21"/>
                <w:highlight w:val="none"/>
              </w:rPr>
            </w:pPr>
            <w:r>
              <w:rPr>
                <w:rFonts w:ascii="宋体" w:hAnsi="宋体"/>
                <w:color w:val="auto"/>
                <w:sz w:val="21"/>
                <w:szCs w:val="21"/>
                <w:highlight w:val="none"/>
              </w:rPr>
              <w:t>4</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3BCE415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1、交换容量:≥336Gbps；</w:t>
            </w:r>
          </w:p>
          <w:p w14:paraId="4DB8F310">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2、包转发率:≥56Mpps；</w:t>
            </w:r>
          </w:p>
          <w:p w14:paraId="39E4E343">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3、支持PoE+整机最大输出:125W；</w:t>
            </w:r>
          </w:p>
          <w:p w14:paraId="38AE41FF">
            <w:pPr>
              <w:widowControl/>
              <w:jc w:val="left"/>
              <w:rPr>
                <w:rFonts w:ascii="宋体" w:hAnsi="宋体"/>
                <w:color w:val="auto"/>
                <w:sz w:val="21"/>
                <w:szCs w:val="21"/>
                <w:highlight w:val="none"/>
              </w:rPr>
            </w:pPr>
            <w:r>
              <w:rPr>
                <w:rFonts w:hint="eastAsia" w:ascii="宋体" w:hAnsi="宋体"/>
                <w:color w:val="auto"/>
                <w:sz w:val="21"/>
                <w:szCs w:val="21"/>
                <w:highlight w:val="none"/>
              </w:rPr>
              <w:t>4、业务端口:≥8*10/100/1000Base-T以太网端口+≥2*100/1000 Base-XSFP光口。</w:t>
            </w:r>
          </w:p>
        </w:tc>
      </w:tr>
      <w:tr w14:paraId="2907383A">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490DF689">
            <w:pPr>
              <w:widowControl/>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4</w:t>
            </w:r>
            <w:r>
              <w:rPr>
                <w:rFonts w:ascii="宋体" w:hAnsi="宋体"/>
                <w:color w:val="auto"/>
                <w:sz w:val="21"/>
                <w:szCs w:val="21"/>
                <w:highlight w:val="none"/>
              </w:rPr>
              <w:t>.</w:t>
            </w:r>
            <w:r>
              <w:rPr>
                <w:rFonts w:hint="eastAsia" w:ascii="宋体" w:hAnsi="宋体"/>
                <w:color w:val="auto"/>
                <w:sz w:val="21"/>
                <w:szCs w:val="21"/>
                <w:highlight w:val="none"/>
                <w:lang w:val="en-US" w:eastAsia="zh-CN"/>
              </w:rPr>
              <w:t>28</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6E3D40">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42920EF7">
            <w:pPr>
              <w:widowControl/>
              <w:jc w:val="center"/>
              <w:rPr>
                <w:rFonts w:ascii="宋体" w:hAnsi="宋体"/>
                <w:color w:val="auto"/>
                <w:sz w:val="21"/>
                <w:szCs w:val="21"/>
                <w:highlight w:val="none"/>
              </w:rPr>
            </w:pPr>
            <w:r>
              <w:rPr>
                <w:rFonts w:ascii="宋体" w:hAnsi="宋体"/>
                <w:color w:val="auto"/>
                <w:sz w:val="21"/>
                <w:szCs w:val="21"/>
                <w:highlight w:val="none"/>
              </w:rPr>
              <w:t>万兆模块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526AB6C1">
            <w:pPr>
              <w:widowControl/>
              <w:jc w:val="center"/>
              <w:rPr>
                <w:rFonts w:ascii="宋体" w:hAnsi="宋体"/>
                <w:color w:val="auto"/>
                <w:sz w:val="21"/>
                <w:szCs w:val="21"/>
                <w:highlight w:val="none"/>
              </w:rPr>
            </w:pPr>
            <w:r>
              <w:rPr>
                <w:rFonts w:ascii="宋体" w:hAnsi="宋体"/>
                <w:color w:val="auto"/>
                <w:sz w:val="21"/>
                <w:szCs w:val="21"/>
                <w:highlight w:val="none"/>
              </w:rPr>
              <w:t>个</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773F7FE">
            <w:pPr>
              <w:widowControl/>
              <w:jc w:val="center"/>
              <w:rPr>
                <w:rFonts w:ascii="宋体" w:hAnsi="宋体"/>
                <w:color w:val="auto"/>
                <w:sz w:val="21"/>
                <w:szCs w:val="21"/>
                <w:highlight w:val="none"/>
              </w:rPr>
            </w:pPr>
            <w:r>
              <w:rPr>
                <w:rFonts w:ascii="宋体" w:hAnsi="宋体"/>
                <w:color w:val="auto"/>
                <w:sz w:val="21"/>
                <w:szCs w:val="21"/>
                <w:highlight w:val="none"/>
              </w:rPr>
              <w:t>2</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20286CB2">
            <w:pPr>
              <w:widowControl/>
              <w:jc w:val="left"/>
              <w:rPr>
                <w:rFonts w:ascii="宋体" w:hAnsi="宋体"/>
                <w:color w:val="auto"/>
                <w:sz w:val="21"/>
                <w:szCs w:val="21"/>
                <w:highlight w:val="none"/>
              </w:rPr>
            </w:pPr>
            <w:r>
              <w:rPr>
                <w:rFonts w:hint="eastAsia" w:ascii="宋体" w:hAnsi="宋体"/>
                <w:color w:val="auto"/>
                <w:sz w:val="21"/>
                <w:szCs w:val="21"/>
                <w:highlight w:val="none"/>
              </w:rPr>
              <w:t>1、SFP+ 万兆模块(1310nm,10km,LC)。</w:t>
            </w:r>
          </w:p>
        </w:tc>
      </w:tr>
      <w:tr w14:paraId="5D542DE4">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5D3EC463">
            <w:pPr>
              <w:widowControl/>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4</w:t>
            </w:r>
            <w:r>
              <w:rPr>
                <w:rFonts w:ascii="宋体" w:hAnsi="宋体"/>
                <w:color w:val="auto"/>
                <w:sz w:val="21"/>
                <w:szCs w:val="21"/>
                <w:highlight w:val="none"/>
              </w:rPr>
              <w:t>.</w:t>
            </w:r>
            <w:r>
              <w:rPr>
                <w:rFonts w:hint="eastAsia" w:ascii="宋体" w:hAnsi="宋体"/>
                <w:color w:val="auto"/>
                <w:sz w:val="21"/>
                <w:szCs w:val="21"/>
                <w:highlight w:val="none"/>
                <w:lang w:val="en-US" w:eastAsia="zh-CN"/>
              </w:rPr>
              <w:t>29</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70BFC4">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60ABF0F1">
            <w:pPr>
              <w:widowControl/>
              <w:jc w:val="center"/>
              <w:rPr>
                <w:rFonts w:ascii="宋体" w:hAnsi="宋体"/>
                <w:color w:val="auto"/>
                <w:sz w:val="21"/>
                <w:szCs w:val="21"/>
                <w:highlight w:val="none"/>
              </w:rPr>
            </w:pPr>
            <w:r>
              <w:rPr>
                <w:rFonts w:ascii="宋体" w:hAnsi="宋体"/>
                <w:color w:val="auto"/>
                <w:sz w:val="21"/>
                <w:szCs w:val="21"/>
                <w:highlight w:val="none"/>
              </w:rPr>
              <w:t>千兆模块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4B2FDE18">
            <w:pPr>
              <w:widowControl/>
              <w:jc w:val="center"/>
              <w:rPr>
                <w:rFonts w:ascii="宋体" w:hAnsi="宋体"/>
                <w:color w:val="auto"/>
                <w:sz w:val="21"/>
                <w:szCs w:val="21"/>
                <w:highlight w:val="none"/>
              </w:rPr>
            </w:pPr>
            <w:r>
              <w:rPr>
                <w:rFonts w:ascii="宋体" w:hAnsi="宋体"/>
                <w:color w:val="auto"/>
                <w:sz w:val="21"/>
                <w:szCs w:val="21"/>
                <w:highlight w:val="none"/>
              </w:rPr>
              <w:t>个</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99D7476">
            <w:pPr>
              <w:widowControl/>
              <w:jc w:val="center"/>
              <w:rPr>
                <w:rFonts w:ascii="宋体" w:hAnsi="宋体"/>
                <w:color w:val="auto"/>
                <w:sz w:val="21"/>
                <w:szCs w:val="21"/>
                <w:highlight w:val="none"/>
              </w:rPr>
            </w:pPr>
            <w:r>
              <w:rPr>
                <w:rFonts w:ascii="宋体" w:hAnsi="宋体"/>
                <w:color w:val="auto"/>
                <w:sz w:val="21"/>
                <w:szCs w:val="21"/>
                <w:highlight w:val="none"/>
              </w:rPr>
              <w:t>22</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69EF81C8">
            <w:pPr>
              <w:widowControl/>
              <w:jc w:val="left"/>
              <w:rPr>
                <w:rFonts w:ascii="宋体" w:hAnsi="宋体"/>
                <w:color w:val="auto"/>
                <w:sz w:val="21"/>
                <w:szCs w:val="21"/>
                <w:highlight w:val="none"/>
              </w:rPr>
            </w:pPr>
            <w:r>
              <w:rPr>
                <w:rFonts w:hint="eastAsia" w:ascii="宋体" w:hAnsi="宋体"/>
                <w:color w:val="auto"/>
                <w:sz w:val="21"/>
                <w:szCs w:val="21"/>
                <w:highlight w:val="none"/>
              </w:rPr>
              <w:t>1、光模块-SFP-GE-单模模块-(1310nm,10km,LC)。</w:t>
            </w:r>
          </w:p>
        </w:tc>
      </w:tr>
      <w:tr w14:paraId="59C7F55C">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2C98236F">
            <w:pPr>
              <w:widowControl/>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4</w:t>
            </w:r>
            <w:r>
              <w:rPr>
                <w:rFonts w:ascii="宋体" w:hAnsi="宋体"/>
                <w:color w:val="auto"/>
                <w:sz w:val="21"/>
                <w:szCs w:val="21"/>
                <w:highlight w:val="none"/>
              </w:rPr>
              <w:t>.3</w:t>
            </w:r>
            <w:r>
              <w:rPr>
                <w:rFonts w:hint="eastAsia" w:ascii="宋体" w:hAnsi="宋体"/>
                <w:color w:val="auto"/>
                <w:sz w:val="21"/>
                <w:szCs w:val="21"/>
                <w:highlight w:val="none"/>
                <w:lang w:val="en-US" w:eastAsia="zh-CN"/>
              </w:rPr>
              <w:t>0</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023476">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1CEACF4F">
            <w:pPr>
              <w:widowControl/>
              <w:jc w:val="center"/>
              <w:rPr>
                <w:rFonts w:ascii="宋体" w:hAnsi="宋体"/>
                <w:color w:val="auto"/>
                <w:sz w:val="21"/>
                <w:szCs w:val="21"/>
                <w:highlight w:val="none"/>
              </w:rPr>
            </w:pPr>
            <w:r>
              <w:rPr>
                <w:rFonts w:ascii="宋体" w:hAnsi="宋体"/>
                <w:color w:val="auto"/>
                <w:sz w:val="21"/>
                <w:szCs w:val="21"/>
                <w:highlight w:val="none"/>
              </w:rPr>
              <w:t>室外箱抱杆</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748A48E9">
            <w:pPr>
              <w:widowControl/>
              <w:jc w:val="center"/>
              <w:rPr>
                <w:rFonts w:ascii="宋体" w:hAnsi="宋体"/>
                <w:color w:val="auto"/>
                <w:sz w:val="21"/>
                <w:szCs w:val="21"/>
                <w:highlight w:val="none"/>
              </w:rPr>
            </w:pPr>
            <w:r>
              <w:rPr>
                <w:rFonts w:ascii="宋体" w:hAnsi="宋体"/>
                <w:color w:val="auto"/>
                <w:sz w:val="21"/>
                <w:szCs w:val="21"/>
                <w:highlight w:val="none"/>
              </w:rPr>
              <w:t>个</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354EDB28">
            <w:pPr>
              <w:widowControl/>
              <w:jc w:val="center"/>
              <w:rPr>
                <w:rFonts w:ascii="宋体" w:hAnsi="宋体"/>
                <w:color w:val="auto"/>
                <w:sz w:val="21"/>
                <w:szCs w:val="21"/>
                <w:highlight w:val="none"/>
              </w:rPr>
            </w:pPr>
            <w:r>
              <w:rPr>
                <w:rFonts w:ascii="宋体" w:hAnsi="宋体"/>
                <w:color w:val="auto"/>
                <w:sz w:val="21"/>
                <w:szCs w:val="21"/>
                <w:highlight w:val="none"/>
              </w:rPr>
              <w:t>6</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2BBF4116">
            <w:pPr>
              <w:widowControl/>
              <w:jc w:val="left"/>
              <w:rPr>
                <w:rFonts w:ascii="宋体" w:hAnsi="宋体"/>
                <w:color w:val="auto"/>
                <w:sz w:val="21"/>
                <w:szCs w:val="21"/>
                <w:highlight w:val="none"/>
              </w:rPr>
            </w:pPr>
            <w:r>
              <w:rPr>
                <w:rFonts w:hint="eastAsia" w:ascii="宋体" w:hAnsi="宋体"/>
                <w:color w:val="auto"/>
                <w:sz w:val="21"/>
                <w:szCs w:val="21"/>
                <w:highlight w:val="none"/>
              </w:rPr>
              <w:t>1、室外箱抱杆。</w:t>
            </w:r>
          </w:p>
        </w:tc>
      </w:tr>
      <w:tr w14:paraId="765E34BD">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4369F75F">
            <w:pPr>
              <w:widowControl/>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4</w:t>
            </w:r>
            <w:r>
              <w:rPr>
                <w:rFonts w:ascii="宋体" w:hAnsi="宋体"/>
                <w:color w:val="auto"/>
                <w:sz w:val="21"/>
                <w:szCs w:val="21"/>
                <w:highlight w:val="none"/>
              </w:rPr>
              <w:t>.3</w:t>
            </w:r>
            <w:r>
              <w:rPr>
                <w:rFonts w:hint="eastAsia" w:ascii="宋体" w:hAnsi="宋体"/>
                <w:color w:val="auto"/>
                <w:sz w:val="21"/>
                <w:szCs w:val="21"/>
                <w:highlight w:val="none"/>
                <w:lang w:val="en-US" w:eastAsia="zh-CN"/>
              </w:rPr>
              <w:t>1</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BE6203">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44C57011">
            <w:pPr>
              <w:widowControl/>
              <w:jc w:val="center"/>
              <w:rPr>
                <w:rFonts w:ascii="宋体" w:hAnsi="宋体"/>
                <w:color w:val="auto"/>
                <w:sz w:val="21"/>
                <w:szCs w:val="21"/>
                <w:highlight w:val="none"/>
              </w:rPr>
            </w:pPr>
            <w:r>
              <w:rPr>
                <w:rFonts w:ascii="宋体" w:hAnsi="宋体"/>
                <w:color w:val="auto"/>
                <w:sz w:val="21"/>
                <w:szCs w:val="21"/>
                <w:highlight w:val="none"/>
              </w:rPr>
              <w:t>3.5米立杆</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731102F6">
            <w:pPr>
              <w:widowControl/>
              <w:jc w:val="center"/>
              <w:rPr>
                <w:rFonts w:ascii="宋体" w:hAnsi="宋体"/>
                <w:color w:val="auto"/>
                <w:sz w:val="21"/>
                <w:szCs w:val="21"/>
                <w:highlight w:val="none"/>
              </w:rPr>
            </w:pPr>
            <w:r>
              <w:rPr>
                <w:rFonts w:ascii="宋体" w:hAnsi="宋体"/>
                <w:color w:val="auto"/>
                <w:sz w:val="21"/>
                <w:szCs w:val="21"/>
                <w:highlight w:val="none"/>
              </w:rPr>
              <w:t>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575E3230">
            <w:pPr>
              <w:widowControl/>
              <w:jc w:val="center"/>
              <w:rPr>
                <w:rFonts w:ascii="宋体" w:hAnsi="宋体"/>
                <w:color w:val="auto"/>
                <w:sz w:val="21"/>
                <w:szCs w:val="21"/>
                <w:highlight w:val="none"/>
              </w:rPr>
            </w:pPr>
            <w:r>
              <w:rPr>
                <w:rFonts w:ascii="宋体" w:hAnsi="宋体"/>
                <w:color w:val="auto"/>
                <w:sz w:val="21"/>
                <w:szCs w:val="21"/>
                <w:highlight w:val="none"/>
              </w:rPr>
              <w:t>6</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6F42B693">
            <w:pPr>
              <w:widowControl/>
              <w:jc w:val="left"/>
              <w:rPr>
                <w:rFonts w:ascii="宋体" w:hAnsi="宋体"/>
                <w:color w:val="auto"/>
                <w:sz w:val="21"/>
                <w:szCs w:val="21"/>
                <w:highlight w:val="none"/>
              </w:rPr>
            </w:pPr>
            <w:r>
              <w:rPr>
                <w:rFonts w:hint="eastAsia" w:ascii="宋体" w:hAnsi="宋体"/>
                <w:color w:val="auto"/>
                <w:sz w:val="21"/>
                <w:szCs w:val="21"/>
                <w:highlight w:val="none"/>
              </w:rPr>
              <w:t>1、3.5米立杆。</w:t>
            </w:r>
          </w:p>
        </w:tc>
      </w:tr>
      <w:tr w14:paraId="45C6B6BA">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37BA66FB">
            <w:pPr>
              <w:widowControl/>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4</w:t>
            </w:r>
            <w:r>
              <w:rPr>
                <w:rFonts w:ascii="宋体" w:hAnsi="宋体"/>
                <w:color w:val="auto"/>
                <w:sz w:val="21"/>
                <w:szCs w:val="21"/>
                <w:highlight w:val="none"/>
              </w:rPr>
              <w:t>.3</w:t>
            </w:r>
            <w:r>
              <w:rPr>
                <w:rFonts w:hint="eastAsia" w:ascii="宋体" w:hAnsi="宋体"/>
                <w:color w:val="auto"/>
                <w:sz w:val="21"/>
                <w:szCs w:val="21"/>
                <w:highlight w:val="none"/>
                <w:lang w:val="en-US" w:eastAsia="zh-CN"/>
              </w:rPr>
              <w:t>2</w:t>
            </w:r>
          </w:p>
        </w:tc>
        <w:tc>
          <w:tcPr>
            <w:tcW w:w="314" w:type="pct"/>
            <w:vMerge w:val="restart"/>
            <w:tcBorders>
              <w:top w:val="single" w:color="000000" w:sz="4" w:space="0"/>
              <w:left w:val="single" w:color="000000" w:sz="4" w:space="0"/>
              <w:bottom w:val="single" w:color="000000" w:sz="4" w:space="0"/>
              <w:right w:val="single" w:color="000000" w:sz="4" w:space="0"/>
            </w:tcBorders>
            <w:noWrap w:val="0"/>
            <w:vAlign w:val="center"/>
          </w:tcPr>
          <w:p w14:paraId="09EDCD9A">
            <w:pPr>
              <w:widowControl/>
              <w:jc w:val="center"/>
              <w:rPr>
                <w:rFonts w:ascii="宋体" w:hAnsi="宋体"/>
                <w:color w:val="auto"/>
                <w:sz w:val="21"/>
                <w:szCs w:val="21"/>
                <w:highlight w:val="none"/>
              </w:rPr>
            </w:pPr>
            <w:r>
              <w:rPr>
                <w:rFonts w:ascii="宋体" w:hAnsi="宋体"/>
                <w:color w:val="auto"/>
                <w:sz w:val="21"/>
                <w:szCs w:val="21"/>
                <w:highlight w:val="none"/>
              </w:rPr>
              <w:t>门禁系统建设</w:t>
            </w: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02D49C5C">
            <w:pPr>
              <w:widowControl/>
              <w:jc w:val="center"/>
              <w:rPr>
                <w:rFonts w:ascii="宋体" w:hAnsi="宋体"/>
                <w:color w:val="auto"/>
                <w:sz w:val="21"/>
                <w:szCs w:val="21"/>
                <w:highlight w:val="none"/>
              </w:rPr>
            </w:pPr>
            <w:r>
              <w:rPr>
                <w:rFonts w:ascii="宋体" w:hAnsi="宋体"/>
                <w:color w:val="auto"/>
                <w:sz w:val="21"/>
                <w:szCs w:val="21"/>
                <w:highlight w:val="none"/>
              </w:rPr>
              <w:t>7寸智能门禁一体机</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7AC3BDCC">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2EF16155">
            <w:pPr>
              <w:widowControl/>
              <w:jc w:val="center"/>
              <w:rPr>
                <w:rFonts w:ascii="宋体" w:hAnsi="宋体"/>
                <w:color w:val="auto"/>
                <w:sz w:val="21"/>
                <w:szCs w:val="21"/>
                <w:highlight w:val="none"/>
              </w:rPr>
            </w:pPr>
            <w:r>
              <w:rPr>
                <w:rFonts w:ascii="宋体" w:hAnsi="宋体"/>
                <w:color w:val="auto"/>
                <w:sz w:val="21"/>
                <w:szCs w:val="21"/>
                <w:highlight w:val="none"/>
              </w:rPr>
              <w:t>5</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20879D3E">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1.主处理器：高性能嵌入式处理器；</w:t>
            </w:r>
          </w:p>
          <w:p w14:paraId="51F1DA5B">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2.显示屏：7英寸显示屏；</w:t>
            </w:r>
          </w:p>
          <w:p w14:paraId="2197EDF0">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3.屏幕类型：电容触摸屏；</w:t>
            </w:r>
          </w:p>
          <w:p w14:paraId="4DCF0841">
            <w:pPr>
              <w:widowControl/>
              <w:jc w:val="left"/>
              <w:rPr>
                <w:rFonts w:hint="eastAsia" w:ascii="宋体" w:hAnsi="宋体"/>
                <w:color w:val="auto"/>
                <w:sz w:val="21"/>
                <w:szCs w:val="21"/>
                <w:highlight w:val="none"/>
              </w:rPr>
            </w:pPr>
            <w:r>
              <w:rPr>
                <w:rFonts w:hint="eastAsia" w:ascii="宋体" w:hAnsi="宋体"/>
                <w:color w:val="auto"/>
                <w:sz w:val="21"/>
                <w:szCs w:val="21"/>
                <w:highlight w:val="none"/>
              </w:rPr>
              <w:t>4.广告播放：支持图文、视频广告播放；</w:t>
            </w:r>
          </w:p>
          <w:p w14:paraId="7785EEA4">
            <w:pPr>
              <w:widowControl/>
              <w:jc w:val="left"/>
              <w:rPr>
                <w:rFonts w:hint="eastAsia" w:ascii="宋体" w:hAnsi="宋体"/>
                <w:color w:val="auto"/>
                <w:sz w:val="21"/>
                <w:szCs w:val="21"/>
                <w:highlight w:val="none"/>
              </w:rPr>
            </w:pPr>
            <w:r>
              <w:rPr>
                <w:rFonts w:hint="eastAsia" w:ascii="宋体" w:hAnsi="宋体"/>
                <w:color w:val="auto"/>
                <w:sz w:val="21"/>
                <w:szCs w:val="21"/>
                <w:highlight w:val="none"/>
              </w:rPr>
              <w:t>5.摄像头：2MP CMOS高清双摄像头；</w:t>
            </w:r>
          </w:p>
          <w:p w14:paraId="02D1045D">
            <w:pPr>
              <w:widowControl/>
              <w:jc w:val="left"/>
              <w:rPr>
                <w:rFonts w:hint="eastAsia" w:ascii="宋体" w:hAnsi="宋体"/>
                <w:color w:val="auto"/>
                <w:sz w:val="21"/>
                <w:szCs w:val="21"/>
                <w:highlight w:val="none"/>
              </w:rPr>
            </w:pPr>
            <w:r>
              <w:rPr>
                <w:rFonts w:hint="eastAsia" w:ascii="宋体" w:hAnsi="宋体"/>
                <w:color w:val="auto"/>
                <w:sz w:val="21"/>
                <w:szCs w:val="21"/>
                <w:highlight w:val="none"/>
              </w:rPr>
              <w:t>6.外壳材料：钢化玻璃/PC+ABS；</w:t>
            </w:r>
          </w:p>
          <w:p w14:paraId="756DACDD">
            <w:pPr>
              <w:widowControl/>
              <w:jc w:val="left"/>
              <w:rPr>
                <w:rFonts w:hint="eastAsia" w:ascii="宋体" w:hAnsi="宋体"/>
                <w:color w:val="auto"/>
                <w:sz w:val="21"/>
                <w:szCs w:val="21"/>
                <w:highlight w:val="none"/>
              </w:rPr>
            </w:pPr>
            <w:r>
              <w:rPr>
                <w:rFonts w:hint="eastAsia" w:ascii="宋体" w:hAnsi="宋体"/>
                <w:color w:val="auto"/>
                <w:sz w:val="21"/>
                <w:szCs w:val="21"/>
                <w:highlight w:val="none"/>
              </w:rPr>
              <w:t>7.远程验证：支持；</w:t>
            </w:r>
          </w:p>
          <w:p w14:paraId="798CE64D">
            <w:pPr>
              <w:widowControl/>
              <w:jc w:val="left"/>
              <w:rPr>
                <w:rFonts w:hint="eastAsia" w:ascii="宋体" w:hAnsi="宋体"/>
                <w:color w:val="auto"/>
                <w:sz w:val="21"/>
                <w:szCs w:val="21"/>
                <w:highlight w:val="none"/>
              </w:rPr>
            </w:pPr>
            <w:r>
              <w:rPr>
                <w:rFonts w:hint="eastAsia" w:ascii="宋体" w:hAnsi="宋体"/>
                <w:color w:val="auto"/>
                <w:sz w:val="21"/>
                <w:szCs w:val="21"/>
                <w:highlight w:val="none"/>
              </w:rPr>
              <w:t>8.黑白名单设定：支持；</w:t>
            </w:r>
          </w:p>
          <w:p w14:paraId="40032C5A">
            <w:pPr>
              <w:widowControl/>
              <w:jc w:val="left"/>
              <w:rPr>
                <w:rFonts w:hint="eastAsia" w:ascii="宋体" w:hAnsi="宋体"/>
                <w:color w:val="auto"/>
                <w:sz w:val="21"/>
                <w:szCs w:val="21"/>
                <w:highlight w:val="none"/>
              </w:rPr>
            </w:pPr>
            <w:r>
              <w:rPr>
                <w:rFonts w:hint="eastAsia" w:ascii="宋体" w:hAnsi="宋体"/>
                <w:color w:val="auto"/>
                <w:sz w:val="21"/>
                <w:szCs w:val="21"/>
                <w:highlight w:val="none"/>
              </w:rPr>
              <w:t>9.实时监控：支持；</w:t>
            </w:r>
          </w:p>
          <w:p w14:paraId="498DC343">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10.多重认证：支持；</w:t>
            </w:r>
          </w:p>
          <w:p w14:paraId="1FFC24D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11.WEB配置：支持；</w:t>
            </w:r>
          </w:p>
          <w:p w14:paraId="208910BB">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12.主动注册：支持；</w:t>
            </w:r>
          </w:p>
          <w:p w14:paraId="31867E4D">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13.人脸识别准确率：99.9%；</w:t>
            </w:r>
          </w:p>
          <w:p w14:paraId="2F60C009">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14.人脸识别速度：0.2s；</w:t>
            </w:r>
          </w:p>
          <w:p w14:paraId="570D9AEC">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15.用户容量：20000；</w:t>
            </w:r>
          </w:p>
          <w:p w14:paraId="7BDEE1D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16.人脸容量：20000；</w:t>
            </w:r>
          </w:p>
          <w:p w14:paraId="14518C0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17.卡片容量：50000张；</w:t>
            </w:r>
          </w:p>
          <w:p w14:paraId="52F397D5">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18.密码容量：20000个；</w:t>
            </w:r>
          </w:p>
          <w:p w14:paraId="012752B8">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19.存储记录数量：300000条；</w:t>
            </w:r>
          </w:p>
          <w:p w14:paraId="55DCFB4E">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20.RS-485接口：1个；</w:t>
            </w:r>
          </w:p>
          <w:p w14:paraId="71DEFA23">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21.RS-232接口：1个；</w:t>
            </w:r>
          </w:p>
          <w:p w14:paraId="5D3B599E">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22.韦根接口：1路输入/输出；</w:t>
            </w:r>
          </w:p>
          <w:p w14:paraId="4F8FDE95">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23.USB接口：1个USB2.0接口；</w:t>
            </w:r>
          </w:p>
          <w:p w14:paraId="265F9BFA">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24.网络接口：1个10Mbps/100Mbps自适应以太网口；</w:t>
            </w:r>
          </w:p>
          <w:p w14:paraId="00258A90">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25.报警输入：2路（开关量）；</w:t>
            </w:r>
          </w:p>
          <w:p w14:paraId="0A40CCC5">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26.报警输出：1路（继电器）；</w:t>
            </w:r>
          </w:p>
          <w:p w14:paraId="540991BD">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27.报警联动：支持；</w:t>
            </w:r>
          </w:p>
          <w:p w14:paraId="7088FA9F">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28.开门按钮：1路；</w:t>
            </w:r>
          </w:p>
          <w:p w14:paraId="09854B49">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29.门状态检测：1路；</w:t>
            </w:r>
          </w:p>
          <w:p w14:paraId="0BEEC90E">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30.门锁控制：1路；</w:t>
            </w:r>
          </w:p>
          <w:p w14:paraId="7C5E8111">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31.防反潜：支持；</w:t>
            </w:r>
          </w:p>
          <w:p w14:paraId="3BA43F84">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32.防拆报警：支持；</w:t>
            </w:r>
          </w:p>
          <w:p w14:paraId="7E10AF34">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33胁迫报警：支持；</w:t>
            </w:r>
          </w:p>
          <w:p w14:paraId="35C38D1F">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34.门超时报警：支持；</w:t>
            </w:r>
          </w:p>
          <w:p w14:paraId="02DE220B">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35.非法闯入报警：支持；</w:t>
            </w:r>
          </w:p>
          <w:p w14:paraId="63B6500E">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36.非法卡超次报警：支持；</w:t>
            </w:r>
          </w:p>
          <w:p w14:paraId="2CE33CAF">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37.供电方式：DC 12V  2A；</w:t>
            </w:r>
          </w:p>
          <w:p w14:paraId="60963EF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38.工作温度：-20℃～+55℃；</w:t>
            </w:r>
          </w:p>
          <w:p w14:paraId="12F3A56A">
            <w:pPr>
              <w:widowControl/>
              <w:jc w:val="left"/>
              <w:rPr>
                <w:rFonts w:hint="eastAsia" w:ascii="宋体" w:hAnsi="宋体"/>
                <w:color w:val="auto"/>
                <w:sz w:val="21"/>
                <w:szCs w:val="21"/>
                <w:highlight w:val="none"/>
              </w:rPr>
            </w:pPr>
            <w:r>
              <w:rPr>
                <w:rFonts w:hint="eastAsia" w:ascii="宋体" w:hAnsi="宋体"/>
                <w:color w:val="auto"/>
                <w:sz w:val="21"/>
                <w:szCs w:val="21"/>
                <w:highlight w:val="none"/>
              </w:rPr>
              <w:t xml:space="preserve">39.安装方式：壁装;落地式支架安装;桌面式支架安装; </w:t>
            </w:r>
          </w:p>
          <w:p w14:paraId="5B02D641">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40.</w:t>
            </w:r>
            <w:r>
              <w:rPr>
                <w:rFonts w:hint="eastAsia" w:ascii="宋体" w:hAnsi="宋体"/>
                <w:color w:val="auto"/>
                <w:sz w:val="21"/>
                <w:szCs w:val="21"/>
                <w:highlight w:val="none"/>
              </w:rPr>
              <w:t>应具有拓展GPS定位模块能力，应能通过事件方式定时上报设备位置信息,；</w:t>
            </w:r>
          </w:p>
          <w:p w14:paraId="3FF9438D">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41.</w:t>
            </w:r>
            <w:r>
              <w:rPr>
                <w:rFonts w:hint="eastAsia" w:ascii="宋体" w:hAnsi="宋体"/>
                <w:color w:val="auto"/>
                <w:sz w:val="21"/>
                <w:szCs w:val="21"/>
                <w:highlight w:val="none"/>
              </w:rPr>
              <w:t>满足GA/T 1179-2014《安防声纹确认应用算法技术要求和测试方法》；</w:t>
            </w:r>
          </w:p>
        </w:tc>
      </w:tr>
      <w:tr w14:paraId="641EF761">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75B5BB01">
            <w:pPr>
              <w:widowControl/>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4</w:t>
            </w:r>
            <w:r>
              <w:rPr>
                <w:rFonts w:ascii="宋体" w:hAnsi="宋体"/>
                <w:color w:val="auto"/>
                <w:sz w:val="21"/>
                <w:szCs w:val="21"/>
                <w:highlight w:val="none"/>
              </w:rPr>
              <w:t>.3</w:t>
            </w:r>
            <w:r>
              <w:rPr>
                <w:rFonts w:hint="eastAsia" w:ascii="宋体" w:hAnsi="宋体"/>
                <w:color w:val="auto"/>
                <w:sz w:val="21"/>
                <w:szCs w:val="21"/>
                <w:highlight w:val="none"/>
                <w:lang w:val="en-US" w:eastAsia="zh-CN"/>
              </w:rPr>
              <w:t>3</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AB3D53">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61112AF3">
            <w:pPr>
              <w:widowControl/>
              <w:jc w:val="center"/>
              <w:rPr>
                <w:rFonts w:ascii="宋体" w:hAnsi="宋体"/>
                <w:color w:val="auto"/>
                <w:sz w:val="21"/>
                <w:szCs w:val="21"/>
                <w:highlight w:val="none"/>
              </w:rPr>
            </w:pPr>
            <w:r>
              <w:rPr>
                <w:rFonts w:ascii="宋体" w:hAnsi="宋体"/>
                <w:color w:val="auto"/>
                <w:sz w:val="21"/>
                <w:szCs w:val="21"/>
                <w:highlight w:val="none"/>
              </w:rPr>
              <w:t>双门磁力锁</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73DDC5E5">
            <w:pPr>
              <w:widowControl/>
              <w:jc w:val="center"/>
              <w:rPr>
                <w:rFonts w:ascii="宋体" w:hAnsi="宋体"/>
                <w:color w:val="auto"/>
                <w:sz w:val="21"/>
                <w:szCs w:val="21"/>
                <w:highlight w:val="none"/>
              </w:rPr>
            </w:pPr>
            <w:r>
              <w:rPr>
                <w:rFonts w:ascii="宋体" w:hAnsi="宋体"/>
                <w:color w:val="auto"/>
                <w:sz w:val="21"/>
                <w:szCs w:val="21"/>
                <w:highlight w:val="none"/>
              </w:rPr>
              <w:t>个</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4CDA26DE">
            <w:pPr>
              <w:widowControl/>
              <w:jc w:val="center"/>
              <w:rPr>
                <w:rFonts w:ascii="宋体" w:hAnsi="宋体"/>
                <w:color w:val="auto"/>
                <w:sz w:val="21"/>
                <w:szCs w:val="21"/>
                <w:highlight w:val="none"/>
              </w:rPr>
            </w:pPr>
            <w:r>
              <w:rPr>
                <w:rFonts w:ascii="宋体" w:hAnsi="宋体"/>
                <w:color w:val="auto"/>
                <w:sz w:val="21"/>
                <w:szCs w:val="21"/>
                <w:highlight w:val="none"/>
              </w:rPr>
              <w:t>1</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3112E2A5">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1、安全类型：断电开门；</w:t>
            </w:r>
          </w:p>
          <w:p w14:paraId="6B16AED9">
            <w:pPr>
              <w:widowControl/>
              <w:jc w:val="left"/>
              <w:rPr>
                <w:rFonts w:ascii="宋体" w:hAnsi="宋体"/>
                <w:color w:val="auto"/>
                <w:sz w:val="21"/>
                <w:szCs w:val="21"/>
                <w:highlight w:val="none"/>
              </w:rPr>
            </w:pPr>
            <w:r>
              <w:rPr>
                <w:rFonts w:hint="eastAsia" w:ascii="宋体" w:hAnsi="宋体"/>
                <w:color w:val="auto"/>
                <w:sz w:val="21"/>
                <w:szCs w:val="21"/>
                <w:highlight w:val="none"/>
              </w:rPr>
              <w:t>2、最大拉力≥280kg×2（600Lbs×2）直线拉力。</w:t>
            </w:r>
          </w:p>
        </w:tc>
      </w:tr>
      <w:tr w14:paraId="4B31579B">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488881B0">
            <w:pPr>
              <w:widowControl/>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4</w:t>
            </w:r>
            <w:r>
              <w:rPr>
                <w:rFonts w:ascii="宋体" w:hAnsi="宋体"/>
                <w:color w:val="auto"/>
                <w:sz w:val="21"/>
                <w:szCs w:val="21"/>
                <w:highlight w:val="none"/>
              </w:rPr>
              <w:t>.3</w:t>
            </w:r>
            <w:r>
              <w:rPr>
                <w:rFonts w:hint="eastAsia" w:ascii="宋体" w:hAnsi="宋体"/>
                <w:color w:val="auto"/>
                <w:sz w:val="21"/>
                <w:szCs w:val="21"/>
                <w:highlight w:val="none"/>
                <w:lang w:val="en-US" w:eastAsia="zh-CN"/>
              </w:rPr>
              <w:t>4</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2D9989">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65234B74">
            <w:pPr>
              <w:widowControl/>
              <w:jc w:val="center"/>
              <w:rPr>
                <w:rFonts w:ascii="宋体" w:hAnsi="宋体"/>
                <w:color w:val="auto"/>
                <w:sz w:val="21"/>
                <w:szCs w:val="21"/>
                <w:highlight w:val="none"/>
              </w:rPr>
            </w:pPr>
            <w:r>
              <w:rPr>
                <w:rFonts w:ascii="宋体" w:hAnsi="宋体"/>
                <w:color w:val="auto"/>
                <w:sz w:val="21"/>
                <w:szCs w:val="21"/>
                <w:highlight w:val="none"/>
              </w:rPr>
              <w:t>单门磁力锁</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0A231323">
            <w:pPr>
              <w:widowControl/>
              <w:jc w:val="center"/>
              <w:rPr>
                <w:rFonts w:ascii="宋体" w:hAnsi="宋体"/>
                <w:color w:val="auto"/>
                <w:sz w:val="21"/>
                <w:szCs w:val="21"/>
                <w:highlight w:val="none"/>
              </w:rPr>
            </w:pPr>
            <w:r>
              <w:rPr>
                <w:rFonts w:ascii="宋体" w:hAnsi="宋体"/>
                <w:color w:val="auto"/>
                <w:sz w:val="21"/>
                <w:szCs w:val="21"/>
                <w:highlight w:val="none"/>
              </w:rPr>
              <w:t>个</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1736E2AC">
            <w:pPr>
              <w:widowControl/>
              <w:jc w:val="center"/>
              <w:rPr>
                <w:rFonts w:ascii="宋体" w:hAnsi="宋体"/>
                <w:color w:val="auto"/>
                <w:sz w:val="21"/>
                <w:szCs w:val="21"/>
                <w:highlight w:val="none"/>
              </w:rPr>
            </w:pPr>
            <w:r>
              <w:rPr>
                <w:rFonts w:ascii="宋体" w:hAnsi="宋体"/>
                <w:color w:val="auto"/>
                <w:sz w:val="21"/>
                <w:szCs w:val="21"/>
                <w:highlight w:val="none"/>
              </w:rPr>
              <w:t>4</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1405080F">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1、安全类型：断电开门；</w:t>
            </w:r>
          </w:p>
          <w:p w14:paraId="2FB8938F">
            <w:pPr>
              <w:widowControl/>
              <w:jc w:val="left"/>
              <w:rPr>
                <w:rFonts w:ascii="宋体" w:hAnsi="宋体"/>
                <w:color w:val="auto"/>
                <w:sz w:val="21"/>
                <w:szCs w:val="21"/>
                <w:highlight w:val="none"/>
              </w:rPr>
            </w:pPr>
            <w:r>
              <w:rPr>
                <w:rFonts w:hint="eastAsia" w:ascii="宋体" w:hAnsi="宋体"/>
                <w:color w:val="auto"/>
                <w:sz w:val="21"/>
                <w:szCs w:val="21"/>
                <w:highlight w:val="none"/>
              </w:rPr>
              <w:t>2、最大拉力≥280kg（600Lbs）直线拉力。</w:t>
            </w:r>
          </w:p>
        </w:tc>
      </w:tr>
      <w:tr w14:paraId="677D3C90">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10E75BE0">
            <w:pPr>
              <w:widowControl/>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4</w:t>
            </w:r>
            <w:r>
              <w:rPr>
                <w:rFonts w:ascii="宋体" w:hAnsi="宋体"/>
                <w:color w:val="auto"/>
                <w:sz w:val="21"/>
                <w:szCs w:val="21"/>
                <w:highlight w:val="none"/>
              </w:rPr>
              <w:t>.3</w:t>
            </w:r>
            <w:r>
              <w:rPr>
                <w:rFonts w:hint="eastAsia" w:ascii="宋体" w:hAnsi="宋体"/>
                <w:color w:val="auto"/>
                <w:sz w:val="21"/>
                <w:szCs w:val="21"/>
                <w:highlight w:val="none"/>
                <w:lang w:val="en-US" w:eastAsia="zh-CN"/>
              </w:rPr>
              <w:t>5</w:t>
            </w:r>
          </w:p>
        </w:tc>
        <w:tc>
          <w:tcPr>
            <w:tcW w:w="314" w:type="pct"/>
            <w:vMerge w:val="restart"/>
            <w:tcBorders>
              <w:top w:val="single" w:color="000000" w:sz="4" w:space="0"/>
              <w:left w:val="single" w:color="000000" w:sz="4" w:space="0"/>
              <w:bottom w:val="single" w:color="000000" w:sz="4" w:space="0"/>
              <w:right w:val="single" w:color="000000" w:sz="4" w:space="0"/>
            </w:tcBorders>
            <w:noWrap w:val="0"/>
            <w:vAlign w:val="center"/>
          </w:tcPr>
          <w:p w14:paraId="432FAC19">
            <w:pPr>
              <w:widowControl/>
              <w:jc w:val="center"/>
              <w:rPr>
                <w:rFonts w:ascii="宋体" w:hAnsi="宋体"/>
                <w:color w:val="auto"/>
                <w:sz w:val="21"/>
                <w:szCs w:val="21"/>
                <w:highlight w:val="none"/>
              </w:rPr>
            </w:pPr>
            <w:r>
              <w:rPr>
                <w:rFonts w:ascii="宋体" w:hAnsi="宋体"/>
                <w:color w:val="auto"/>
                <w:sz w:val="21"/>
                <w:szCs w:val="21"/>
                <w:highlight w:val="none"/>
              </w:rPr>
              <w:t>人闸系统建设</w:t>
            </w: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40C5F94F">
            <w:pPr>
              <w:widowControl/>
              <w:jc w:val="center"/>
              <w:rPr>
                <w:rFonts w:ascii="宋体" w:hAnsi="宋体"/>
                <w:color w:val="auto"/>
                <w:sz w:val="21"/>
                <w:szCs w:val="21"/>
                <w:highlight w:val="none"/>
              </w:rPr>
            </w:pPr>
            <w:r>
              <w:rPr>
                <w:rFonts w:ascii="宋体" w:hAnsi="宋体"/>
                <w:color w:val="auto"/>
                <w:sz w:val="21"/>
                <w:szCs w:val="21"/>
                <w:highlight w:val="none"/>
              </w:rPr>
              <w:t>无刷通用摆闸左</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003B880D">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4622109C">
            <w:pPr>
              <w:widowControl/>
              <w:jc w:val="center"/>
              <w:rPr>
                <w:rFonts w:ascii="宋体" w:hAnsi="宋体"/>
                <w:color w:val="auto"/>
                <w:sz w:val="21"/>
                <w:szCs w:val="21"/>
                <w:highlight w:val="none"/>
              </w:rPr>
            </w:pPr>
            <w:r>
              <w:rPr>
                <w:rFonts w:ascii="宋体" w:hAnsi="宋体"/>
                <w:color w:val="auto"/>
                <w:sz w:val="21"/>
                <w:szCs w:val="21"/>
                <w:highlight w:val="none"/>
              </w:rPr>
              <w:t>5</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7CAE6AAE">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1.主处理器：高性能嵌入式处理器；</w:t>
            </w:r>
          </w:p>
          <w:p w14:paraId="39BA5AD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2.产品类型：摆闸；</w:t>
            </w:r>
          </w:p>
          <w:p w14:paraId="787356C5">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3.驱动电机：直流无刷电机；</w:t>
            </w:r>
          </w:p>
          <w:p w14:paraId="5C6C0FE7">
            <w:pPr>
              <w:widowControl/>
              <w:jc w:val="left"/>
              <w:rPr>
                <w:rFonts w:hint="eastAsia" w:ascii="宋体" w:hAnsi="宋体"/>
                <w:color w:val="auto"/>
                <w:sz w:val="21"/>
                <w:szCs w:val="21"/>
                <w:highlight w:val="none"/>
              </w:rPr>
            </w:pPr>
            <w:r>
              <w:rPr>
                <w:rFonts w:hint="eastAsia" w:ascii="宋体" w:hAnsi="宋体"/>
                <w:color w:val="auto"/>
                <w:sz w:val="21"/>
                <w:szCs w:val="21"/>
                <w:highlight w:val="none"/>
              </w:rPr>
              <w:t>4.状态指示灯：支持；</w:t>
            </w:r>
          </w:p>
          <w:p w14:paraId="1F4F1601">
            <w:pPr>
              <w:widowControl/>
              <w:jc w:val="left"/>
              <w:rPr>
                <w:rFonts w:hint="eastAsia" w:ascii="宋体" w:hAnsi="宋体"/>
                <w:color w:val="auto"/>
                <w:sz w:val="21"/>
                <w:szCs w:val="21"/>
                <w:highlight w:val="none"/>
              </w:rPr>
            </w:pPr>
            <w:r>
              <w:rPr>
                <w:rFonts w:hint="eastAsia" w:ascii="宋体" w:hAnsi="宋体"/>
                <w:color w:val="auto"/>
                <w:sz w:val="21"/>
                <w:szCs w:val="21"/>
                <w:highlight w:val="none"/>
              </w:rPr>
              <w:t>5.语音提示：支持；</w:t>
            </w:r>
          </w:p>
          <w:p w14:paraId="4756633D">
            <w:pPr>
              <w:widowControl/>
              <w:jc w:val="left"/>
              <w:rPr>
                <w:rFonts w:hint="eastAsia" w:ascii="宋体" w:hAnsi="宋体"/>
                <w:color w:val="auto"/>
                <w:sz w:val="21"/>
                <w:szCs w:val="21"/>
                <w:highlight w:val="none"/>
              </w:rPr>
            </w:pPr>
            <w:r>
              <w:rPr>
                <w:rFonts w:hint="eastAsia" w:ascii="宋体" w:hAnsi="宋体"/>
                <w:color w:val="auto"/>
                <w:sz w:val="21"/>
                <w:szCs w:val="21"/>
                <w:highlight w:val="none"/>
              </w:rPr>
              <w:t>6.外壳材料：SUS304；</w:t>
            </w:r>
          </w:p>
          <w:p w14:paraId="4B0E50FC">
            <w:pPr>
              <w:widowControl/>
              <w:jc w:val="left"/>
              <w:rPr>
                <w:rFonts w:hint="eastAsia" w:ascii="宋体" w:hAnsi="宋体"/>
                <w:color w:val="auto"/>
                <w:sz w:val="21"/>
                <w:szCs w:val="21"/>
                <w:highlight w:val="none"/>
              </w:rPr>
            </w:pPr>
            <w:r>
              <w:rPr>
                <w:rFonts w:hint="eastAsia" w:ascii="宋体" w:hAnsi="宋体"/>
                <w:color w:val="auto"/>
                <w:sz w:val="21"/>
                <w:szCs w:val="21"/>
                <w:highlight w:val="none"/>
              </w:rPr>
              <w:t>7.MCBF：500万次；</w:t>
            </w:r>
          </w:p>
          <w:p w14:paraId="21F32C35">
            <w:pPr>
              <w:widowControl/>
              <w:jc w:val="left"/>
              <w:rPr>
                <w:rFonts w:hint="eastAsia" w:ascii="宋体" w:hAnsi="宋体"/>
                <w:color w:val="auto"/>
                <w:sz w:val="21"/>
                <w:szCs w:val="21"/>
                <w:highlight w:val="none"/>
              </w:rPr>
            </w:pPr>
            <w:r>
              <w:rPr>
                <w:rFonts w:hint="eastAsia" w:ascii="宋体" w:hAnsi="宋体"/>
                <w:color w:val="auto"/>
                <w:sz w:val="21"/>
                <w:szCs w:val="21"/>
                <w:highlight w:val="none"/>
              </w:rPr>
              <w:t>8.读卡距离：0cm～5cm；</w:t>
            </w:r>
          </w:p>
          <w:p w14:paraId="2C05A174">
            <w:pPr>
              <w:widowControl/>
              <w:jc w:val="left"/>
              <w:rPr>
                <w:rFonts w:hint="eastAsia" w:ascii="宋体" w:hAnsi="宋体"/>
                <w:color w:val="auto"/>
                <w:sz w:val="21"/>
                <w:szCs w:val="21"/>
                <w:highlight w:val="none"/>
              </w:rPr>
            </w:pPr>
            <w:r>
              <w:rPr>
                <w:rFonts w:hint="eastAsia" w:ascii="宋体" w:hAnsi="宋体"/>
                <w:color w:val="auto"/>
                <w:sz w:val="21"/>
                <w:szCs w:val="21"/>
                <w:highlight w:val="none"/>
              </w:rPr>
              <w:t>9.通道宽度：亚克力：600mm～1100mm;不锈钢：600mm～1500mm；</w:t>
            </w:r>
          </w:p>
          <w:p w14:paraId="61BE2275">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10.开关门速度：0.5s；</w:t>
            </w:r>
          </w:p>
          <w:p w14:paraId="6DD9206F">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11.红外对射对数：12对；</w:t>
            </w:r>
          </w:p>
          <w:p w14:paraId="457F1549">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12.摆臂材料：不锈钢;亚克力；</w:t>
            </w:r>
          </w:p>
          <w:p w14:paraId="12DF4CE7">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13.防暴等级：玻璃面板：IK06,不锈钢：IK08；</w:t>
            </w:r>
          </w:p>
          <w:p w14:paraId="545D5349">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14.防尘防水等级：IPX4；</w:t>
            </w:r>
          </w:p>
          <w:p w14:paraId="016094F4">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15.工作温度：-25℃～+70℃；</w:t>
            </w:r>
          </w:p>
          <w:p w14:paraId="306F32F1">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16.工作湿度：5%～90%RH（无凝结）；</w:t>
            </w:r>
          </w:p>
          <w:p w14:paraId="5E5AE721">
            <w:pPr>
              <w:widowControl/>
              <w:jc w:val="left"/>
              <w:rPr>
                <w:rFonts w:ascii="宋体" w:hAnsi="宋体"/>
                <w:color w:val="auto"/>
                <w:sz w:val="21"/>
                <w:szCs w:val="21"/>
                <w:highlight w:val="none"/>
              </w:rPr>
            </w:pPr>
            <w:r>
              <w:rPr>
                <w:rFonts w:hint="eastAsia" w:ascii="宋体" w:hAnsi="宋体"/>
                <w:color w:val="auto"/>
                <w:sz w:val="21"/>
                <w:szCs w:val="21"/>
                <w:highlight w:val="none"/>
              </w:rPr>
              <w:t>17.防腐蚀等级：普通防护。</w:t>
            </w:r>
          </w:p>
        </w:tc>
      </w:tr>
      <w:tr w14:paraId="008B11AD">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3AAC126D">
            <w:pPr>
              <w:widowControl/>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4</w:t>
            </w:r>
            <w:r>
              <w:rPr>
                <w:rFonts w:ascii="宋体" w:hAnsi="宋体"/>
                <w:color w:val="auto"/>
                <w:sz w:val="21"/>
                <w:szCs w:val="21"/>
                <w:highlight w:val="none"/>
              </w:rPr>
              <w:t>.3</w:t>
            </w:r>
            <w:r>
              <w:rPr>
                <w:rFonts w:hint="eastAsia" w:ascii="宋体" w:hAnsi="宋体"/>
                <w:color w:val="auto"/>
                <w:sz w:val="21"/>
                <w:szCs w:val="21"/>
                <w:highlight w:val="none"/>
                <w:lang w:val="en-US" w:eastAsia="zh-CN"/>
              </w:rPr>
              <w:t>6</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C6D956">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035DF095">
            <w:pPr>
              <w:widowControl/>
              <w:jc w:val="center"/>
              <w:rPr>
                <w:rFonts w:ascii="宋体" w:hAnsi="宋体"/>
                <w:color w:val="auto"/>
                <w:sz w:val="21"/>
                <w:szCs w:val="21"/>
                <w:highlight w:val="none"/>
              </w:rPr>
            </w:pPr>
            <w:r>
              <w:rPr>
                <w:rFonts w:ascii="宋体" w:hAnsi="宋体"/>
                <w:color w:val="auto"/>
                <w:sz w:val="21"/>
                <w:szCs w:val="21"/>
                <w:highlight w:val="none"/>
              </w:rPr>
              <w:t>无刷通用摆闸中</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21DE72A0">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F52EABD">
            <w:pPr>
              <w:widowControl/>
              <w:jc w:val="center"/>
              <w:rPr>
                <w:rFonts w:ascii="宋体" w:hAnsi="宋体"/>
                <w:color w:val="auto"/>
                <w:sz w:val="21"/>
                <w:szCs w:val="21"/>
                <w:highlight w:val="none"/>
              </w:rPr>
            </w:pPr>
            <w:r>
              <w:rPr>
                <w:rFonts w:ascii="宋体" w:hAnsi="宋体"/>
                <w:color w:val="auto"/>
                <w:sz w:val="21"/>
                <w:szCs w:val="21"/>
                <w:highlight w:val="none"/>
              </w:rPr>
              <w:t>5</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4518092C">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1.主处理器：高性能嵌入式处理器；</w:t>
            </w:r>
          </w:p>
          <w:p w14:paraId="6B1E412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2.产品类型：摆闸；</w:t>
            </w:r>
          </w:p>
          <w:p w14:paraId="69BACB9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3.驱动电机：直流无刷电机；</w:t>
            </w:r>
          </w:p>
          <w:p w14:paraId="38CB448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4.状态指示灯：支持；</w:t>
            </w:r>
          </w:p>
          <w:p w14:paraId="14EF80F8">
            <w:pPr>
              <w:widowControl/>
              <w:jc w:val="left"/>
              <w:rPr>
                <w:rFonts w:hint="eastAsia" w:ascii="宋体" w:hAnsi="宋体"/>
                <w:color w:val="auto"/>
                <w:sz w:val="21"/>
                <w:szCs w:val="21"/>
                <w:highlight w:val="none"/>
              </w:rPr>
            </w:pPr>
            <w:r>
              <w:rPr>
                <w:rFonts w:hint="eastAsia" w:ascii="宋体" w:hAnsi="宋体"/>
                <w:color w:val="auto"/>
                <w:sz w:val="21"/>
                <w:szCs w:val="21"/>
                <w:highlight w:val="none"/>
              </w:rPr>
              <w:t>5.语音提示：支持；</w:t>
            </w:r>
          </w:p>
          <w:p w14:paraId="375DA18E">
            <w:pPr>
              <w:widowControl/>
              <w:jc w:val="left"/>
              <w:rPr>
                <w:rFonts w:hint="eastAsia" w:ascii="宋体" w:hAnsi="宋体"/>
                <w:color w:val="auto"/>
                <w:sz w:val="21"/>
                <w:szCs w:val="21"/>
                <w:highlight w:val="none"/>
              </w:rPr>
            </w:pPr>
            <w:r>
              <w:rPr>
                <w:rFonts w:hint="eastAsia" w:ascii="宋体" w:hAnsi="宋体"/>
                <w:color w:val="auto"/>
                <w:sz w:val="21"/>
                <w:szCs w:val="21"/>
                <w:highlight w:val="none"/>
              </w:rPr>
              <w:t>6.外壳材料：SUS304；</w:t>
            </w:r>
          </w:p>
          <w:p w14:paraId="2065A36A">
            <w:pPr>
              <w:widowControl/>
              <w:jc w:val="left"/>
              <w:rPr>
                <w:rFonts w:hint="eastAsia" w:ascii="宋体" w:hAnsi="宋体"/>
                <w:color w:val="auto"/>
                <w:sz w:val="21"/>
                <w:szCs w:val="21"/>
                <w:highlight w:val="none"/>
              </w:rPr>
            </w:pPr>
            <w:r>
              <w:rPr>
                <w:rFonts w:hint="eastAsia" w:ascii="宋体" w:hAnsi="宋体"/>
                <w:color w:val="auto"/>
                <w:sz w:val="21"/>
                <w:szCs w:val="21"/>
                <w:highlight w:val="none"/>
              </w:rPr>
              <w:t>7.MCBF：500万次；</w:t>
            </w:r>
          </w:p>
          <w:p w14:paraId="7E5BB84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8.读卡距离：0cm～5cm；</w:t>
            </w:r>
          </w:p>
          <w:p w14:paraId="6A138BB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9.通道宽度：亚克力：600mm～1100mm;不锈钢：600mm～1500mm；</w:t>
            </w:r>
          </w:p>
          <w:p w14:paraId="7A22E2EB">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10.开关门速度：0.5s；</w:t>
            </w:r>
          </w:p>
          <w:p w14:paraId="240AE795">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11.红外对射对数：12对；</w:t>
            </w:r>
          </w:p>
          <w:p w14:paraId="3991A520">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12.摆臂材料：不锈钢;亚克力；</w:t>
            </w:r>
          </w:p>
          <w:p w14:paraId="24059F63">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13.防暴等级：玻璃面板：IK06,不锈钢：IK08；</w:t>
            </w:r>
          </w:p>
          <w:p w14:paraId="6D38ACE4">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14.防尘防水等级：IPX4；</w:t>
            </w:r>
          </w:p>
          <w:p w14:paraId="376D786D">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15.工作温度：-25℃～+70℃；</w:t>
            </w:r>
          </w:p>
          <w:p w14:paraId="4CF9C50B">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16.工作湿度：5%～90%RH（无凝结）；</w:t>
            </w:r>
          </w:p>
          <w:p w14:paraId="2322F815">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17.防腐蚀等级：普通防护。</w:t>
            </w:r>
          </w:p>
        </w:tc>
      </w:tr>
      <w:tr w14:paraId="7414DA3A">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6B52D8B6">
            <w:pPr>
              <w:widowControl/>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4</w:t>
            </w:r>
            <w:r>
              <w:rPr>
                <w:rFonts w:ascii="宋体" w:hAnsi="宋体"/>
                <w:color w:val="auto"/>
                <w:sz w:val="21"/>
                <w:szCs w:val="21"/>
                <w:highlight w:val="none"/>
              </w:rPr>
              <w:t>.</w:t>
            </w:r>
            <w:r>
              <w:rPr>
                <w:rFonts w:hint="eastAsia" w:ascii="宋体" w:hAnsi="宋体"/>
                <w:color w:val="auto"/>
                <w:sz w:val="21"/>
                <w:szCs w:val="21"/>
                <w:highlight w:val="none"/>
                <w:lang w:val="en-US" w:eastAsia="zh-CN"/>
              </w:rPr>
              <w:t>37</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6B97D5">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139F196C">
            <w:pPr>
              <w:widowControl/>
              <w:jc w:val="center"/>
              <w:rPr>
                <w:rFonts w:ascii="宋体" w:hAnsi="宋体"/>
                <w:color w:val="auto"/>
                <w:sz w:val="21"/>
                <w:szCs w:val="21"/>
                <w:highlight w:val="none"/>
              </w:rPr>
            </w:pPr>
            <w:r>
              <w:rPr>
                <w:rFonts w:ascii="宋体" w:hAnsi="宋体"/>
                <w:color w:val="auto"/>
                <w:sz w:val="21"/>
                <w:szCs w:val="21"/>
                <w:highlight w:val="none"/>
              </w:rPr>
              <w:t>无刷通用摆闸右</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7EB78F2E">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4C892B6F">
            <w:pPr>
              <w:widowControl/>
              <w:jc w:val="center"/>
              <w:rPr>
                <w:rFonts w:ascii="宋体" w:hAnsi="宋体"/>
                <w:color w:val="auto"/>
                <w:sz w:val="21"/>
                <w:szCs w:val="21"/>
                <w:highlight w:val="none"/>
              </w:rPr>
            </w:pPr>
            <w:r>
              <w:rPr>
                <w:rFonts w:ascii="宋体" w:hAnsi="宋体"/>
                <w:color w:val="auto"/>
                <w:sz w:val="21"/>
                <w:szCs w:val="21"/>
                <w:highlight w:val="none"/>
              </w:rPr>
              <w:t>5</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4AE4705D">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1.主处理器：高性能嵌入式处理器；</w:t>
            </w:r>
          </w:p>
          <w:p w14:paraId="019E5FA4">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2.产品类型：摆闸；</w:t>
            </w:r>
          </w:p>
          <w:p w14:paraId="6B3D7D90">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3.驱动电机：直流无刷电机；</w:t>
            </w:r>
          </w:p>
          <w:p w14:paraId="13DD6714">
            <w:pPr>
              <w:widowControl/>
              <w:jc w:val="left"/>
              <w:rPr>
                <w:rFonts w:hint="eastAsia" w:ascii="宋体" w:hAnsi="宋体"/>
                <w:color w:val="auto"/>
                <w:sz w:val="21"/>
                <w:szCs w:val="21"/>
                <w:highlight w:val="none"/>
              </w:rPr>
            </w:pPr>
            <w:r>
              <w:rPr>
                <w:rFonts w:hint="eastAsia" w:ascii="宋体" w:hAnsi="宋体"/>
                <w:color w:val="auto"/>
                <w:sz w:val="21"/>
                <w:szCs w:val="21"/>
                <w:highlight w:val="none"/>
              </w:rPr>
              <w:t>4.状态指示灯：支持；</w:t>
            </w:r>
          </w:p>
          <w:p w14:paraId="1367DB9E">
            <w:pPr>
              <w:widowControl/>
              <w:jc w:val="left"/>
              <w:rPr>
                <w:rFonts w:hint="eastAsia" w:ascii="宋体" w:hAnsi="宋体"/>
                <w:color w:val="auto"/>
                <w:sz w:val="21"/>
                <w:szCs w:val="21"/>
                <w:highlight w:val="none"/>
              </w:rPr>
            </w:pPr>
            <w:r>
              <w:rPr>
                <w:rFonts w:hint="eastAsia" w:ascii="宋体" w:hAnsi="宋体"/>
                <w:color w:val="auto"/>
                <w:sz w:val="21"/>
                <w:szCs w:val="21"/>
                <w:highlight w:val="none"/>
              </w:rPr>
              <w:t>5.语音提示：支持；</w:t>
            </w:r>
          </w:p>
          <w:p w14:paraId="32B18DF4">
            <w:pPr>
              <w:widowControl/>
              <w:jc w:val="left"/>
              <w:rPr>
                <w:rFonts w:hint="eastAsia" w:ascii="宋体" w:hAnsi="宋体"/>
                <w:color w:val="auto"/>
                <w:sz w:val="21"/>
                <w:szCs w:val="21"/>
                <w:highlight w:val="none"/>
              </w:rPr>
            </w:pPr>
            <w:r>
              <w:rPr>
                <w:rFonts w:hint="eastAsia" w:ascii="宋体" w:hAnsi="宋体"/>
                <w:color w:val="auto"/>
                <w:sz w:val="21"/>
                <w:szCs w:val="21"/>
                <w:highlight w:val="none"/>
              </w:rPr>
              <w:t>6.外壳材料：SUS304；</w:t>
            </w:r>
          </w:p>
          <w:p w14:paraId="271ABC6A">
            <w:pPr>
              <w:widowControl/>
              <w:jc w:val="left"/>
              <w:rPr>
                <w:rFonts w:hint="eastAsia" w:ascii="宋体" w:hAnsi="宋体"/>
                <w:color w:val="auto"/>
                <w:sz w:val="21"/>
                <w:szCs w:val="21"/>
                <w:highlight w:val="none"/>
              </w:rPr>
            </w:pPr>
            <w:r>
              <w:rPr>
                <w:rFonts w:hint="eastAsia" w:ascii="宋体" w:hAnsi="宋体"/>
                <w:color w:val="auto"/>
                <w:sz w:val="21"/>
                <w:szCs w:val="21"/>
                <w:highlight w:val="none"/>
              </w:rPr>
              <w:t>7.MCBF：500万次；</w:t>
            </w:r>
          </w:p>
          <w:p w14:paraId="512877F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8.读卡距离：0cm～5cm；</w:t>
            </w:r>
          </w:p>
          <w:p w14:paraId="7A0D4BC7">
            <w:pPr>
              <w:widowControl/>
              <w:jc w:val="left"/>
              <w:rPr>
                <w:rFonts w:hint="eastAsia" w:ascii="宋体" w:hAnsi="宋体"/>
                <w:color w:val="auto"/>
                <w:sz w:val="21"/>
                <w:szCs w:val="21"/>
                <w:highlight w:val="none"/>
              </w:rPr>
            </w:pPr>
            <w:r>
              <w:rPr>
                <w:rFonts w:hint="eastAsia" w:ascii="宋体" w:hAnsi="宋体"/>
                <w:color w:val="auto"/>
                <w:sz w:val="21"/>
                <w:szCs w:val="21"/>
                <w:highlight w:val="none"/>
              </w:rPr>
              <w:t>9.通道宽度：亚克力：600mm～1100mm;不锈钢：600mm～1500mm；</w:t>
            </w:r>
          </w:p>
          <w:p w14:paraId="14DEAB40">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10.开关门速度：0.5s；</w:t>
            </w:r>
          </w:p>
          <w:p w14:paraId="23FA5BBA">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11.红外对射对数：12对；</w:t>
            </w:r>
          </w:p>
          <w:p w14:paraId="6D011EE5">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12.摆臂材料：不锈钢;亚克力；</w:t>
            </w:r>
          </w:p>
          <w:p w14:paraId="5587CC0B">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13.防暴等级：玻璃面板：IK06,不锈钢：IK08；</w:t>
            </w:r>
          </w:p>
          <w:p w14:paraId="506CFDA4">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14.防尘防水等级：IPX4；</w:t>
            </w:r>
          </w:p>
          <w:p w14:paraId="46A99CCD">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15.工作温度：-25℃～+70℃；</w:t>
            </w:r>
          </w:p>
          <w:p w14:paraId="3BC3474B">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16.工作湿度：5%～90%RH（无凝结）；</w:t>
            </w:r>
          </w:p>
          <w:p w14:paraId="1D4235F3">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17.防腐蚀等级：普通防护。</w:t>
            </w:r>
          </w:p>
        </w:tc>
      </w:tr>
      <w:tr w14:paraId="59B79B00">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6D128EC9">
            <w:pPr>
              <w:widowControl/>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4</w:t>
            </w:r>
            <w:r>
              <w:rPr>
                <w:rFonts w:ascii="宋体" w:hAnsi="宋体"/>
                <w:color w:val="auto"/>
                <w:sz w:val="21"/>
                <w:szCs w:val="21"/>
                <w:highlight w:val="none"/>
              </w:rPr>
              <w:t>.</w:t>
            </w:r>
            <w:r>
              <w:rPr>
                <w:rFonts w:hint="eastAsia" w:ascii="宋体" w:hAnsi="宋体"/>
                <w:color w:val="auto"/>
                <w:sz w:val="21"/>
                <w:szCs w:val="21"/>
                <w:highlight w:val="none"/>
                <w:lang w:val="en-US" w:eastAsia="zh-CN"/>
              </w:rPr>
              <w:t>38</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11912F">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68C7F571">
            <w:pPr>
              <w:widowControl/>
              <w:jc w:val="center"/>
              <w:rPr>
                <w:rFonts w:ascii="宋体" w:hAnsi="宋体"/>
                <w:color w:val="auto"/>
                <w:sz w:val="21"/>
                <w:szCs w:val="21"/>
                <w:highlight w:val="none"/>
              </w:rPr>
            </w:pPr>
            <w:r>
              <w:rPr>
                <w:rFonts w:ascii="宋体" w:hAnsi="宋体"/>
                <w:color w:val="auto"/>
                <w:sz w:val="21"/>
                <w:szCs w:val="21"/>
                <w:highlight w:val="none"/>
              </w:rPr>
              <w:t>通道人脸识别（含刷卡组件)</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0CF85BFD">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68A76608">
            <w:pPr>
              <w:widowControl/>
              <w:jc w:val="center"/>
              <w:rPr>
                <w:rFonts w:ascii="宋体" w:hAnsi="宋体"/>
                <w:color w:val="auto"/>
                <w:sz w:val="21"/>
                <w:szCs w:val="21"/>
                <w:highlight w:val="none"/>
              </w:rPr>
            </w:pPr>
            <w:r>
              <w:rPr>
                <w:rFonts w:ascii="宋体" w:hAnsi="宋体"/>
                <w:color w:val="auto"/>
                <w:sz w:val="21"/>
                <w:szCs w:val="21"/>
                <w:highlight w:val="none"/>
              </w:rPr>
              <w:t>10</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74F0B42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1.主处理器：高性能嵌入式处理器；</w:t>
            </w:r>
          </w:p>
          <w:p w14:paraId="12E8340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2.显示屏：7英寸显示屏</w:t>
            </w:r>
            <w:r>
              <w:rPr>
                <w:rFonts w:hint="eastAsia" w:ascii="宋体" w:hAnsi="宋体"/>
                <w:color w:val="auto"/>
                <w:sz w:val="21"/>
                <w:szCs w:val="21"/>
                <w:highlight w:val="none"/>
                <w:lang w:eastAsia="zh-CN"/>
              </w:rPr>
              <w:t>，</w:t>
            </w:r>
            <w:r>
              <w:rPr>
                <w:rFonts w:hint="eastAsia" w:ascii="Times New Roman" w:hAnsi="Times New Roman" w:eastAsia="宋体" w:cs="Times New Roman"/>
                <w:b w:val="0"/>
                <w:bCs w:val="0"/>
                <w:i w:val="0"/>
                <w:iCs w:val="0"/>
                <w:color w:val="auto"/>
                <w:kern w:val="0"/>
                <w:sz w:val="20"/>
                <w:szCs w:val="20"/>
                <w:highlight w:val="none"/>
                <w:u w:val="none"/>
                <w:lang w:val="en-US" w:eastAsia="zh-CN" w:bidi="ar"/>
              </w:rPr>
              <w:t>屏幕比例9:16，屏幕分辨率≥600*1024</w:t>
            </w:r>
            <w:r>
              <w:rPr>
                <w:rFonts w:hint="eastAsia" w:ascii="宋体" w:hAnsi="宋体"/>
                <w:color w:val="auto"/>
                <w:sz w:val="21"/>
                <w:szCs w:val="21"/>
                <w:highlight w:val="none"/>
              </w:rPr>
              <w:t>；</w:t>
            </w:r>
          </w:p>
          <w:p w14:paraId="28F19B6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3.屏幕类型：电容触摸屏；</w:t>
            </w:r>
          </w:p>
          <w:p w14:paraId="5329D980">
            <w:pPr>
              <w:widowControl/>
              <w:jc w:val="left"/>
              <w:rPr>
                <w:rFonts w:hint="eastAsia" w:ascii="宋体" w:hAnsi="宋体"/>
                <w:color w:val="auto"/>
                <w:sz w:val="21"/>
                <w:szCs w:val="21"/>
                <w:highlight w:val="none"/>
              </w:rPr>
            </w:pPr>
            <w:r>
              <w:rPr>
                <w:rFonts w:hint="eastAsia" w:ascii="宋体" w:hAnsi="宋体"/>
                <w:color w:val="auto"/>
                <w:sz w:val="21"/>
                <w:szCs w:val="21"/>
                <w:highlight w:val="none"/>
              </w:rPr>
              <w:t>4.广告播放：支持图文、视频广告播放；</w:t>
            </w:r>
          </w:p>
          <w:p w14:paraId="0F387C09">
            <w:pPr>
              <w:widowControl/>
              <w:jc w:val="left"/>
              <w:rPr>
                <w:rFonts w:hint="eastAsia" w:ascii="宋体" w:hAnsi="宋体"/>
                <w:color w:val="auto"/>
                <w:sz w:val="21"/>
                <w:szCs w:val="21"/>
                <w:highlight w:val="none"/>
              </w:rPr>
            </w:pPr>
            <w:r>
              <w:rPr>
                <w:rFonts w:hint="eastAsia" w:ascii="宋体" w:hAnsi="宋体"/>
                <w:color w:val="auto"/>
                <w:sz w:val="21"/>
                <w:szCs w:val="21"/>
                <w:highlight w:val="none"/>
              </w:rPr>
              <w:t>5.摄像头：2MP CMOS高清双摄像头；</w:t>
            </w:r>
          </w:p>
          <w:p w14:paraId="2DCB7F7C">
            <w:pPr>
              <w:widowControl/>
              <w:jc w:val="left"/>
              <w:rPr>
                <w:rFonts w:hint="eastAsia" w:ascii="宋体" w:hAnsi="宋体"/>
                <w:color w:val="auto"/>
                <w:sz w:val="21"/>
                <w:szCs w:val="21"/>
                <w:highlight w:val="none"/>
              </w:rPr>
            </w:pPr>
            <w:r>
              <w:rPr>
                <w:rFonts w:hint="eastAsia" w:ascii="宋体" w:hAnsi="宋体"/>
                <w:color w:val="auto"/>
                <w:sz w:val="21"/>
                <w:szCs w:val="21"/>
                <w:highlight w:val="none"/>
              </w:rPr>
              <w:t>6.外壳材料：钢化玻璃/PC+ABS；</w:t>
            </w:r>
          </w:p>
          <w:p w14:paraId="59BAFCB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7.远程验证：支持；</w:t>
            </w:r>
          </w:p>
          <w:p w14:paraId="79B76BEF">
            <w:pPr>
              <w:widowControl/>
              <w:jc w:val="left"/>
              <w:rPr>
                <w:rFonts w:hint="eastAsia" w:ascii="宋体" w:hAnsi="宋体"/>
                <w:color w:val="auto"/>
                <w:sz w:val="21"/>
                <w:szCs w:val="21"/>
                <w:highlight w:val="none"/>
              </w:rPr>
            </w:pPr>
            <w:r>
              <w:rPr>
                <w:rFonts w:hint="eastAsia" w:ascii="宋体" w:hAnsi="宋体"/>
                <w:color w:val="auto"/>
                <w:sz w:val="21"/>
                <w:szCs w:val="21"/>
                <w:highlight w:val="none"/>
              </w:rPr>
              <w:t>8.黑白名单设定：支持；</w:t>
            </w:r>
          </w:p>
          <w:p w14:paraId="7292CCD1">
            <w:pPr>
              <w:widowControl/>
              <w:jc w:val="left"/>
              <w:rPr>
                <w:rFonts w:hint="eastAsia" w:ascii="宋体" w:hAnsi="宋体"/>
                <w:color w:val="auto"/>
                <w:sz w:val="21"/>
                <w:szCs w:val="21"/>
                <w:highlight w:val="none"/>
              </w:rPr>
            </w:pPr>
            <w:r>
              <w:rPr>
                <w:rFonts w:hint="eastAsia" w:ascii="宋体" w:hAnsi="宋体"/>
                <w:color w:val="auto"/>
                <w:sz w:val="21"/>
                <w:szCs w:val="21"/>
                <w:highlight w:val="none"/>
              </w:rPr>
              <w:t>9.实时监控：支持；</w:t>
            </w:r>
          </w:p>
          <w:p w14:paraId="29A03D9F">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10.多重认证：支持；</w:t>
            </w:r>
          </w:p>
          <w:p w14:paraId="1E53FFD1">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11.WEB配置：支持；</w:t>
            </w:r>
          </w:p>
          <w:p w14:paraId="5214A981">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12.主动注册：支持；</w:t>
            </w:r>
          </w:p>
          <w:p w14:paraId="528AAF0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13.人脸识别准确率：99.9%；</w:t>
            </w:r>
          </w:p>
          <w:p w14:paraId="6C142A4C">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14.人脸识别速度：0.2s；</w:t>
            </w:r>
          </w:p>
          <w:p w14:paraId="1E159205">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15.用户容量：20000；</w:t>
            </w:r>
          </w:p>
          <w:p w14:paraId="3C103AA4">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16.人脸容量：20000；</w:t>
            </w:r>
          </w:p>
          <w:p w14:paraId="39F810E9">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17.卡片容量：50000张；</w:t>
            </w:r>
          </w:p>
          <w:p w14:paraId="2E732A2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18.密码容量：20000个；</w:t>
            </w:r>
          </w:p>
          <w:p w14:paraId="16DE1F6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19.存储记录数量：300000条；</w:t>
            </w:r>
          </w:p>
          <w:p w14:paraId="760ED622">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20.RS-485接口：1个；</w:t>
            </w:r>
          </w:p>
          <w:p w14:paraId="6F722D70">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21.RS-232接口：1个；</w:t>
            </w:r>
          </w:p>
          <w:p w14:paraId="08F2BD4E">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22.韦根接口：1路输入/输出；</w:t>
            </w:r>
          </w:p>
          <w:p w14:paraId="0C3C374E">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23.USB接口：1个USB2.0接口；</w:t>
            </w:r>
          </w:p>
          <w:p w14:paraId="378F6730">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24.网络接口：1个10Mbps/100Mbps自适应以太网口；</w:t>
            </w:r>
          </w:p>
          <w:p w14:paraId="61EA814D">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25.报警输入：2路（开关量）；</w:t>
            </w:r>
          </w:p>
          <w:p w14:paraId="177B5643">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26.报警输出：1路（继电器）；</w:t>
            </w:r>
          </w:p>
          <w:p w14:paraId="0856D24C">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27.报警联动：支持；</w:t>
            </w:r>
          </w:p>
          <w:p w14:paraId="1289691B">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28.开门按钮：1路；</w:t>
            </w:r>
          </w:p>
          <w:p w14:paraId="4C7C1205">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29.门状态检测：1路；</w:t>
            </w:r>
          </w:p>
          <w:p w14:paraId="6005BD9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30.门锁控制：1路；</w:t>
            </w:r>
          </w:p>
          <w:p w14:paraId="4157DE00">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31.防反潜：支持；</w:t>
            </w:r>
          </w:p>
          <w:p w14:paraId="5D0246D9">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32.防拆报警：支持；</w:t>
            </w:r>
          </w:p>
          <w:p w14:paraId="5A470943">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33胁迫报警：支持；</w:t>
            </w:r>
          </w:p>
          <w:p w14:paraId="0442D3F4">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34.门超时报警：支持；</w:t>
            </w:r>
          </w:p>
          <w:p w14:paraId="08211877">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35.非法闯入报警：支持；</w:t>
            </w:r>
          </w:p>
          <w:p w14:paraId="68695093">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36.非法卡超次报警：支持；</w:t>
            </w:r>
          </w:p>
          <w:p w14:paraId="440B19BF">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37.供电方式：DC 12V  2A；</w:t>
            </w:r>
          </w:p>
          <w:p w14:paraId="09BE7D14">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38.工作温度：-20℃～+55℃；</w:t>
            </w:r>
          </w:p>
          <w:p w14:paraId="43BC5B8E">
            <w:pPr>
              <w:widowControl/>
              <w:jc w:val="left"/>
              <w:rPr>
                <w:rFonts w:hint="eastAsia" w:ascii="宋体" w:hAnsi="宋体"/>
                <w:color w:val="auto"/>
                <w:sz w:val="21"/>
                <w:szCs w:val="21"/>
                <w:highlight w:val="none"/>
              </w:rPr>
            </w:pPr>
            <w:r>
              <w:rPr>
                <w:rFonts w:hint="eastAsia" w:ascii="宋体" w:hAnsi="宋体"/>
                <w:color w:val="auto"/>
                <w:sz w:val="21"/>
                <w:szCs w:val="21"/>
                <w:highlight w:val="none"/>
              </w:rPr>
              <w:t xml:space="preserve">39.安装方式：壁装;落地式支架安装;桌面式支架安装; </w:t>
            </w:r>
          </w:p>
          <w:p w14:paraId="64C17DF6">
            <w:pPr>
              <w:widowControl/>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40.</w:t>
            </w:r>
            <w:r>
              <w:rPr>
                <w:rFonts w:hint="eastAsia" w:ascii="宋体" w:hAnsi="宋体"/>
                <w:color w:val="auto"/>
                <w:sz w:val="21"/>
                <w:szCs w:val="21"/>
                <w:highlight w:val="none"/>
              </w:rPr>
              <w:t>应具有拓展GPS定位模块能力，应能通过事件方式定时上报设备位置信息</w:t>
            </w:r>
            <w:r>
              <w:rPr>
                <w:rFonts w:hint="eastAsia" w:ascii="宋体" w:hAnsi="宋体"/>
                <w:color w:val="auto"/>
                <w:sz w:val="21"/>
                <w:szCs w:val="21"/>
                <w:highlight w:val="none"/>
                <w:lang w:eastAsia="zh-CN"/>
              </w:rPr>
              <w:t>。</w:t>
            </w:r>
            <w:r>
              <w:rPr>
                <w:rFonts w:hint="eastAsia" w:ascii="宋体" w:hAnsi="宋体"/>
                <w:color w:val="auto"/>
                <w:sz w:val="21"/>
                <w:szCs w:val="21"/>
                <w:highlight w:val="none"/>
              </w:rPr>
              <w:t>；</w:t>
            </w:r>
          </w:p>
          <w:p w14:paraId="56DAF314">
            <w:pPr>
              <w:widowControl/>
              <w:jc w:val="left"/>
              <w:rPr>
                <w:rFonts w:ascii="宋体" w:hAnsi="宋体"/>
                <w:color w:val="auto"/>
                <w:sz w:val="21"/>
                <w:szCs w:val="21"/>
                <w:highlight w:val="none"/>
              </w:rPr>
            </w:pPr>
            <w:r>
              <w:rPr>
                <w:rFonts w:hint="eastAsia" w:ascii="宋体" w:hAnsi="宋体"/>
                <w:color w:val="auto"/>
                <w:sz w:val="21"/>
                <w:szCs w:val="21"/>
                <w:highlight w:val="none"/>
                <w:lang w:val="en-US" w:eastAsia="zh-CN"/>
              </w:rPr>
              <w:t>41.</w:t>
            </w:r>
            <w:r>
              <w:rPr>
                <w:rFonts w:hint="eastAsia" w:ascii="宋体" w:hAnsi="宋体"/>
                <w:color w:val="auto"/>
                <w:sz w:val="21"/>
                <w:szCs w:val="21"/>
                <w:highlight w:val="none"/>
              </w:rPr>
              <w:t>满足GA/T 1179-2014《安防声纹确认应用算法技术要求和测试方法》；</w:t>
            </w:r>
          </w:p>
        </w:tc>
      </w:tr>
      <w:tr w14:paraId="4B1A323F">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0537789F">
            <w:pPr>
              <w:widowControl/>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4</w:t>
            </w:r>
            <w:r>
              <w:rPr>
                <w:rFonts w:ascii="宋体" w:hAnsi="宋体"/>
                <w:color w:val="auto"/>
                <w:sz w:val="21"/>
                <w:szCs w:val="21"/>
                <w:highlight w:val="none"/>
              </w:rPr>
              <w:t>.</w:t>
            </w:r>
            <w:r>
              <w:rPr>
                <w:rFonts w:hint="eastAsia" w:ascii="宋体" w:hAnsi="宋体"/>
                <w:color w:val="auto"/>
                <w:sz w:val="21"/>
                <w:szCs w:val="21"/>
                <w:highlight w:val="none"/>
                <w:lang w:val="en-US" w:eastAsia="zh-CN"/>
              </w:rPr>
              <w:t>39</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2E9649">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3AD1B274">
            <w:pPr>
              <w:widowControl/>
              <w:jc w:val="center"/>
              <w:rPr>
                <w:rFonts w:ascii="宋体" w:hAnsi="宋体"/>
                <w:color w:val="auto"/>
                <w:sz w:val="21"/>
                <w:szCs w:val="21"/>
                <w:highlight w:val="none"/>
              </w:rPr>
            </w:pPr>
            <w:r>
              <w:rPr>
                <w:rFonts w:ascii="宋体" w:hAnsi="宋体"/>
                <w:color w:val="auto"/>
                <w:sz w:val="21"/>
                <w:szCs w:val="21"/>
                <w:highlight w:val="none"/>
              </w:rPr>
              <w:t>可移动式底座</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4B892463">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6433D4F">
            <w:pPr>
              <w:widowControl/>
              <w:jc w:val="center"/>
              <w:rPr>
                <w:rFonts w:ascii="宋体" w:hAnsi="宋体"/>
                <w:color w:val="auto"/>
                <w:sz w:val="21"/>
                <w:szCs w:val="21"/>
                <w:highlight w:val="none"/>
              </w:rPr>
            </w:pPr>
            <w:r>
              <w:rPr>
                <w:rFonts w:ascii="宋体" w:hAnsi="宋体"/>
                <w:color w:val="auto"/>
                <w:sz w:val="21"/>
                <w:szCs w:val="21"/>
                <w:highlight w:val="none"/>
              </w:rPr>
              <w:t>15</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693004EF">
            <w:pPr>
              <w:widowControl/>
              <w:jc w:val="left"/>
              <w:rPr>
                <w:rFonts w:ascii="宋体" w:hAnsi="宋体"/>
                <w:color w:val="auto"/>
                <w:sz w:val="21"/>
                <w:szCs w:val="21"/>
                <w:highlight w:val="none"/>
              </w:rPr>
            </w:pPr>
            <w:r>
              <w:rPr>
                <w:rFonts w:hint="eastAsia" w:ascii="宋体" w:hAnsi="宋体"/>
                <w:color w:val="auto"/>
                <w:sz w:val="21"/>
                <w:szCs w:val="21"/>
                <w:highlight w:val="none"/>
              </w:rPr>
              <w:t>1、通道可移动式底座定制,根据现场环境定制，方便移动和安装，材质耐用。</w:t>
            </w:r>
          </w:p>
        </w:tc>
      </w:tr>
      <w:tr w14:paraId="519B06FB">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1E0A8051">
            <w:pPr>
              <w:widowControl/>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4</w:t>
            </w:r>
            <w:r>
              <w:rPr>
                <w:rFonts w:ascii="宋体" w:hAnsi="宋体"/>
                <w:color w:val="auto"/>
                <w:sz w:val="21"/>
                <w:szCs w:val="21"/>
                <w:highlight w:val="none"/>
              </w:rPr>
              <w:t>.4</w:t>
            </w:r>
            <w:r>
              <w:rPr>
                <w:rFonts w:hint="eastAsia" w:ascii="宋体" w:hAnsi="宋体"/>
                <w:color w:val="auto"/>
                <w:sz w:val="21"/>
                <w:szCs w:val="21"/>
                <w:highlight w:val="none"/>
                <w:lang w:val="en-US" w:eastAsia="zh-CN"/>
              </w:rPr>
              <w:t>0</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0FDFB7">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13F4F806">
            <w:pPr>
              <w:widowControl/>
              <w:jc w:val="center"/>
              <w:rPr>
                <w:rFonts w:ascii="宋体" w:hAnsi="宋体"/>
                <w:color w:val="auto"/>
                <w:sz w:val="21"/>
                <w:szCs w:val="21"/>
                <w:highlight w:val="none"/>
              </w:rPr>
            </w:pPr>
            <w:r>
              <w:rPr>
                <w:rFonts w:ascii="宋体" w:hAnsi="宋体"/>
                <w:color w:val="auto"/>
                <w:sz w:val="21"/>
                <w:szCs w:val="21"/>
                <w:highlight w:val="none"/>
              </w:rPr>
              <w:t>交换机</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5279D4BB">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4627202">
            <w:pPr>
              <w:widowControl/>
              <w:jc w:val="center"/>
              <w:rPr>
                <w:rFonts w:ascii="宋体" w:hAnsi="宋体"/>
                <w:color w:val="auto"/>
                <w:sz w:val="21"/>
                <w:szCs w:val="21"/>
                <w:highlight w:val="none"/>
              </w:rPr>
            </w:pPr>
            <w:r>
              <w:rPr>
                <w:rFonts w:ascii="宋体" w:hAnsi="宋体"/>
                <w:color w:val="auto"/>
                <w:sz w:val="21"/>
                <w:szCs w:val="21"/>
                <w:highlight w:val="none"/>
              </w:rPr>
              <w:t>5</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564F1CF8">
            <w:pPr>
              <w:widowControl/>
              <w:jc w:val="left"/>
              <w:rPr>
                <w:rFonts w:ascii="宋体" w:hAnsi="宋体"/>
                <w:color w:val="auto"/>
                <w:sz w:val="21"/>
                <w:szCs w:val="21"/>
                <w:highlight w:val="none"/>
              </w:rPr>
            </w:pPr>
            <w:r>
              <w:rPr>
                <w:rFonts w:hint="eastAsia" w:ascii="宋体" w:hAnsi="宋体"/>
                <w:color w:val="auto"/>
                <w:sz w:val="21"/>
                <w:szCs w:val="21"/>
                <w:highlight w:val="none"/>
              </w:rPr>
              <w:t>1、二层网管交换机，交换容量≥336Gbps，包转发率≥56Mpps，≥8口10/100/1000Mbps自适应电口交换机，≥固化2个SFP千兆光口。</w:t>
            </w:r>
          </w:p>
        </w:tc>
      </w:tr>
      <w:tr w14:paraId="711AE05B">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54BD92F0">
            <w:pPr>
              <w:widowControl/>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4</w:t>
            </w:r>
            <w:r>
              <w:rPr>
                <w:rFonts w:ascii="宋体" w:hAnsi="宋体"/>
                <w:color w:val="auto"/>
                <w:sz w:val="21"/>
                <w:szCs w:val="21"/>
                <w:highlight w:val="none"/>
              </w:rPr>
              <w:t>.4</w:t>
            </w:r>
            <w:r>
              <w:rPr>
                <w:rFonts w:hint="eastAsia" w:ascii="宋体" w:hAnsi="宋体"/>
                <w:color w:val="auto"/>
                <w:sz w:val="21"/>
                <w:szCs w:val="21"/>
                <w:highlight w:val="none"/>
                <w:lang w:val="en-US" w:eastAsia="zh-CN"/>
              </w:rPr>
              <w:t>1</w:t>
            </w:r>
          </w:p>
        </w:tc>
        <w:tc>
          <w:tcPr>
            <w:tcW w:w="314" w:type="pct"/>
            <w:vMerge w:val="restart"/>
            <w:tcBorders>
              <w:top w:val="single" w:color="000000" w:sz="4" w:space="0"/>
              <w:left w:val="single" w:color="000000" w:sz="4" w:space="0"/>
              <w:bottom w:val="single" w:color="000000" w:sz="4" w:space="0"/>
              <w:right w:val="single" w:color="000000" w:sz="4" w:space="0"/>
            </w:tcBorders>
            <w:noWrap w:val="0"/>
            <w:vAlign w:val="center"/>
          </w:tcPr>
          <w:p w14:paraId="77739690">
            <w:pPr>
              <w:widowControl/>
              <w:jc w:val="center"/>
              <w:rPr>
                <w:rFonts w:ascii="宋体" w:hAnsi="宋体"/>
                <w:color w:val="auto"/>
                <w:sz w:val="21"/>
                <w:szCs w:val="21"/>
                <w:highlight w:val="none"/>
              </w:rPr>
            </w:pPr>
            <w:r>
              <w:rPr>
                <w:rFonts w:ascii="宋体" w:hAnsi="宋体"/>
                <w:color w:val="auto"/>
                <w:sz w:val="21"/>
                <w:szCs w:val="21"/>
                <w:highlight w:val="none"/>
              </w:rPr>
              <w:t>赛事车辆轨迹系统建设</w:t>
            </w: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18E3AD8C">
            <w:pPr>
              <w:widowControl/>
              <w:jc w:val="center"/>
              <w:rPr>
                <w:rFonts w:ascii="宋体" w:hAnsi="宋体"/>
                <w:color w:val="auto"/>
                <w:sz w:val="21"/>
                <w:szCs w:val="21"/>
                <w:highlight w:val="none"/>
              </w:rPr>
            </w:pPr>
            <w:r>
              <w:rPr>
                <w:rFonts w:ascii="宋体" w:hAnsi="宋体"/>
                <w:color w:val="auto"/>
                <w:sz w:val="21"/>
                <w:szCs w:val="21"/>
                <w:highlight w:val="none"/>
              </w:rPr>
              <w:t>GPS</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299CA087">
            <w:pPr>
              <w:widowControl/>
              <w:jc w:val="center"/>
              <w:rPr>
                <w:rFonts w:ascii="宋体" w:hAnsi="宋体"/>
                <w:color w:val="auto"/>
                <w:sz w:val="21"/>
                <w:szCs w:val="21"/>
                <w:highlight w:val="none"/>
              </w:rPr>
            </w:pPr>
            <w:r>
              <w:rPr>
                <w:rFonts w:ascii="宋体" w:hAnsi="宋体"/>
                <w:color w:val="auto"/>
                <w:sz w:val="21"/>
                <w:szCs w:val="21"/>
                <w:highlight w:val="none"/>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50302B96">
            <w:pPr>
              <w:widowControl/>
              <w:jc w:val="center"/>
              <w:rPr>
                <w:rFonts w:ascii="宋体" w:hAnsi="宋体"/>
                <w:color w:val="auto"/>
                <w:sz w:val="21"/>
                <w:szCs w:val="21"/>
                <w:highlight w:val="none"/>
              </w:rPr>
            </w:pPr>
            <w:r>
              <w:rPr>
                <w:rFonts w:ascii="宋体" w:hAnsi="宋体"/>
                <w:color w:val="auto"/>
                <w:sz w:val="21"/>
                <w:szCs w:val="21"/>
                <w:highlight w:val="none"/>
              </w:rPr>
              <w:t>8</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63018EEB">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1、4G频段：LTE-FDD Bl/B3/B5/B8；LTE-TDD B34/B38/B39/B40/B41；</w:t>
            </w:r>
          </w:p>
          <w:p w14:paraId="705D25BF">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2、最大输出功率：LTE-FDD Bl/B3/B5/B8:23dBm±2dBm；LTE-TDD B34/138/B39/B40/B41:23dBm±2dBm；</w:t>
            </w:r>
          </w:p>
          <w:p w14:paraId="3F56BBD5">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3、动态输出范围：-45~23dBm ；</w:t>
            </w:r>
          </w:p>
          <w:p w14:paraId="2B0F0F55">
            <w:pPr>
              <w:widowControl/>
              <w:jc w:val="left"/>
              <w:rPr>
                <w:rFonts w:hint="eastAsia" w:ascii="宋体" w:hAnsi="宋体"/>
                <w:color w:val="auto"/>
                <w:sz w:val="21"/>
                <w:szCs w:val="21"/>
                <w:highlight w:val="none"/>
              </w:rPr>
            </w:pPr>
            <w:r>
              <w:rPr>
                <w:rFonts w:hint="eastAsia" w:ascii="宋体" w:hAnsi="宋体"/>
                <w:color w:val="auto"/>
                <w:sz w:val="21"/>
                <w:szCs w:val="21"/>
                <w:highlight w:val="none"/>
              </w:rPr>
              <w:t>4、接受灵敏度：-98dBm</w:t>
            </w:r>
          </w:p>
          <w:p w14:paraId="7FC637E3">
            <w:pPr>
              <w:widowControl/>
              <w:jc w:val="left"/>
              <w:rPr>
                <w:rFonts w:hint="eastAsia" w:ascii="宋体" w:hAnsi="宋体"/>
                <w:color w:val="auto"/>
                <w:sz w:val="21"/>
                <w:szCs w:val="21"/>
                <w:highlight w:val="none"/>
              </w:rPr>
            </w:pPr>
            <w:r>
              <w:rPr>
                <w:rFonts w:hint="eastAsia" w:ascii="宋体" w:hAnsi="宋体"/>
                <w:color w:val="auto"/>
                <w:sz w:val="21"/>
                <w:szCs w:val="21"/>
                <w:highlight w:val="none"/>
              </w:rPr>
              <w:t>5、最大频率误差：±0.1ppm。</w:t>
            </w:r>
          </w:p>
          <w:p w14:paraId="0C6336B6">
            <w:pPr>
              <w:widowControl/>
              <w:jc w:val="left"/>
              <w:rPr>
                <w:rFonts w:hint="eastAsia" w:ascii="宋体" w:hAnsi="宋体"/>
                <w:color w:val="auto"/>
                <w:sz w:val="21"/>
                <w:szCs w:val="21"/>
                <w:highlight w:val="none"/>
                <w:lang w:val="en-US" w:eastAsia="zh-CN"/>
              </w:rPr>
            </w:pPr>
            <w:r>
              <w:rPr>
                <w:rFonts w:hint="eastAsia" w:ascii="Times New Roman" w:hAnsi="Times New Roman" w:eastAsia="宋体" w:cs="Times New Roman"/>
                <w:b w:val="0"/>
                <w:bCs w:val="0"/>
                <w:i w:val="0"/>
                <w:iCs w:val="0"/>
                <w:color w:val="auto"/>
                <w:kern w:val="0"/>
                <w:sz w:val="20"/>
                <w:szCs w:val="20"/>
                <w:highlight w:val="none"/>
                <w:u w:val="none"/>
                <w:lang w:val="en-US" w:eastAsia="zh-CN" w:bidi="ar"/>
              </w:rPr>
              <w:t>6、支持北斗/GPS。</w:t>
            </w:r>
          </w:p>
        </w:tc>
      </w:tr>
      <w:tr w14:paraId="3AD122EF">
        <w:tblPrEx>
          <w:tblCellMar>
            <w:top w:w="0" w:type="dxa"/>
            <w:left w:w="108" w:type="dxa"/>
            <w:bottom w:w="0" w:type="dxa"/>
            <w:right w:w="108" w:type="dxa"/>
          </w:tblCellMar>
        </w:tblPrEx>
        <w:trPr>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7844AD3C">
            <w:pPr>
              <w:widowControl/>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4</w:t>
            </w:r>
            <w:r>
              <w:rPr>
                <w:rFonts w:ascii="宋体" w:hAnsi="宋体"/>
                <w:color w:val="auto"/>
                <w:sz w:val="21"/>
                <w:szCs w:val="21"/>
                <w:highlight w:val="none"/>
              </w:rPr>
              <w:t>.4</w:t>
            </w:r>
            <w:r>
              <w:rPr>
                <w:rFonts w:hint="eastAsia" w:ascii="宋体" w:hAnsi="宋体"/>
                <w:color w:val="auto"/>
                <w:sz w:val="21"/>
                <w:szCs w:val="21"/>
                <w:highlight w:val="none"/>
                <w:lang w:val="en-US" w:eastAsia="zh-CN"/>
              </w:rPr>
              <w:t>2</w:t>
            </w:r>
          </w:p>
        </w:tc>
        <w:tc>
          <w:tcPr>
            <w:tcW w:w="3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37B825">
            <w:pPr>
              <w:widowControl/>
              <w:jc w:val="center"/>
              <w:rPr>
                <w:rFonts w:ascii="宋体" w:hAnsi="宋体"/>
                <w:color w:val="auto"/>
                <w:sz w:val="21"/>
                <w:szCs w:val="21"/>
                <w:highlight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0"/>
            <w:vAlign w:val="center"/>
          </w:tcPr>
          <w:p w14:paraId="42C05756">
            <w:pPr>
              <w:widowControl/>
              <w:jc w:val="center"/>
              <w:rPr>
                <w:rFonts w:ascii="宋体" w:hAnsi="宋体"/>
                <w:color w:val="auto"/>
                <w:sz w:val="21"/>
                <w:szCs w:val="21"/>
                <w:highlight w:val="none"/>
              </w:rPr>
            </w:pPr>
            <w:r>
              <w:rPr>
                <w:rFonts w:ascii="宋体" w:hAnsi="宋体"/>
                <w:color w:val="auto"/>
                <w:sz w:val="21"/>
                <w:szCs w:val="21"/>
                <w:highlight w:val="none"/>
              </w:rPr>
              <w:t>配套车辆轨迹平台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59129F64">
            <w:pPr>
              <w:widowControl/>
              <w:jc w:val="center"/>
              <w:rPr>
                <w:rFonts w:ascii="宋体" w:hAnsi="宋体"/>
                <w:color w:val="auto"/>
                <w:sz w:val="21"/>
                <w:szCs w:val="21"/>
                <w:highlight w:val="none"/>
              </w:rPr>
            </w:pPr>
            <w:r>
              <w:rPr>
                <w:rFonts w:ascii="宋体" w:hAnsi="宋体"/>
                <w:color w:val="auto"/>
                <w:sz w:val="21"/>
                <w:szCs w:val="21"/>
                <w:highlight w:val="none"/>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3B4110EA">
            <w:pPr>
              <w:widowControl/>
              <w:jc w:val="center"/>
              <w:rPr>
                <w:rFonts w:ascii="宋体" w:hAnsi="宋体"/>
                <w:color w:val="auto"/>
                <w:sz w:val="21"/>
                <w:szCs w:val="21"/>
                <w:highlight w:val="none"/>
              </w:rPr>
            </w:pPr>
            <w:r>
              <w:rPr>
                <w:rFonts w:ascii="宋体" w:hAnsi="宋体"/>
                <w:color w:val="auto"/>
                <w:sz w:val="21"/>
                <w:szCs w:val="21"/>
                <w:highlight w:val="none"/>
              </w:rPr>
              <w:t>1</w:t>
            </w:r>
          </w:p>
        </w:tc>
        <w:tc>
          <w:tcPr>
            <w:tcW w:w="3443" w:type="pct"/>
            <w:gridSpan w:val="2"/>
            <w:tcBorders>
              <w:top w:val="single" w:color="000000" w:sz="4" w:space="0"/>
              <w:left w:val="single" w:color="000000" w:sz="4" w:space="0"/>
              <w:bottom w:val="single" w:color="000000" w:sz="4" w:space="0"/>
              <w:right w:val="single" w:color="000000" w:sz="4" w:space="0"/>
            </w:tcBorders>
            <w:noWrap w:val="0"/>
            <w:vAlign w:val="center"/>
          </w:tcPr>
          <w:p w14:paraId="5E67BB61">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1、实时定位：监控人员通过该功能，完成对公司中具体车辆的实时监控，能够及时获取到车辆的当前位置，行驶状态等信息；</w:t>
            </w:r>
          </w:p>
          <w:p w14:paraId="17F26C57">
            <w:pPr>
              <w:widowControl/>
              <w:jc w:val="left"/>
              <w:rPr>
                <w:rFonts w:hint="eastAsia" w:ascii="宋体" w:hAnsi="宋体"/>
                <w:color w:val="auto"/>
                <w:sz w:val="21"/>
                <w:szCs w:val="21"/>
                <w:highlight w:val="none"/>
              </w:rPr>
            </w:pPr>
            <w:r>
              <w:rPr>
                <w:rFonts w:hint="eastAsia" w:ascii="宋体" w:hAnsi="宋体"/>
                <w:color w:val="auto"/>
                <w:sz w:val="21"/>
                <w:szCs w:val="21"/>
                <w:highlight w:val="none"/>
              </w:rPr>
              <w:t>2、轨迹回放：可查询车辆的历史定位数据；</w:t>
            </w:r>
          </w:p>
          <w:p w14:paraId="5F5BC844">
            <w:pPr>
              <w:widowControl/>
              <w:jc w:val="left"/>
              <w:rPr>
                <w:rFonts w:hint="eastAsia" w:ascii="宋体" w:hAnsi="宋体"/>
                <w:color w:val="auto"/>
                <w:sz w:val="21"/>
                <w:szCs w:val="21"/>
                <w:highlight w:val="none"/>
              </w:rPr>
            </w:pPr>
            <w:r>
              <w:rPr>
                <w:rFonts w:hint="eastAsia" w:ascii="宋体" w:hAnsi="宋体"/>
                <w:color w:val="auto"/>
                <w:sz w:val="21"/>
                <w:szCs w:val="21"/>
                <w:highlight w:val="none"/>
              </w:rPr>
              <w:t>3、多车轨迹可查询单个或多个车辆的历史定位数据；</w:t>
            </w:r>
          </w:p>
          <w:p w14:paraId="6705D8CC">
            <w:pPr>
              <w:widowControl/>
              <w:jc w:val="left"/>
              <w:rPr>
                <w:rFonts w:hint="eastAsia" w:ascii="宋体" w:hAnsi="宋体"/>
                <w:color w:val="auto"/>
                <w:sz w:val="21"/>
                <w:szCs w:val="21"/>
                <w:highlight w:val="none"/>
              </w:rPr>
            </w:pPr>
            <w:r>
              <w:rPr>
                <w:rFonts w:hint="eastAsia" w:ascii="宋体" w:hAnsi="宋体"/>
                <w:color w:val="auto"/>
                <w:sz w:val="21"/>
                <w:szCs w:val="21"/>
                <w:highlight w:val="none"/>
              </w:rPr>
              <w:t>4、分组监控：同时监控多辆车的实时状态；</w:t>
            </w:r>
          </w:p>
          <w:p w14:paraId="42E279C9">
            <w:pPr>
              <w:widowControl/>
              <w:jc w:val="left"/>
              <w:rPr>
                <w:rFonts w:hint="eastAsia" w:ascii="宋体" w:hAnsi="宋体"/>
                <w:color w:val="auto"/>
                <w:sz w:val="21"/>
                <w:szCs w:val="21"/>
                <w:highlight w:val="none"/>
              </w:rPr>
            </w:pPr>
            <w:r>
              <w:rPr>
                <w:rFonts w:hint="eastAsia" w:ascii="宋体" w:hAnsi="宋体"/>
                <w:color w:val="auto"/>
                <w:sz w:val="21"/>
                <w:szCs w:val="21"/>
                <w:highlight w:val="none"/>
              </w:rPr>
              <w:t>5、实时视频：播放符合1077、1078协议的视频终端的实时视频和历史视频；</w:t>
            </w:r>
          </w:p>
          <w:p w14:paraId="050FCFAA">
            <w:pPr>
              <w:widowControl/>
              <w:jc w:val="left"/>
              <w:rPr>
                <w:rFonts w:hint="eastAsia" w:ascii="宋体" w:hAnsi="宋体"/>
                <w:color w:val="auto"/>
                <w:sz w:val="21"/>
                <w:szCs w:val="21"/>
                <w:highlight w:val="none"/>
              </w:rPr>
            </w:pPr>
            <w:r>
              <w:rPr>
                <w:rFonts w:hint="eastAsia" w:ascii="宋体" w:hAnsi="宋体"/>
                <w:color w:val="auto"/>
                <w:sz w:val="21"/>
                <w:szCs w:val="21"/>
                <w:highlight w:val="none"/>
              </w:rPr>
              <w:t>6、视频轮询:对选择多个车辆视频进行轮询播放;</w:t>
            </w:r>
          </w:p>
          <w:p w14:paraId="174A6026">
            <w:pPr>
              <w:widowControl/>
              <w:jc w:val="left"/>
              <w:rPr>
                <w:rFonts w:hint="eastAsia" w:ascii="宋体" w:hAnsi="宋体"/>
                <w:color w:val="auto"/>
                <w:sz w:val="21"/>
                <w:szCs w:val="21"/>
                <w:highlight w:val="none"/>
              </w:rPr>
            </w:pPr>
            <w:r>
              <w:rPr>
                <w:rFonts w:hint="eastAsia" w:ascii="宋体" w:hAnsi="宋体"/>
                <w:color w:val="auto"/>
                <w:sz w:val="21"/>
                <w:szCs w:val="21"/>
                <w:highlight w:val="none"/>
              </w:rPr>
              <w:t>7、录像回放:可查看该车辆某时段内的视频回放。</w:t>
            </w:r>
          </w:p>
          <w:p w14:paraId="59183030">
            <w:pPr>
              <w:widowControl/>
              <w:jc w:val="left"/>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8、</w:t>
            </w:r>
            <w:r>
              <w:rPr>
                <w:rFonts w:hint="eastAsia" w:ascii="宋体" w:hAnsi="宋体" w:eastAsia="宋体" w:cs="Times New Roman"/>
                <w:color w:val="auto"/>
                <w:sz w:val="21"/>
                <w:szCs w:val="21"/>
                <w:highlight w:val="none"/>
                <w:lang w:val="en-US" w:eastAsia="zh-CN"/>
              </w:rPr>
              <w:t>需对接数字孪生平台实现</w:t>
            </w:r>
            <w:r>
              <w:rPr>
                <w:rFonts w:hint="eastAsia" w:ascii="宋体" w:hAnsi="宋体"/>
                <w:color w:val="auto"/>
                <w:sz w:val="21"/>
                <w:szCs w:val="21"/>
                <w:highlight w:val="none"/>
                <w:lang w:val="en-US" w:eastAsia="zh-CN"/>
              </w:rPr>
              <w:t>系统支持集成运动团队车辆GPS等系统数据，对运动团队车辆的实时位置、运行轨迹进行实时可视化监测。</w:t>
            </w:r>
          </w:p>
          <w:p w14:paraId="60C17D6F">
            <w:pPr>
              <w:widowControl/>
              <w:jc w:val="left"/>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9、</w:t>
            </w:r>
            <w:r>
              <w:rPr>
                <w:rFonts w:hint="eastAsia" w:ascii="宋体" w:hAnsi="宋体" w:eastAsia="宋体" w:cs="Times New Roman"/>
                <w:color w:val="auto"/>
                <w:sz w:val="21"/>
                <w:szCs w:val="21"/>
                <w:highlight w:val="none"/>
                <w:lang w:val="en-US" w:eastAsia="zh-CN"/>
              </w:rPr>
              <w:t>需对接数字孪生平台支持</w:t>
            </w:r>
            <w:r>
              <w:rPr>
                <w:rFonts w:hint="eastAsia" w:ascii="宋体" w:hAnsi="宋体"/>
                <w:color w:val="auto"/>
                <w:sz w:val="21"/>
                <w:szCs w:val="21"/>
                <w:highlight w:val="none"/>
                <w:lang w:val="en-US" w:eastAsia="zh-CN"/>
              </w:rPr>
              <w:t>根据GPS硬件与车辆的绑定信息，支持查询具体车辆的详细信息，如车牌号、车辆类型、乘客团队等信息，实现对运动团队车辆的全方位运行监控，加强对运动员位置的管理。</w:t>
            </w:r>
          </w:p>
        </w:tc>
      </w:tr>
      <w:tr w14:paraId="66CD5D2D">
        <w:tblPrEx>
          <w:tblCellMar>
            <w:top w:w="0" w:type="dxa"/>
            <w:left w:w="108" w:type="dxa"/>
            <w:bottom w:w="0" w:type="dxa"/>
            <w:right w:w="108" w:type="dxa"/>
          </w:tblCellMar>
        </w:tblPrEx>
        <w:trPr>
          <w:gridAfter w:val="1"/>
          <w:wAfter w:w="26" w:type="pct"/>
          <w:trHeight w:val="340" w:hRule="atLeast"/>
        </w:trPr>
        <w:tc>
          <w:tcPr>
            <w:tcW w:w="1556" w:type="pct"/>
            <w:gridSpan w:val="6"/>
            <w:tcBorders>
              <w:top w:val="single" w:color="000000" w:sz="4" w:space="0"/>
              <w:left w:val="single" w:color="000000" w:sz="4" w:space="0"/>
              <w:bottom w:val="single" w:color="000000" w:sz="4" w:space="0"/>
              <w:right w:val="single" w:color="000000" w:sz="4" w:space="0"/>
            </w:tcBorders>
            <w:noWrap w:val="0"/>
            <w:vAlign w:val="center"/>
          </w:tcPr>
          <w:p w14:paraId="78BFE87A">
            <w:pPr>
              <w:widowControl/>
              <w:jc w:val="left"/>
              <w:rPr>
                <w:rFonts w:ascii="宋体" w:hAnsi="宋体"/>
                <w:color w:val="auto"/>
                <w:sz w:val="21"/>
                <w:szCs w:val="21"/>
                <w:highlight w:val="none"/>
              </w:rPr>
            </w:pPr>
            <w:r>
              <w:rPr>
                <w:rFonts w:hint="eastAsia" w:ascii="宋体" w:hAnsi="宋体"/>
                <w:color w:val="auto"/>
                <w:sz w:val="21"/>
                <w:szCs w:val="21"/>
                <w:highlight w:val="none"/>
                <w:lang w:val="en-US" w:eastAsia="zh-CN"/>
              </w:rPr>
              <w:t>五</w:t>
            </w:r>
            <w:r>
              <w:rPr>
                <w:rFonts w:ascii="宋体" w:hAnsi="宋体"/>
                <w:color w:val="auto"/>
                <w:sz w:val="21"/>
                <w:szCs w:val="21"/>
                <w:highlight w:val="none"/>
              </w:rPr>
              <w:t>、综合管路管线、辅材及集成费</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7873FDC6">
            <w:pPr>
              <w:widowControl/>
              <w:jc w:val="left"/>
              <w:rPr>
                <w:rFonts w:hint="eastAsia" w:ascii="宋体" w:hAnsi="宋体"/>
                <w:color w:val="auto"/>
                <w:sz w:val="21"/>
                <w:szCs w:val="21"/>
                <w:highlight w:val="none"/>
              </w:rPr>
            </w:pPr>
          </w:p>
        </w:tc>
      </w:tr>
      <w:tr w14:paraId="3A903BA7">
        <w:tblPrEx>
          <w:tblCellMar>
            <w:top w:w="0" w:type="dxa"/>
            <w:left w:w="108" w:type="dxa"/>
            <w:bottom w:w="0" w:type="dxa"/>
            <w:right w:w="108" w:type="dxa"/>
          </w:tblCellMar>
        </w:tblPrEx>
        <w:trPr>
          <w:gridAfter w:val="1"/>
          <w:wAfter w:w="26" w:type="pct"/>
          <w:trHeight w:val="34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14:paraId="6D62BC40">
            <w:pPr>
              <w:widowControl/>
              <w:jc w:val="center"/>
              <w:rPr>
                <w:rFonts w:ascii="宋体" w:hAnsi="宋体"/>
                <w:color w:val="auto"/>
                <w:sz w:val="21"/>
                <w:szCs w:val="21"/>
                <w:highlight w:val="none"/>
              </w:rPr>
            </w:pPr>
            <w:r>
              <w:rPr>
                <w:rFonts w:hint="eastAsia" w:ascii="宋体" w:hAnsi="宋体"/>
                <w:color w:val="auto"/>
                <w:sz w:val="21"/>
                <w:szCs w:val="21"/>
                <w:highlight w:val="none"/>
                <w:lang w:val="en-US" w:eastAsia="zh-CN"/>
              </w:rPr>
              <w:t>5</w:t>
            </w:r>
            <w:r>
              <w:rPr>
                <w:rFonts w:ascii="宋体" w:hAnsi="宋体"/>
                <w:color w:val="auto"/>
                <w:sz w:val="21"/>
                <w:szCs w:val="21"/>
                <w:highlight w:val="none"/>
              </w:rPr>
              <w:t>.1</w:t>
            </w:r>
          </w:p>
        </w:tc>
        <w:tc>
          <w:tcPr>
            <w:tcW w:w="450" w:type="pct"/>
            <w:gridSpan w:val="2"/>
            <w:tcBorders>
              <w:top w:val="single" w:color="000000" w:sz="4" w:space="0"/>
              <w:left w:val="single" w:color="000000" w:sz="4" w:space="0"/>
              <w:bottom w:val="single" w:color="000000" w:sz="4" w:space="0"/>
              <w:right w:val="single" w:color="000000" w:sz="4" w:space="0"/>
            </w:tcBorders>
            <w:noWrap w:val="0"/>
            <w:vAlign w:val="center"/>
          </w:tcPr>
          <w:p w14:paraId="02E36E6A">
            <w:pPr>
              <w:widowControl/>
              <w:jc w:val="center"/>
              <w:rPr>
                <w:rFonts w:ascii="宋体" w:hAnsi="宋体"/>
                <w:color w:val="auto"/>
                <w:sz w:val="21"/>
                <w:szCs w:val="21"/>
                <w:highlight w:val="none"/>
              </w:rPr>
            </w:pPr>
            <w:r>
              <w:rPr>
                <w:rFonts w:ascii="宋体" w:hAnsi="宋体"/>
                <w:color w:val="auto"/>
                <w:sz w:val="21"/>
                <w:szCs w:val="21"/>
                <w:highlight w:val="none"/>
              </w:rPr>
              <w:t>综合管路管线、辅材及集成费</w:t>
            </w:r>
          </w:p>
        </w:tc>
        <w:tc>
          <w:tcPr>
            <w:tcW w:w="448" w:type="pct"/>
            <w:gridSpan w:val="2"/>
            <w:tcBorders>
              <w:top w:val="single" w:color="000000" w:sz="4" w:space="0"/>
              <w:left w:val="single" w:color="000000" w:sz="4" w:space="0"/>
              <w:bottom w:val="single" w:color="000000" w:sz="4" w:space="0"/>
              <w:right w:val="single" w:color="000000" w:sz="4" w:space="0"/>
            </w:tcBorders>
            <w:noWrap w:val="0"/>
            <w:vAlign w:val="center"/>
          </w:tcPr>
          <w:p w14:paraId="5F5406D8">
            <w:pPr>
              <w:widowControl/>
              <w:jc w:val="center"/>
              <w:rPr>
                <w:rFonts w:ascii="宋体" w:hAnsi="宋体"/>
                <w:color w:val="auto"/>
                <w:sz w:val="21"/>
                <w:szCs w:val="21"/>
                <w:highlight w:val="none"/>
              </w:rPr>
            </w:pPr>
            <w:r>
              <w:rPr>
                <w:rFonts w:ascii="宋体" w:hAnsi="宋体"/>
                <w:color w:val="auto"/>
                <w:sz w:val="21"/>
                <w:szCs w:val="21"/>
                <w:highlight w:val="none"/>
              </w:rPr>
              <w:t>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14:paraId="7537578E">
            <w:pPr>
              <w:widowControl/>
              <w:jc w:val="center"/>
              <w:rPr>
                <w:rFonts w:ascii="宋体" w:hAnsi="宋体"/>
                <w:color w:val="auto"/>
                <w:sz w:val="21"/>
                <w:szCs w:val="21"/>
                <w:highlight w:val="none"/>
              </w:rPr>
            </w:pPr>
            <w:r>
              <w:rPr>
                <w:rFonts w:ascii="宋体" w:hAnsi="宋体"/>
                <w:color w:val="auto"/>
                <w:sz w:val="21"/>
                <w:szCs w:val="21"/>
                <w:highlight w:val="none"/>
              </w:rPr>
              <w:t>1</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3D539107">
            <w:pPr>
              <w:widowControl/>
              <w:jc w:val="left"/>
              <w:rPr>
                <w:rFonts w:hint="eastAsia" w:ascii="宋体" w:hAnsi="宋体"/>
                <w:color w:val="auto"/>
                <w:sz w:val="21"/>
                <w:szCs w:val="21"/>
                <w:highlight w:val="none"/>
              </w:rPr>
            </w:pPr>
            <w:r>
              <w:rPr>
                <w:rFonts w:hint="eastAsia" w:ascii="宋体" w:hAnsi="宋体"/>
                <w:color w:val="auto"/>
                <w:sz w:val="21"/>
                <w:szCs w:val="21"/>
                <w:highlight w:val="none"/>
              </w:rPr>
              <w:t>1、包含但不限于光缆、跳线、尾纤、耦合器、六类网线、电源线、PE管、PVC管等；</w:t>
            </w:r>
          </w:p>
          <w:p w14:paraId="654D7E47">
            <w:pPr>
              <w:widowControl/>
              <w:jc w:val="left"/>
              <w:rPr>
                <w:rFonts w:ascii="宋体" w:hAnsi="宋体"/>
                <w:color w:val="auto"/>
                <w:sz w:val="21"/>
                <w:szCs w:val="21"/>
                <w:highlight w:val="none"/>
              </w:rPr>
            </w:pPr>
            <w:r>
              <w:rPr>
                <w:rFonts w:hint="eastAsia" w:ascii="宋体" w:hAnsi="宋体"/>
                <w:color w:val="auto"/>
                <w:sz w:val="21"/>
                <w:szCs w:val="21"/>
                <w:highlight w:val="none"/>
              </w:rPr>
              <w:t>2、包含施工安装（包含车闸重新安装及隐蔽工程相关内容），调试，脚手架租赁，登高等设备租赁费用。</w:t>
            </w:r>
          </w:p>
        </w:tc>
      </w:tr>
    </w:tbl>
    <w:p w14:paraId="569C5522">
      <w:pPr>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44"/>
          <w:sz w:val="24"/>
          <w:szCs w:val="24"/>
          <w:highlight w:val="none"/>
          <w:lang w:val="en-US" w:eastAsia="zh-CN" w:bidi="ar-SA"/>
        </w:rPr>
        <w:t>六、</w:t>
      </w:r>
      <w:r>
        <w:rPr>
          <w:rFonts w:hint="eastAsia" w:ascii="宋体" w:hAnsi="宋体" w:eastAsia="宋体" w:cs="宋体"/>
          <w:b/>
          <w:bCs/>
          <w:color w:val="auto"/>
          <w:sz w:val="24"/>
          <w:szCs w:val="24"/>
          <w:highlight w:val="none"/>
        </w:rPr>
        <w:t>实施</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商务</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要求</w:t>
      </w:r>
      <w:bookmarkEnd w:id="90"/>
    </w:p>
    <w:p w14:paraId="7E2B46E0">
      <w:pPr>
        <w:pStyle w:val="3"/>
        <w:pageBreakBefore w:val="0"/>
        <w:numPr>
          <w:ilvl w:val="1"/>
          <w:numId w:val="0"/>
        </w:numPr>
        <w:kinsoku/>
        <w:wordWrap/>
        <w:overflowPunct/>
        <w:topLinePunct w:val="0"/>
        <w:autoSpaceDE/>
        <w:autoSpaceDN/>
        <w:bidi w:val="0"/>
        <w:adjustRightInd/>
        <w:snapToGrid/>
        <w:spacing w:before="0" w:after="0" w:line="360" w:lineRule="auto"/>
        <w:ind w:firstLine="442" w:firstLineChars="200"/>
        <w:jc w:val="both"/>
        <w:textAlignment w:val="auto"/>
        <w:rPr>
          <w:rFonts w:hint="eastAsia" w:ascii="宋体" w:hAnsi="宋体" w:eastAsia="宋体" w:cs="宋体"/>
          <w:b/>
          <w:bCs/>
          <w:color w:val="auto"/>
          <w:kern w:val="2"/>
          <w:sz w:val="22"/>
          <w:szCs w:val="22"/>
          <w:highlight w:val="none"/>
          <w:lang w:val="en-US" w:eastAsia="zh-CN" w:bidi="ar-SA"/>
        </w:rPr>
      </w:pPr>
      <w:bookmarkStart w:id="91" w:name="_Toc436664875"/>
      <w:r>
        <w:rPr>
          <w:rFonts w:hint="eastAsia" w:ascii="宋体" w:hAnsi="宋体" w:eastAsia="宋体" w:cs="宋体"/>
          <w:b/>
          <w:bCs/>
          <w:color w:val="auto"/>
          <w:kern w:val="2"/>
          <w:sz w:val="22"/>
          <w:szCs w:val="22"/>
          <w:highlight w:val="none"/>
          <w:lang w:val="en-US" w:eastAsia="zh-CN" w:bidi="ar-SA"/>
        </w:rPr>
        <w:t>6.1项目进度要求</w:t>
      </w:r>
      <w:bookmarkEnd w:id="91"/>
    </w:p>
    <w:p w14:paraId="27CAB067">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color w:val="auto"/>
          <w:highlight w:val="none"/>
        </w:rPr>
      </w:pPr>
      <w:r>
        <w:rPr>
          <w:rFonts w:hint="eastAsia" w:ascii="宋体" w:hAnsi="宋体" w:eastAsia="宋体" w:cs="宋体"/>
          <w:color w:val="auto"/>
          <w:sz w:val="21"/>
          <w:szCs w:val="21"/>
          <w:highlight w:val="none"/>
          <w:lang w:val="zh-CN"/>
        </w:rPr>
        <w:t>中标单位自合同签订</w:t>
      </w:r>
      <w:r>
        <w:rPr>
          <w:rFonts w:hint="eastAsia" w:ascii="宋体" w:hAnsi="宋体" w:eastAsia="宋体" w:cs="宋体"/>
          <w:color w:val="auto"/>
          <w:sz w:val="21"/>
          <w:szCs w:val="21"/>
          <w:highlight w:val="none"/>
        </w:rPr>
        <w:t>之日起</w:t>
      </w:r>
      <w:r>
        <w:rPr>
          <w:rFonts w:hint="eastAsia" w:ascii="宋体" w:hAnsi="宋体" w:eastAsia="宋体" w:cs="宋体"/>
          <w:color w:val="auto"/>
          <w:sz w:val="21"/>
          <w:szCs w:val="21"/>
          <w:highlight w:val="none"/>
          <w:lang w:val="zh-CN"/>
        </w:rPr>
        <w:t>进场实施，</w:t>
      </w:r>
      <w:r>
        <w:rPr>
          <w:rFonts w:hint="eastAsia"/>
          <w:color w:val="auto"/>
          <w:highlight w:val="none"/>
        </w:rPr>
        <w:t>40天内完成硬件全部到货</w:t>
      </w:r>
      <w:r>
        <w:rPr>
          <w:rFonts w:hint="eastAsia"/>
          <w:color w:val="auto"/>
          <w:highlight w:val="none"/>
          <w:lang w:eastAsia="zh-CN"/>
        </w:rPr>
        <w:t>，</w:t>
      </w:r>
      <w:r>
        <w:rPr>
          <w:rFonts w:hint="eastAsia" w:ascii="宋体" w:hAnsi="宋体" w:eastAsia="宋体" w:cs="宋体"/>
          <w:color w:val="auto"/>
          <w:sz w:val="21"/>
          <w:szCs w:val="21"/>
          <w:highlight w:val="none"/>
          <w:lang w:val="en-US" w:eastAsia="zh-CN"/>
        </w:rPr>
        <w:t>120</w:t>
      </w:r>
      <w:r>
        <w:rPr>
          <w:rFonts w:hint="eastAsia" w:ascii="宋体" w:hAnsi="宋体" w:eastAsia="宋体" w:cs="宋体"/>
          <w:color w:val="auto"/>
          <w:sz w:val="21"/>
          <w:szCs w:val="21"/>
          <w:highlight w:val="none"/>
        </w:rPr>
        <w:t>天内完成软件开发、</w:t>
      </w:r>
      <w:r>
        <w:rPr>
          <w:rFonts w:hint="eastAsia"/>
          <w:color w:val="auto"/>
          <w:highlight w:val="none"/>
        </w:rPr>
        <w:t>安装调</w:t>
      </w:r>
    </w:p>
    <w:p w14:paraId="5305D2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color w:val="auto"/>
          <w:highlight w:val="none"/>
        </w:rPr>
        <w:t>试</w:t>
      </w:r>
      <w:r>
        <w:rPr>
          <w:rFonts w:hint="eastAsia" w:ascii="宋体" w:hAnsi="宋体" w:eastAsia="宋体" w:cs="宋体"/>
          <w:color w:val="auto"/>
          <w:sz w:val="21"/>
          <w:szCs w:val="21"/>
          <w:highlight w:val="none"/>
        </w:rPr>
        <w:t>工作并组织项目初验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初验通过后进入为期</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个月的试运行期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试运行期间无重大故障发生组织项目终验。</w:t>
      </w:r>
    </w:p>
    <w:p w14:paraId="771358A5">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中标单位</w:t>
      </w:r>
      <w:r>
        <w:rPr>
          <w:rFonts w:hint="eastAsia" w:ascii="宋体" w:hAnsi="宋体" w:eastAsia="宋体" w:cs="宋体"/>
          <w:color w:val="auto"/>
          <w:sz w:val="21"/>
          <w:szCs w:val="21"/>
          <w:highlight w:val="none"/>
        </w:rPr>
        <w:t>应严格按确认的进度计划开展工作，验收时间每延期1天，扣除合同总价的1‰，延期超</w:t>
      </w:r>
    </w:p>
    <w:p w14:paraId="4C1529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过10天的，自延期第11日起，每延期1天，扣除合同总价5‰。扣除合同金额超过10%的，采购人有权取消合同，并追究中标单位的违约责任。</w:t>
      </w:r>
    </w:p>
    <w:p w14:paraId="6FCC0AF0">
      <w:pPr>
        <w:pStyle w:val="3"/>
        <w:pageBreakBefore w:val="0"/>
        <w:numPr>
          <w:ilvl w:val="1"/>
          <w:numId w:val="0"/>
        </w:numPr>
        <w:kinsoku/>
        <w:wordWrap/>
        <w:overflowPunct/>
        <w:topLinePunct w:val="0"/>
        <w:autoSpaceDE/>
        <w:autoSpaceDN/>
        <w:bidi w:val="0"/>
        <w:adjustRightInd/>
        <w:snapToGrid/>
        <w:spacing w:before="0" w:after="0" w:line="360" w:lineRule="auto"/>
        <w:ind w:firstLine="442" w:firstLineChars="200"/>
        <w:jc w:val="both"/>
        <w:textAlignment w:val="auto"/>
        <w:rPr>
          <w:rFonts w:hint="eastAsia" w:ascii="宋体" w:hAnsi="宋体" w:eastAsia="宋体" w:cs="宋体"/>
          <w:b/>
          <w:bCs/>
          <w:color w:val="auto"/>
          <w:kern w:val="2"/>
          <w:sz w:val="22"/>
          <w:szCs w:val="22"/>
          <w:highlight w:val="none"/>
          <w:lang w:val="en-US" w:eastAsia="zh-CN" w:bidi="ar-SA"/>
        </w:rPr>
      </w:pPr>
      <w:bookmarkStart w:id="92" w:name="_Toc436664876"/>
      <w:r>
        <w:rPr>
          <w:rFonts w:hint="eastAsia" w:ascii="宋体" w:hAnsi="宋体" w:eastAsia="宋体" w:cs="宋体"/>
          <w:b/>
          <w:bCs/>
          <w:color w:val="auto"/>
          <w:kern w:val="2"/>
          <w:sz w:val="22"/>
          <w:szCs w:val="22"/>
          <w:highlight w:val="none"/>
          <w:lang w:val="en-US" w:eastAsia="zh-CN" w:bidi="ar-SA"/>
        </w:rPr>
        <w:t>6.2项目组织及实施要求</w:t>
      </w:r>
      <w:bookmarkEnd w:id="92"/>
    </w:p>
    <w:p w14:paraId="3BA11786">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）本项目实施阶段要求驻场，要求投标单位明确各阶段的人员驻场安排，项目经理要求在项目建设各阶段在现场开展相关工作，并保证一定的到场率；项目小组团队成员在各阶段</w:t>
      </w:r>
      <w:r>
        <w:rPr>
          <w:rFonts w:hint="eastAsia" w:ascii="宋体" w:hAnsi="宋体" w:eastAsia="宋体" w:cs="宋体"/>
          <w:color w:val="auto"/>
          <w:sz w:val="21"/>
          <w:szCs w:val="21"/>
          <w:highlight w:val="none"/>
        </w:rPr>
        <w:t>均</w:t>
      </w:r>
      <w:r>
        <w:rPr>
          <w:rFonts w:hint="eastAsia" w:ascii="宋体" w:hAnsi="宋体" w:eastAsia="宋体" w:cs="宋体"/>
          <w:color w:val="auto"/>
          <w:sz w:val="21"/>
          <w:szCs w:val="21"/>
          <w:highlight w:val="none"/>
          <w:lang w:val="zh-CN"/>
        </w:rPr>
        <w:t>至少安排</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人</w:t>
      </w:r>
      <w:r>
        <w:rPr>
          <w:rFonts w:hint="eastAsia" w:ascii="宋体" w:hAnsi="宋体" w:eastAsia="宋体" w:cs="宋体"/>
          <w:color w:val="auto"/>
          <w:sz w:val="21"/>
          <w:szCs w:val="21"/>
          <w:highlight w:val="none"/>
        </w:rPr>
        <w:t>以上</w:t>
      </w:r>
      <w:r>
        <w:rPr>
          <w:rFonts w:hint="eastAsia" w:ascii="宋体" w:hAnsi="宋体" w:eastAsia="宋体" w:cs="宋体"/>
          <w:color w:val="auto"/>
          <w:sz w:val="21"/>
          <w:szCs w:val="21"/>
          <w:highlight w:val="none"/>
          <w:lang w:val="zh-CN"/>
        </w:rPr>
        <w:t>进驻现场开展各项工作，</w:t>
      </w:r>
      <w:r>
        <w:rPr>
          <w:rFonts w:hint="eastAsia" w:ascii="宋体" w:hAnsi="宋体" w:eastAsia="宋体" w:cs="宋体"/>
          <w:color w:val="auto"/>
          <w:sz w:val="21"/>
          <w:szCs w:val="21"/>
          <w:highlight w:val="none"/>
        </w:rPr>
        <w:t>系统试运行期间安排不少于1人驻场工作</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如人员未按要求到位的，每发现一次扣除合同总价的1‰，扣除合同金额超过10%的，采购人有权取消合同，并追究中标单位的违约责任。</w:t>
      </w:r>
    </w:p>
    <w:p w14:paraId="37492EA1">
      <w:pPr>
        <w:pStyle w:val="5"/>
        <w:keepNext w:val="0"/>
        <w:keepLines w:val="0"/>
        <w:pageBreakBefore w:val="0"/>
        <w:widowControl/>
        <w:kinsoku/>
        <w:wordWrap/>
        <w:overflowPunct/>
        <w:topLinePunct w:val="0"/>
        <w:autoSpaceDE/>
        <w:autoSpaceDN/>
        <w:bidi w:val="0"/>
        <w:adjustRightInd/>
        <w:snapToGrid w:val="0"/>
        <w:spacing w:line="360" w:lineRule="auto"/>
        <w:ind w:firstLine="482"/>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zh-CN" w:eastAsia="zh-CN" w:bidi="ar-SA"/>
        </w:rPr>
        <w:t>）本次招标的产品</w:t>
      </w:r>
      <w:r>
        <w:rPr>
          <w:rFonts w:hint="eastAsia" w:ascii="宋体" w:hAnsi="宋体" w:eastAsia="宋体" w:cs="宋体"/>
          <w:b/>
          <w:bCs/>
          <w:color w:val="auto"/>
          <w:kern w:val="2"/>
          <w:sz w:val="21"/>
          <w:szCs w:val="21"/>
          <w:highlight w:val="none"/>
          <w:lang w:val="en-US" w:eastAsia="zh-CN" w:bidi="ar-SA"/>
        </w:rPr>
        <w:t>质保期为</w:t>
      </w:r>
      <w:r>
        <w:rPr>
          <w:rFonts w:hint="eastAsia" w:ascii="宋体" w:hAnsi="宋体" w:eastAsia="宋体" w:cs="宋体"/>
          <w:b/>
          <w:bCs/>
          <w:color w:val="auto"/>
          <w:sz w:val="21"/>
          <w:szCs w:val="21"/>
          <w:highlight w:val="none"/>
          <w:lang w:val="zh-CN"/>
        </w:rPr>
        <w:t>3年，</w:t>
      </w:r>
      <w:r>
        <w:rPr>
          <w:rFonts w:hint="eastAsia" w:hAnsi="宋体" w:cs="宋体"/>
          <w:color w:val="auto"/>
          <w:sz w:val="21"/>
          <w:szCs w:val="21"/>
          <w:highlight w:val="none"/>
        </w:rPr>
        <w:t>自交货验收合格之日起计</w:t>
      </w:r>
      <w:r>
        <w:rPr>
          <w:rFonts w:hint="eastAsia" w:ascii="Times New Roman" w:hAnsi="宋体" w:eastAsia="宋体" w:cs="宋体"/>
          <w:color w:val="auto"/>
          <w:sz w:val="21"/>
          <w:szCs w:val="21"/>
          <w:highlight w:val="none"/>
          <w:lang w:val="zh-CN"/>
        </w:rPr>
        <w:t>（</w:t>
      </w:r>
      <w:r>
        <w:rPr>
          <w:rFonts w:hint="eastAsia" w:ascii="Times New Roman" w:hAnsi="宋体" w:eastAsia="宋体" w:cs="宋体"/>
          <w:color w:val="auto"/>
          <w:sz w:val="21"/>
          <w:szCs w:val="21"/>
          <w:highlight w:val="none"/>
          <w:lang w:val="en-US" w:eastAsia="zh-CN"/>
        </w:rPr>
        <w:t>其中国际出口下一代防火墙(万兆)、国际出口上网行为管理系统、国际出口负载均衡、国内出口下一代防火墙（万兆）、APT威胁检测系统的质保期为5年，合同签订前提供原厂质保函</w:t>
      </w:r>
      <w:r>
        <w:rPr>
          <w:rFonts w:hint="eastAsia" w:ascii="Times New Roman" w:hAnsi="宋体" w:eastAsia="宋体" w:cs="宋体"/>
          <w:color w:val="auto"/>
          <w:sz w:val="21"/>
          <w:szCs w:val="21"/>
          <w:highlight w:val="none"/>
          <w:lang w:val="zh-CN"/>
        </w:rPr>
        <w:t>）</w:t>
      </w:r>
      <w:r>
        <w:rPr>
          <w:rFonts w:hint="eastAsia" w:ascii="宋体" w:hAnsi="宋体" w:eastAsia="宋体" w:cs="宋体"/>
          <w:color w:val="auto"/>
          <w:kern w:val="2"/>
          <w:sz w:val="21"/>
          <w:szCs w:val="21"/>
          <w:highlight w:val="none"/>
          <w:lang w:val="zh-CN" w:eastAsia="zh-CN" w:bidi="ar-SA"/>
        </w:rPr>
        <w:t>，其</w:t>
      </w:r>
      <w:r>
        <w:rPr>
          <w:rFonts w:hint="eastAsia" w:ascii="宋体" w:hAnsi="宋体" w:eastAsia="宋体" w:cs="宋体"/>
          <w:color w:val="auto"/>
          <w:kern w:val="2"/>
          <w:sz w:val="21"/>
          <w:szCs w:val="21"/>
          <w:highlight w:val="none"/>
          <w:lang w:val="en-US" w:eastAsia="zh-CN" w:bidi="ar-SA"/>
        </w:rPr>
        <w:t>价格</w:t>
      </w:r>
      <w:r>
        <w:rPr>
          <w:rFonts w:hint="eastAsia" w:ascii="宋体" w:hAnsi="宋体" w:eastAsia="宋体" w:cs="宋体"/>
          <w:color w:val="auto"/>
          <w:kern w:val="2"/>
          <w:sz w:val="21"/>
          <w:szCs w:val="21"/>
          <w:highlight w:val="none"/>
          <w:lang w:val="zh-CN" w:eastAsia="zh-CN" w:bidi="ar-SA"/>
        </w:rPr>
        <w:t>应已含在产品报价内。</w:t>
      </w:r>
      <w:r>
        <w:rPr>
          <w:rFonts w:hint="eastAsia" w:ascii="宋体" w:hAnsi="宋体" w:eastAsia="宋体" w:cs="宋体"/>
          <w:color w:val="auto"/>
          <w:kern w:val="2"/>
          <w:sz w:val="21"/>
          <w:szCs w:val="21"/>
          <w:highlight w:val="none"/>
          <w:lang w:val="en-US" w:eastAsia="zh-CN" w:bidi="ar-SA"/>
        </w:rPr>
        <w:t>质保</w:t>
      </w:r>
      <w:r>
        <w:rPr>
          <w:rFonts w:hint="eastAsia" w:ascii="宋体" w:hAnsi="宋体" w:eastAsia="宋体" w:cs="宋体"/>
          <w:color w:val="auto"/>
          <w:kern w:val="2"/>
          <w:sz w:val="21"/>
          <w:szCs w:val="21"/>
          <w:highlight w:val="none"/>
          <w:lang w:val="zh-CN" w:eastAsia="zh-CN" w:bidi="ar-SA"/>
        </w:rPr>
        <w:t>范围包括所有主、配件及现场上门服务。在免费</w:t>
      </w:r>
      <w:r>
        <w:rPr>
          <w:rFonts w:hint="eastAsia" w:ascii="宋体" w:hAnsi="宋体" w:eastAsia="宋体" w:cs="宋体"/>
          <w:color w:val="auto"/>
          <w:kern w:val="2"/>
          <w:sz w:val="21"/>
          <w:szCs w:val="21"/>
          <w:highlight w:val="none"/>
          <w:lang w:val="en-US" w:eastAsia="zh-CN" w:bidi="ar-SA"/>
        </w:rPr>
        <w:t>质保期</w:t>
      </w:r>
      <w:r>
        <w:rPr>
          <w:rFonts w:hint="eastAsia" w:ascii="宋体" w:hAnsi="宋体" w:eastAsia="宋体" w:cs="宋体"/>
          <w:color w:val="auto"/>
          <w:kern w:val="2"/>
          <w:sz w:val="21"/>
          <w:szCs w:val="21"/>
          <w:highlight w:val="none"/>
          <w:lang w:val="zh-CN" w:eastAsia="zh-CN" w:bidi="ar-SA"/>
        </w:rPr>
        <w:t>内，如果产品发生故障，中标单位要调查故障原因并修复直至满足最终验收指标和性能的要求，或者更换整个或部分有缺陷的材料或软件。以上都是免费的。免费提供质保期内备品备件，并根据招标人要求安装或移位；中标单位对主要设备须提供足够的备品备件、附件和耗材并保证是原厂生产，以满足设备正常运行的需要。上述项目建设含所有集成、安装、调试等所有费用。</w:t>
      </w:r>
    </w:p>
    <w:p w14:paraId="00312FCE">
      <w:pPr>
        <w:pStyle w:val="5"/>
        <w:keepNext w:val="0"/>
        <w:keepLines w:val="0"/>
        <w:pageBreakBefore w:val="0"/>
        <w:widowControl/>
        <w:kinsoku/>
        <w:wordWrap/>
        <w:overflowPunct/>
        <w:topLinePunct w:val="0"/>
        <w:autoSpaceDE/>
        <w:autoSpaceDN/>
        <w:bidi w:val="0"/>
        <w:adjustRightInd/>
        <w:snapToGrid w:val="0"/>
        <w:spacing w:line="360" w:lineRule="auto"/>
        <w:ind w:firstLine="482"/>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zh-CN" w:eastAsia="zh-CN" w:bidi="ar-SA"/>
        </w:rPr>
        <w:t>）中标单位应保证对软件系统提供至少3年的免费质保期，在质保运维期内由于软件本身质量原因造成的任何损伤或损坏，中标人须免费负责修复、升级、更换。</w:t>
      </w:r>
    </w:p>
    <w:p w14:paraId="15A76A91">
      <w:pPr>
        <w:pStyle w:val="3"/>
        <w:pageBreakBefore w:val="0"/>
        <w:numPr>
          <w:ilvl w:val="1"/>
          <w:numId w:val="0"/>
        </w:numPr>
        <w:kinsoku/>
        <w:wordWrap/>
        <w:overflowPunct/>
        <w:topLinePunct w:val="0"/>
        <w:autoSpaceDE/>
        <w:autoSpaceDN/>
        <w:bidi w:val="0"/>
        <w:adjustRightInd/>
        <w:snapToGrid/>
        <w:spacing w:before="0" w:after="0" w:line="360" w:lineRule="auto"/>
        <w:ind w:firstLine="442" w:firstLineChars="200"/>
        <w:jc w:val="both"/>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6.3支付方式</w:t>
      </w:r>
    </w:p>
    <w:p w14:paraId="10C52ADC">
      <w:pPr>
        <w:pStyle w:val="5"/>
        <w:keepNext w:val="0"/>
        <w:keepLines w:val="0"/>
        <w:pageBreakBefore w:val="0"/>
        <w:widowControl/>
        <w:kinsoku/>
        <w:wordWrap/>
        <w:overflowPunct/>
        <w:topLinePunct w:val="0"/>
        <w:autoSpaceDE/>
        <w:autoSpaceDN/>
        <w:bidi w:val="0"/>
        <w:adjustRightInd/>
        <w:snapToGrid w:val="0"/>
        <w:spacing w:line="360" w:lineRule="auto"/>
        <w:ind w:firstLine="480"/>
        <w:textAlignment w:val="auto"/>
        <w:rPr>
          <w:color w:val="auto"/>
          <w:sz w:val="21"/>
          <w:szCs w:val="21"/>
          <w:highlight w:val="none"/>
        </w:rPr>
      </w:pPr>
      <w:r>
        <w:rPr>
          <w:rFonts w:hint="eastAsia"/>
          <w:color w:val="auto"/>
          <w:sz w:val="21"/>
          <w:szCs w:val="21"/>
          <w:highlight w:val="none"/>
        </w:rPr>
        <w:t>采用支付进度款的方式，具体按以下方式支付：</w:t>
      </w:r>
    </w:p>
    <w:p w14:paraId="2141483B">
      <w:pPr>
        <w:pStyle w:val="5"/>
        <w:keepNext w:val="0"/>
        <w:keepLines w:val="0"/>
        <w:pageBreakBefore w:val="0"/>
        <w:widowControl/>
        <w:numPr>
          <w:ilvl w:val="0"/>
          <w:numId w:val="0"/>
        </w:numPr>
        <w:kinsoku/>
        <w:wordWrap/>
        <w:overflowPunct/>
        <w:topLinePunct w:val="0"/>
        <w:autoSpaceDE/>
        <w:autoSpaceDN/>
        <w:bidi w:val="0"/>
        <w:adjustRightInd/>
        <w:snapToGrid w:val="0"/>
        <w:spacing w:line="360" w:lineRule="auto"/>
        <w:ind w:left="480" w:leftChars="0"/>
        <w:textAlignment w:val="auto"/>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Style w:val="31"/>
          <w:rFonts w:hint="eastAsia"/>
          <w:b w:val="0"/>
          <w:bCs w:val="0"/>
          <w:color w:val="auto"/>
          <w:sz w:val="21"/>
          <w:szCs w:val="21"/>
          <w:highlight w:val="none"/>
        </w:rPr>
        <w:t>合同签订并具备实施条件后7个工作日内支付合同总金额的</w:t>
      </w:r>
      <w:r>
        <w:rPr>
          <w:rStyle w:val="31"/>
          <w:rFonts w:hint="eastAsia"/>
          <w:b w:val="0"/>
          <w:bCs w:val="0"/>
          <w:color w:val="auto"/>
          <w:sz w:val="21"/>
          <w:szCs w:val="21"/>
          <w:highlight w:val="none"/>
          <w:lang w:val="en-US" w:eastAsia="zh-CN"/>
        </w:rPr>
        <w:t>40</w:t>
      </w:r>
      <w:r>
        <w:rPr>
          <w:rStyle w:val="31"/>
          <w:rFonts w:hint="eastAsia"/>
          <w:b w:val="0"/>
          <w:bCs w:val="0"/>
          <w:color w:val="auto"/>
          <w:sz w:val="21"/>
          <w:szCs w:val="21"/>
          <w:highlight w:val="none"/>
        </w:rPr>
        <w:t>%作为预付款</w:t>
      </w:r>
      <w:r>
        <w:rPr>
          <w:color w:val="auto"/>
          <w:sz w:val="21"/>
          <w:szCs w:val="21"/>
          <w:highlight w:val="none"/>
        </w:rPr>
        <w:t>；</w:t>
      </w:r>
    </w:p>
    <w:p w14:paraId="4630DB1A">
      <w:pPr>
        <w:pStyle w:val="5"/>
        <w:keepNext w:val="0"/>
        <w:keepLines w:val="0"/>
        <w:pageBreakBefore w:val="0"/>
        <w:widowControl/>
        <w:numPr>
          <w:ilvl w:val="0"/>
          <w:numId w:val="0"/>
        </w:numPr>
        <w:kinsoku/>
        <w:wordWrap/>
        <w:overflowPunct/>
        <w:topLinePunct w:val="0"/>
        <w:autoSpaceDE/>
        <w:autoSpaceDN/>
        <w:bidi w:val="0"/>
        <w:adjustRightInd/>
        <w:snapToGrid w:val="0"/>
        <w:spacing w:line="360" w:lineRule="auto"/>
        <w:ind w:left="480" w:leftChars="0"/>
        <w:textAlignment w:val="auto"/>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项目初验通过后支付至合同总价6</w:t>
      </w:r>
      <w:r>
        <w:rPr>
          <w:color w:val="auto"/>
          <w:sz w:val="21"/>
          <w:szCs w:val="21"/>
          <w:highlight w:val="none"/>
        </w:rPr>
        <w:t>0%；</w:t>
      </w:r>
    </w:p>
    <w:p w14:paraId="15AFA67F">
      <w:pPr>
        <w:pStyle w:val="5"/>
        <w:keepNext w:val="0"/>
        <w:keepLines w:val="0"/>
        <w:pageBreakBefore w:val="0"/>
        <w:widowControl/>
        <w:numPr>
          <w:ilvl w:val="0"/>
          <w:numId w:val="0"/>
        </w:numPr>
        <w:kinsoku/>
        <w:wordWrap/>
        <w:overflowPunct/>
        <w:topLinePunct w:val="0"/>
        <w:autoSpaceDE/>
        <w:autoSpaceDN/>
        <w:bidi w:val="0"/>
        <w:adjustRightInd/>
        <w:snapToGrid w:val="0"/>
        <w:spacing w:line="360" w:lineRule="auto"/>
        <w:ind w:left="480" w:leftChars="0"/>
        <w:textAlignment w:val="auto"/>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rFonts w:hint="eastAsia"/>
          <w:color w:val="auto"/>
          <w:sz w:val="21"/>
          <w:szCs w:val="21"/>
          <w:highlight w:val="none"/>
        </w:rPr>
        <w:t>项目终验后支付合同总价的10</w:t>
      </w:r>
      <w:r>
        <w:rPr>
          <w:color w:val="auto"/>
          <w:sz w:val="21"/>
          <w:szCs w:val="21"/>
          <w:highlight w:val="none"/>
        </w:rPr>
        <w:t>0%；</w:t>
      </w:r>
    </w:p>
    <w:p w14:paraId="4EBC7AE5">
      <w:pPr>
        <w:pStyle w:val="3"/>
        <w:pageBreakBefore w:val="0"/>
        <w:numPr>
          <w:ilvl w:val="1"/>
          <w:numId w:val="0"/>
        </w:numPr>
        <w:kinsoku/>
        <w:wordWrap/>
        <w:overflowPunct/>
        <w:topLinePunct w:val="0"/>
        <w:autoSpaceDE/>
        <w:autoSpaceDN/>
        <w:bidi w:val="0"/>
        <w:adjustRightInd/>
        <w:snapToGrid/>
        <w:spacing w:before="0" w:after="0" w:line="360" w:lineRule="auto"/>
        <w:ind w:firstLine="442" w:firstLineChars="200"/>
        <w:jc w:val="both"/>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6.4安装、测试及系统集成要求</w:t>
      </w:r>
    </w:p>
    <w:p w14:paraId="2CBA0C22">
      <w:pPr>
        <w:pStyle w:val="5"/>
        <w:keepNext w:val="0"/>
        <w:keepLines w:val="0"/>
        <w:pageBreakBefore w:val="0"/>
        <w:widowControl/>
        <w:kinsoku/>
        <w:wordWrap/>
        <w:overflowPunct/>
        <w:topLinePunct w:val="0"/>
        <w:autoSpaceDE/>
        <w:autoSpaceDN/>
        <w:bidi w:val="0"/>
        <w:adjustRightInd/>
        <w:snapToGrid w:val="0"/>
        <w:spacing w:line="360" w:lineRule="auto"/>
        <w:ind w:firstLine="482"/>
        <w:textAlignment w:val="auto"/>
        <w:rPr>
          <w:color w:val="auto"/>
          <w:sz w:val="22"/>
          <w:szCs w:val="22"/>
          <w:highlight w:val="none"/>
        </w:rPr>
      </w:pPr>
      <w:r>
        <w:rPr>
          <w:rFonts w:hint="eastAsia"/>
          <w:color w:val="auto"/>
          <w:sz w:val="22"/>
          <w:szCs w:val="22"/>
          <w:highlight w:val="none"/>
          <w:lang w:eastAsia="zh-CN"/>
        </w:rPr>
        <w:t>（</w:t>
      </w:r>
      <w:r>
        <w:rPr>
          <w:rFonts w:hint="eastAsia"/>
          <w:color w:val="auto"/>
          <w:sz w:val="22"/>
          <w:szCs w:val="22"/>
          <w:highlight w:val="none"/>
          <w:lang w:val="en-US" w:eastAsia="zh-CN"/>
        </w:rPr>
        <w:t>1</w:t>
      </w:r>
      <w:r>
        <w:rPr>
          <w:rFonts w:hint="eastAsia"/>
          <w:color w:val="auto"/>
          <w:sz w:val="22"/>
          <w:szCs w:val="22"/>
          <w:highlight w:val="none"/>
          <w:lang w:eastAsia="zh-CN"/>
        </w:rPr>
        <w:t>）</w:t>
      </w:r>
      <w:r>
        <w:rPr>
          <w:rFonts w:hint="eastAsia"/>
          <w:color w:val="auto"/>
          <w:sz w:val="22"/>
          <w:szCs w:val="22"/>
          <w:highlight w:val="none"/>
        </w:rPr>
        <w:t>中标单位应按本项目范围内相关设备的现场安装部署、集成、测试和调试，保证系统功能、性能要求的实现，提供售后服务。</w:t>
      </w:r>
    </w:p>
    <w:p w14:paraId="23CB0A24">
      <w:pPr>
        <w:pStyle w:val="5"/>
        <w:keepNext w:val="0"/>
        <w:keepLines w:val="0"/>
        <w:pageBreakBefore w:val="0"/>
        <w:widowControl/>
        <w:kinsoku/>
        <w:wordWrap/>
        <w:overflowPunct/>
        <w:topLinePunct w:val="0"/>
        <w:autoSpaceDE/>
        <w:autoSpaceDN/>
        <w:bidi w:val="0"/>
        <w:adjustRightInd/>
        <w:snapToGrid w:val="0"/>
        <w:spacing w:line="360" w:lineRule="auto"/>
        <w:ind w:firstLine="482"/>
        <w:textAlignment w:val="auto"/>
        <w:rPr>
          <w:color w:val="auto"/>
          <w:sz w:val="22"/>
          <w:szCs w:val="22"/>
          <w:highlight w:val="none"/>
        </w:rPr>
      </w:pPr>
      <w:r>
        <w:rPr>
          <w:rFonts w:hint="eastAsia"/>
          <w:color w:val="auto"/>
          <w:sz w:val="22"/>
          <w:szCs w:val="22"/>
          <w:highlight w:val="none"/>
          <w:lang w:eastAsia="zh-CN"/>
        </w:rPr>
        <w:t>（</w:t>
      </w:r>
      <w:r>
        <w:rPr>
          <w:rFonts w:hint="eastAsia"/>
          <w:color w:val="auto"/>
          <w:sz w:val="22"/>
          <w:szCs w:val="22"/>
          <w:highlight w:val="none"/>
          <w:lang w:val="en-US" w:eastAsia="zh-CN"/>
        </w:rPr>
        <w:t>2</w:t>
      </w:r>
      <w:r>
        <w:rPr>
          <w:rFonts w:hint="eastAsia"/>
          <w:color w:val="auto"/>
          <w:sz w:val="22"/>
          <w:szCs w:val="22"/>
          <w:highlight w:val="none"/>
          <w:lang w:eastAsia="zh-CN"/>
        </w:rPr>
        <w:t>）</w:t>
      </w:r>
      <w:r>
        <w:rPr>
          <w:rFonts w:hint="eastAsia"/>
          <w:color w:val="auto"/>
          <w:sz w:val="22"/>
          <w:szCs w:val="22"/>
          <w:highlight w:val="none"/>
        </w:rPr>
        <w:t>在安装、配置和测试、调试过程中，中标单位应对最终用户技术人员所提出的技术问题，给予满意的答复；</w:t>
      </w:r>
    </w:p>
    <w:p w14:paraId="6E2DA975">
      <w:pPr>
        <w:pStyle w:val="5"/>
        <w:keepNext w:val="0"/>
        <w:keepLines w:val="0"/>
        <w:pageBreakBefore w:val="0"/>
        <w:widowControl/>
        <w:kinsoku/>
        <w:wordWrap/>
        <w:overflowPunct/>
        <w:topLinePunct w:val="0"/>
        <w:autoSpaceDE/>
        <w:autoSpaceDN/>
        <w:bidi w:val="0"/>
        <w:adjustRightInd/>
        <w:snapToGrid w:val="0"/>
        <w:spacing w:line="360" w:lineRule="auto"/>
        <w:ind w:firstLine="482"/>
        <w:textAlignment w:val="auto"/>
        <w:rPr>
          <w:color w:val="auto"/>
          <w:sz w:val="22"/>
          <w:szCs w:val="22"/>
          <w:highlight w:val="none"/>
        </w:rPr>
      </w:pPr>
      <w:r>
        <w:rPr>
          <w:rFonts w:hint="eastAsia"/>
          <w:color w:val="auto"/>
          <w:sz w:val="22"/>
          <w:szCs w:val="22"/>
          <w:highlight w:val="none"/>
          <w:lang w:eastAsia="zh-CN"/>
        </w:rPr>
        <w:t>（</w:t>
      </w:r>
      <w:r>
        <w:rPr>
          <w:rFonts w:hint="eastAsia"/>
          <w:color w:val="auto"/>
          <w:sz w:val="22"/>
          <w:szCs w:val="22"/>
          <w:highlight w:val="none"/>
          <w:lang w:val="en-US" w:eastAsia="zh-CN"/>
        </w:rPr>
        <w:t>3</w:t>
      </w:r>
      <w:r>
        <w:rPr>
          <w:rFonts w:hint="eastAsia"/>
          <w:color w:val="auto"/>
          <w:sz w:val="22"/>
          <w:szCs w:val="22"/>
          <w:highlight w:val="none"/>
          <w:lang w:eastAsia="zh-CN"/>
        </w:rPr>
        <w:t>）</w:t>
      </w:r>
      <w:r>
        <w:rPr>
          <w:rFonts w:hint="eastAsia"/>
          <w:color w:val="auto"/>
          <w:sz w:val="22"/>
          <w:szCs w:val="22"/>
          <w:highlight w:val="none"/>
        </w:rPr>
        <w:t>要求有完整的安装和配置程序，配置详细的系统安装配置说明手册、用户使用说明书和系统维护说明书。系统实际安装与操作必须与说明书描述一致。</w:t>
      </w:r>
    </w:p>
    <w:p w14:paraId="3960C473">
      <w:pPr>
        <w:pStyle w:val="5"/>
        <w:keepNext w:val="0"/>
        <w:keepLines w:val="0"/>
        <w:pageBreakBefore w:val="0"/>
        <w:widowControl/>
        <w:kinsoku/>
        <w:wordWrap/>
        <w:overflowPunct/>
        <w:topLinePunct w:val="0"/>
        <w:autoSpaceDE/>
        <w:autoSpaceDN/>
        <w:bidi w:val="0"/>
        <w:adjustRightInd/>
        <w:snapToGrid w:val="0"/>
        <w:spacing w:line="360" w:lineRule="auto"/>
        <w:ind w:firstLine="482"/>
        <w:textAlignment w:val="auto"/>
        <w:rPr>
          <w:color w:val="auto"/>
          <w:sz w:val="22"/>
          <w:szCs w:val="22"/>
          <w:highlight w:val="none"/>
        </w:rPr>
      </w:pPr>
      <w:r>
        <w:rPr>
          <w:rFonts w:hint="eastAsia"/>
          <w:color w:val="auto"/>
          <w:sz w:val="22"/>
          <w:szCs w:val="22"/>
          <w:highlight w:val="none"/>
          <w:lang w:eastAsia="zh-CN"/>
        </w:rPr>
        <w:t>（</w:t>
      </w:r>
      <w:r>
        <w:rPr>
          <w:rFonts w:hint="eastAsia"/>
          <w:color w:val="auto"/>
          <w:sz w:val="22"/>
          <w:szCs w:val="22"/>
          <w:highlight w:val="none"/>
          <w:lang w:val="en-US" w:eastAsia="zh-CN"/>
        </w:rPr>
        <w:t>4</w:t>
      </w:r>
      <w:r>
        <w:rPr>
          <w:rFonts w:hint="eastAsia"/>
          <w:color w:val="auto"/>
          <w:sz w:val="22"/>
          <w:szCs w:val="22"/>
          <w:highlight w:val="none"/>
          <w:lang w:eastAsia="zh-CN"/>
        </w:rPr>
        <w:t>）</w:t>
      </w:r>
      <w:r>
        <w:rPr>
          <w:rFonts w:hint="eastAsia"/>
          <w:color w:val="auto"/>
          <w:sz w:val="22"/>
          <w:szCs w:val="22"/>
          <w:highlight w:val="none"/>
        </w:rPr>
        <w:t>项目实施过程中，如果牵涉到与第三方产品集成工作，中标单位应与系统集成商及其他中标单位通力合作，并提供必要的技术支持。</w:t>
      </w:r>
    </w:p>
    <w:p w14:paraId="56195841">
      <w:pPr>
        <w:pStyle w:val="5"/>
        <w:keepNext w:val="0"/>
        <w:keepLines w:val="0"/>
        <w:pageBreakBefore w:val="0"/>
        <w:widowControl/>
        <w:kinsoku/>
        <w:wordWrap/>
        <w:overflowPunct/>
        <w:topLinePunct w:val="0"/>
        <w:autoSpaceDE/>
        <w:autoSpaceDN/>
        <w:bidi w:val="0"/>
        <w:adjustRightInd/>
        <w:snapToGrid w:val="0"/>
        <w:spacing w:line="360" w:lineRule="auto"/>
        <w:ind w:firstLine="482"/>
        <w:textAlignment w:val="auto"/>
        <w:rPr>
          <w:color w:val="auto"/>
          <w:sz w:val="22"/>
          <w:szCs w:val="22"/>
          <w:highlight w:val="none"/>
        </w:rPr>
      </w:pPr>
      <w:r>
        <w:rPr>
          <w:rFonts w:hint="eastAsia"/>
          <w:color w:val="auto"/>
          <w:sz w:val="22"/>
          <w:szCs w:val="22"/>
          <w:highlight w:val="none"/>
          <w:lang w:eastAsia="zh-CN"/>
        </w:rPr>
        <w:t>（</w:t>
      </w:r>
      <w:r>
        <w:rPr>
          <w:rFonts w:hint="eastAsia"/>
          <w:color w:val="auto"/>
          <w:sz w:val="22"/>
          <w:szCs w:val="22"/>
          <w:highlight w:val="none"/>
          <w:lang w:val="en-US" w:eastAsia="zh-CN"/>
        </w:rPr>
        <w:t>5</w:t>
      </w:r>
      <w:r>
        <w:rPr>
          <w:rFonts w:hint="eastAsia"/>
          <w:color w:val="auto"/>
          <w:sz w:val="22"/>
          <w:szCs w:val="22"/>
          <w:highlight w:val="none"/>
          <w:lang w:eastAsia="zh-CN"/>
        </w:rPr>
        <w:t>）</w:t>
      </w:r>
      <w:r>
        <w:rPr>
          <w:rFonts w:hint="eastAsia"/>
          <w:color w:val="auto"/>
          <w:sz w:val="22"/>
          <w:szCs w:val="22"/>
          <w:highlight w:val="none"/>
        </w:rPr>
        <w:t>中标单位负责解决系统建设中全部技术问题，对用户单位项目建设中碰到的其他技术问题，有责任和义务提供咨询和帮助。</w:t>
      </w:r>
    </w:p>
    <w:p w14:paraId="5EF074B4">
      <w:pPr>
        <w:pStyle w:val="3"/>
        <w:pageBreakBefore w:val="0"/>
        <w:numPr>
          <w:ilvl w:val="1"/>
          <w:numId w:val="0"/>
        </w:numPr>
        <w:kinsoku/>
        <w:wordWrap/>
        <w:overflowPunct/>
        <w:topLinePunct w:val="0"/>
        <w:autoSpaceDE/>
        <w:autoSpaceDN/>
        <w:bidi w:val="0"/>
        <w:adjustRightInd/>
        <w:snapToGrid/>
        <w:spacing w:before="0" w:after="0" w:line="360" w:lineRule="auto"/>
        <w:ind w:firstLine="442" w:firstLineChars="200"/>
        <w:jc w:val="both"/>
        <w:textAlignment w:val="auto"/>
        <w:rPr>
          <w:rFonts w:hint="eastAsia" w:ascii="宋体" w:hAnsi="宋体" w:eastAsia="宋体" w:cs="宋体"/>
          <w:b/>
          <w:bCs/>
          <w:color w:val="auto"/>
          <w:kern w:val="2"/>
          <w:sz w:val="22"/>
          <w:szCs w:val="22"/>
          <w:highlight w:val="none"/>
          <w:lang w:val="en-US" w:eastAsia="zh-CN" w:bidi="ar-SA"/>
        </w:rPr>
      </w:pPr>
      <w:bookmarkStart w:id="93" w:name="_Toc436664884"/>
      <w:r>
        <w:rPr>
          <w:rFonts w:hint="eastAsia" w:ascii="宋体" w:hAnsi="宋体" w:eastAsia="宋体" w:cs="宋体"/>
          <w:b/>
          <w:bCs/>
          <w:color w:val="auto"/>
          <w:kern w:val="2"/>
          <w:sz w:val="22"/>
          <w:szCs w:val="22"/>
          <w:highlight w:val="none"/>
          <w:lang w:val="en-US" w:eastAsia="zh-CN" w:bidi="ar-SA"/>
        </w:rPr>
        <w:t>6.5项目验收要求</w:t>
      </w:r>
      <w:bookmarkEnd w:id="93"/>
    </w:p>
    <w:p w14:paraId="6E5E556B">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了合同要求的全部建设内容和文档资料，满足合同及招标文件、中标单位投标响应文件要求；试运行时性能满足合同要求；试运行验收时出现的问题已被解决；项目通过第三方机构的相关系统测评并完成整改工作；系统符合IRS针对数据、组件等审查要求。</w:t>
      </w:r>
    </w:p>
    <w:p w14:paraId="0C410DD2">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中标单位应配合本项目第三方评测机构进行相关系统测评，并对测试结果中出现的问题或缺陷进行整改，直到满足要求为止。</w:t>
      </w:r>
    </w:p>
    <w:p w14:paraId="1833508D">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在整个项目建设过程中，中标单位如果使用第三方产品，必须作出采购单位关于知识产权免责申明的承诺。</w:t>
      </w:r>
    </w:p>
    <w:p w14:paraId="6D7CA31C">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项目的验收包括初步验收、试运行和</w:t>
      </w:r>
      <w:r>
        <w:rPr>
          <w:rFonts w:hint="eastAsia" w:ascii="宋体" w:hAnsi="宋体" w:eastAsia="宋体" w:cs="宋体"/>
          <w:color w:val="auto"/>
          <w:sz w:val="21"/>
          <w:szCs w:val="21"/>
          <w:highlight w:val="none"/>
        </w:rPr>
        <w:t>终验</w:t>
      </w:r>
      <w:r>
        <w:rPr>
          <w:rFonts w:hint="eastAsia" w:ascii="宋体" w:hAnsi="宋体" w:eastAsia="宋体" w:cs="宋体"/>
          <w:color w:val="auto"/>
          <w:sz w:val="21"/>
          <w:szCs w:val="21"/>
          <w:highlight w:val="none"/>
          <w:lang w:val="zh-CN"/>
        </w:rPr>
        <w:t>。</w:t>
      </w:r>
    </w:p>
    <w:p w14:paraId="4DC3AE2E">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1）设备到货</w:t>
      </w:r>
    </w:p>
    <w:p w14:paraId="771B224E">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同时设备到货后，采购人与中标单位共同对所有设备进行开箱检查，出现损坏、数量不全或产品不对等问题时，由中标人负责解决。</w:t>
      </w:r>
    </w:p>
    <w:p w14:paraId="74FC8281">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）项目初验</w:t>
      </w:r>
    </w:p>
    <w:p w14:paraId="738C5B17">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甲方成立项目验收委员会，由项目验收委员会组织项目初验，根据项目验收标准进行验收。项目初</w:t>
      </w:r>
    </w:p>
    <w:p w14:paraId="616A8D49">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验前，中标方应首先对系统进行自测，并将系统自测报告提交项目验收委员会和监理方审查。中标方依本合同约定向甲方提交成果及相关文档，并向甲方提出初验申请。甲方接到中标方初验申请后，由项目验收委员会进行初验，初验合格后联合签署初验报告。</w:t>
      </w:r>
    </w:p>
    <w:p w14:paraId="1D77BBAD">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）试运行</w:t>
      </w:r>
    </w:p>
    <w:p w14:paraId="21E82E5B">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初验合格之日起，系统进入试运行，试运行时间为</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个月。</w:t>
      </w:r>
    </w:p>
    <w:p w14:paraId="10C9DA09">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终验</w:t>
      </w:r>
    </w:p>
    <w:p w14:paraId="0D86E373">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宋体" w:hAnsi="宋体" w:eastAsia="宋体" w:cs="宋体"/>
          <w:color w:val="auto"/>
          <w:sz w:val="21"/>
          <w:szCs w:val="21"/>
          <w:highlight w:val="none"/>
          <w:lang w:val="zh-CN"/>
        </w:rPr>
        <w:t>系统通过试运行后，中标方向甲方提出</w:t>
      </w:r>
      <w:r>
        <w:rPr>
          <w:rFonts w:hint="eastAsia" w:ascii="宋体" w:hAnsi="宋体" w:eastAsia="宋体" w:cs="宋体"/>
          <w:color w:val="auto"/>
          <w:sz w:val="21"/>
          <w:szCs w:val="21"/>
          <w:highlight w:val="none"/>
        </w:rPr>
        <w:t>终验</w:t>
      </w:r>
      <w:r>
        <w:rPr>
          <w:rFonts w:hint="eastAsia" w:ascii="宋体" w:hAnsi="宋体" w:eastAsia="宋体" w:cs="宋体"/>
          <w:color w:val="auto"/>
          <w:sz w:val="21"/>
          <w:szCs w:val="21"/>
          <w:highlight w:val="none"/>
          <w:lang w:val="zh-CN"/>
        </w:rPr>
        <w:t>申请，甲方</w:t>
      </w:r>
      <w:r>
        <w:rPr>
          <w:rFonts w:hint="eastAsia" w:ascii="宋体" w:hAnsi="宋体" w:eastAsia="宋体" w:cs="宋体"/>
          <w:color w:val="auto"/>
          <w:sz w:val="21"/>
          <w:szCs w:val="21"/>
          <w:highlight w:val="none"/>
        </w:rPr>
        <w:t>提请区相关部门</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对本项目终验</w:t>
      </w:r>
      <w:r>
        <w:rPr>
          <w:rFonts w:hint="eastAsia" w:ascii="宋体" w:hAnsi="宋体" w:eastAsia="宋体" w:cs="宋体"/>
          <w:color w:val="auto"/>
          <w:sz w:val="21"/>
          <w:szCs w:val="21"/>
          <w:highlight w:val="none"/>
          <w:lang w:val="zh-CN"/>
        </w:rPr>
        <w:t>。</w:t>
      </w:r>
      <w:bookmarkStart w:id="94" w:name="_Hlk157602515"/>
    </w:p>
    <w:bookmarkEnd w:id="94"/>
    <w:p w14:paraId="4723AD92">
      <w:pPr>
        <w:pStyle w:val="3"/>
        <w:pageBreakBefore w:val="0"/>
        <w:numPr>
          <w:ilvl w:val="1"/>
          <w:numId w:val="0"/>
        </w:numPr>
        <w:kinsoku/>
        <w:wordWrap/>
        <w:overflowPunct/>
        <w:topLinePunct w:val="0"/>
        <w:autoSpaceDE/>
        <w:autoSpaceDN/>
        <w:bidi w:val="0"/>
        <w:adjustRightInd/>
        <w:snapToGrid/>
        <w:spacing w:before="0" w:after="0" w:line="360" w:lineRule="auto"/>
        <w:ind w:firstLine="442" w:firstLineChars="200"/>
        <w:jc w:val="both"/>
        <w:textAlignment w:val="auto"/>
        <w:rPr>
          <w:rFonts w:hint="eastAsia" w:ascii="宋体" w:hAnsi="宋体" w:eastAsia="宋体" w:cs="宋体"/>
          <w:b/>
          <w:bCs/>
          <w:color w:val="auto"/>
          <w:kern w:val="2"/>
          <w:sz w:val="22"/>
          <w:szCs w:val="22"/>
          <w:highlight w:val="none"/>
          <w:lang w:val="en-US" w:eastAsia="zh-CN" w:bidi="ar-SA"/>
        </w:rPr>
      </w:pPr>
      <w:bookmarkStart w:id="95" w:name="_Toc436664883"/>
      <w:r>
        <w:rPr>
          <w:rFonts w:hint="eastAsia" w:ascii="宋体" w:hAnsi="宋体" w:eastAsia="宋体" w:cs="宋体"/>
          <w:b/>
          <w:bCs/>
          <w:color w:val="auto"/>
          <w:kern w:val="2"/>
          <w:sz w:val="22"/>
          <w:szCs w:val="22"/>
          <w:highlight w:val="none"/>
          <w:lang w:val="en-US" w:eastAsia="zh-CN" w:bidi="ar-SA"/>
        </w:rPr>
        <w:t>6.6交付要求</w:t>
      </w:r>
      <w:bookmarkEnd w:id="95"/>
    </w:p>
    <w:p w14:paraId="3D58FA01">
      <w:pPr>
        <w:pStyle w:val="5"/>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auto"/>
          <w:sz w:val="24"/>
          <w:szCs w:val="24"/>
          <w:highlight w:val="none"/>
        </w:rPr>
      </w:pPr>
      <w:r>
        <w:rPr>
          <w:rFonts w:hint="eastAsia" w:ascii="宋体" w:hAnsi="宋体" w:eastAsia="宋体" w:cs="宋体"/>
          <w:color w:val="auto"/>
          <w:sz w:val="21"/>
          <w:szCs w:val="21"/>
          <w:highlight w:val="none"/>
          <w:lang w:val="zh-CN"/>
        </w:rPr>
        <w:t>中标人应按照招标文件所约定的内容和时间进行交付；按照计算机软件工程规范国家标准分阶段交付应用系统的文档，所交付的文档与文件应该是电子版式及纸质形式。交付的文档包括但不限于：需求规格说明书、概要设计说明书、详细设计说明书、数据库设计说明书、项目测试方案、项目测试报告、用户操作手册、管理与维护手册、安装手册、总结报告及采购人认为需要的其他材料。</w:t>
      </w:r>
    </w:p>
    <w:p w14:paraId="445F1F73">
      <w:pPr>
        <w:pStyle w:val="3"/>
        <w:pageBreakBefore w:val="0"/>
        <w:numPr>
          <w:ilvl w:val="1"/>
          <w:numId w:val="0"/>
        </w:numPr>
        <w:kinsoku/>
        <w:wordWrap/>
        <w:overflowPunct/>
        <w:topLinePunct w:val="0"/>
        <w:autoSpaceDE/>
        <w:autoSpaceDN/>
        <w:bidi w:val="0"/>
        <w:adjustRightInd/>
        <w:snapToGrid/>
        <w:spacing w:before="0" w:after="0" w:line="360" w:lineRule="auto"/>
        <w:ind w:firstLine="442" w:firstLineChars="200"/>
        <w:jc w:val="both"/>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6.7运维要求</w:t>
      </w:r>
    </w:p>
    <w:p w14:paraId="46272908">
      <w:pPr>
        <w:pStyle w:val="27"/>
        <w:keepNext w:val="0"/>
        <w:keepLines w:val="0"/>
        <w:pageBreakBefore w:val="0"/>
        <w:widowControl w:val="0"/>
        <w:kinsoku/>
        <w:wordWrap/>
        <w:overflowPunct/>
        <w:topLinePunct w:val="0"/>
        <w:autoSpaceDE/>
        <w:autoSpaceDN/>
        <w:bidi w:val="0"/>
        <w:adjustRightInd/>
        <w:snapToGrid/>
        <w:spacing w:after="0" w:line="360" w:lineRule="auto"/>
        <w:ind w:left="0" w:firstLine="0"/>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1运维期限</w:t>
      </w:r>
    </w:p>
    <w:p w14:paraId="70C43C98">
      <w:pPr>
        <w:pStyle w:val="5"/>
        <w:keepNext w:val="0"/>
        <w:keepLines w:val="0"/>
        <w:pageBreakBefore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运维服务期限为</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p>
    <w:p w14:paraId="7B886590">
      <w:pPr>
        <w:pStyle w:val="27"/>
        <w:keepNext w:val="0"/>
        <w:keepLines w:val="0"/>
        <w:pageBreakBefore w:val="0"/>
        <w:kinsoku/>
        <w:wordWrap/>
        <w:overflowPunct/>
        <w:topLinePunct w:val="0"/>
        <w:autoSpaceDE/>
        <w:autoSpaceDN/>
        <w:bidi w:val="0"/>
        <w:adjustRightInd/>
        <w:spacing w:line="360" w:lineRule="auto"/>
        <w:ind w:left="0" w:firstLine="0"/>
        <w:textAlignment w:val="auto"/>
        <w:outlineLvl w:val="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2日常运维内容</w:t>
      </w:r>
      <w:r>
        <w:rPr>
          <w:rFonts w:hint="eastAsia" w:ascii="宋体" w:hAnsi="宋体" w:eastAsia="宋体" w:cs="宋体"/>
          <w:color w:val="auto"/>
          <w:sz w:val="21"/>
          <w:szCs w:val="21"/>
          <w:highlight w:val="none"/>
        </w:rPr>
        <w:tab/>
      </w:r>
    </w:p>
    <w:p w14:paraId="725077D4">
      <w:pPr>
        <w:pStyle w:val="5"/>
        <w:keepNext w:val="0"/>
        <w:keepLines w:val="0"/>
        <w:pageBreakBefore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1）日常巡检与维护</w:t>
      </w:r>
    </w:p>
    <w:p w14:paraId="1866BFDE">
      <w:pPr>
        <w:pStyle w:val="5"/>
        <w:keepNext w:val="0"/>
        <w:keepLines w:val="0"/>
        <w:pageBreakBefore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由中标单位制定巡检计划，并定期对硬件设备、软件系统进行巡检。检查设备运行状态、软件系统性能，及时发现并解决潜在问题，清理设备灰尘、更新软件版本等。</w:t>
      </w:r>
    </w:p>
    <w:p w14:paraId="2B66EE09">
      <w:pPr>
        <w:pStyle w:val="5"/>
        <w:keepNext w:val="0"/>
        <w:keepLines w:val="0"/>
        <w:pageBreakBefore w:val="0"/>
        <w:numPr>
          <w:ilvl w:val="1"/>
          <w:numId w:val="9"/>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对服务器、存储设备、网络设备等进行定期检查，确保其正常运行。检查监控设备、门禁设备等的工作状态，确保安防系统的有效性。</w:t>
      </w:r>
    </w:p>
    <w:p w14:paraId="7A3C8353">
      <w:pPr>
        <w:pStyle w:val="5"/>
        <w:keepNext w:val="0"/>
        <w:keepLines w:val="0"/>
        <w:pageBreakBefore w:val="0"/>
        <w:numPr>
          <w:ilvl w:val="1"/>
          <w:numId w:val="9"/>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对智能电表、智能水表、设备控制箱、设备采集网关、空气质量检测及温湿度传感器等物联网设备进行巡检，确保其数据采集和传输的准确性。</w:t>
      </w:r>
    </w:p>
    <w:p w14:paraId="3C10C445">
      <w:pPr>
        <w:pStyle w:val="5"/>
        <w:keepNext w:val="0"/>
        <w:keepLines w:val="0"/>
        <w:pageBreakBefore w:val="0"/>
        <w:numPr>
          <w:ilvl w:val="1"/>
          <w:numId w:val="9"/>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定期更新软件系统的版本，确保系统具备最新的功能和安全性。</w:t>
      </w:r>
    </w:p>
    <w:p w14:paraId="7AE8E596">
      <w:pPr>
        <w:pStyle w:val="5"/>
        <w:keepNext w:val="0"/>
        <w:keepLines w:val="0"/>
        <w:pageBreakBefore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巡检次数至少每月1次。</w:t>
      </w:r>
    </w:p>
    <w:p w14:paraId="64EAD399">
      <w:pPr>
        <w:pStyle w:val="5"/>
        <w:keepNext w:val="0"/>
        <w:keepLines w:val="0"/>
        <w:pageBreakBefore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2）故障处理与修复</w:t>
      </w:r>
    </w:p>
    <w:p w14:paraId="2CA6664A">
      <w:pPr>
        <w:pStyle w:val="5"/>
        <w:keepNext w:val="0"/>
        <w:keepLines w:val="0"/>
        <w:pageBreakBefore w:val="0"/>
        <w:numPr>
          <w:ilvl w:val="1"/>
          <w:numId w:val="10"/>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建立故障响应机制，及时处理系统故障。对故障进行诊断、分析，确定故障原因并采取相应的修复措施。记录故障处理过程和结果，总结经验教训，避免类似故障再次发生。</w:t>
      </w:r>
    </w:p>
    <w:p w14:paraId="25AFC83B">
      <w:pPr>
        <w:pStyle w:val="5"/>
        <w:keepNext w:val="0"/>
        <w:keepLines w:val="0"/>
        <w:pageBreakBefore w:val="0"/>
        <w:numPr>
          <w:ilvl w:val="1"/>
          <w:numId w:val="10"/>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当硬件设备出现故障时，及时进行维修或更换。对于软件系统的故障，迅速定位问题并进行修复。</w:t>
      </w:r>
    </w:p>
    <w:p w14:paraId="5E0B0249">
      <w:pPr>
        <w:pStyle w:val="5"/>
        <w:keepNext w:val="0"/>
        <w:keepLines w:val="0"/>
        <w:pageBreakBefore w:val="0"/>
        <w:numPr>
          <w:ilvl w:val="1"/>
          <w:numId w:val="10"/>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对于物联网设备的故障，及时进行排查和修复，确保数据的正常采集和传输。</w:t>
      </w:r>
    </w:p>
    <w:tbl>
      <w:tblPr>
        <w:tblStyle w:val="28"/>
        <w:tblW w:w="955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48"/>
        <w:gridCol w:w="6559"/>
        <w:gridCol w:w="1746"/>
      </w:tblGrid>
      <w:tr w14:paraId="0CD04F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653" w:type="pct"/>
            <w:tcBorders>
              <w:top w:val="double" w:color="auto" w:sz="4" w:space="0"/>
              <w:bottom w:val="nil"/>
            </w:tcBorders>
            <w:shd w:val="clear" w:color="auto" w:fill="D9D9D9"/>
            <w:noWrap w:val="0"/>
            <w:vAlign w:val="center"/>
          </w:tcPr>
          <w:p w14:paraId="2DF56D0C">
            <w:pPr>
              <w:pStyle w:val="5"/>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安全级别</w:t>
            </w:r>
          </w:p>
        </w:tc>
        <w:tc>
          <w:tcPr>
            <w:tcW w:w="3432" w:type="pct"/>
            <w:tcBorders>
              <w:top w:val="double" w:color="auto" w:sz="4" w:space="0"/>
              <w:bottom w:val="nil"/>
            </w:tcBorders>
            <w:shd w:val="clear" w:color="auto" w:fill="D9D9D9"/>
            <w:noWrap w:val="0"/>
            <w:vAlign w:val="center"/>
          </w:tcPr>
          <w:p w14:paraId="1E87FB6F">
            <w:pPr>
              <w:pStyle w:val="5"/>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描述</w:t>
            </w:r>
          </w:p>
        </w:tc>
        <w:tc>
          <w:tcPr>
            <w:tcW w:w="913" w:type="pct"/>
            <w:tcBorders>
              <w:top w:val="double" w:color="auto" w:sz="4" w:space="0"/>
              <w:bottom w:val="nil"/>
            </w:tcBorders>
            <w:shd w:val="clear" w:color="auto" w:fill="D9D9D9"/>
            <w:noWrap w:val="0"/>
            <w:vAlign w:val="center"/>
          </w:tcPr>
          <w:p w14:paraId="34A75D68">
            <w:pPr>
              <w:pStyle w:val="5"/>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解决时限</w:t>
            </w:r>
          </w:p>
        </w:tc>
      </w:tr>
      <w:tr w14:paraId="190B73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653" w:type="pct"/>
            <w:shd w:val="clear" w:color="auto" w:fill="E6E6E6"/>
            <w:noWrap w:val="0"/>
            <w:vAlign w:val="center"/>
          </w:tcPr>
          <w:p w14:paraId="7BA2F35B">
            <w:pPr>
              <w:pStyle w:val="5"/>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紧急事件</w:t>
            </w:r>
          </w:p>
        </w:tc>
        <w:tc>
          <w:tcPr>
            <w:tcW w:w="3432" w:type="pct"/>
            <w:noWrap w:val="0"/>
            <w:vAlign w:val="center"/>
          </w:tcPr>
          <w:p w14:paraId="61E0ED04">
            <w:pPr>
              <w:pStyle w:val="5"/>
              <w:keepNext w:val="0"/>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业务系统由于安全问题崩溃、系统性能严重下降，已无法提供正常服务。本地区出口路由由于网络安全原因非正常中断，严重影响用户使用。公众服务由于安全原因停止服务或者造成恶劣影响的。</w:t>
            </w:r>
          </w:p>
        </w:tc>
        <w:tc>
          <w:tcPr>
            <w:tcW w:w="913" w:type="pct"/>
            <w:noWrap w:val="0"/>
            <w:vAlign w:val="center"/>
          </w:tcPr>
          <w:p w14:paraId="7EB1D4BC">
            <w:pPr>
              <w:pStyle w:val="5"/>
              <w:keepNext w:val="0"/>
              <w:keepLines w:val="0"/>
              <w:pageBreakBefore w:val="0"/>
              <w:kinsoku/>
              <w:wordWrap/>
              <w:overflowPunct/>
              <w:topLinePunct w:val="0"/>
              <w:autoSpaceDE/>
              <w:autoSpaceDN/>
              <w:bidi w:val="0"/>
              <w:adjustRightInd/>
              <w:snapToGrid w:val="0"/>
              <w:spacing w:line="360" w:lineRule="auto"/>
              <w:ind w:firstLine="174" w:firstLineChars="8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1-12小时内</w:t>
            </w:r>
          </w:p>
        </w:tc>
      </w:tr>
      <w:tr w14:paraId="49E270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7" w:hRule="atLeast"/>
          <w:jc w:val="center"/>
        </w:trPr>
        <w:tc>
          <w:tcPr>
            <w:tcW w:w="653" w:type="pct"/>
            <w:shd w:val="clear" w:color="auto" w:fill="E6E6E6"/>
            <w:noWrap w:val="0"/>
            <w:vAlign w:val="center"/>
          </w:tcPr>
          <w:p w14:paraId="375BBFAE">
            <w:pPr>
              <w:pStyle w:val="5"/>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严重事件</w:t>
            </w:r>
          </w:p>
        </w:tc>
        <w:tc>
          <w:tcPr>
            <w:tcW w:w="3432" w:type="pct"/>
            <w:noWrap w:val="0"/>
            <w:vAlign w:val="center"/>
          </w:tcPr>
          <w:p w14:paraId="17FA889D">
            <w:pPr>
              <w:pStyle w:val="5"/>
              <w:keepNext w:val="0"/>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用户内部的业务支持系统由于安全事件出现问题，导致不能运转正常不稳定。部分服务由于安全原因中断，影响用户正常使用</w:t>
            </w:r>
          </w:p>
        </w:tc>
        <w:tc>
          <w:tcPr>
            <w:tcW w:w="913" w:type="pct"/>
            <w:noWrap w:val="0"/>
            <w:vAlign w:val="center"/>
          </w:tcPr>
          <w:p w14:paraId="05F38EFD">
            <w:pPr>
              <w:pStyle w:val="5"/>
              <w:keepNext w:val="0"/>
              <w:keepLines w:val="0"/>
              <w:pageBreakBefore w:val="0"/>
              <w:kinsoku/>
              <w:wordWrap/>
              <w:overflowPunct/>
              <w:topLinePunct w:val="0"/>
              <w:autoSpaceDE/>
              <w:autoSpaceDN/>
              <w:bidi w:val="0"/>
              <w:adjustRightInd/>
              <w:snapToGrid w:val="0"/>
              <w:spacing w:line="360" w:lineRule="auto"/>
              <w:ind w:firstLine="174" w:firstLineChars="8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1-24小时内</w:t>
            </w:r>
          </w:p>
        </w:tc>
      </w:tr>
      <w:tr w14:paraId="5E4219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2" w:hRule="atLeast"/>
          <w:jc w:val="center"/>
        </w:trPr>
        <w:tc>
          <w:tcPr>
            <w:tcW w:w="653" w:type="pct"/>
            <w:tcBorders>
              <w:bottom w:val="double" w:color="auto" w:sz="4" w:space="0"/>
            </w:tcBorders>
            <w:shd w:val="clear" w:color="auto" w:fill="E6E6E6"/>
            <w:noWrap w:val="0"/>
            <w:vAlign w:val="center"/>
          </w:tcPr>
          <w:p w14:paraId="3F14129F">
            <w:pPr>
              <w:pStyle w:val="5"/>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一般事件</w:t>
            </w:r>
          </w:p>
        </w:tc>
        <w:tc>
          <w:tcPr>
            <w:tcW w:w="3432" w:type="pct"/>
            <w:tcBorders>
              <w:bottom w:val="double" w:color="auto" w:sz="4" w:space="0"/>
            </w:tcBorders>
            <w:noWrap w:val="0"/>
            <w:vAlign w:val="center"/>
          </w:tcPr>
          <w:p w14:paraId="3B47AA70">
            <w:pPr>
              <w:pStyle w:val="5"/>
              <w:keepNext w:val="0"/>
              <w:keepLines w:val="0"/>
              <w:pageBreakBefore w:val="0"/>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由于安全原因导致系统出现故障，但不影响用户正常使用。客户提出安全远程支持、索取安全技术资料、技术支持等。</w:t>
            </w:r>
          </w:p>
        </w:tc>
        <w:tc>
          <w:tcPr>
            <w:tcW w:w="913" w:type="pct"/>
            <w:tcBorders>
              <w:bottom w:val="double" w:color="auto" w:sz="4" w:space="0"/>
            </w:tcBorders>
            <w:noWrap w:val="0"/>
            <w:vAlign w:val="center"/>
          </w:tcPr>
          <w:p w14:paraId="41C67425">
            <w:pPr>
              <w:pStyle w:val="5"/>
              <w:keepNext w:val="0"/>
              <w:keepLines w:val="0"/>
              <w:pageBreakBefore w:val="0"/>
              <w:kinsoku/>
              <w:wordWrap/>
              <w:overflowPunct/>
              <w:topLinePunct w:val="0"/>
              <w:autoSpaceDE/>
              <w:autoSpaceDN/>
              <w:bidi w:val="0"/>
              <w:adjustRightInd/>
              <w:snapToGrid w:val="0"/>
              <w:spacing w:line="360" w:lineRule="auto"/>
              <w:ind w:firstLine="174" w:firstLineChars="8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1-36小时内</w:t>
            </w:r>
          </w:p>
        </w:tc>
      </w:tr>
    </w:tbl>
    <w:p w14:paraId="43D166EC">
      <w:pPr>
        <w:pStyle w:val="5"/>
        <w:keepNext w:val="0"/>
        <w:keepLines w:val="0"/>
        <w:pageBreakBefore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根据安全级别的不同在规定的时间内解决上述问题。</w:t>
      </w:r>
    </w:p>
    <w:p w14:paraId="5066657A">
      <w:pPr>
        <w:pStyle w:val="27"/>
        <w:keepNext w:val="0"/>
        <w:keepLines w:val="0"/>
        <w:pageBreakBefore w:val="0"/>
        <w:kinsoku/>
        <w:wordWrap/>
        <w:overflowPunct/>
        <w:topLinePunct w:val="0"/>
        <w:autoSpaceDE/>
        <w:autoSpaceDN/>
        <w:bidi w:val="0"/>
        <w:adjustRightInd/>
        <w:spacing w:line="360" w:lineRule="auto"/>
        <w:ind w:left="0" w:firstLine="0"/>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3运维赛事保障</w:t>
      </w:r>
    </w:p>
    <w:p w14:paraId="551CA6A5">
      <w:pPr>
        <w:pStyle w:val="5"/>
        <w:keepNext w:val="0"/>
        <w:keepLines w:val="0"/>
        <w:pageBreakBefore w:val="0"/>
        <w:numPr>
          <w:ilvl w:val="1"/>
          <w:numId w:val="11"/>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重大赛事期间，安排运维单位至少</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名有项目经验、能处理网络安全突发事故的运维人员在现场保障，并驻场至用户单位指定地点，确保系统的稳定运行。</w:t>
      </w:r>
    </w:p>
    <w:p w14:paraId="63FAC7B2">
      <w:pPr>
        <w:pStyle w:val="5"/>
        <w:keepNext w:val="0"/>
        <w:keepLines w:val="0"/>
        <w:pageBreakBefore w:val="0"/>
        <w:numPr>
          <w:ilvl w:val="1"/>
          <w:numId w:val="11"/>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运维人员24小时待命，应对可能出现的突发事件，如系统故障、网络中断等。</w:t>
      </w:r>
    </w:p>
    <w:p w14:paraId="65E0FEBB">
      <w:pPr>
        <w:pStyle w:val="5"/>
        <w:keepNext w:val="0"/>
        <w:keepLines w:val="0"/>
        <w:pageBreakBefore w:val="0"/>
        <w:numPr>
          <w:ilvl w:val="1"/>
          <w:numId w:val="11"/>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对现场设备进行实时监控，及时发现并解决潜在问题。</w:t>
      </w:r>
    </w:p>
    <w:p w14:paraId="24D5A9D3">
      <w:pPr>
        <w:pStyle w:val="5"/>
        <w:keepNext w:val="0"/>
        <w:keepLines w:val="0"/>
        <w:pageBreakBefore w:val="0"/>
        <w:numPr>
          <w:ilvl w:val="1"/>
          <w:numId w:val="11"/>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与赛事组织方保持密切沟通，根据赛事需求提供及时的技术支持。</w:t>
      </w:r>
    </w:p>
    <w:p w14:paraId="2D24B024">
      <w:pPr>
        <w:pStyle w:val="5"/>
        <w:keepNext w:val="0"/>
        <w:keepLines w:val="0"/>
        <w:pageBreakBefore w:val="0"/>
        <w:numPr>
          <w:ilvl w:val="1"/>
          <w:numId w:val="11"/>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应对紧急时间时可随时调动设备厂家并2小时内到达现场。</w:t>
      </w:r>
    </w:p>
    <w:p w14:paraId="575B686A">
      <w:pPr>
        <w:pStyle w:val="5"/>
        <w:keepNext w:val="0"/>
        <w:keepLines w:val="0"/>
        <w:pageBreakBefore w:val="0"/>
        <w:numPr>
          <w:ilvl w:val="1"/>
          <w:numId w:val="11"/>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重大赛事期间，安排</w:t>
      </w:r>
      <w:r>
        <w:rPr>
          <w:rFonts w:hint="eastAsia" w:ascii="宋体" w:hAnsi="宋体" w:eastAsia="宋体" w:cs="宋体"/>
          <w:color w:val="auto"/>
          <w:sz w:val="21"/>
          <w:szCs w:val="21"/>
          <w:highlight w:val="none"/>
          <w:lang w:val="en-US" w:eastAsia="zh-CN"/>
        </w:rPr>
        <w:t>一辆通信保障车</w:t>
      </w:r>
      <w:r>
        <w:rPr>
          <w:rFonts w:hint="eastAsia" w:ascii="宋体" w:hAnsi="宋体" w:eastAsia="宋体" w:cs="宋体"/>
          <w:color w:val="auto"/>
          <w:sz w:val="21"/>
          <w:szCs w:val="21"/>
          <w:highlight w:val="none"/>
        </w:rPr>
        <w:t>在现场保障，并驻场至用户单位指定地点，确保</w:t>
      </w:r>
      <w:r>
        <w:rPr>
          <w:rFonts w:hint="eastAsia" w:ascii="宋体" w:hAnsi="宋体" w:eastAsia="宋体" w:cs="宋体"/>
          <w:color w:val="auto"/>
          <w:sz w:val="21"/>
          <w:szCs w:val="21"/>
          <w:highlight w:val="none"/>
          <w:lang w:val="en-US" w:eastAsia="zh-CN"/>
        </w:rPr>
        <w:t>现场通信正常</w:t>
      </w:r>
      <w:r>
        <w:rPr>
          <w:rFonts w:hint="eastAsia" w:ascii="宋体" w:hAnsi="宋体" w:eastAsia="宋体" w:cs="宋体"/>
          <w:color w:val="auto"/>
          <w:sz w:val="21"/>
          <w:szCs w:val="21"/>
          <w:highlight w:val="none"/>
        </w:rPr>
        <w:t>。</w:t>
      </w:r>
    </w:p>
    <w:p w14:paraId="29BED479">
      <w:pPr>
        <w:pStyle w:val="27"/>
        <w:keepNext w:val="0"/>
        <w:keepLines w:val="0"/>
        <w:pageBreakBefore w:val="0"/>
        <w:kinsoku/>
        <w:wordWrap/>
        <w:overflowPunct/>
        <w:topLinePunct w:val="0"/>
        <w:autoSpaceDE/>
        <w:autoSpaceDN/>
        <w:bidi w:val="0"/>
        <w:adjustRightInd/>
        <w:spacing w:line="360" w:lineRule="auto"/>
        <w:ind w:left="0" w:firstLine="0"/>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4备品备件要求</w:t>
      </w:r>
    </w:p>
    <w:p w14:paraId="630FC0BF">
      <w:pPr>
        <w:pStyle w:val="5"/>
        <w:keepNext w:val="0"/>
        <w:keepLines w:val="0"/>
        <w:pageBreakBefore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项目服务期内，运维保障单位还需提供7*24小时不间断的备品备件替换及产品维修服务，备品备件范围包括：摄像头、智能电表、智能水表等易损件，一旦确认产品硬件故障，运维保障单位在上门服务的同时，将回收故障设备并立即提供备用设备，原产品修复后再重新替换，且不收取运费、硬件成本和工时费。</w:t>
      </w:r>
    </w:p>
    <w:p w14:paraId="1FBEB15E">
      <w:pPr>
        <w:pStyle w:val="27"/>
        <w:keepNext w:val="0"/>
        <w:keepLines w:val="0"/>
        <w:pageBreakBefore w:val="0"/>
        <w:kinsoku/>
        <w:wordWrap/>
        <w:overflowPunct/>
        <w:topLinePunct w:val="0"/>
        <w:autoSpaceDE/>
        <w:autoSpaceDN/>
        <w:bidi w:val="0"/>
        <w:adjustRightInd/>
        <w:spacing w:line="360" w:lineRule="auto"/>
        <w:ind w:left="0" w:firstLine="0"/>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5违约责任</w:t>
      </w:r>
    </w:p>
    <w:p w14:paraId="667977A2">
      <w:pPr>
        <w:pStyle w:val="5"/>
        <w:keepNext w:val="0"/>
        <w:keepLines w:val="0"/>
        <w:pageBreakBefore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若中标单位在运维服务期内违反本运维要求，应承担如下违约责任：</w:t>
      </w:r>
    </w:p>
    <w:p w14:paraId="22BF13DF">
      <w:pPr>
        <w:pStyle w:val="5"/>
        <w:keepNext w:val="0"/>
        <w:keepLines w:val="0"/>
        <w:pageBreakBefore w:val="0"/>
        <w:numPr>
          <w:ilvl w:val="0"/>
          <w:numId w:val="12"/>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未依巡检计划巡检，少一次巡检支付合同总价 </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违约金，因未巡检致故障未及时处理的，承担设备维修、业务中断等全部损失。未及时完成巡检维护整改的，每次支付合同总价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违约金。</w:t>
      </w:r>
    </w:p>
    <w:p w14:paraId="47D2494C">
      <w:pPr>
        <w:pStyle w:val="5"/>
        <w:keepNext w:val="0"/>
        <w:keepLines w:val="0"/>
        <w:pageBreakBefore w:val="0"/>
        <w:numPr>
          <w:ilvl w:val="0"/>
          <w:numId w:val="12"/>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故障响应超规定时限，按紧急、严重、一般事件对应延迟时长支付不同比例违约金（如紧急事件每延迟</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小时付合同总价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违约金；严重事件每延迟</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 xml:space="preserve">小时付合同总价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违约金；一般事件每延迟</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小时付合同总价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违约金），因延迟致重大损失承担全部赔偿责任。硬件或软件故障处理不力，承担相应维修费用与业务中断损失。</w:t>
      </w:r>
    </w:p>
    <w:p w14:paraId="52498A16">
      <w:pPr>
        <w:pStyle w:val="5"/>
        <w:keepNext w:val="0"/>
        <w:keepLines w:val="0"/>
        <w:pageBreakBefore w:val="0"/>
        <w:numPr>
          <w:ilvl w:val="0"/>
          <w:numId w:val="12"/>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重大赛事期间，运维人员安排不足、未与赛事方密切沟通并按需提供技术支持等情况，每次支付合同总价 1% 违约金，造成严重后果承担全部责任与赔偿。</w:t>
      </w:r>
    </w:p>
    <w:p w14:paraId="0FC7FAD2">
      <w:pPr>
        <w:pStyle w:val="5"/>
        <w:keepNext w:val="0"/>
        <w:keepLines w:val="0"/>
        <w:pageBreakBefore w:val="0"/>
        <w:numPr>
          <w:ilvl w:val="0"/>
          <w:numId w:val="12"/>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 7*</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小时备品备件服务或储备不足致系统停机延长，每次支付合同总价 1% 违约金并承担相应损失赔偿。</w:t>
      </w:r>
    </w:p>
    <w:p w14:paraId="61A50524">
      <w:pPr>
        <w:pStyle w:val="5"/>
        <w:keepNext w:val="0"/>
        <w:keepLines w:val="0"/>
        <w:pageBreakBefore w:val="0"/>
        <w:kinsoku/>
        <w:wordWrap/>
        <w:overflowPunct/>
        <w:topLinePunct w:val="0"/>
        <w:autoSpaceDE/>
        <w:autoSpaceDN/>
        <w:bidi w:val="0"/>
        <w:adjustRightInd/>
        <w:snapToGrid w:val="0"/>
        <w:spacing w:line="360" w:lineRule="auto"/>
        <w:ind w:firstLine="480"/>
        <w:textAlignment w:val="auto"/>
        <w:rPr>
          <w:rFonts w:ascii="Times New Roman" w:hAnsi="Times New Roman" w:cs="Times New Roman"/>
          <w:bCs/>
          <w:color w:val="auto"/>
          <w:kern w:val="0"/>
          <w:sz w:val="24"/>
          <w:szCs w:val="32"/>
          <w:highlight w:val="none"/>
        </w:rPr>
      </w:pPr>
      <w:r>
        <w:rPr>
          <w:rFonts w:hint="eastAsia" w:ascii="宋体" w:hAnsi="宋体" w:eastAsia="宋体" w:cs="宋体"/>
          <w:color w:val="auto"/>
          <w:sz w:val="21"/>
          <w:szCs w:val="21"/>
          <w:highlight w:val="none"/>
        </w:rPr>
        <w:t>若中标单位累计违约达</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次或造成损失超合同总价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0%，委托方有权解约，中标单位需返还已付运维费用并承担全部损失赔偿责任。</w:t>
      </w:r>
    </w:p>
    <w:p w14:paraId="69B6CEC5">
      <w:pPr>
        <w:pStyle w:val="3"/>
        <w:pageBreakBefore w:val="0"/>
        <w:numPr>
          <w:ilvl w:val="1"/>
          <w:numId w:val="0"/>
        </w:numPr>
        <w:kinsoku/>
        <w:wordWrap/>
        <w:overflowPunct/>
        <w:topLinePunct w:val="0"/>
        <w:autoSpaceDE/>
        <w:autoSpaceDN/>
        <w:bidi w:val="0"/>
        <w:adjustRightInd/>
        <w:snapToGrid/>
        <w:spacing w:before="0" w:after="0" w:line="360" w:lineRule="auto"/>
        <w:ind w:firstLine="442" w:firstLineChars="200"/>
        <w:jc w:val="both"/>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6.8培训要求</w:t>
      </w:r>
    </w:p>
    <w:p w14:paraId="26ED9ED5">
      <w:pPr>
        <w:autoSpaceDE w:val="0"/>
        <w:autoSpaceDN w:val="0"/>
        <w:adjustRightInd w:val="0"/>
        <w:spacing w:line="360" w:lineRule="auto"/>
        <w:ind w:firstLine="420" w:firstLineChars="200"/>
        <w:rPr>
          <w:rFonts w:hint="eastAsia" w:ascii="宋体" w:hAnsi="宋体" w:cs="仿宋"/>
          <w:snapToGrid w:val="0"/>
          <w:color w:val="auto"/>
          <w:szCs w:val="21"/>
          <w:highlight w:val="none"/>
        </w:rPr>
      </w:pPr>
      <w:r>
        <w:rPr>
          <w:rFonts w:hint="eastAsia" w:ascii="宋体" w:hAnsi="宋体" w:cs="仿宋"/>
          <w:snapToGrid w:val="0"/>
          <w:color w:val="auto"/>
          <w:szCs w:val="21"/>
          <w:highlight w:val="none"/>
        </w:rPr>
        <w:t>1、中标单位必须为采购人提供软件、</w:t>
      </w:r>
      <w:r>
        <w:rPr>
          <w:rFonts w:hint="eastAsia" w:ascii="宋体" w:hAnsi="宋体" w:cs="仿宋"/>
          <w:snapToGrid w:val="0"/>
          <w:color w:val="auto"/>
          <w:szCs w:val="21"/>
          <w:highlight w:val="none"/>
          <w:lang w:val="en-US" w:eastAsia="zh-CN"/>
        </w:rPr>
        <w:t>硬件</w:t>
      </w:r>
      <w:r>
        <w:rPr>
          <w:rFonts w:hint="eastAsia" w:ascii="宋体" w:hAnsi="宋体" w:cs="仿宋"/>
          <w:snapToGrid w:val="0"/>
          <w:color w:val="auto"/>
          <w:szCs w:val="21"/>
          <w:highlight w:val="none"/>
        </w:rPr>
        <w:t>使用、操作和管理维护培训，培训形式包括客户现场培训、课堂培训；中标单位必须列明相应的培训课程。</w:t>
      </w:r>
    </w:p>
    <w:p w14:paraId="0C6956CC">
      <w:pPr>
        <w:autoSpaceDE w:val="0"/>
        <w:autoSpaceDN w:val="0"/>
        <w:adjustRightInd w:val="0"/>
        <w:spacing w:line="360" w:lineRule="auto"/>
        <w:ind w:firstLine="420" w:firstLineChars="200"/>
        <w:rPr>
          <w:rFonts w:hint="eastAsia" w:ascii="宋体" w:hAnsi="宋体" w:cs="仿宋"/>
          <w:snapToGrid w:val="0"/>
          <w:color w:val="auto"/>
          <w:szCs w:val="21"/>
          <w:highlight w:val="none"/>
        </w:rPr>
      </w:pPr>
      <w:r>
        <w:rPr>
          <w:rFonts w:hint="eastAsia" w:ascii="宋体" w:hAnsi="宋体" w:cs="仿宋"/>
          <w:snapToGrid w:val="0"/>
          <w:color w:val="auto"/>
          <w:szCs w:val="21"/>
          <w:highlight w:val="none"/>
        </w:rPr>
        <w:t>2、投标人应在投标文件中提供详细的培训计划，包括培训项目、人数、地点、日程、资料、其它等详细内容，为所有被培训人员提供培训用文字资料和讲义等相关用品。</w:t>
      </w:r>
    </w:p>
    <w:p w14:paraId="24FB0878">
      <w:pPr>
        <w:autoSpaceDE w:val="0"/>
        <w:autoSpaceDN w:val="0"/>
        <w:adjustRightInd w:val="0"/>
        <w:spacing w:line="360" w:lineRule="auto"/>
        <w:ind w:firstLine="420" w:firstLineChars="200"/>
        <w:rPr>
          <w:rFonts w:hint="eastAsia" w:ascii="宋体" w:hAnsi="宋体" w:cs="仿宋"/>
          <w:snapToGrid w:val="0"/>
          <w:color w:val="auto"/>
          <w:szCs w:val="21"/>
          <w:highlight w:val="none"/>
        </w:rPr>
      </w:pPr>
      <w:r>
        <w:rPr>
          <w:rFonts w:hint="eastAsia" w:ascii="宋体" w:hAnsi="宋体" w:cs="仿宋"/>
          <w:snapToGrid w:val="0"/>
          <w:color w:val="auto"/>
          <w:szCs w:val="21"/>
          <w:highlight w:val="none"/>
        </w:rPr>
        <w:t>3、技术培训的内容必须包含软件、</w:t>
      </w:r>
      <w:r>
        <w:rPr>
          <w:rFonts w:hint="eastAsia" w:ascii="宋体" w:hAnsi="宋体" w:cs="仿宋"/>
          <w:snapToGrid w:val="0"/>
          <w:color w:val="auto"/>
          <w:szCs w:val="21"/>
          <w:highlight w:val="none"/>
          <w:lang w:val="en-US" w:eastAsia="zh-CN"/>
        </w:rPr>
        <w:t>硬件</w:t>
      </w:r>
      <w:r>
        <w:rPr>
          <w:rFonts w:hint="eastAsia" w:ascii="宋体" w:hAnsi="宋体" w:cs="仿宋"/>
          <w:snapToGrid w:val="0"/>
          <w:color w:val="auto"/>
          <w:szCs w:val="21"/>
          <w:highlight w:val="none"/>
        </w:rPr>
        <w:t>的日常操作和管理维护，以及基本的故障诊断与排错。中标单位培训人员必须是隶属于中标单位并工作三年以上的工程师。</w:t>
      </w:r>
    </w:p>
    <w:p w14:paraId="6A19B2F3">
      <w:pPr>
        <w:autoSpaceDE w:val="0"/>
        <w:autoSpaceDN w:val="0"/>
        <w:adjustRightInd w:val="0"/>
        <w:spacing w:line="360" w:lineRule="auto"/>
        <w:ind w:firstLine="420" w:firstLineChars="200"/>
        <w:rPr>
          <w:rFonts w:hint="eastAsia" w:ascii="宋体" w:hAnsi="宋体" w:cs="仿宋"/>
          <w:snapToGrid w:val="0"/>
          <w:color w:val="auto"/>
          <w:szCs w:val="21"/>
          <w:highlight w:val="none"/>
        </w:rPr>
      </w:pPr>
      <w:r>
        <w:rPr>
          <w:rFonts w:hint="eastAsia" w:ascii="宋体" w:hAnsi="宋体" w:cs="仿宋"/>
          <w:snapToGrid w:val="0"/>
          <w:color w:val="auto"/>
          <w:szCs w:val="21"/>
          <w:highlight w:val="none"/>
        </w:rPr>
        <w:t>4、培训工作必须在合同生效之后试运行结束之前完成。</w:t>
      </w:r>
    </w:p>
    <w:p w14:paraId="4545B37A">
      <w:pPr>
        <w:autoSpaceDE w:val="0"/>
        <w:autoSpaceDN w:val="0"/>
        <w:adjustRightInd w:val="0"/>
        <w:spacing w:line="360" w:lineRule="auto"/>
        <w:ind w:firstLine="420" w:firstLineChars="200"/>
        <w:rPr>
          <w:rFonts w:hint="eastAsia" w:ascii="宋体" w:hAnsi="宋体" w:cs="仿宋"/>
          <w:snapToGrid w:val="0"/>
          <w:color w:val="auto"/>
          <w:szCs w:val="21"/>
          <w:highlight w:val="none"/>
        </w:rPr>
      </w:pPr>
      <w:r>
        <w:rPr>
          <w:rFonts w:hint="eastAsia" w:ascii="宋体" w:hAnsi="宋体" w:cs="仿宋"/>
          <w:snapToGrid w:val="0"/>
          <w:color w:val="auto"/>
          <w:szCs w:val="21"/>
          <w:highlight w:val="none"/>
        </w:rPr>
        <w:t>5、所有培训费用（含培训教材费），已包括在投标总价中。</w:t>
      </w:r>
    </w:p>
    <w:p w14:paraId="17C4C386">
      <w:pPr>
        <w:autoSpaceDE w:val="0"/>
        <w:autoSpaceDN w:val="0"/>
        <w:adjustRightInd w:val="0"/>
        <w:spacing w:line="360" w:lineRule="auto"/>
        <w:ind w:firstLine="420" w:firstLineChars="200"/>
        <w:rPr>
          <w:rFonts w:hint="eastAsia" w:ascii="宋体" w:hAnsi="宋体" w:cs="仿宋"/>
          <w:snapToGrid w:val="0"/>
          <w:color w:val="auto"/>
          <w:szCs w:val="21"/>
          <w:highlight w:val="none"/>
        </w:rPr>
      </w:pPr>
      <w:r>
        <w:rPr>
          <w:rFonts w:hint="eastAsia" w:ascii="宋体" w:hAnsi="宋体" w:cs="仿宋"/>
          <w:snapToGrid w:val="0"/>
          <w:color w:val="auto"/>
          <w:szCs w:val="21"/>
          <w:highlight w:val="none"/>
        </w:rPr>
        <w:t>6、实际培训时间、人数和地点按中标单位与项目采购人商定的为准。要求培训内容需要覆盖本项目所有设备和系统。</w:t>
      </w:r>
    </w:p>
    <w:p w14:paraId="442000AD">
      <w:pPr>
        <w:jc w:val="left"/>
        <w:rPr>
          <w:rFonts w:ascii="Times New Roman" w:hAnsi="Times New Roman" w:eastAsia="宋体" w:cs="Times New Roman"/>
          <w:color w:val="auto"/>
          <w:sz w:val="24"/>
          <w:szCs w:val="24"/>
          <w:highlight w:val="none"/>
          <w:lang w:val="zh-CN"/>
        </w:rPr>
      </w:pPr>
    </w:p>
    <w:p w14:paraId="1BDFB997">
      <w:pPr>
        <w:ind w:left="0" w:leftChars="0" w:firstLine="0" w:firstLineChars="0"/>
        <w:rPr>
          <w:color w:val="auto"/>
          <w:highlight w:val="none"/>
        </w:rPr>
      </w:pPr>
    </w:p>
    <w:bookmarkEnd w:id="41"/>
    <w:p w14:paraId="2F042990">
      <w:pPr>
        <w:pStyle w:val="2"/>
        <w:jc w:val="center"/>
        <w:rPr>
          <w:color w:val="auto"/>
          <w:highlight w:val="none"/>
        </w:rPr>
      </w:pPr>
      <w:r>
        <w:rPr>
          <w:rFonts w:hint="eastAsia" w:hAnsi="宋体"/>
          <w:b w:val="0"/>
          <w:color w:val="auto"/>
          <w:highlight w:val="none"/>
        </w:rPr>
        <w:br w:type="page"/>
      </w:r>
      <w:bookmarkStart w:id="96" w:name="_Toc19580"/>
      <w:bookmarkStart w:id="97" w:name="_Toc24243"/>
      <w:r>
        <w:rPr>
          <w:rFonts w:hint="eastAsia"/>
          <w:color w:val="auto"/>
          <w:highlight w:val="none"/>
        </w:rPr>
        <w:t>第四部分  评标办法及评分标准</w:t>
      </w:r>
      <w:bookmarkEnd w:id="96"/>
      <w:bookmarkEnd w:id="97"/>
    </w:p>
    <w:p w14:paraId="12AFF16C">
      <w:pPr>
        <w:spacing w:line="360" w:lineRule="auto"/>
        <w:rPr>
          <w:rFonts w:hint="eastAsia" w:ascii="宋体" w:hAnsi="宋体"/>
          <w:b/>
          <w:color w:val="auto"/>
          <w:highlight w:val="none"/>
        </w:rPr>
      </w:pPr>
      <w:r>
        <w:rPr>
          <w:rFonts w:hint="eastAsia" w:ascii="宋体" w:hAnsi="宋体"/>
          <w:b/>
          <w:color w:val="auto"/>
          <w:highlight w:val="none"/>
        </w:rPr>
        <w:t xml:space="preserve">    </w:t>
      </w:r>
    </w:p>
    <w:p w14:paraId="6F552724">
      <w:pPr>
        <w:spacing w:line="360" w:lineRule="auto"/>
        <w:ind w:firstLine="420" w:firstLineChars="200"/>
        <w:rPr>
          <w:rFonts w:ascii="宋体" w:hAnsi="宋体"/>
          <w:b/>
          <w:color w:val="auto"/>
          <w:highlight w:val="none"/>
        </w:rPr>
      </w:pPr>
      <w:r>
        <w:rPr>
          <w:rFonts w:hint="eastAsia" w:ascii="宋体" w:hAnsi="宋体"/>
          <w:b w:val="0"/>
          <w:bCs/>
          <w:color w:val="auto"/>
          <w:highlight w:val="none"/>
        </w:rPr>
        <w:t>本办法严格遵照《中华人民共和国政府采购法》、《政府采购货物和服务招标投标管理办法》、《中华人民共和国政府采购法实施条例》，结合项目所在地政府有关政府采购规定和项目的实际情况制定。</w:t>
      </w:r>
      <w:r>
        <w:rPr>
          <w:rFonts w:hint="eastAsia" w:ascii="宋体" w:hAnsi="宋体" w:cs="宋体"/>
          <w:b/>
          <w:bCs/>
          <w:color w:val="auto"/>
          <w:sz w:val="21"/>
          <w:szCs w:val="21"/>
          <w:highlight w:val="none"/>
        </w:rPr>
        <w:t>本次采购为</w:t>
      </w:r>
      <w:r>
        <w:rPr>
          <w:rFonts w:hint="eastAsia" w:ascii="宋体" w:hAnsi="宋体" w:cs="宋体"/>
          <w:b/>
          <w:bCs/>
          <w:color w:val="auto"/>
          <w:sz w:val="21"/>
          <w:szCs w:val="21"/>
          <w:highlight w:val="none"/>
          <w:lang w:val="en-US" w:eastAsia="zh-CN"/>
        </w:rPr>
        <w:t>非</w:t>
      </w:r>
      <w:r>
        <w:rPr>
          <w:rFonts w:hint="eastAsia" w:ascii="宋体" w:hAnsi="宋体" w:cs="宋体"/>
          <w:b/>
          <w:bCs/>
          <w:color w:val="auto"/>
          <w:sz w:val="21"/>
          <w:szCs w:val="21"/>
          <w:highlight w:val="none"/>
        </w:rPr>
        <w:t>专门面向中小企业。</w:t>
      </w:r>
    </w:p>
    <w:p w14:paraId="4A1996E8">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1.评标原则</w:t>
      </w:r>
    </w:p>
    <w:p w14:paraId="45B10E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招标活动遵循公平、公正、科学、择优的原则依法进行，招标活动及当事人接受依法实施的监督。本次招标采用综合评分法。</w:t>
      </w:r>
    </w:p>
    <w:p w14:paraId="40805DF4">
      <w:pPr>
        <w:wordWrap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评标委员会成员对需要共同认定的事项存在争议的，应当按照少数服从多数的原则作出结论。</w:t>
      </w:r>
    </w:p>
    <w:p w14:paraId="6EDE64CD">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2.评标办法</w:t>
      </w:r>
    </w:p>
    <w:p w14:paraId="1B2D6DB9">
      <w:pPr>
        <w:spacing w:line="360" w:lineRule="auto"/>
        <w:ind w:firstLine="420" w:firstLineChars="200"/>
        <w:rPr>
          <w:rFonts w:ascii="宋体" w:hAnsi="宋体"/>
          <w:color w:val="auto"/>
          <w:highlight w:val="none"/>
        </w:rPr>
      </w:pPr>
      <w:r>
        <w:rPr>
          <w:rFonts w:hint="eastAsia" w:ascii="宋体" w:hAnsi="宋体"/>
          <w:color w:val="auto"/>
          <w:highlight w:val="none"/>
        </w:rPr>
        <w:t>本次招标采用综合评分法。</w:t>
      </w:r>
      <w:r>
        <w:rPr>
          <w:rFonts w:hint="eastAsia" w:ascii="宋体" w:hAnsi="宋体"/>
          <w:b/>
          <w:color w:val="auto"/>
          <w:highlight w:val="none"/>
        </w:rPr>
        <w:t>满分100分</w:t>
      </w:r>
      <w:r>
        <w:rPr>
          <w:rFonts w:hint="eastAsia" w:ascii="宋体" w:hAnsi="宋体"/>
          <w:color w:val="auto"/>
          <w:highlight w:val="none"/>
        </w:rPr>
        <w:t>。</w:t>
      </w:r>
    </w:p>
    <w:p w14:paraId="2B464F8C">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3.评标组织</w:t>
      </w:r>
    </w:p>
    <w:p w14:paraId="39271D43">
      <w:pPr>
        <w:spacing w:line="360" w:lineRule="auto"/>
        <w:ind w:firstLine="420" w:firstLineChars="200"/>
        <w:rPr>
          <w:rFonts w:ascii="宋体" w:hAnsi="宋体"/>
          <w:color w:val="auto"/>
          <w:highlight w:val="none"/>
        </w:rPr>
      </w:pPr>
      <w:r>
        <w:rPr>
          <w:rFonts w:hint="eastAsia" w:ascii="宋体" w:hAnsi="宋体"/>
          <w:color w:val="auto"/>
          <w:highlight w:val="none"/>
        </w:rPr>
        <w:t>采购人和采购代理机构根据采购项目的内容特点按照规定组建评标委员会。</w:t>
      </w:r>
    </w:p>
    <w:p w14:paraId="66C89E3D">
      <w:pPr>
        <w:spacing w:line="360" w:lineRule="auto"/>
        <w:ind w:firstLine="420" w:firstLineChars="200"/>
        <w:rPr>
          <w:rFonts w:ascii="宋体" w:hAnsi="宋体"/>
          <w:color w:val="auto"/>
          <w:highlight w:val="none"/>
        </w:rPr>
      </w:pPr>
      <w:r>
        <w:rPr>
          <w:rFonts w:hint="eastAsia" w:ascii="宋体" w:hAnsi="宋体"/>
          <w:color w:val="auto"/>
          <w:highlight w:val="none"/>
        </w:rPr>
        <w:t>评标委员会由采购人代表和评审专家或全部由评审专家组成，成员人数为5人及以上单数，其中评审专家不少于成员总数的三分之二。</w:t>
      </w:r>
    </w:p>
    <w:p w14:paraId="7B513334">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4.评标程序</w:t>
      </w:r>
    </w:p>
    <w:p w14:paraId="220E43EC">
      <w:pPr>
        <w:spacing w:line="360" w:lineRule="auto"/>
        <w:ind w:firstLine="420" w:firstLineChars="200"/>
        <w:rPr>
          <w:rFonts w:ascii="宋体" w:hAnsi="宋体"/>
          <w:color w:val="auto"/>
          <w:highlight w:val="none"/>
        </w:rPr>
      </w:pPr>
      <w:r>
        <w:rPr>
          <w:rFonts w:hint="eastAsia" w:ascii="宋体" w:hAnsi="宋体"/>
          <w:color w:val="auto"/>
          <w:highlight w:val="none"/>
        </w:rPr>
        <w:t>4.1采购代理机构按招标文件规定的时间、地点组织开标。开标会议由采购代理机构组织，按招标文件的规定对投标人的基本情况进行审核。</w:t>
      </w:r>
    </w:p>
    <w:p w14:paraId="771EA7D0">
      <w:pPr>
        <w:spacing w:line="360" w:lineRule="auto"/>
        <w:ind w:firstLine="420" w:firstLineChars="200"/>
        <w:rPr>
          <w:rFonts w:ascii="宋体" w:hAnsi="宋体" w:cs="宋体"/>
          <w:bCs/>
          <w:color w:val="auto"/>
          <w:szCs w:val="21"/>
          <w:highlight w:val="none"/>
        </w:rPr>
      </w:pPr>
      <w:r>
        <w:rPr>
          <w:rFonts w:hint="eastAsia" w:ascii="宋体" w:hAnsi="宋体"/>
          <w:color w:val="auto"/>
          <w:highlight w:val="none"/>
        </w:rPr>
        <w:t>4.2</w:t>
      </w:r>
      <w:r>
        <w:rPr>
          <w:rFonts w:ascii="宋体" w:hAnsi="宋体"/>
          <w:color w:val="auto"/>
          <w:szCs w:val="21"/>
          <w:highlight w:val="none"/>
        </w:rPr>
        <w:t>电子投标开标及评审程序：</w:t>
      </w:r>
      <w:r>
        <w:rPr>
          <w:rFonts w:hint="eastAsia" w:ascii="宋体" w:hAnsi="宋体" w:cs="宋体"/>
          <w:bCs/>
          <w:color w:val="auto"/>
          <w:szCs w:val="21"/>
          <w:highlight w:val="none"/>
        </w:rPr>
        <w:t>本次公开招标投标文件</w:t>
      </w:r>
      <w:r>
        <w:rPr>
          <w:rFonts w:ascii="宋体" w:hAnsi="宋体"/>
          <w:color w:val="auto"/>
          <w:szCs w:val="21"/>
          <w:highlight w:val="none"/>
        </w:rPr>
        <w:t>一次性开启“资格文件”、“商务和技术文件”、“报价文件”，宣读供应商名称、投标文件中“开标一览表”内容，以及采购人认为必要的其他内容与记录，并生成开标记录；</w:t>
      </w:r>
      <w:r>
        <w:rPr>
          <w:rFonts w:hint="eastAsia" w:ascii="宋体" w:hAnsi="宋体" w:cs="宋体"/>
          <w:bCs/>
          <w:color w:val="auto"/>
          <w:szCs w:val="21"/>
          <w:highlight w:val="none"/>
        </w:rPr>
        <w:t>。</w:t>
      </w:r>
    </w:p>
    <w:p w14:paraId="129CD2E5">
      <w:pPr>
        <w:spacing w:line="360" w:lineRule="auto"/>
        <w:ind w:firstLine="420" w:firstLineChars="200"/>
        <w:rPr>
          <w:rFonts w:ascii="宋体" w:hAnsi="宋体"/>
          <w:color w:val="auto"/>
          <w:highlight w:val="none"/>
        </w:rPr>
      </w:pPr>
      <w:r>
        <w:rPr>
          <w:rFonts w:hint="eastAsia" w:ascii="宋体" w:hAnsi="宋体" w:cs="宋体"/>
          <w:bCs/>
          <w:color w:val="auto"/>
          <w:szCs w:val="21"/>
          <w:highlight w:val="none"/>
        </w:rPr>
        <w:t>4.3根据各有效投标人的商务技术得分和报价得分计算各投标人的总得分（总得分保留小数点后二位）。</w:t>
      </w:r>
    </w:p>
    <w:p w14:paraId="31CD8502">
      <w:pPr>
        <w:spacing w:line="360" w:lineRule="auto"/>
        <w:ind w:firstLine="420" w:firstLineChars="200"/>
        <w:rPr>
          <w:rFonts w:ascii="宋体" w:hAnsi="宋体"/>
          <w:color w:val="auto"/>
          <w:highlight w:val="none"/>
        </w:rPr>
      </w:pPr>
      <w:r>
        <w:rPr>
          <w:rFonts w:hint="eastAsia" w:ascii="宋体" w:hAnsi="宋体"/>
          <w:color w:val="auto"/>
          <w:highlight w:val="none"/>
        </w:rPr>
        <w:t>4.4按照评标办法，评标委员会推荐中标候选人，经采购人确认中标供应商后，</w:t>
      </w:r>
      <w:r>
        <w:rPr>
          <w:rFonts w:hint="eastAsia" w:ascii="宋体" w:hAnsi="宋体" w:cs="宋体"/>
          <w:color w:val="auto"/>
          <w:szCs w:val="21"/>
          <w:highlight w:val="none"/>
        </w:rPr>
        <w:t>最后在招标公告发布的网站上公布评标结果。</w:t>
      </w:r>
    </w:p>
    <w:p w14:paraId="42398112">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5.评标过程</w:t>
      </w:r>
    </w:p>
    <w:p w14:paraId="02E179C7">
      <w:pPr>
        <w:spacing w:line="360" w:lineRule="auto"/>
        <w:ind w:firstLine="422" w:firstLineChars="200"/>
        <w:rPr>
          <w:rFonts w:ascii="宋体" w:hAnsi="宋体"/>
          <w:b/>
          <w:color w:val="auto"/>
          <w:highlight w:val="none"/>
        </w:rPr>
      </w:pPr>
      <w:r>
        <w:rPr>
          <w:rFonts w:hint="eastAsia" w:ascii="宋体" w:hAnsi="宋体"/>
          <w:b/>
          <w:color w:val="auto"/>
          <w:highlight w:val="none"/>
        </w:rPr>
        <w:t>5.1 初步审查</w:t>
      </w:r>
    </w:p>
    <w:p w14:paraId="7817D052">
      <w:pPr>
        <w:spacing w:line="360" w:lineRule="auto"/>
        <w:ind w:firstLine="420" w:firstLineChars="200"/>
        <w:rPr>
          <w:rFonts w:ascii="宋体" w:hAnsi="宋体"/>
          <w:color w:val="auto"/>
          <w:highlight w:val="none"/>
        </w:rPr>
      </w:pPr>
      <w:r>
        <w:rPr>
          <w:rFonts w:hint="eastAsia" w:ascii="宋体" w:hAnsi="宋体"/>
          <w:color w:val="auto"/>
          <w:highlight w:val="none"/>
        </w:rPr>
        <w:t>初审分为资格性审查和符合性审查。</w:t>
      </w:r>
    </w:p>
    <w:p w14:paraId="086974FC">
      <w:pPr>
        <w:spacing w:line="360" w:lineRule="auto"/>
        <w:ind w:firstLine="420" w:firstLineChars="200"/>
        <w:rPr>
          <w:rFonts w:ascii="宋体" w:hAnsi="宋体"/>
          <w:color w:val="auto"/>
          <w:highlight w:val="none"/>
        </w:rPr>
      </w:pPr>
      <w:r>
        <w:rPr>
          <w:rFonts w:hint="eastAsia" w:ascii="宋体" w:hAnsi="宋体"/>
          <w:color w:val="auto"/>
          <w:highlight w:val="none"/>
        </w:rPr>
        <w:t>资格性检查。采购人或者采购代理机构对投标人的资格进行审查。依据法律法规和招标文件的规定，对投标文件中的资格证明进行审查，以确定投标人是否具备投标资格。</w:t>
      </w:r>
    </w:p>
    <w:p w14:paraId="282B15C4">
      <w:pPr>
        <w:spacing w:line="360" w:lineRule="auto"/>
        <w:ind w:firstLine="420" w:firstLineChars="200"/>
        <w:rPr>
          <w:rFonts w:ascii="宋体" w:hAnsi="宋体"/>
          <w:color w:val="auto"/>
          <w:highlight w:val="none"/>
        </w:rPr>
      </w:pPr>
      <w:r>
        <w:rPr>
          <w:rFonts w:hint="eastAsia" w:ascii="宋体" w:hAnsi="宋体"/>
          <w:color w:val="auto"/>
          <w:highlight w:val="none"/>
        </w:rPr>
        <w:t>符合性检查。评标委员会依据招标文件的规定，从投标文件的有效性、完整性和对招标文件的响应程度进行审查，以确定是否对招标文件的实质性要求作出响应。</w:t>
      </w:r>
    </w:p>
    <w:p w14:paraId="5032B0D5">
      <w:pPr>
        <w:spacing w:line="360" w:lineRule="auto"/>
        <w:ind w:firstLine="420" w:firstLineChars="200"/>
        <w:rPr>
          <w:rFonts w:ascii="宋体" w:hAnsi="宋体"/>
          <w:color w:val="auto"/>
          <w:highlight w:val="none"/>
        </w:rPr>
      </w:pPr>
      <w:r>
        <w:rPr>
          <w:rFonts w:hint="eastAsia" w:ascii="宋体" w:hAnsi="宋体"/>
          <w:color w:val="auto"/>
          <w:highlight w:val="none"/>
        </w:rPr>
        <w:t>审查投标文件是否对招标文件提出的所有实质性要求和条件作出响应，有无重大偏差；如有重大偏差者，作无效投标处理，不予进入详细评审。（具体见本招标文件第二部分投标无效的情形）</w:t>
      </w:r>
    </w:p>
    <w:p w14:paraId="554944AC">
      <w:pPr>
        <w:pStyle w:val="18"/>
        <w:ind w:left="0" w:firstLine="422" w:firstLineChars="200"/>
        <w:rPr>
          <w:color w:val="auto"/>
          <w:sz w:val="21"/>
          <w:highlight w:val="none"/>
        </w:rPr>
      </w:pPr>
      <w:r>
        <w:rPr>
          <w:rFonts w:hint="eastAsia"/>
          <w:color w:val="auto"/>
          <w:sz w:val="21"/>
          <w:highlight w:val="none"/>
        </w:rPr>
        <w:t>5.2澄清问题</w:t>
      </w:r>
    </w:p>
    <w:p w14:paraId="2AF6EC64">
      <w:pPr>
        <w:spacing w:line="360" w:lineRule="auto"/>
        <w:ind w:firstLine="420" w:firstLineChars="200"/>
        <w:rPr>
          <w:rFonts w:ascii="宋体" w:hAnsi="宋体"/>
          <w:color w:val="auto"/>
          <w:highlight w:val="none"/>
        </w:rPr>
      </w:pPr>
      <w:r>
        <w:rPr>
          <w:rFonts w:hint="eastAsia" w:ascii="宋体" w:hAnsi="宋体"/>
          <w:color w:val="auto"/>
          <w:highlight w:val="none"/>
        </w:rPr>
        <w:t>5.2.1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22ED5AA6">
      <w:pPr>
        <w:spacing w:line="360" w:lineRule="auto"/>
        <w:ind w:firstLine="420" w:firstLineChars="200"/>
        <w:rPr>
          <w:rFonts w:ascii="宋体" w:hAnsi="宋体"/>
          <w:color w:val="auto"/>
          <w:highlight w:val="none"/>
        </w:rPr>
      </w:pPr>
      <w:r>
        <w:rPr>
          <w:rFonts w:hint="eastAsia" w:ascii="宋体" w:hAnsi="宋体"/>
          <w:color w:val="auto"/>
          <w:highlight w:val="none"/>
        </w:rPr>
        <w:t>5.2.2政采云具体操作如下：</w:t>
      </w:r>
    </w:p>
    <w:p w14:paraId="0922B66E">
      <w:pPr>
        <w:spacing w:line="360" w:lineRule="auto"/>
        <w:ind w:firstLine="420" w:firstLineChars="200"/>
        <w:rPr>
          <w:rFonts w:ascii="宋体" w:hAnsi="宋体"/>
          <w:color w:val="auto"/>
          <w:highlight w:val="none"/>
        </w:rPr>
      </w:pPr>
      <w:r>
        <w:rPr>
          <w:rFonts w:hint="eastAsia" w:ascii="宋体" w:hAnsi="宋体"/>
          <w:color w:val="auto"/>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3D3DBF25">
      <w:pPr>
        <w:spacing w:line="360" w:lineRule="auto"/>
        <w:ind w:firstLine="420" w:firstLineChars="200"/>
        <w:rPr>
          <w:rFonts w:ascii="宋体" w:hAnsi="宋体"/>
          <w:color w:val="auto"/>
          <w:highlight w:val="none"/>
        </w:rPr>
      </w:pPr>
      <w:r>
        <w:rPr>
          <w:rFonts w:hint="eastAsia" w:ascii="宋体" w:hAnsi="宋体"/>
          <w:color w:val="auto"/>
          <w:highlight w:val="none"/>
        </w:rPr>
        <w:t>路径：用户中心—项目采购—询标澄清</w:t>
      </w:r>
    </w:p>
    <w:p w14:paraId="667E2EC9">
      <w:pPr>
        <w:spacing w:line="360" w:lineRule="auto"/>
        <w:ind w:firstLine="420" w:firstLineChars="200"/>
        <w:rPr>
          <w:rFonts w:ascii="宋体" w:hAnsi="宋体"/>
          <w:color w:val="auto"/>
          <w:highlight w:val="none"/>
        </w:rPr>
      </w:pPr>
      <w:r>
        <w:rPr>
          <w:rFonts w:hint="eastAsia" w:ascii="宋体" w:hAnsi="宋体"/>
          <w:color w:val="auto"/>
          <w:highlight w:val="none"/>
        </w:rPr>
        <w:t>（1）政采云平台通过待办事项和短信提醒供应商在截止时间前完成澄清。</w:t>
      </w:r>
    </w:p>
    <w:p w14:paraId="482EBA5C">
      <w:pPr>
        <w:spacing w:line="360" w:lineRule="auto"/>
        <w:ind w:firstLine="420" w:firstLineChars="200"/>
        <w:rPr>
          <w:rFonts w:ascii="宋体" w:hAnsi="宋体"/>
          <w:color w:val="auto"/>
          <w:highlight w:val="none"/>
        </w:rPr>
      </w:pPr>
      <w:r>
        <w:rPr>
          <w:rFonts w:hint="eastAsia" w:ascii="宋体" w:hAnsi="宋体"/>
          <w:color w:val="auto"/>
          <w:highlight w:val="none"/>
        </w:rPr>
        <w:t>（2）供应商在“询标澄清-待办理”标签页下选择状态为“待澄清”的项目，点击操作栏【澄清】。</w:t>
      </w:r>
    </w:p>
    <w:p w14:paraId="51AC6EA7">
      <w:pPr>
        <w:spacing w:line="360" w:lineRule="auto"/>
        <w:ind w:firstLine="420" w:firstLineChars="200"/>
        <w:rPr>
          <w:rFonts w:ascii="宋体" w:hAnsi="宋体"/>
          <w:color w:val="auto"/>
          <w:highlight w:val="none"/>
        </w:rPr>
      </w:pPr>
      <w:r>
        <w:rPr>
          <w:rFonts w:hint="eastAsia" w:ascii="宋体" w:hAnsi="宋体"/>
          <w:color w:val="auto"/>
          <w:highlight w:val="none"/>
        </w:rPr>
        <w:t>（3）查看函内容，在澄清截止时间前上传澄清文件并对澄清文件进行签章。（注：澄清文件必须以PDF格式上传，文件大小：50M）</w:t>
      </w:r>
    </w:p>
    <w:p w14:paraId="6D6283C1">
      <w:pPr>
        <w:spacing w:line="360" w:lineRule="auto"/>
        <w:ind w:firstLine="420" w:firstLineChars="200"/>
        <w:rPr>
          <w:rFonts w:ascii="宋体" w:hAnsi="宋体"/>
          <w:color w:val="auto"/>
          <w:highlight w:val="none"/>
        </w:rPr>
      </w:pPr>
      <w:r>
        <w:rPr>
          <w:rFonts w:hint="eastAsia" w:ascii="宋体" w:hAnsi="宋体"/>
          <w:color w:val="auto"/>
          <w:highlight w:val="none"/>
        </w:rPr>
        <w:t>（4）签章完成，文件名称处显示“已签章”，供应商可“撤回签章”修改澄清函和“查看文件”。</w:t>
      </w:r>
    </w:p>
    <w:p w14:paraId="3096C963">
      <w:pPr>
        <w:spacing w:line="360" w:lineRule="auto"/>
        <w:ind w:firstLine="420" w:firstLineChars="200"/>
        <w:rPr>
          <w:rFonts w:ascii="宋体" w:hAnsi="宋体"/>
          <w:color w:val="auto"/>
          <w:highlight w:val="none"/>
        </w:rPr>
      </w:pPr>
      <w:r>
        <w:rPr>
          <w:rFonts w:hint="eastAsia" w:ascii="宋体" w:hAnsi="宋体"/>
          <w:color w:val="auto"/>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3EF24AA9">
      <w:pPr>
        <w:spacing w:line="360" w:lineRule="auto"/>
        <w:ind w:firstLine="420" w:firstLineChars="200"/>
        <w:rPr>
          <w:rFonts w:ascii="宋体" w:hAnsi="宋体"/>
          <w:color w:val="auto"/>
          <w:highlight w:val="none"/>
        </w:rPr>
      </w:pPr>
      <w:r>
        <w:rPr>
          <w:rFonts w:hint="eastAsia" w:ascii="宋体" w:hAnsi="宋体"/>
          <w:color w:val="auto"/>
          <w:highlight w:val="none"/>
        </w:rPr>
        <w:t>（6）完成状态：供应商澄清文件提交成功后，在“询标澄清-全部”标签页下显示状态为“已澄清”。</w:t>
      </w:r>
    </w:p>
    <w:p w14:paraId="3CCCE1F3">
      <w:pPr>
        <w:spacing w:line="360" w:lineRule="auto"/>
        <w:ind w:firstLine="420" w:firstLineChars="200"/>
        <w:rPr>
          <w:rFonts w:ascii="宋体" w:hAnsi="宋体"/>
          <w:color w:val="auto"/>
          <w:highlight w:val="none"/>
        </w:rPr>
      </w:pPr>
      <w:r>
        <w:rPr>
          <w:rFonts w:hint="eastAsia" w:ascii="宋体" w:hAnsi="宋体"/>
          <w:color w:val="auto"/>
          <w:highlight w:val="none"/>
        </w:rPr>
        <w:t>5.2.3开标现场，供应商安排法定代表人或授权代表到场的，则由评标委员会组长将问题汇总后向供应商发出书面“采购响应文件问题澄清通知”，供应商应对需要澄清的问题作书面回答，该书面澄清应当由供应商的法定代表人或授权代表签字或者加盖供应商公章。书面澄清将作为投标文件内容的一部分，具有相应的法律效力。</w:t>
      </w:r>
    </w:p>
    <w:p w14:paraId="685C586F">
      <w:pPr>
        <w:spacing w:line="360" w:lineRule="auto"/>
        <w:ind w:firstLine="420" w:firstLineChars="200"/>
        <w:rPr>
          <w:rFonts w:ascii="宋体" w:hAnsi="宋体"/>
          <w:color w:val="auto"/>
          <w:highlight w:val="none"/>
        </w:rPr>
      </w:pPr>
      <w:r>
        <w:rPr>
          <w:rFonts w:hint="eastAsia" w:ascii="宋体" w:hAnsi="宋体"/>
          <w:color w:val="auto"/>
          <w:highlight w:val="none"/>
        </w:rPr>
        <w:t>5.2.4供应商未在截止时间前完成澄清，将被视作自动放弃。</w:t>
      </w:r>
    </w:p>
    <w:p w14:paraId="74CCCF47">
      <w:pPr>
        <w:pStyle w:val="18"/>
        <w:ind w:left="0" w:firstLine="422" w:firstLineChars="200"/>
        <w:rPr>
          <w:color w:val="auto"/>
          <w:sz w:val="21"/>
          <w:highlight w:val="none"/>
        </w:rPr>
      </w:pPr>
      <w:r>
        <w:rPr>
          <w:rFonts w:hint="eastAsia"/>
          <w:color w:val="auto"/>
          <w:sz w:val="21"/>
          <w:highlight w:val="none"/>
        </w:rPr>
        <w:t>5.3详细评审</w:t>
      </w:r>
    </w:p>
    <w:p w14:paraId="4485C38A">
      <w:pPr>
        <w:pStyle w:val="18"/>
        <w:ind w:left="0" w:firstLine="420" w:firstLineChars="200"/>
        <w:rPr>
          <w:b w:val="0"/>
          <w:color w:val="auto"/>
          <w:sz w:val="21"/>
          <w:highlight w:val="none"/>
        </w:rPr>
      </w:pPr>
      <w:r>
        <w:rPr>
          <w:rFonts w:hint="eastAsia" w:cs="宋体"/>
          <w:b w:val="0"/>
          <w:bCs/>
          <w:color w:val="auto"/>
          <w:sz w:val="21"/>
          <w:szCs w:val="21"/>
          <w:highlight w:val="none"/>
        </w:rPr>
        <w:t>评标委员会对通过符合性审查的投标文件，依照本办法对技术、商务内容作进一步评审、比较。评标委员会成员经过阅标、审标和询标，对各投标人进行综合打分。</w:t>
      </w:r>
    </w:p>
    <w:p w14:paraId="201E7B78">
      <w:pPr>
        <w:widowControl/>
        <w:spacing w:line="360" w:lineRule="auto"/>
        <w:ind w:firstLine="420" w:firstLineChars="200"/>
        <w:jc w:val="left"/>
        <w:rPr>
          <w:rFonts w:ascii="宋体" w:hAnsi="宋体" w:cs="宋体"/>
          <w:color w:val="auto"/>
          <w:highlight w:val="none"/>
        </w:rPr>
      </w:pPr>
      <w:r>
        <w:rPr>
          <w:rFonts w:hint="eastAsia" w:ascii="宋体" w:hAnsi="宋体"/>
          <w:color w:val="auto"/>
          <w:highlight w:val="none"/>
        </w:rPr>
        <w:t>评委参照本部分附表（评分标准表）打分。</w:t>
      </w:r>
      <w:r>
        <w:rPr>
          <w:rFonts w:hint="eastAsia" w:ascii="宋体" w:hAnsi="宋体" w:cs="宋体"/>
          <w:color w:val="auto"/>
          <w:szCs w:val="21"/>
          <w:highlight w:val="none"/>
        </w:rPr>
        <w:t>商务技术得分由各评标委员会成员打分，根据投标人的投标文件及相关澄清文件，进行独立打分。价格分由评标委员会统一核算。评委打分采用记名方式，取所有评委汇总得分的算术平均分（小数点后保留二位小数）。</w:t>
      </w:r>
    </w:p>
    <w:p w14:paraId="5807FA56">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注：评标委员会认为投标文件无效的，应组织相关投标人代表进行陈述、澄清或申辩。</w:t>
      </w:r>
    </w:p>
    <w:p w14:paraId="48909EF0">
      <w:pPr>
        <w:widowControl/>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14:paraId="0505CF81">
      <w:pPr>
        <w:spacing w:line="360" w:lineRule="auto"/>
        <w:ind w:firstLine="422" w:firstLineChars="200"/>
        <w:rPr>
          <w:rFonts w:ascii="宋体" w:hAnsi="宋体"/>
          <w:b/>
          <w:color w:val="auto"/>
          <w:highlight w:val="none"/>
        </w:rPr>
      </w:pPr>
      <w:r>
        <w:rPr>
          <w:rFonts w:hint="eastAsia" w:ascii="宋体" w:hAnsi="宋体" w:cs="宋体"/>
          <w:b/>
          <w:color w:val="auto"/>
          <w:szCs w:val="21"/>
          <w:highlight w:val="none"/>
        </w:rPr>
        <w:t>采购代理机构可协助评审小组组长对打分结果进行校对、核对并汇总统计；对明显畸高、畸低的评分（评审小组成员个人主观打分偏离所有评审小组成员主观打分平均值30%以上的，由评审委员会启动评分畸高、畸低行为认定程序，限制专家自由裁量权），评审小组组长应提醒相关评标委员会成员进行复核或书面说明理由，评标委员会成员拒绝说明的，由现场监督员据实记录；评标委员会成员的评审、修改记录应保留原件，随项目其他资料一并存档。</w:t>
      </w:r>
    </w:p>
    <w:p w14:paraId="5EAEC636">
      <w:pPr>
        <w:pStyle w:val="18"/>
        <w:keepNext w:val="0"/>
        <w:keepLines w:val="0"/>
        <w:pageBreakBefore w:val="0"/>
        <w:widowControl w:val="0"/>
        <w:kinsoku/>
        <w:overflowPunct/>
        <w:topLinePunct w:val="0"/>
        <w:autoSpaceDE/>
        <w:autoSpaceDN/>
        <w:bidi w:val="0"/>
        <w:adjustRightInd/>
        <w:snapToGrid/>
        <w:spacing w:line="360" w:lineRule="auto"/>
        <w:ind w:left="0" w:firstLine="422" w:firstLineChars="200"/>
        <w:textAlignment w:val="auto"/>
        <w:rPr>
          <w:color w:val="auto"/>
          <w:sz w:val="21"/>
          <w:highlight w:val="none"/>
        </w:rPr>
      </w:pPr>
      <w:r>
        <w:rPr>
          <w:rFonts w:hint="eastAsia"/>
          <w:color w:val="auto"/>
          <w:sz w:val="21"/>
          <w:highlight w:val="none"/>
        </w:rPr>
        <w:t>5.4中标原则</w:t>
      </w:r>
    </w:p>
    <w:p w14:paraId="02AFDC89">
      <w:pPr>
        <w:keepNext w:val="0"/>
        <w:keepLines w:val="0"/>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评标委员会根据投标人的综合得分由高到低排定顺序，推荐综合得分排序第一的投标人为第一中标候选人。如投标人的综合得分相同，则投标价低者优先；如投标价也相同，则技术分高者优先；如技术分也相同，则由投标人抽签决定。</w:t>
      </w:r>
    </w:p>
    <w:p w14:paraId="45742DCD">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b/>
          <w:color w:val="auto"/>
          <w:highlight w:val="none"/>
        </w:rPr>
      </w:pPr>
      <w:r>
        <w:rPr>
          <w:rFonts w:hint="eastAsia" w:ascii="宋体" w:hAnsi="宋体"/>
          <w:color w:val="auto"/>
          <w:highlight w:val="none"/>
        </w:rPr>
        <w:t>采购人根据评审报告推荐的中标候选人确定中标供应商。</w:t>
      </w:r>
    </w:p>
    <w:p w14:paraId="125DBB8D">
      <w:pPr>
        <w:pStyle w:val="18"/>
        <w:keepNext w:val="0"/>
        <w:keepLines w:val="0"/>
        <w:pageBreakBefore w:val="0"/>
        <w:widowControl w:val="0"/>
        <w:tabs>
          <w:tab w:val="left" w:pos="5880"/>
        </w:tabs>
        <w:kinsoku/>
        <w:overflowPunct/>
        <w:topLinePunct w:val="0"/>
        <w:autoSpaceDE/>
        <w:autoSpaceDN/>
        <w:bidi w:val="0"/>
        <w:adjustRightInd/>
        <w:snapToGrid/>
        <w:spacing w:line="360" w:lineRule="auto"/>
        <w:ind w:left="0" w:firstLine="422" w:firstLineChars="200"/>
        <w:textAlignment w:val="auto"/>
        <w:rPr>
          <w:color w:val="auto"/>
          <w:sz w:val="21"/>
          <w:highlight w:val="none"/>
        </w:rPr>
      </w:pPr>
      <w:r>
        <w:rPr>
          <w:rFonts w:hint="eastAsia"/>
          <w:color w:val="auto"/>
          <w:sz w:val="21"/>
          <w:highlight w:val="none"/>
        </w:rPr>
        <w:t>5.5中标结果</w:t>
      </w:r>
      <w:r>
        <w:rPr>
          <w:color w:val="auto"/>
          <w:sz w:val="21"/>
          <w:highlight w:val="none"/>
        </w:rPr>
        <w:tab/>
      </w:r>
    </w:p>
    <w:p w14:paraId="7084C7E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ascii="宋体" w:hAnsi="宋体"/>
          <w:color w:val="auto"/>
          <w:highlight w:val="none"/>
        </w:rPr>
      </w:pPr>
      <w:r>
        <w:rPr>
          <w:rFonts w:hint="eastAsia" w:ascii="宋体" w:hAnsi="宋体"/>
          <w:color w:val="auto"/>
          <w:highlight w:val="none"/>
        </w:rPr>
        <w:t>采购代理机构将中标结果在政府采购指定媒体上公告，并同时</w:t>
      </w:r>
      <w:r>
        <w:rPr>
          <w:rFonts w:ascii="宋体" w:hAnsi="宋体"/>
          <w:color w:val="auto"/>
          <w:highlight w:val="none"/>
        </w:rPr>
        <w:t>向中标</w:t>
      </w:r>
      <w:r>
        <w:rPr>
          <w:rFonts w:hint="eastAsia" w:ascii="宋体" w:hAnsi="宋体"/>
          <w:color w:val="auto"/>
          <w:highlight w:val="none"/>
        </w:rPr>
        <w:t>供应商</w:t>
      </w:r>
      <w:r>
        <w:rPr>
          <w:rFonts w:ascii="宋体" w:hAnsi="宋体"/>
          <w:color w:val="auto"/>
          <w:highlight w:val="none"/>
        </w:rPr>
        <w:t>发出中标通知书。</w:t>
      </w:r>
    </w:p>
    <w:p w14:paraId="4866B227">
      <w:pPr>
        <w:keepNext w:val="0"/>
        <w:keepLines w:val="0"/>
        <w:pageBreakBefore w:val="0"/>
        <w:widowControl w:val="0"/>
        <w:kinsoku/>
        <w:wordWrap w:val="0"/>
        <w:overflowPunct/>
        <w:topLinePunct w:val="0"/>
        <w:autoSpaceDE/>
        <w:autoSpaceDN/>
        <w:bidi w:val="0"/>
        <w:adjustRightInd/>
        <w:snapToGrid/>
        <w:spacing w:line="360" w:lineRule="auto"/>
        <w:ind w:firstLine="422" w:firstLineChars="200"/>
        <w:jc w:val="left"/>
        <w:textAlignment w:val="auto"/>
        <w:rPr>
          <w:rFonts w:ascii="宋体" w:hAnsi="宋体"/>
          <w:color w:val="auto"/>
          <w:sz w:val="21"/>
          <w:szCs w:val="21"/>
          <w:highlight w:val="none"/>
        </w:rPr>
      </w:pPr>
      <w:r>
        <w:rPr>
          <w:rFonts w:hint="eastAsia" w:ascii="宋体" w:hAnsi="宋体"/>
          <w:b/>
          <w:bCs/>
          <w:color w:val="auto"/>
          <w:sz w:val="21"/>
          <w:szCs w:val="21"/>
          <w:highlight w:val="none"/>
        </w:rPr>
        <w:t>6.特别声明：</w:t>
      </w:r>
      <w:r>
        <w:rPr>
          <w:rFonts w:hint="eastAsia" w:ascii="宋体" w:hAnsi="宋体"/>
          <w:b/>
          <w:color w:val="auto"/>
          <w:sz w:val="21"/>
          <w:szCs w:val="21"/>
          <w:highlight w:val="none"/>
        </w:rPr>
        <w:t>价格是评标的重要因素之一，但最低价不是中标的唯一依据。</w:t>
      </w:r>
    </w:p>
    <w:p w14:paraId="074845FA">
      <w:pPr>
        <w:keepNext w:val="0"/>
        <w:keepLines w:val="0"/>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bCs/>
          <w:color w:val="auto"/>
          <w:sz w:val="21"/>
          <w:szCs w:val="21"/>
          <w:highlight w:val="none"/>
        </w:rPr>
        <w:t>7.评分标准</w:t>
      </w:r>
      <w:r>
        <w:rPr>
          <w:rFonts w:hint="eastAsia" w:ascii="宋体" w:hAnsi="宋体"/>
          <w:b/>
          <w:bCs/>
          <w:color w:val="auto"/>
          <w:sz w:val="21"/>
          <w:szCs w:val="21"/>
          <w:highlight w:val="none"/>
          <w:lang w:eastAsia="zh-CN"/>
        </w:rPr>
        <w:t>：</w:t>
      </w:r>
      <w:r>
        <w:rPr>
          <w:rFonts w:hint="eastAsia" w:ascii="宋体" w:hAnsi="宋体"/>
          <w:b/>
          <w:color w:val="auto"/>
          <w:highlight w:val="none"/>
        </w:rPr>
        <w:t>详见后附评分标准表。</w:t>
      </w:r>
    </w:p>
    <w:p w14:paraId="462C7A1A">
      <w:pPr>
        <w:rPr>
          <w:color w:val="auto"/>
          <w:highlight w:val="none"/>
        </w:rPr>
      </w:pPr>
    </w:p>
    <w:p w14:paraId="163C574C">
      <w:pPr>
        <w:spacing w:line="360" w:lineRule="auto"/>
        <w:ind w:firstLine="420" w:firstLineChars="200"/>
        <w:rPr>
          <w:rFonts w:hint="eastAsia" w:ascii="宋体" w:hAnsi="宋体"/>
          <w:color w:val="auto"/>
          <w:highlight w:val="none"/>
        </w:rPr>
      </w:pPr>
    </w:p>
    <w:p w14:paraId="4370420E">
      <w:pPr>
        <w:pStyle w:val="18"/>
        <w:ind w:left="0" w:firstLine="211" w:firstLineChars="100"/>
        <w:jc w:val="left"/>
        <w:outlineLvl w:val="1"/>
        <w:rPr>
          <w:rFonts w:hint="eastAsia"/>
          <w:color w:val="auto"/>
          <w:highlight w:val="none"/>
        </w:rPr>
      </w:pPr>
      <w:r>
        <w:rPr>
          <w:color w:val="auto"/>
          <w:sz w:val="21"/>
          <w:highlight w:val="none"/>
        </w:rPr>
        <w:br w:type="page"/>
      </w:r>
      <w:bookmarkStart w:id="98" w:name="_Toc6110"/>
      <w:r>
        <w:rPr>
          <w:rFonts w:hint="eastAsia"/>
          <w:color w:val="auto"/>
          <w:sz w:val="21"/>
          <w:highlight w:val="none"/>
        </w:rPr>
        <w:t>附：评分标准表</w:t>
      </w:r>
      <w:bookmarkEnd w:id="98"/>
      <w:r>
        <w:rPr>
          <w:rFonts w:hint="eastAsia"/>
          <w:color w:val="auto"/>
          <w:sz w:val="21"/>
          <w:highlight w:val="none"/>
        </w:rPr>
        <w:t xml:space="preserve"> </w:t>
      </w:r>
    </w:p>
    <w:tbl>
      <w:tblPr>
        <w:tblStyle w:val="28"/>
        <w:tblW w:w="90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6"/>
        <w:gridCol w:w="753"/>
        <w:gridCol w:w="6651"/>
        <w:gridCol w:w="849"/>
      </w:tblGrid>
      <w:tr w14:paraId="572E7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17146233">
            <w:pPr>
              <w:bidi w:val="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评定项目</w:t>
            </w:r>
          </w:p>
        </w:tc>
        <w:tc>
          <w:tcPr>
            <w:tcW w:w="7404" w:type="dxa"/>
            <w:gridSpan w:val="2"/>
            <w:tcBorders>
              <w:top w:val="single" w:color="000000" w:sz="4" w:space="0"/>
              <w:left w:val="single" w:color="000000" w:sz="4" w:space="0"/>
              <w:bottom w:val="single" w:color="000000" w:sz="4" w:space="0"/>
              <w:right w:val="single" w:color="000000" w:sz="4" w:space="0"/>
            </w:tcBorders>
            <w:noWrap w:val="0"/>
            <w:vAlign w:val="center"/>
          </w:tcPr>
          <w:p w14:paraId="799A2F7A">
            <w:pPr>
              <w:bidi w:val="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评分标准</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DA8B599">
            <w:pPr>
              <w:bidi w:val="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分值（分）</w:t>
            </w:r>
          </w:p>
        </w:tc>
      </w:tr>
      <w:tr w14:paraId="6B168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9"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5E33F39">
            <w:pPr>
              <w:bidi w:val="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技术商务分（70）</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05173B07">
            <w:pPr>
              <w:bidi w:val="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技术需求响应性</w:t>
            </w:r>
          </w:p>
        </w:tc>
        <w:tc>
          <w:tcPr>
            <w:tcW w:w="6651" w:type="dxa"/>
            <w:tcBorders>
              <w:top w:val="single" w:color="000000" w:sz="4" w:space="0"/>
              <w:left w:val="single" w:color="000000" w:sz="4" w:space="0"/>
              <w:bottom w:val="single" w:color="000000" w:sz="4" w:space="0"/>
              <w:right w:val="single" w:color="000000" w:sz="4" w:space="0"/>
            </w:tcBorders>
            <w:noWrap w:val="0"/>
            <w:vAlign w:val="center"/>
          </w:tcPr>
          <w:p w14:paraId="63C70AD4">
            <w:pPr>
              <w:pStyle w:val="17"/>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投标人完全响应招标文件“项目内容及要求”的得2</w:t>
            </w:r>
            <w:r>
              <w:rPr>
                <w:rFonts w:hint="eastAsia" w:hAnsi="宋体" w:cs="宋体"/>
                <w:color w:val="auto"/>
                <w:sz w:val="21"/>
                <w:szCs w:val="21"/>
                <w:highlight w:val="none"/>
                <w:u w:val="none"/>
                <w:lang w:val="en-US" w:eastAsia="zh-CN"/>
              </w:rPr>
              <w:t>6</w:t>
            </w:r>
            <w:r>
              <w:rPr>
                <w:rFonts w:hint="eastAsia" w:ascii="宋体" w:hAnsi="宋体" w:eastAsia="宋体" w:cs="宋体"/>
                <w:color w:val="auto"/>
                <w:sz w:val="21"/>
                <w:szCs w:val="21"/>
                <w:highlight w:val="none"/>
                <w:u w:val="none"/>
                <w:lang w:val="en-US" w:eastAsia="zh-CN"/>
              </w:rPr>
              <w:t>分。</w:t>
            </w:r>
          </w:p>
          <w:p w14:paraId="733E24B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标★的指标（如有）不得负偏离，否则投标无效；</w:t>
            </w:r>
          </w:p>
          <w:p w14:paraId="33C29A4D">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color w:val="auto"/>
                <w:highlight w:val="none"/>
                <w:lang w:val="en-US" w:eastAsia="zh-CN"/>
              </w:rPr>
            </w:pPr>
            <w:r>
              <w:rPr>
                <w:rFonts w:hint="eastAsia" w:ascii="Times New Roman" w:hAnsi="Times New Roman" w:eastAsia="宋体" w:cs="Times New Roman"/>
                <w:color w:val="auto"/>
                <w:highlight w:val="none"/>
                <w:lang w:val="zh-CN"/>
              </w:rPr>
              <w:t>标▲的指标（如有）每有</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lang w:val="zh-CN"/>
              </w:rPr>
              <w:t>项负偏离扣</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lang w:val="zh-CN"/>
              </w:rPr>
              <w:t>分</w:t>
            </w:r>
            <w:r>
              <w:rPr>
                <w:rFonts w:hint="eastAsia" w:cs="Times New Roman"/>
                <w:color w:val="auto"/>
                <w:highlight w:val="none"/>
                <w:lang w:val="en-US" w:eastAsia="zh-CN"/>
              </w:rPr>
              <w:t>，未</w:t>
            </w:r>
            <w:r>
              <w:rPr>
                <w:rFonts w:hint="eastAsia" w:ascii="Times New Roman" w:hAnsi="Times New Roman" w:eastAsia="宋体" w:cs="Times New Roman"/>
                <w:color w:val="auto"/>
                <w:highlight w:val="none"/>
                <w:lang w:val="zh-CN"/>
              </w:rPr>
              <w:t>标▲的指标（如有）每有</w:t>
            </w:r>
            <w:r>
              <w:rPr>
                <w:rFonts w:hint="eastAsia" w:cs="Times New Roman"/>
                <w:color w:val="auto"/>
                <w:highlight w:val="none"/>
                <w:lang w:val="en-US" w:eastAsia="zh-CN"/>
              </w:rPr>
              <w:t>1</w:t>
            </w:r>
            <w:r>
              <w:rPr>
                <w:rFonts w:hint="eastAsia" w:ascii="Times New Roman" w:hAnsi="Times New Roman" w:eastAsia="宋体" w:cs="Times New Roman"/>
                <w:color w:val="auto"/>
                <w:highlight w:val="none"/>
                <w:lang w:val="zh-CN"/>
              </w:rPr>
              <w:t>项负偏离扣</w:t>
            </w:r>
            <w:r>
              <w:rPr>
                <w:rFonts w:hint="eastAsia" w:ascii="Times New Roman" w:hAnsi="Times New Roman" w:eastAsia="宋体" w:cs="Times New Roman"/>
                <w:color w:val="auto"/>
                <w:highlight w:val="none"/>
                <w:lang w:val="en-US" w:eastAsia="zh-CN"/>
              </w:rPr>
              <w:t>0.5</w:t>
            </w:r>
            <w:r>
              <w:rPr>
                <w:rFonts w:hint="eastAsia" w:ascii="Times New Roman" w:hAnsi="Times New Roman" w:eastAsia="宋体" w:cs="Times New Roman"/>
                <w:color w:val="auto"/>
                <w:highlight w:val="none"/>
                <w:lang w:val="zh-CN"/>
              </w:rPr>
              <w:t>分；</w:t>
            </w:r>
            <w:r>
              <w:rPr>
                <w:rFonts w:hint="eastAsia" w:ascii="宋体" w:hAnsi="宋体" w:eastAsia="宋体" w:cs="宋体"/>
                <w:color w:val="auto"/>
                <w:sz w:val="21"/>
                <w:szCs w:val="21"/>
                <w:highlight w:val="none"/>
                <w:u w:val="none"/>
                <w:lang w:val="en-US" w:eastAsia="zh-CN"/>
              </w:rPr>
              <w:t>扣分至0分及以下的，作无效标处理。</w:t>
            </w:r>
          </w:p>
          <w:p w14:paraId="34CDC780">
            <w:pPr>
              <w:bidi w:val="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招标文件要求提供的功能截图或相关证明材料复印件，需附在投标文件中并投标人加盖公章，如未提供或提供内容不全、不清晰，则不得分。</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3AE843E">
            <w:pPr>
              <w:bidi w:val="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w:t>
            </w:r>
            <w:r>
              <w:rPr>
                <w:rFonts w:hint="eastAsia" w:ascii="宋体" w:hAnsi="宋体" w:cs="宋体"/>
                <w:color w:val="auto"/>
                <w:sz w:val="21"/>
                <w:szCs w:val="21"/>
                <w:highlight w:val="none"/>
                <w:u w:val="none"/>
                <w:lang w:val="en-US" w:eastAsia="zh-CN"/>
              </w:rPr>
              <w:t>6</w:t>
            </w:r>
          </w:p>
        </w:tc>
      </w:tr>
      <w:tr w14:paraId="22AB3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2"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F2B658">
            <w:pPr>
              <w:bidi w:val="0"/>
              <w:jc w:val="center"/>
              <w:rPr>
                <w:rFonts w:hint="eastAsia" w:ascii="宋体" w:hAnsi="宋体" w:eastAsia="宋体" w:cs="宋体"/>
                <w:color w:val="auto"/>
                <w:sz w:val="21"/>
                <w:szCs w:val="21"/>
                <w:highlight w:val="none"/>
                <w:u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2E4CD7E1">
            <w:pPr>
              <w:bidi w:val="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需求理解及重难点分析</w:t>
            </w:r>
          </w:p>
        </w:tc>
        <w:tc>
          <w:tcPr>
            <w:tcW w:w="6651" w:type="dxa"/>
            <w:tcBorders>
              <w:top w:val="single" w:color="000000" w:sz="4" w:space="0"/>
              <w:left w:val="single" w:color="000000" w:sz="4" w:space="0"/>
              <w:bottom w:val="single" w:color="000000" w:sz="4" w:space="0"/>
              <w:right w:val="single" w:color="000000" w:sz="4" w:space="0"/>
            </w:tcBorders>
            <w:noWrap w:val="0"/>
            <w:vAlign w:val="center"/>
          </w:tcPr>
          <w:p w14:paraId="56D548EB">
            <w:pPr>
              <w:bidi w:val="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根据投标人提供的项目需求、系统功能要求、实施过程中产生的重难点及应对措施进行评议：</w:t>
            </w:r>
            <w:r>
              <w:rPr>
                <w:rFonts w:hint="eastAsia" w:ascii="宋体" w:hAnsi="宋体" w:eastAsia="宋体" w:cs="宋体"/>
                <w:color w:val="auto"/>
                <w:sz w:val="21"/>
                <w:szCs w:val="21"/>
                <w:highlight w:val="none"/>
                <w:u w:val="none"/>
                <w:lang w:val="en-US" w:eastAsia="zh-CN"/>
              </w:rPr>
              <w:br w:type="textWrapping"/>
            </w:r>
            <w:r>
              <w:rPr>
                <w:rFonts w:hint="eastAsia" w:ascii="宋体" w:hAnsi="宋体" w:eastAsia="宋体" w:cs="宋体"/>
                <w:color w:val="auto"/>
                <w:sz w:val="21"/>
                <w:szCs w:val="21"/>
                <w:highlight w:val="none"/>
                <w:u w:val="none"/>
                <w:lang w:val="en-US" w:eastAsia="zh-CN"/>
              </w:rPr>
              <w:t>1、项目需求、系统功能要求、重难点及应对措施理解全面具体，针对性强、可操作性强的得4分</w:t>
            </w:r>
            <w:r>
              <w:rPr>
                <w:rFonts w:hint="eastAsia" w:ascii="宋体" w:hAnsi="宋体" w:eastAsia="宋体" w:cs="宋体"/>
                <w:color w:val="auto"/>
                <w:sz w:val="21"/>
                <w:szCs w:val="21"/>
                <w:highlight w:val="none"/>
                <w:u w:val="none"/>
                <w:lang w:val="en-US" w:eastAsia="zh-CN"/>
              </w:rPr>
              <w:br w:type="textWrapping"/>
            </w:r>
            <w:r>
              <w:rPr>
                <w:rFonts w:hint="eastAsia" w:ascii="宋体" w:hAnsi="宋体" w:eastAsia="宋体" w:cs="宋体"/>
                <w:color w:val="auto"/>
                <w:sz w:val="21"/>
                <w:szCs w:val="21"/>
                <w:highlight w:val="none"/>
                <w:u w:val="none"/>
                <w:lang w:val="en-US" w:eastAsia="zh-CN"/>
              </w:rPr>
              <w:t>2、项目需求、系统功能要求、重难点及应对措施理解较为全面，较为合理、针对性、操作性一般的得2分；</w:t>
            </w:r>
            <w:r>
              <w:rPr>
                <w:rFonts w:hint="eastAsia" w:ascii="宋体" w:hAnsi="宋体" w:eastAsia="宋体" w:cs="宋体"/>
                <w:color w:val="auto"/>
                <w:sz w:val="21"/>
                <w:szCs w:val="21"/>
                <w:highlight w:val="none"/>
                <w:u w:val="none"/>
                <w:lang w:val="en-US" w:eastAsia="zh-CN"/>
              </w:rPr>
              <w:br w:type="textWrapping"/>
            </w:r>
            <w:r>
              <w:rPr>
                <w:rFonts w:hint="eastAsia" w:ascii="宋体" w:hAnsi="宋体" w:eastAsia="宋体" w:cs="宋体"/>
                <w:color w:val="auto"/>
                <w:sz w:val="21"/>
                <w:szCs w:val="21"/>
                <w:highlight w:val="none"/>
                <w:u w:val="none"/>
                <w:lang w:val="en-US" w:eastAsia="zh-CN"/>
              </w:rPr>
              <w:t>3、项目需求、系统功能要求、重难点及应对措施理解内容简单、缺乏针对性、操作性差的得1分；</w:t>
            </w:r>
            <w:r>
              <w:rPr>
                <w:rFonts w:hint="eastAsia" w:ascii="宋体" w:hAnsi="宋体" w:eastAsia="宋体" w:cs="宋体"/>
                <w:color w:val="auto"/>
                <w:sz w:val="21"/>
                <w:szCs w:val="21"/>
                <w:highlight w:val="none"/>
                <w:u w:val="none"/>
                <w:lang w:val="en-US" w:eastAsia="zh-CN"/>
              </w:rPr>
              <w:br w:type="textWrapping"/>
            </w:r>
            <w:r>
              <w:rPr>
                <w:rFonts w:hint="eastAsia" w:ascii="宋体" w:hAnsi="宋体" w:eastAsia="宋体" w:cs="宋体"/>
                <w:color w:val="auto"/>
                <w:sz w:val="21"/>
                <w:szCs w:val="21"/>
                <w:highlight w:val="none"/>
                <w:u w:val="none"/>
                <w:lang w:val="en-US" w:eastAsia="zh-CN"/>
              </w:rPr>
              <w:t>4、未提供不得分。</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973855A">
            <w:pPr>
              <w:bidi w:val="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4</w:t>
            </w:r>
          </w:p>
        </w:tc>
      </w:tr>
      <w:tr w14:paraId="27D74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6"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73105D">
            <w:pPr>
              <w:bidi w:val="0"/>
              <w:jc w:val="center"/>
              <w:rPr>
                <w:rFonts w:hint="eastAsia" w:ascii="宋体" w:hAnsi="宋体" w:eastAsia="宋体" w:cs="宋体"/>
                <w:color w:val="auto"/>
                <w:sz w:val="21"/>
                <w:szCs w:val="21"/>
                <w:highlight w:val="none"/>
                <w:u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5925C083">
            <w:pPr>
              <w:bidi w:val="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概要及详细设计</w:t>
            </w:r>
          </w:p>
        </w:tc>
        <w:tc>
          <w:tcPr>
            <w:tcW w:w="6651" w:type="dxa"/>
            <w:tcBorders>
              <w:top w:val="single" w:color="000000" w:sz="4" w:space="0"/>
              <w:left w:val="single" w:color="000000" w:sz="4" w:space="0"/>
              <w:bottom w:val="single" w:color="000000" w:sz="4" w:space="0"/>
              <w:right w:val="single" w:color="000000" w:sz="4" w:space="0"/>
            </w:tcBorders>
            <w:noWrap w:val="0"/>
            <w:vAlign w:val="center"/>
          </w:tcPr>
          <w:p w14:paraId="6D99551E">
            <w:pPr>
              <w:bidi w:val="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根据投标人提供的概要设计及详细设计（包含总体需求、总体结构图和模块功能图、网络环境、开发环境、运行平台等系统，及总体框架设计、业务应用层设计、项目集成与接口设计、应用支撑层设计、数据资源层设计等）进行评议：</w:t>
            </w:r>
            <w:r>
              <w:rPr>
                <w:rFonts w:hint="eastAsia" w:ascii="宋体" w:hAnsi="宋体" w:eastAsia="宋体" w:cs="宋体"/>
                <w:color w:val="auto"/>
                <w:sz w:val="21"/>
                <w:szCs w:val="21"/>
                <w:highlight w:val="none"/>
                <w:u w:val="none"/>
                <w:lang w:val="en-US" w:eastAsia="zh-CN"/>
              </w:rPr>
              <w:br w:type="textWrapping"/>
            </w:r>
            <w:r>
              <w:rPr>
                <w:rFonts w:hint="eastAsia" w:ascii="宋体" w:hAnsi="宋体" w:eastAsia="宋体" w:cs="宋体"/>
                <w:color w:val="auto"/>
                <w:sz w:val="21"/>
                <w:szCs w:val="21"/>
                <w:highlight w:val="none"/>
                <w:u w:val="none"/>
                <w:lang w:val="en-US" w:eastAsia="zh-CN"/>
              </w:rPr>
              <w:t>1、内容全面、具体详细，针对性、可操作性强的得4分；</w:t>
            </w:r>
            <w:r>
              <w:rPr>
                <w:rFonts w:hint="eastAsia" w:ascii="宋体" w:hAnsi="宋体" w:eastAsia="宋体" w:cs="宋体"/>
                <w:color w:val="auto"/>
                <w:sz w:val="21"/>
                <w:szCs w:val="21"/>
                <w:highlight w:val="none"/>
                <w:u w:val="none"/>
                <w:lang w:val="en-US" w:eastAsia="zh-CN"/>
              </w:rPr>
              <w:br w:type="textWrapping"/>
            </w:r>
            <w:r>
              <w:rPr>
                <w:rFonts w:hint="eastAsia" w:ascii="宋体" w:hAnsi="宋体" w:eastAsia="宋体" w:cs="宋体"/>
                <w:color w:val="auto"/>
                <w:sz w:val="21"/>
                <w:szCs w:val="21"/>
                <w:highlight w:val="none"/>
                <w:u w:val="none"/>
                <w:lang w:val="en-US" w:eastAsia="zh-CN"/>
              </w:rPr>
              <w:t>2、内容较为全面、合理、有一定针对性、操作性一般的得2分；</w:t>
            </w:r>
            <w:r>
              <w:rPr>
                <w:rFonts w:hint="eastAsia" w:ascii="宋体" w:hAnsi="宋体" w:eastAsia="宋体" w:cs="宋体"/>
                <w:color w:val="auto"/>
                <w:sz w:val="21"/>
                <w:szCs w:val="21"/>
                <w:highlight w:val="none"/>
                <w:u w:val="none"/>
                <w:lang w:val="en-US" w:eastAsia="zh-CN"/>
              </w:rPr>
              <w:br w:type="textWrapping"/>
            </w:r>
            <w:r>
              <w:rPr>
                <w:rFonts w:hint="eastAsia" w:ascii="宋体" w:hAnsi="宋体" w:eastAsia="宋体" w:cs="宋体"/>
                <w:color w:val="auto"/>
                <w:sz w:val="21"/>
                <w:szCs w:val="21"/>
                <w:highlight w:val="none"/>
                <w:u w:val="none"/>
                <w:lang w:val="en-US" w:eastAsia="zh-CN"/>
              </w:rPr>
              <w:t>3、内容简单、缺乏针对性、操作性差的得1分；</w:t>
            </w:r>
            <w:r>
              <w:rPr>
                <w:rFonts w:hint="eastAsia" w:ascii="宋体" w:hAnsi="宋体" w:eastAsia="宋体" w:cs="宋体"/>
                <w:color w:val="auto"/>
                <w:sz w:val="21"/>
                <w:szCs w:val="21"/>
                <w:highlight w:val="none"/>
                <w:u w:val="none"/>
                <w:lang w:val="en-US" w:eastAsia="zh-CN"/>
              </w:rPr>
              <w:br w:type="textWrapping"/>
            </w:r>
            <w:r>
              <w:rPr>
                <w:rFonts w:hint="eastAsia" w:ascii="宋体" w:hAnsi="宋体" w:eastAsia="宋体" w:cs="宋体"/>
                <w:color w:val="auto"/>
                <w:sz w:val="21"/>
                <w:szCs w:val="21"/>
                <w:highlight w:val="none"/>
                <w:u w:val="none"/>
                <w:lang w:val="en-US" w:eastAsia="zh-CN"/>
              </w:rPr>
              <w:t>4、未提供不得分。</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97ECCFF">
            <w:pPr>
              <w:bidi w:val="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4</w:t>
            </w:r>
          </w:p>
        </w:tc>
      </w:tr>
      <w:tr w14:paraId="2B629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2"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946D0A">
            <w:pPr>
              <w:bidi w:val="0"/>
              <w:jc w:val="center"/>
              <w:rPr>
                <w:rFonts w:hint="eastAsia" w:ascii="宋体" w:hAnsi="宋体" w:eastAsia="宋体" w:cs="宋体"/>
                <w:color w:val="auto"/>
                <w:sz w:val="21"/>
                <w:szCs w:val="21"/>
                <w:highlight w:val="none"/>
                <w:u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4B57970F">
            <w:pPr>
              <w:bidi w:val="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项目进度计划及测试方案</w:t>
            </w:r>
          </w:p>
        </w:tc>
        <w:tc>
          <w:tcPr>
            <w:tcW w:w="6651" w:type="dxa"/>
            <w:tcBorders>
              <w:top w:val="single" w:color="000000" w:sz="4" w:space="0"/>
              <w:left w:val="single" w:color="000000" w:sz="4" w:space="0"/>
              <w:bottom w:val="single" w:color="000000" w:sz="4" w:space="0"/>
              <w:right w:val="single" w:color="000000" w:sz="4" w:space="0"/>
            </w:tcBorders>
            <w:noWrap w:val="0"/>
            <w:vAlign w:val="center"/>
          </w:tcPr>
          <w:p w14:paraId="6304F918">
            <w:pPr>
              <w:bidi w:val="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根据投标人提供的项目进度计划及测试方案进行评议：</w:t>
            </w:r>
            <w:r>
              <w:rPr>
                <w:rFonts w:hint="eastAsia" w:ascii="宋体" w:hAnsi="宋体" w:eastAsia="宋体" w:cs="宋体"/>
                <w:color w:val="auto"/>
                <w:sz w:val="21"/>
                <w:szCs w:val="21"/>
                <w:highlight w:val="none"/>
                <w:u w:val="none"/>
                <w:lang w:val="en-US" w:eastAsia="zh-CN"/>
              </w:rPr>
              <w:br w:type="textWrapping"/>
            </w:r>
            <w:r>
              <w:rPr>
                <w:rFonts w:hint="eastAsia" w:ascii="宋体" w:hAnsi="宋体" w:eastAsia="宋体" w:cs="宋体"/>
                <w:color w:val="auto"/>
                <w:sz w:val="21"/>
                <w:szCs w:val="21"/>
                <w:highlight w:val="none"/>
                <w:u w:val="none"/>
                <w:lang w:val="en-US" w:eastAsia="zh-CN"/>
              </w:rPr>
              <w:t>1、进度计划周全、保证措施完善、测试方案周全的得4分；</w:t>
            </w:r>
            <w:r>
              <w:rPr>
                <w:rFonts w:hint="eastAsia" w:ascii="宋体" w:hAnsi="宋体" w:eastAsia="宋体" w:cs="宋体"/>
                <w:color w:val="auto"/>
                <w:sz w:val="21"/>
                <w:szCs w:val="21"/>
                <w:highlight w:val="none"/>
                <w:u w:val="none"/>
                <w:lang w:val="en-US" w:eastAsia="zh-CN"/>
              </w:rPr>
              <w:br w:type="textWrapping"/>
            </w:r>
            <w:r>
              <w:rPr>
                <w:rFonts w:hint="eastAsia" w:ascii="宋体" w:hAnsi="宋体" w:eastAsia="宋体" w:cs="宋体"/>
                <w:color w:val="auto"/>
                <w:sz w:val="21"/>
                <w:szCs w:val="21"/>
                <w:highlight w:val="none"/>
                <w:u w:val="none"/>
                <w:lang w:val="en-US" w:eastAsia="zh-CN"/>
              </w:rPr>
              <w:t>2、进度计划较周全、保证措施较完善、测试方案较周全的得2分；</w:t>
            </w:r>
            <w:r>
              <w:rPr>
                <w:rFonts w:hint="eastAsia" w:ascii="宋体" w:hAnsi="宋体" w:eastAsia="宋体" w:cs="宋体"/>
                <w:color w:val="auto"/>
                <w:sz w:val="21"/>
                <w:szCs w:val="21"/>
                <w:highlight w:val="none"/>
                <w:u w:val="none"/>
                <w:lang w:val="en-US" w:eastAsia="zh-CN"/>
              </w:rPr>
              <w:br w:type="textWrapping"/>
            </w:r>
            <w:r>
              <w:rPr>
                <w:rFonts w:hint="eastAsia" w:ascii="宋体" w:hAnsi="宋体" w:eastAsia="宋体" w:cs="宋体"/>
                <w:color w:val="auto"/>
                <w:sz w:val="21"/>
                <w:szCs w:val="21"/>
                <w:highlight w:val="none"/>
                <w:u w:val="none"/>
                <w:lang w:val="en-US" w:eastAsia="zh-CN"/>
              </w:rPr>
              <w:t>3、进度计划不周全、保证措施笼统、测试方案不周全的得1分；</w:t>
            </w:r>
            <w:r>
              <w:rPr>
                <w:rFonts w:hint="eastAsia" w:ascii="宋体" w:hAnsi="宋体" w:eastAsia="宋体" w:cs="宋体"/>
                <w:color w:val="auto"/>
                <w:sz w:val="21"/>
                <w:szCs w:val="21"/>
                <w:highlight w:val="none"/>
                <w:u w:val="none"/>
                <w:lang w:val="en-US" w:eastAsia="zh-CN"/>
              </w:rPr>
              <w:br w:type="textWrapping"/>
            </w:r>
            <w:r>
              <w:rPr>
                <w:rFonts w:hint="eastAsia" w:ascii="宋体" w:hAnsi="宋体" w:eastAsia="宋体" w:cs="宋体"/>
                <w:color w:val="auto"/>
                <w:sz w:val="21"/>
                <w:szCs w:val="21"/>
                <w:highlight w:val="none"/>
                <w:u w:val="none"/>
                <w:lang w:val="en-US" w:eastAsia="zh-CN"/>
              </w:rPr>
              <w:t>4、未提供不得分。</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956C43D">
            <w:pPr>
              <w:bidi w:val="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4</w:t>
            </w:r>
          </w:p>
        </w:tc>
      </w:tr>
      <w:tr w14:paraId="21716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2"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85D4C1">
            <w:pPr>
              <w:bidi w:val="0"/>
              <w:jc w:val="center"/>
              <w:rPr>
                <w:rFonts w:hint="eastAsia" w:ascii="宋体" w:hAnsi="宋体" w:eastAsia="宋体" w:cs="宋体"/>
                <w:color w:val="auto"/>
                <w:sz w:val="21"/>
                <w:szCs w:val="21"/>
                <w:highlight w:val="none"/>
                <w:u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29FDA869">
            <w:pPr>
              <w:bidi w:val="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赛事维保方案</w:t>
            </w:r>
          </w:p>
        </w:tc>
        <w:tc>
          <w:tcPr>
            <w:tcW w:w="6651" w:type="dxa"/>
            <w:tcBorders>
              <w:top w:val="single" w:color="000000" w:sz="4" w:space="0"/>
              <w:left w:val="single" w:color="000000" w:sz="4" w:space="0"/>
              <w:bottom w:val="single" w:color="000000" w:sz="4" w:space="0"/>
              <w:right w:val="single" w:color="000000" w:sz="4" w:space="0"/>
            </w:tcBorders>
            <w:noWrap w:val="0"/>
            <w:vAlign w:val="center"/>
          </w:tcPr>
          <w:p w14:paraId="424DA944">
            <w:pPr>
              <w:bidi w:val="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根据投标人提供的赛事维保方案（包含赛事运维方案、日常维护方案、模拟演练方案）及售后服务承诺进行评议：</w:t>
            </w:r>
            <w:r>
              <w:rPr>
                <w:rFonts w:hint="eastAsia" w:ascii="宋体" w:hAnsi="宋体" w:eastAsia="宋体" w:cs="宋体"/>
                <w:color w:val="auto"/>
                <w:sz w:val="21"/>
                <w:szCs w:val="21"/>
                <w:highlight w:val="none"/>
                <w:u w:val="none"/>
                <w:lang w:val="en-US" w:eastAsia="zh-CN"/>
              </w:rPr>
              <w:br w:type="textWrapping"/>
            </w:r>
            <w:r>
              <w:rPr>
                <w:rFonts w:hint="eastAsia" w:ascii="宋体" w:hAnsi="宋体" w:eastAsia="宋体" w:cs="宋体"/>
                <w:color w:val="auto"/>
                <w:sz w:val="21"/>
                <w:szCs w:val="21"/>
                <w:highlight w:val="none"/>
                <w:u w:val="none"/>
                <w:lang w:val="en-US" w:eastAsia="zh-CN"/>
              </w:rPr>
              <w:t>1、赛事维保方案及售后服务承诺内容符合本项目、服务质量及保障措施高效充分、增值服务内容全面可行的得4分；</w:t>
            </w:r>
            <w:r>
              <w:rPr>
                <w:rFonts w:hint="eastAsia" w:ascii="宋体" w:hAnsi="宋体" w:eastAsia="宋体" w:cs="宋体"/>
                <w:color w:val="auto"/>
                <w:sz w:val="21"/>
                <w:szCs w:val="21"/>
                <w:highlight w:val="none"/>
                <w:u w:val="none"/>
                <w:lang w:val="en-US" w:eastAsia="zh-CN"/>
              </w:rPr>
              <w:br w:type="textWrapping"/>
            </w:r>
            <w:r>
              <w:rPr>
                <w:rFonts w:hint="eastAsia" w:ascii="宋体" w:hAnsi="宋体" w:eastAsia="宋体" w:cs="宋体"/>
                <w:color w:val="auto"/>
                <w:sz w:val="21"/>
                <w:szCs w:val="21"/>
                <w:highlight w:val="none"/>
                <w:u w:val="none"/>
                <w:lang w:val="en-US" w:eastAsia="zh-CN"/>
              </w:rPr>
              <w:t>2、赛事维保方案及售后服务承诺内容与本项目有偏差、服务质量及保障措施一般、增值服务内容较全面可行的得2分；</w:t>
            </w:r>
            <w:r>
              <w:rPr>
                <w:rFonts w:hint="eastAsia" w:ascii="宋体" w:hAnsi="宋体" w:eastAsia="宋体" w:cs="宋体"/>
                <w:color w:val="auto"/>
                <w:sz w:val="21"/>
                <w:szCs w:val="21"/>
                <w:highlight w:val="none"/>
                <w:u w:val="none"/>
                <w:lang w:val="en-US" w:eastAsia="zh-CN"/>
              </w:rPr>
              <w:br w:type="textWrapping"/>
            </w:r>
            <w:r>
              <w:rPr>
                <w:rFonts w:hint="eastAsia" w:ascii="宋体" w:hAnsi="宋体" w:eastAsia="宋体" w:cs="宋体"/>
                <w:color w:val="auto"/>
                <w:sz w:val="21"/>
                <w:szCs w:val="21"/>
                <w:highlight w:val="none"/>
                <w:u w:val="none"/>
                <w:lang w:val="en-US" w:eastAsia="zh-CN"/>
              </w:rPr>
              <w:t>3、赛事维保方案及无售后服务承诺、服务质量及保障措施较差、增值服务内容不全面可行的得1分；</w:t>
            </w:r>
            <w:r>
              <w:rPr>
                <w:rFonts w:hint="eastAsia" w:ascii="宋体" w:hAnsi="宋体" w:eastAsia="宋体" w:cs="宋体"/>
                <w:color w:val="auto"/>
                <w:sz w:val="21"/>
                <w:szCs w:val="21"/>
                <w:highlight w:val="none"/>
                <w:u w:val="none"/>
                <w:lang w:val="en-US" w:eastAsia="zh-CN"/>
              </w:rPr>
              <w:br w:type="textWrapping"/>
            </w:r>
            <w:r>
              <w:rPr>
                <w:rFonts w:hint="eastAsia" w:ascii="宋体" w:hAnsi="宋体" w:eastAsia="宋体" w:cs="宋体"/>
                <w:color w:val="auto"/>
                <w:sz w:val="21"/>
                <w:szCs w:val="21"/>
                <w:highlight w:val="none"/>
                <w:u w:val="none"/>
                <w:lang w:val="en-US" w:eastAsia="zh-CN"/>
              </w:rPr>
              <w:t>4、未提供不得分。</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4E59FCC">
            <w:pPr>
              <w:bidi w:val="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4</w:t>
            </w:r>
          </w:p>
        </w:tc>
      </w:tr>
      <w:tr w14:paraId="5F175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290905">
            <w:pPr>
              <w:bidi w:val="0"/>
              <w:jc w:val="center"/>
              <w:rPr>
                <w:rFonts w:hint="eastAsia" w:ascii="宋体" w:hAnsi="宋体" w:eastAsia="宋体" w:cs="宋体"/>
                <w:color w:val="auto"/>
                <w:sz w:val="21"/>
                <w:szCs w:val="21"/>
                <w:highlight w:val="none"/>
                <w:u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75080FAF">
            <w:pPr>
              <w:bidi w:val="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赛事应急方案</w:t>
            </w:r>
          </w:p>
        </w:tc>
        <w:tc>
          <w:tcPr>
            <w:tcW w:w="6651" w:type="dxa"/>
            <w:tcBorders>
              <w:top w:val="single" w:color="000000" w:sz="4" w:space="0"/>
              <w:left w:val="single" w:color="000000" w:sz="4" w:space="0"/>
              <w:bottom w:val="single" w:color="000000" w:sz="4" w:space="0"/>
              <w:right w:val="single" w:color="000000" w:sz="4" w:space="0"/>
            </w:tcBorders>
            <w:noWrap w:val="0"/>
            <w:vAlign w:val="center"/>
          </w:tcPr>
          <w:p w14:paraId="1F85515B">
            <w:pPr>
              <w:bidi w:val="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根据投标人提供的赛事应急方案（包含赛事应急预案、应急组织架构、应急演练、应急处理流程、应急收尾制度等方面）进行评议：</w:t>
            </w:r>
            <w:r>
              <w:rPr>
                <w:rFonts w:hint="eastAsia" w:ascii="宋体" w:hAnsi="宋体" w:eastAsia="宋体" w:cs="宋体"/>
                <w:color w:val="auto"/>
                <w:sz w:val="21"/>
                <w:szCs w:val="21"/>
                <w:highlight w:val="none"/>
                <w:u w:val="none"/>
                <w:lang w:val="en-US" w:eastAsia="zh-CN"/>
              </w:rPr>
              <w:br w:type="textWrapping"/>
            </w:r>
            <w:r>
              <w:rPr>
                <w:rFonts w:hint="eastAsia" w:ascii="宋体" w:hAnsi="宋体" w:eastAsia="宋体" w:cs="宋体"/>
                <w:color w:val="auto"/>
                <w:sz w:val="21"/>
                <w:szCs w:val="21"/>
                <w:highlight w:val="none"/>
                <w:u w:val="none"/>
                <w:lang w:val="en-US" w:eastAsia="zh-CN"/>
              </w:rPr>
              <w:t>1、赛事应急方案全面，赛事应急预案清晰，能准确分析项目可能发生的各种突发状况、应急组织架构清晰职责明确、应急演练充分、应急处理流程清晰实施性高、应急收尾制度完善的，得4分；</w:t>
            </w:r>
            <w:r>
              <w:rPr>
                <w:rFonts w:hint="eastAsia" w:ascii="宋体" w:hAnsi="宋体" w:eastAsia="宋体" w:cs="宋体"/>
                <w:color w:val="auto"/>
                <w:sz w:val="21"/>
                <w:szCs w:val="21"/>
                <w:highlight w:val="none"/>
                <w:u w:val="none"/>
                <w:lang w:val="en-US" w:eastAsia="zh-CN"/>
              </w:rPr>
              <w:br w:type="textWrapping"/>
            </w:r>
            <w:r>
              <w:rPr>
                <w:rFonts w:hint="eastAsia" w:ascii="宋体" w:hAnsi="宋体" w:eastAsia="宋体" w:cs="宋体"/>
                <w:color w:val="auto"/>
                <w:sz w:val="21"/>
                <w:szCs w:val="21"/>
                <w:highlight w:val="none"/>
                <w:u w:val="none"/>
                <w:lang w:val="en-US" w:eastAsia="zh-CN"/>
              </w:rPr>
              <w:t>2、赛事应急方案基本全面，赛事应急预案有少量缺漏，基本分析出项目可能发生的突发状况、有应急组织架构分工、有应急演练和应急处理流程，具备一定的可实施性、应急收尾制度有待完善的，得2分；</w:t>
            </w:r>
            <w:r>
              <w:rPr>
                <w:rFonts w:hint="eastAsia" w:ascii="宋体" w:hAnsi="宋体" w:eastAsia="宋体" w:cs="宋体"/>
                <w:color w:val="auto"/>
                <w:sz w:val="21"/>
                <w:szCs w:val="21"/>
                <w:highlight w:val="none"/>
                <w:u w:val="none"/>
                <w:lang w:val="en-US" w:eastAsia="zh-CN"/>
              </w:rPr>
              <w:br w:type="textWrapping"/>
            </w:r>
            <w:r>
              <w:rPr>
                <w:rFonts w:hint="eastAsia" w:ascii="宋体" w:hAnsi="宋体" w:eastAsia="宋体" w:cs="宋体"/>
                <w:color w:val="auto"/>
                <w:sz w:val="21"/>
                <w:szCs w:val="21"/>
                <w:highlight w:val="none"/>
                <w:u w:val="none"/>
                <w:lang w:val="en-US" w:eastAsia="zh-CN"/>
              </w:rPr>
              <w:t>3、赛事应急方案不全面，赛事应急预案有大量缺漏，不能准确分析出项目可能发生的突发状况、应急组织架构分工不明确、应急演练和应急处理流程混乱，应急收尾制度不完善的，得1分；</w:t>
            </w:r>
            <w:r>
              <w:rPr>
                <w:rFonts w:hint="eastAsia" w:ascii="宋体" w:hAnsi="宋体" w:eastAsia="宋体" w:cs="宋体"/>
                <w:color w:val="auto"/>
                <w:sz w:val="21"/>
                <w:szCs w:val="21"/>
                <w:highlight w:val="none"/>
                <w:u w:val="none"/>
                <w:lang w:val="en-US" w:eastAsia="zh-CN"/>
              </w:rPr>
              <w:br w:type="textWrapping"/>
            </w:r>
            <w:r>
              <w:rPr>
                <w:rFonts w:hint="eastAsia" w:ascii="宋体" w:hAnsi="宋体" w:eastAsia="宋体" w:cs="宋体"/>
                <w:color w:val="auto"/>
                <w:sz w:val="21"/>
                <w:szCs w:val="21"/>
                <w:highlight w:val="none"/>
                <w:u w:val="none"/>
                <w:lang w:val="en-US" w:eastAsia="zh-CN"/>
              </w:rPr>
              <w:t>4、未提供不得分。</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CB70A12">
            <w:pPr>
              <w:bidi w:val="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4</w:t>
            </w:r>
          </w:p>
        </w:tc>
      </w:tr>
      <w:tr w14:paraId="2FE66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2"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013999">
            <w:pPr>
              <w:bidi w:val="0"/>
              <w:jc w:val="center"/>
              <w:rPr>
                <w:rFonts w:hint="eastAsia" w:ascii="宋体" w:hAnsi="宋体" w:eastAsia="宋体" w:cs="宋体"/>
                <w:color w:val="auto"/>
                <w:sz w:val="21"/>
                <w:szCs w:val="21"/>
                <w:highlight w:val="none"/>
                <w:u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5D954AFB">
            <w:pPr>
              <w:bidi w:val="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培训方案</w:t>
            </w:r>
          </w:p>
        </w:tc>
        <w:tc>
          <w:tcPr>
            <w:tcW w:w="6651" w:type="dxa"/>
            <w:tcBorders>
              <w:top w:val="single" w:color="000000" w:sz="4" w:space="0"/>
              <w:left w:val="single" w:color="000000" w:sz="4" w:space="0"/>
              <w:bottom w:val="single" w:color="000000" w:sz="4" w:space="0"/>
              <w:right w:val="single" w:color="000000" w:sz="4" w:space="0"/>
            </w:tcBorders>
            <w:noWrap w:val="0"/>
            <w:vAlign w:val="center"/>
          </w:tcPr>
          <w:p w14:paraId="32D23B15">
            <w:pPr>
              <w:bidi w:val="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根据投标人提供的培训方案进行评议：</w:t>
            </w:r>
            <w:r>
              <w:rPr>
                <w:rFonts w:hint="eastAsia" w:ascii="宋体" w:hAnsi="宋体" w:eastAsia="宋体" w:cs="宋体"/>
                <w:color w:val="auto"/>
                <w:sz w:val="21"/>
                <w:szCs w:val="21"/>
                <w:highlight w:val="none"/>
                <w:u w:val="none"/>
                <w:lang w:val="en-US" w:eastAsia="zh-CN"/>
              </w:rPr>
              <w:br w:type="textWrapping"/>
            </w:r>
            <w:r>
              <w:rPr>
                <w:rFonts w:hint="eastAsia" w:ascii="宋体" w:hAnsi="宋体" w:eastAsia="宋体" w:cs="宋体"/>
                <w:color w:val="auto"/>
                <w:sz w:val="21"/>
                <w:szCs w:val="21"/>
                <w:highlight w:val="none"/>
                <w:u w:val="none"/>
                <w:lang w:val="en-US" w:eastAsia="zh-CN"/>
              </w:rPr>
              <w:t>1、培训方案内容全面具体、计划可行的得4分；</w:t>
            </w:r>
            <w:r>
              <w:rPr>
                <w:rFonts w:hint="eastAsia" w:ascii="宋体" w:hAnsi="宋体" w:eastAsia="宋体" w:cs="宋体"/>
                <w:color w:val="auto"/>
                <w:sz w:val="21"/>
                <w:szCs w:val="21"/>
                <w:highlight w:val="none"/>
                <w:u w:val="none"/>
                <w:lang w:val="en-US" w:eastAsia="zh-CN"/>
              </w:rPr>
              <w:br w:type="textWrapping"/>
            </w:r>
            <w:r>
              <w:rPr>
                <w:rFonts w:hint="eastAsia" w:ascii="宋体" w:hAnsi="宋体" w:eastAsia="宋体" w:cs="宋体"/>
                <w:color w:val="auto"/>
                <w:sz w:val="21"/>
                <w:szCs w:val="21"/>
                <w:highlight w:val="none"/>
                <w:u w:val="none"/>
                <w:lang w:val="en-US" w:eastAsia="zh-CN"/>
              </w:rPr>
              <w:t>2、培训方案内容较全面具体、计划较可行的得2分；</w:t>
            </w:r>
            <w:r>
              <w:rPr>
                <w:rFonts w:hint="eastAsia" w:ascii="宋体" w:hAnsi="宋体" w:eastAsia="宋体" w:cs="宋体"/>
                <w:color w:val="auto"/>
                <w:sz w:val="21"/>
                <w:szCs w:val="21"/>
                <w:highlight w:val="none"/>
                <w:u w:val="none"/>
                <w:lang w:val="en-US" w:eastAsia="zh-CN"/>
              </w:rPr>
              <w:br w:type="textWrapping"/>
            </w:r>
            <w:r>
              <w:rPr>
                <w:rFonts w:hint="eastAsia" w:ascii="宋体" w:hAnsi="宋体" w:eastAsia="宋体" w:cs="宋体"/>
                <w:color w:val="auto"/>
                <w:sz w:val="21"/>
                <w:szCs w:val="21"/>
                <w:highlight w:val="none"/>
                <w:u w:val="none"/>
                <w:lang w:val="en-US" w:eastAsia="zh-CN"/>
              </w:rPr>
              <w:t>3、培训方案内容不具体、计划不可行的得1分；</w:t>
            </w:r>
            <w:r>
              <w:rPr>
                <w:rFonts w:hint="eastAsia" w:ascii="宋体" w:hAnsi="宋体" w:eastAsia="宋体" w:cs="宋体"/>
                <w:color w:val="auto"/>
                <w:sz w:val="21"/>
                <w:szCs w:val="21"/>
                <w:highlight w:val="none"/>
                <w:u w:val="none"/>
                <w:lang w:val="en-US" w:eastAsia="zh-CN"/>
              </w:rPr>
              <w:br w:type="textWrapping"/>
            </w:r>
            <w:r>
              <w:rPr>
                <w:rFonts w:hint="eastAsia" w:ascii="宋体" w:hAnsi="宋体" w:eastAsia="宋体" w:cs="宋体"/>
                <w:color w:val="auto"/>
                <w:sz w:val="21"/>
                <w:szCs w:val="21"/>
                <w:highlight w:val="none"/>
                <w:u w:val="none"/>
                <w:lang w:val="en-US" w:eastAsia="zh-CN"/>
              </w:rPr>
              <w:t>4、未提供不得分。</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C019886">
            <w:pPr>
              <w:bidi w:val="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4</w:t>
            </w:r>
          </w:p>
        </w:tc>
      </w:tr>
      <w:tr w14:paraId="6CD93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1"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8E50C0">
            <w:pPr>
              <w:bidi w:val="0"/>
              <w:jc w:val="center"/>
              <w:rPr>
                <w:rFonts w:hint="eastAsia" w:ascii="宋体" w:hAnsi="宋体" w:eastAsia="宋体" w:cs="宋体"/>
                <w:color w:val="auto"/>
                <w:sz w:val="21"/>
                <w:szCs w:val="21"/>
                <w:highlight w:val="none"/>
                <w:u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459304FC">
            <w:pPr>
              <w:bidi w:val="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项目演示</w:t>
            </w:r>
          </w:p>
        </w:tc>
        <w:tc>
          <w:tcPr>
            <w:tcW w:w="6651" w:type="dxa"/>
            <w:tcBorders>
              <w:top w:val="single" w:color="000000" w:sz="4" w:space="0"/>
              <w:left w:val="single" w:color="000000" w:sz="4" w:space="0"/>
              <w:bottom w:val="single" w:color="000000" w:sz="4" w:space="0"/>
              <w:right w:val="single" w:color="000000" w:sz="4" w:space="0"/>
            </w:tcBorders>
            <w:noWrap w:val="0"/>
            <w:vAlign w:val="center"/>
          </w:tcPr>
          <w:p w14:paraId="59D583CA">
            <w:pPr>
              <w:bidi w:val="0"/>
              <w:rPr>
                <w:rFonts w:hint="eastAsia" w:ascii="Arial" w:hAnsi="Arial" w:eastAsia="宋体" w:cs="宋体"/>
                <w:b w:val="0"/>
                <w:bCs w:val="0"/>
                <w:color w:val="auto"/>
                <w:kern w:val="0"/>
                <w:sz w:val="21"/>
                <w:szCs w:val="21"/>
                <w:highlight w:val="none"/>
                <w:lang w:val="en-US" w:eastAsia="zh-CN" w:bidi="ar"/>
              </w:rPr>
            </w:pPr>
            <w:r>
              <w:rPr>
                <w:rFonts w:hint="eastAsia" w:ascii="Arial" w:hAnsi="Arial" w:eastAsia="宋体" w:cs="宋体"/>
                <w:b w:val="0"/>
                <w:bCs w:val="0"/>
                <w:color w:val="auto"/>
                <w:kern w:val="0"/>
                <w:sz w:val="21"/>
                <w:szCs w:val="21"/>
                <w:highlight w:val="none"/>
                <w:lang w:val="en-US" w:eastAsia="zh-CN" w:bidi="ar"/>
              </w:rPr>
              <w:t>在评标时安排每个投标人进行讲解（演示），讲解次序以投标文件解密时间先后次序为准，</w:t>
            </w:r>
            <w:r>
              <w:rPr>
                <w:rFonts w:hint="eastAsia" w:ascii="宋体" w:hAnsi="宋体" w:cs="仿宋"/>
                <w:b w:val="0"/>
                <w:bCs w:val="0"/>
                <w:color w:val="auto"/>
                <w:kern w:val="0"/>
                <w:szCs w:val="21"/>
                <w:highlight w:val="none"/>
                <w:lang w:bidi="ar"/>
              </w:rPr>
              <w:t>投标人对下述项目逐一进行演示</w:t>
            </w:r>
            <w:r>
              <w:rPr>
                <w:rFonts w:hint="eastAsia" w:ascii="宋体" w:hAnsi="宋体" w:cs="仿宋"/>
                <w:b w:val="0"/>
                <w:bCs w:val="0"/>
                <w:color w:val="auto"/>
                <w:kern w:val="0"/>
                <w:szCs w:val="21"/>
                <w:highlight w:val="none"/>
                <w:lang w:eastAsia="zh-CN" w:bidi="ar"/>
              </w:rPr>
              <w:t>。</w:t>
            </w:r>
            <w:r>
              <w:rPr>
                <w:rFonts w:hint="eastAsia" w:ascii="宋体" w:hAnsi="宋体" w:cs="仿宋"/>
                <w:b w:val="0"/>
                <w:bCs w:val="0"/>
                <w:color w:val="auto"/>
                <w:kern w:val="0"/>
                <w:szCs w:val="21"/>
                <w:highlight w:val="none"/>
                <w:lang w:bidi="ar"/>
              </w:rPr>
              <w:t>演示时长应控制在</w:t>
            </w:r>
            <w:r>
              <w:rPr>
                <w:rFonts w:hint="eastAsia" w:ascii="宋体" w:hAnsi="宋体" w:cs="仿宋"/>
                <w:b/>
                <w:bCs/>
                <w:color w:val="auto"/>
                <w:kern w:val="0"/>
                <w:szCs w:val="21"/>
                <w:highlight w:val="none"/>
                <w:lang w:bidi="ar"/>
              </w:rPr>
              <w:t>15分钟以内</w:t>
            </w:r>
            <w:r>
              <w:rPr>
                <w:rFonts w:hint="eastAsia" w:ascii="宋体" w:hAnsi="宋体" w:cs="仿宋"/>
                <w:b w:val="0"/>
                <w:bCs w:val="0"/>
                <w:color w:val="auto"/>
                <w:kern w:val="0"/>
                <w:szCs w:val="21"/>
                <w:highlight w:val="none"/>
                <w:lang w:bidi="ar"/>
              </w:rPr>
              <w:t>，各投标人</w:t>
            </w:r>
            <w:r>
              <w:rPr>
                <w:rFonts w:hint="eastAsia" w:ascii="宋体" w:hAnsi="宋体" w:eastAsia="宋体" w:cs="仿宋"/>
                <w:b w:val="0"/>
                <w:bCs w:val="0"/>
                <w:color w:val="auto"/>
                <w:kern w:val="0"/>
                <w:szCs w:val="21"/>
                <w:highlight w:val="none"/>
                <w:lang w:val="en-US" w:eastAsia="zh-CN" w:bidi="ar"/>
              </w:rPr>
              <w:t>进行</w:t>
            </w:r>
            <w:r>
              <w:rPr>
                <w:rFonts w:hint="eastAsia" w:ascii="宋体" w:hAnsi="宋体" w:eastAsia="宋体" w:cs="仿宋"/>
                <w:b w:val="0"/>
                <w:bCs w:val="0"/>
                <w:color w:val="auto"/>
                <w:kern w:val="0"/>
                <w:szCs w:val="21"/>
                <w:highlight w:val="none"/>
                <w:lang w:bidi="ar"/>
              </w:rPr>
              <w:t>Demo演示</w:t>
            </w:r>
            <w:r>
              <w:rPr>
                <w:rFonts w:hint="eastAsia" w:ascii="宋体" w:hAnsi="宋体" w:eastAsia="宋体" w:cs="仿宋"/>
                <w:b w:val="0"/>
                <w:bCs w:val="0"/>
                <w:color w:val="auto"/>
                <w:kern w:val="0"/>
                <w:szCs w:val="21"/>
                <w:highlight w:val="none"/>
                <w:lang w:val="en-US" w:eastAsia="zh-CN" w:bidi="ar"/>
              </w:rPr>
              <w:t>的</w:t>
            </w:r>
            <w:r>
              <w:rPr>
                <w:rFonts w:hint="eastAsia" w:ascii="宋体" w:hAnsi="宋体" w:eastAsia="宋体" w:cs="仿宋"/>
                <w:b w:val="0"/>
                <w:bCs w:val="0"/>
                <w:color w:val="auto"/>
                <w:kern w:val="0"/>
                <w:szCs w:val="21"/>
                <w:highlight w:val="none"/>
                <w:lang w:bidi="ar"/>
              </w:rPr>
              <w:t>内容应与评分标准表中的演示要求一致。</w:t>
            </w:r>
            <w:r>
              <w:rPr>
                <w:rFonts w:hint="eastAsia" w:ascii="Arial" w:hAnsi="Arial" w:eastAsia="宋体" w:cs="宋体"/>
                <w:b w:val="0"/>
                <w:bCs w:val="0"/>
                <w:color w:val="auto"/>
                <w:kern w:val="0"/>
                <w:sz w:val="21"/>
                <w:szCs w:val="21"/>
                <w:highlight w:val="none"/>
                <w:lang w:val="en-US" w:eastAsia="zh-CN" w:bidi="ar"/>
              </w:rPr>
              <w:t>现场讲解地点为宁波市北仑区招投标中心评标室（北仑区长江路</w:t>
            </w:r>
            <w:r>
              <w:rPr>
                <w:rFonts w:hint="eastAsia" w:ascii="宋体" w:hAnsi="宋体" w:eastAsia="宋体" w:cs="宋体"/>
                <w:b w:val="0"/>
                <w:bCs w:val="0"/>
                <w:color w:val="auto"/>
                <w:kern w:val="0"/>
                <w:sz w:val="21"/>
                <w:szCs w:val="21"/>
                <w:highlight w:val="none"/>
                <w:lang w:val="en-US" w:eastAsia="zh-CN" w:bidi="ar"/>
              </w:rPr>
              <w:t>1166号行政服务中心B座三楼</w:t>
            </w:r>
            <w:r>
              <w:rPr>
                <w:rFonts w:hint="eastAsia" w:ascii="Arial" w:hAnsi="Arial" w:eastAsia="宋体" w:cs="宋体"/>
                <w:b w:val="0"/>
                <w:bCs w:val="0"/>
                <w:color w:val="auto"/>
                <w:kern w:val="0"/>
                <w:sz w:val="21"/>
                <w:szCs w:val="21"/>
                <w:highlight w:val="none"/>
                <w:lang w:val="en-US" w:eastAsia="zh-CN" w:bidi="ar"/>
              </w:rPr>
              <w:t>）。讲解（演示）所用所有设备由投标人自备。注：因投标人自身原因导致无法演示或者演示效果不理想的，责任自负。</w:t>
            </w:r>
          </w:p>
          <w:p w14:paraId="703CF2D5">
            <w:pPr>
              <w:bidi w:val="0"/>
              <w:rPr>
                <w:rFonts w:hint="eastAsia"/>
                <w:color w:val="auto"/>
                <w:highlight w:val="none"/>
                <w:u w:val="none"/>
              </w:rPr>
            </w:pPr>
            <w:r>
              <w:rPr>
                <w:rFonts w:hint="eastAsia"/>
                <w:color w:val="auto"/>
                <w:highlight w:val="none"/>
                <w:u w:val="none"/>
              </w:rPr>
              <w:t>1、三维数据处理与融合（1.5分）</w:t>
            </w:r>
          </w:p>
          <w:p w14:paraId="763A6D39">
            <w:pPr>
              <w:bidi w:val="0"/>
              <w:rPr>
                <w:rFonts w:hint="eastAsia"/>
                <w:color w:val="auto"/>
                <w:highlight w:val="none"/>
                <w:u w:val="none"/>
              </w:rPr>
            </w:pPr>
            <w:r>
              <w:rPr>
                <w:rFonts w:hint="eastAsia"/>
                <w:color w:val="auto"/>
                <w:highlight w:val="none"/>
                <w:u w:val="none"/>
              </w:rPr>
              <w:t>本次项目建设包含倾斜摄影数据的采集与上图，为方便后续进行区块性数据更新，需具备不同时期、不同架次的倾斜摄影数据数据效果统一处理的能力，为保证后续项目数据效果的优异性，本次项目建设需投标人基于招标人提供的不同时期的倾斜摄影数据进行数据处理与融合，演示处理流程并展示处理效果。</w:t>
            </w:r>
            <w:r>
              <w:rPr>
                <w:rFonts w:hint="eastAsia" w:ascii="宋体" w:hAnsi="宋体" w:eastAsia="宋体" w:cs="宋体"/>
                <w:b/>
                <w:bCs/>
                <w:color w:val="auto"/>
                <w:sz w:val="21"/>
                <w:szCs w:val="21"/>
                <w:highlight w:val="none"/>
                <w:u w:val="none"/>
                <w:lang w:val="en-US" w:eastAsia="zh-CN"/>
              </w:rPr>
              <w:t>（数据详见附件）</w:t>
            </w:r>
          </w:p>
          <w:p w14:paraId="236D4281">
            <w:pPr>
              <w:bidi w:val="0"/>
              <w:rPr>
                <w:rFonts w:hint="eastAsia"/>
                <w:color w:val="auto"/>
                <w:highlight w:val="none"/>
                <w:u w:val="none"/>
              </w:rPr>
            </w:pPr>
            <w:r>
              <w:rPr>
                <w:rFonts w:hint="eastAsia"/>
                <w:color w:val="auto"/>
                <w:highlight w:val="none"/>
                <w:u w:val="none"/>
              </w:rPr>
              <w:t>（1）数据融合处理：具备将新建倾斜摄影数据与历史倾斜摄影原始数据进行融合和二次处理的能力，保证不同历史时期数据可实现无缝拼接融合并同时加载在同一界面中。（0.5分）</w:t>
            </w:r>
          </w:p>
          <w:p w14:paraId="1ADFB310">
            <w:pPr>
              <w:bidi w:val="0"/>
              <w:rPr>
                <w:rFonts w:hint="eastAsia"/>
                <w:color w:val="auto"/>
                <w:highlight w:val="none"/>
                <w:u w:val="none"/>
              </w:rPr>
            </w:pPr>
            <w:r>
              <w:rPr>
                <w:rFonts w:hint="eastAsia"/>
                <w:color w:val="auto"/>
                <w:highlight w:val="none"/>
                <w:u w:val="none"/>
              </w:rPr>
              <w:t>（2）数据匀色处理：需要对不同飞行架次、不同时段、不同区域的倾斜摄影原始数据OSGB数据进行统一处理，根据图层之间的衔接色差和明暗度，进行数据的饱和度、对比度及亮度的调整，支持轴线拖拉调整或参数设定两种模式，进而实现统一匀色和实时呈现。（0.5分）</w:t>
            </w:r>
          </w:p>
          <w:p w14:paraId="71395AFF">
            <w:pPr>
              <w:bidi w:val="0"/>
              <w:rPr>
                <w:rFonts w:hint="eastAsia"/>
                <w:color w:val="auto"/>
                <w:highlight w:val="none"/>
                <w:u w:val="none"/>
              </w:rPr>
            </w:pPr>
            <w:r>
              <w:rPr>
                <w:rFonts w:hint="eastAsia"/>
                <w:color w:val="auto"/>
                <w:highlight w:val="none"/>
                <w:u w:val="none"/>
              </w:rPr>
              <w:t>（3）色彩调整处理：需要对不同飞行架次、不同时段、不同区域的倾斜摄影原始数据OSGB数据进行色彩调整，按用户的审美习惯对场景明暗度（高亮）、阴影透明度（阴影）及整体模型颜色（中间色）进行局部调整，调整内容包括蓝绿色至红色之间调整、品红色至绿色之间调整及红色至蓝色之间调整，支持轴线拖拉调整或参数设定两种模式，可按需提供不同色彩效果的模型数据。（0.5分）</w:t>
            </w:r>
          </w:p>
          <w:p w14:paraId="0E3947E1">
            <w:pPr>
              <w:bidi w:val="0"/>
              <w:rPr>
                <w:rFonts w:hint="eastAsia"/>
                <w:color w:val="auto"/>
                <w:highlight w:val="none"/>
                <w:u w:val="none"/>
              </w:rPr>
            </w:pPr>
            <w:r>
              <w:rPr>
                <w:rFonts w:hint="eastAsia"/>
                <w:color w:val="auto"/>
                <w:highlight w:val="none"/>
                <w:u w:val="none"/>
              </w:rPr>
              <w:t>(需提供Demo进行演示，其他演示方式不得分)</w:t>
            </w:r>
          </w:p>
          <w:p w14:paraId="786BA9CB">
            <w:pPr>
              <w:bidi w:val="0"/>
              <w:rPr>
                <w:rFonts w:hint="eastAsia"/>
                <w:color w:val="auto"/>
                <w:highlight w:val="none"/>
                <w:u w:val="none"/>
              </w:rPr>
            </w:pPr>
            <w:r>
              <w:rPr>
                <w:rFonts w:hint="eastAsia"/>
                <w:color w:val="auto"/>
                <w:highlight w:val="none"/>
                <w:u w:val="none"/>
              </w:rPr>
              <w:t>2、视频融合可视化标定工具（0.5分）</w:t>
            </w:r>
          </w:p>
          <w:p w14:paraId="4C0B539E">
            <w:pPr>
              <w:bidi w:val="0"/>
              <w:rPr>
                <w:rFonts w:hint="eastAsia"/>
                <w:color w:val="auto"/>
                <w:highlight w:val="none"/>
                <w:u w:val="none"/>
              </w:rPr>
            </w:pPr>
            <w:r>
              <w:rPr>
                <w:rFonts w:hint="eastAsia"/>
                <w:color w:val="auto"/>
                <w:highlight w:val="none"/>
                <w:u w:val="none"/>
              </w:rPr>
              <w:t>为方便用户可基于实际应用场景完成自定义安防可视化管理与呈现，具备视频融合可视化标定工具，支持实现基于实际三维可视化场景，结合视频场景中出现的画面信息，利用图像AI识别定位（三点匹配定位）算法工具完成视频与三维场景的无缝融合呈现。</w:t>
            </w:r>
          </w:p>
          <w:p w14:paraId="5A69AB99">
            <w:pPr>
              <w:bidi w:val="0"/>
              <w:rPr>
                <w:rFonts w:hint="eastAsia"/>
                <w:color w:val="auto"/>
                <w:highlight w:val="none"/>
                <w:u w:val="none"/>
              </w:rPr>
            </w:pPr>
            <w:r>
              <w:rPr>
                <w:rFonts w:hint="eastAsia"/>
                <w:color w:val="auto"/>
                <w:highlight w:val="none"/>
                <w:u w:val="none"/>
              </w:rPr>
              <w:t>(需提供Demo进行演示，其他演示方式不得分)</w:t>
            </w:r>
          </w:p>
          <w:p w14:paraId="37284BC7">
            <w:pPr>
              <w:bidi w:val="0"/>
              <w:rPr>
                <w:rFonts w:hint="eastAsia"/>
                <w:color w:val="auto"/>
                <w:highlight w:val="none"/>
                <w:u w:val="none"/>
              </w:rPr>
            </w:pPr>
            <w:r>
              <w:rPr>
                <w:rFonts w:hint="eastAsia"/>
                <w:color w:val="auto"/>
                <w:highlight w:val="none"/>
                <w:u w:val="none"/>
              </w:rPr>
              <w:t>3、数字化应用系统演示（8分）</w:t>
            </w:r>
          </w:p>
          <w:p w14:paraId="15D8F795">
            <w:pPr>
              <w:bidi w:val="0"/>
              <w:rPr>
                <w:rFonts w:hint="eastAsia"/>
                <w:color w:val="auto"/>
                <w:highlight w:val="none"/>
                <w:u w:val="none"/>
              </w:rPr>
            </w:pPr>
            <w:r>
              <w:rPr>
                <w:rFonts w:hint="eastAsia"/>
                <w:color w:val="auto"/>
                <w:highlight w:val="none"/>
                <w:u w:val="none"/>
              </w:rPr>
              <w:t>根据北仑区体育赛事数字化应用项目的基本需求，本次项目建设需实现系统数字化相关功能的呈现，并完成如下场景演示：</w:t>
            </w:r>
          </w:p>
          <w:p w14:paraId="5D815AF8">
            <w:pPr>
              <w:bidi w:val="0"/>
              <w:rPr>
                <w:rFonts w:hint="eastAsia"/>
                <w:color w:val="auto"/>
                <w:highlight w:val="none"/>
                <w:u w:val="none"/>
              </w:rPr>
            </w:pPr>
            <w:r>
              <w:rPr>
                <w:rFonts w:hint="eastAsia"/>
                <w:color w:val="auto"/>
                <w:highlight w:val="none"/>
                <w:u w:val="none"/>
              </w:rPr>
              <w:t>①初始界面下，可呈现当前北仑体艺中心的基本三维场景，并通过人工精细模型，重点展示当前范围内标志性建筑，即北仑体育馆，并可自定义漫游，查看重点建筑周边倾斜景象。此外，支持一键隐藏两侧看板，可按照相关场景进行漫游；提供时间轴，可展示24小时光影变化；支持阴晴雨雪等天气情况变化展示，根据demo展示场景模型与北仑体艺中心真实环境的匹配度进行评分（1分）</w:t>
            </w:r>
          </w:p>
          <w:p w14:paraId="0EA5333C">
            <w:pPr>
              <w:bidi w:val="0"/>
              <w:rPr>
                <w:rFonts w:hint="eastAsia"/>
                <w:color w:val="auto"/>
                <w:highlight w:val="none"/>
                <w:u w:val="none"/>
              </w:rPr>
            </w:pPr>
            <w:r>
              <w:rPr>
                <w:rFonts w:hint="eastAsia"/>
                <w:color w:val="auto"/>
                <w:highlight w:val="none"/>
                <w:u w:val="none"/>
              </w:rPr>
              <w:t>②支持安防管理可视化</w:t>
            </w:r>
          </w:p>
          <w:p w14:paraId="0A006AC1">
            <w:pPr>
              <w:bidi w:val="0"/>
              <w:rPr>
                <w:rFonts w:hint="eastAsia"/>
                <w:color w:val="auto"/>
                <w:highlight w:val="none"/>
                <w:u w:val="none"/>
              </w:rPr>
            </w:pPr>
            <w:r>
              <w:rPr>
                <w:rFonts w:hint="eastAsia"/>
                <w:color w:val="auto"/>
                <w:highlight w:val="none"/>
                <w:u w:val="none"/>
              </w:rPr>
              <w:t>支持点击查看视频监控点位的分布，可点击实现任意监控跳转，可查看对应监控画面；（1分）</w:t>
            </w:r>
          </w:p>
          <w:p w14:paraId="1BD75F43">
            <w:pPr>
              <w:bidi w:val="0"/>
              <w:rPr>
                <w:rFonts w:hint="eastAsia"/>
                <w:color w:val="auto"/>
                <w:highlight w:val="none"/>
                <w:u w:val="none"/>
              </w:rPr>
            </w:pPr>
            <w:r>
              <w:rPr>
                <w:rFonts w:hint="eastAsia"/>
                <w:color w:val="auto"/>
                <w:highlight w:val="none"/>
                <w:u w:val="none"/>
              </w:rPr>
              <w:t>支持空间检索：可根据在场景中绘制的范围查询其中包含的监控设备，包括圈选、框选、自定义多边形等方式。（1分）</w:t>
            </w:r>
          </w:p>
          <w:p w14:paraId="13C5E648">
            <w:pPr>
              <w:bidi w:val="0"/>
              <w:rPr>
                <w:rFonts w:hint="eastAsia"/>
                <w:color w:val="auto"/>
                <w:highlight w:val="none"/>
                <w:u w:val="none"/>
              </w:rPr>
            </w:pPr>
            <w:r>
              <w:rPr>
                <w:rFonts w:hint="eastAsia"/>
                <w:color w:val="auto"/>
                <w:highlight w:val="none"/>
                <w:u w:val="none"/>
              </w:rPr>
              <w:t>支持查询定位：输入关键字进行模糊查询设备名称，查询结果以列表展示，点击列表可对设备进行飞行定位。（1分）</w:t>
            </w:r>
          </w:p>
          <w:p w14:paraId="7552A390">
            <w:pPr>
              <w:bidi w:val="0"/>
              <w:rPr>
                <w:rFonts w:hint="eastAsia"/>
                <w:color w:val="auto"/>
                <w:highlight w:val="none"/>
                <w:u w:val="none"/>
              </w:rPr>
            </w:pPr>
            <w:r>
              <w:rPr>
                <w:rFonts w:hint="eastAsia"/>
                <w:color w:val="auto"/>
                <w:highlight w:val="none"/>
                <w:u w:val="none"/>
              </w:rPr>
              <w:t>位置关联：在三维场景中可以根据坐标范围寻找关联监控设备，当出现事件信息的时候，通过拾取事件位置，可根据当前位置坐标自动寻找和周边指定范围内的监控设备，结果以列表展示，点击列表可以查看监控画面。（1分）</w:t>
            </w:r>
          </w:p>
          <w:p w14:paraId="72DAEEAD">
            <w:pPr>
              <w:bidi w:val="0"/>
              <w:rPr>
                <w:rFonts w:hint="eastAsia"/>
                <w:color w:val="auto"/>
                <w:highlight w:val="none"/>
                <w:u w:val="none"/>
              </w:rPr>
            </w:pPr>
            <w:r>
              <w:rPr>
                <w:rFonts w:hint="eastAsia"/>
                <w:color w:val="auto"/>
                <w:highlight w:val="none"/>
                <w:u w:val="none"/>
              </w:rPr>
              <w:t>③门禁管理可视化</w:t>
            </w:r>
          </w:p>
          <w:p w14:paraId="3542C9AA">
            <w:pPr>
              <w:bidi w:val="0"/>
              <w:rPr>
                <w:rFonts w:hint="eastAsia"/>
                <w:color w:val="auto"/>
                <w:highlight w:val="none"/>
                <w:u w:val="none"/>
              </w:rPr>
            </w:pPr>
            <w:r>
              <w:rPr>
                <w:rFonts w:hint="eastAsia"/>
                <w:color w:val="auto"/>
                <w:highlight w:val="none"/>
                <w:u w:val="none"/>
              </w:rPr>
              <w:t>支持点击查看门禁设备分布，支持点击任意门禁图标实现跳转，可查看门禁相关信息，支持查看门禁通行记录，支持远程控制门禁开关。支持告警联动，可查看告警门禁位置，并可弹出周边视频查看告警详细信息。（1分）</w:t>
            </w:r>
          </w:p>
          <w:p w14:paraId="50924E4A">
            <w:pPr>
              <w:bidi w:val="0"/>
              <w:rPr>
                <w:rFonts w:hint="eastAsia"/>
                <w:color w:val="auto"/>
                <w:highlight w:val="none"/>
                <w:u w:val="none"/>
              </w:rPr>
            </w:pPr>
            <w:r>
              <w:rPr>
                <w:rFonts w:hint="eastAsia"/>
                <w:color w:val="auto"/>
                <w:highlight w:val="none"/>
                <w:u w:val="none"/>
              </w:rPr>
              <w:t>④车流态势可视化</w:t>
            </w:r>
          </w:p>
          <w:p w14:paraId="626975D1">
            <w:pPr>
              <w:bidi w:val="0"/>
              <w:rPr>
                <w:rFonts w:hint="eastAsia"/>
                <w:color w:val="auto"/>
                <w:highlight w:val="none"/>
                <w:u w:val="none"/>
              </w:rPr>
            </w:pPr>
            <w:r>
              <w:rPr>
                <w:rFonts w:hint="eastAsia"/>
                <w:color w:val="auto"/>
                <w:highlight w:val="none"/>
                <w:u w:val="none"/>
              </w:rPr>
              <w:t>支持查看停车场分布情况，点击任意停车场，可查看当前停车场停车基本状态信息，支持对停车场已停车辆、剩余车位进行直观信息展示，支持查看车牌号、车辆进/出场时间等信息。用户可以设置阈值，当停车数量达到指定阈值之后，实现告警联动。（1分）</w:t>
            </w:r>
          </w:p>
          <w:p w14:paraId="5E9122DC">
            <w:pPr>
              <w:bidi w:val="0"/>
              <w:rPr>
                <w:rFonts w:hint="eastAsia"/>
                <w:color w:val="auto"/>
                <w:highlight w:val="none"/>
                <w:u w:val="none"/>
              </w:rPr>
            </w:pPr>
            <w:r>
              <w:rPr>
                <w:rFonts w:hint="eastAsia"/>
                <w:color w:val="auto"/>
                <w:highlight w:val="none"/>
                <w:u w:val="none"/>
              </w:rPr>
              <w:t>⑤客流管理</w:t>
            </w:r>
          </w:p>
          <w:p w14:paraId="4669D6C4">
            <w:pPr>
              <w:bidi w:val="0"/>
              <w:rPr>
                <w:rFonts w:hint="eastAsia"/>
                <w:color w:val="auto"/>
                <w:highlight w:val="none"/>
                <w:u w:val="none"/>
              </w:rPr>
            </w:pPr>
            <w:r>
              <w:rPr>
                <w:rFonts w:hint="eastAsia"/>
                <w:color w:val="auto"/>
                <w:highlight w:val="none"/>
                <w:u w:val="none"/>
              </w:rPr>
              <w:t>用户可以设置客流阈值，根据阈值判断人流量和前端展示颜色深浅，以及展示不同的颜色块，方便展示端更清晰的看到不同客流量的区别。（1分）</w:t>
            </w:r>
          </w:p>
          <w:p w14:paraId="1586098E">
            <w:pPr>
              <w:bidi w:val="0"/>
              <w:rPr>
                <w:rFonts w:hint="eastAsia" w:ascii="宋体" w:hAnsi="宋体" w:eastAsia="宋体" w:cs="宋体"/>
                <w:color w:val="auto"/>
                <w:sz w:val="21"/>
                <w:szCs w:val="21"/>
                <w:highlight w:val="none"/>
                <w:u w:val="none"/>
              </w:rPr>
            </w:pPr>
            <w:r>
              <w:rPr>
                <w:rFonts w:hint="eastAsia"/>
                <w:color w:val="auto"/>
                <w:highlight w:val="none"/>
                <w:u w:val="none"/>
              </w:rPr>
              <w:t>(需提供Demo进行演示，其他演示方式不得分)</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6CB881B">
            <w:pPr>
              <w:bidi w:val="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10</w:t>
            </w:r>
          </w:p>
        </w:tc>
      </w:tr>
      <w:tr w14:paraId="3438A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6908B5">
            <w:pPr>
              <w:bidi w:val="0"/>
              <w:jc w:val="center"/>
              <w:rPr>
                <w:rFonts w:hint="eastAsia" w:ascii="宋体" w:hAnsi="宋体" w:eastAsia="宋体" w:cs="宋体"/>
                <w:color w:val="auto"/>
                <w:sz w:val="21"/>
                <w:szCs w:val="21"/>
                <w:highlight w:val="none"/>
                <w:u w:val="none"/>
              </w:rPr>
            </w:pPr>
          </w:p>
        </w:tc>
        <w:tc>
          <w:tcPr>
            <w:tcW w:w="753" w:type="dxa"/>
            <w:vMerge w:val="restart"/>
            <w:tcBorders>
              <w:top w:val="single" w:color="000000" w:sz="4" w:space="0"/>
              <w:left w:val="single" w:color="000000" w:sz="4" w:space="0"/>
              <w:bottom w:val="single" w:color="000000" w:sz="4" w:space="0"/>
              <w:right w:val="single" w:color="000000" w:sz="4" w:space="0"/>
            </w:tcBorders>
            <w:noWrap w:val="0"/>
            <w:vAlign w:val="center"/>
          </w:tcPr>
          <w:p w14:paraId="6F0F87C9">
            <w:pPr>
              <w:bidi w:val="0"/>
              <w:jc w:val="center"/>
              <w:rPr>
                <w:rFonts w:hint="default" w:ascii="宋体" w:hAnsi="宋体" w:eastAsia="宋体" w:cs="宋体"/>
                <w:color w:val="auto"/>
                <w:sz w:val="21"/>
                <w:szCs w:val="21"/>
                <w:highlight w:val="none"/>
                <w:u w:val="none"/>
                <w:lang w:val="en-US"/>
              </w:rPr>
            </w:pPr>
            <w:r>
              <w:rPr>
                <w:rFonts w:hint="eastAsia" w:ascii="宋体" w:hAnsi="宋体" w:eastAsia="宋体" w:cs="宋体"/>
                <w:color w:val="auto"/>
                <w:sz w:val="21"/>
                <w:szCs w:val="21"/>
                <w:highlight w:val="none"/>
                <w:u w:val="none"/>
                <w:lang w:val="en-US" w:eastAsia="zh-CN"/>
              </w:rPr>
              <w:t>团队人员</w:t>
            </w:r>
          </w:p>
        </w:tc>
        <w:tc>
          <w:tcPr>
            <w:tcW w:w="6651" w:type="dxa"/>
            <w:tcBorders>
              <w:top w:val="single" w:color="000000" w:sz="4" w:space="0"/>
              <w:left w:val="single" w:color="000000" w:sz="4" w:space="0"/>
              <w:bottom w:val="single" w:color="000000" w:sz="4" w:space="0"/>
              <w:right w:val="single" w:color="000000" w:sz="4" w:space="0"/>
            </w:tcBorders>
            <w:noWrap w:val="0"/>
            <w:vAlign w:val="center"/>
          </w:tcPr>
          <w:p w14:paraId="549E0D12">
            <w:pPr>
              <w:bidi w:val="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1、项目负责人（2分）：拟派项目负责人具有系统架构设计师（高级）、软件设计师证书，每具有1种得1分，最高2分。</w:t>
            </w:r>
            <w:r>
              <w:rPr>
                <w:rFonts w:hint="eastAsia" w:ascii="宋体" w:hAnsi="宋体" w:eastAsia="宋体" w:cs="宋体"/>
                <w:color w:val="auto"/>
                <w:sz w:val="21"/>
                <w:szCs w:val="21"/>
                <w:highlight w:val="none"/>
                <w:u w:val="none"/>
                <w:lang w:val="en-US" w:eastAsia="zh-CN"/>
              </w:rPr>
              <w:br w:type="textWrapping"/>
            </w:r>
            <w:r>
              <w:rPr>
                <w:rFonts w:hint="eastAsia" w:ascii="宋体" w:hAnsi="宋体" w:eastAsia="宋体" w:cs="宋体"/>
                <w:color w:val="auto"/>
                <w:sz w:val="21"/>
                <w:szCs w:val="21"/>
                <w:highlight w:val="none"/>
                <w:u w:val="none"/>
                <w:lang w:val="en-US" w:eastAsia="zh-CN"/>
              </w:rPr>
              <w:t>以上证书复印件加盖公章，投标人为</w:t>
            </w:r>
            <w:r>
              <w:rPr>
                <w:rFonts w:hint="eastAsia" w:ascii="宋体" w:hAnsi="宋体" w:eastAsia="宋体" w:cs="Times New Roman"/>
                <w:color w:val="auto"/>
                <w:szCs w:val="21"/>
                <w:highlight w:val="none"/>
                <w:lang w:val="en-US" w:eastAsia="zh-CN"/>
              </w:rPr>
              <w:t>其缴纳的距离本项目投标截止时间前六个月内连续三个月的社保缴纳证明材料原件扫描件，未提供不得分。</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B2C3BE2">
            <w:pPr>
              <w:bidi w:val="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w:t>
            </w:r>
          </w:p>
        </w:tc>
      </w:tr>
      <w:tr w14:paraId="14A7E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149F88">
            <w:pPr>
              <w:bidi w:val="0"/>
              <w:jc w:val="center"/>
              <w:rPr>
                <w:rFonts w:hint="eastAsia" w:ascii="宋体" w:hAnsi="宋体" w:eastAsia="宋体" w:cs="宋体"/>
                <w:color w:val="auto"/>
                <w:sz w:val="21"/>
                <w:szCs w:val="21"/>
                <w:highlight w:val="none"/>
                <w:u w:val="none"/>
              </w:rPr>
            </w:pPr>
          </w:p>
        </w:tc>
        <w:tc>
          <w:tcPr>
            <w:tcW w:w="7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812546">
            <w:pPr>
              <w:bidi w:val="0"/>
              <w:jc w:val="center"/>
              <w:rPr>
                <w:rFonts w:hint="eastAsia" w:ascii="宋体" w:hAnsi="宋体" w:eastAsia="宋体" w:cs="宋体"/>
                <w:color w:val="auto"/>
                <w:sz w:val="21"/>
                <w:szCs w:val="21"/>
                <w:highlight w:val="none"/>
                <w:u w:val="none"/>
              </w:rPr>
            </w:pPr>
          </w:p>
        </w:tc>
        <w:tc>
          <w:tcPr>
            <w:tcW w:w="6651" w:type="dxa"/>
            <w:tcBorders>
              <w:top w:val="single" w:color="000000" w:sz="4" w:space="0"/>
              <w:left w:val="single" w:color="000000" w:sz="4" w:space="0"/>
              <w:bottom w:val="single" w:color="000000" w:sz="4" w:space="0"/>
              <w:right w:val="single" w:color="000000" w:sz="4" w:space="0"/>
            </w:tcBorders>
            <w:noWrap w:val="0"/>
            <w:vAlign w:val="center"/>
          </w:tcPr>
          <w:p w14:paraId="0DB7F850">
            <w:pPr>
              <w:bidi w:val="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2、项目技术负责人（1.5分）：拟派项目技术负责人具有信息系统项目管理师、系统规划与管理师、系统分析师，每具有1种得0.5分，最高1.5分。</w:t>
            </w:r>
            <w:r>
              <w:rPr>
                <w:rFonts w:hint="eastAsia" w:ascii="宋体" w:hAnsi="宋体" w:eastAsia="宋体" w:cs="宋体"/>
                <w:color w:val="auto"/>
                <w:sz w:val="21"/>
                <w:szCs w:val="21"/>
                <w:highlight w:val="none"/>
                <w:u w:val="none"/>
                <w:lang w:val="en-US" w:eastAsia="zh-CN"/>
              </w:rPr>
              <w:br w:type="textWrapping"/>
            </w:r>
            <w:r>
              <w:rPr>
                <w:rFonts w:hint="eastAsia" w:ascii="宋体" w:hAnsi="宋体" w:eastAsia="宋体" w:cs="宋体"/>
                <w:color w:val="auto"/>
                <w:sz w:val="21"/>
                <w:szCs w:val="21"/>
                <w:highlight w:val="none"/>
                <w:u w:val="none"/>
                <w:lang w:val="en-US" w:eastAsia="zh-CN"/>
              </w:rPr>
              <w:t>以上证书复印件加盖公章，投标人为</w:t>
            </w:r>
            <w:r>
              <w:rPr>
                <w:rFonts w:hint="eastAsia" w:ascii="宋体" w:hAnsi="宋体" w:eastAsia="宋体" w:cs="Times New Roman"/>
                <w:color w:val="auto"/>
                <w:szCs w:val="21"/>
                <w:highlight w:val="none"/>
                <w:lang w:val="en-US" w:eastAsia="zh-CN"/>
              </w:rPr>
              <w:t>其缴纳的距离本项目投标截止时间前六个月内连续三个月的社保缴纳证明材料原件扫描件，未提供不得分。</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3A5F67E">
            <w:pPr>
              <w:bidi w:val="0"/>
              <w:jc w:val="center"/>
              <w:rPr>
                <w:rFonts w:hint="default" w:ascii="宋体" w:hAnsi="宋体" w:eastAsia="宋体" w:cs="宋体"/>
                <w:color w:val="auto"/>
                <w:sz w:val="21"/>
                <w:szCs w:val="21"/>
                <w:highlight w:val="none"/>
                <w:u w:val="none"/>
                <w:lang w:val="en-US"/>
              </w:rPr>
            </w:pPr>
            <w:r>
              <w:rPr>
                <w:rFonts w:hint="eastAsia" w:ascii="宋体" w:hAnsi="宋体" w:eastAsia="宋体" w:cs="宋体"/>
                <w:color w:val="auto"/>
                <w:sz w:val="21"/>
                <w:szCs w:val="21"/>
                <w:highlight w:val="none"/>
                <w:u w:val="none"/>
                <w:lang w:val="en-US" w:eastAsia="zh-CN"/>
              </w:rPr>
              <w:t>1.5</w:t>
            </w:r>
          </w:p>
        </w:tc>
      </w:tr>
      <w:tr w14:paraId="463DC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6"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565E49">
            <w:pPr>
              <w:bidi w:val="0"/>
              <w:jc w:val="center"/>
              <w:rPr>
                <w:rFonts w:hint="eastAsia" w:ascii="宋体" w:hAnsi="宋体" w:eastAsia="宋体" w:cs="宋体"/>
                <w:color w:val="auto"/>
                <w:sz w:val="21"/>
                <w:szCs w:val="21"/>
                <w:highlight w:val="none"/>
                <w:u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0040FDA1">
            <w:pPr>
              <w:bidi w:val="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企业实力</w:t>
            </w:r>
          </w:p>
        </w:tc>
        <w:tc>
          <w:tcPr>
            <w:tcW w:w="6651" w:type="dxa"/>
            <w:tcBorders>
              <w:top w:val="single" w:color="000000" w:sz="4" w:space="0"/>
              <w:left w:val="single" w:color="000000" w:sz="4" w:space="0"/>
              <w:bottom w:val="single" w:color="000000" w:sz="4" w:space="0"/>
              <w:right w:val="single" w:color="000000" w:sz="4" w:space="0"/>
            </w:tcBorders>
            <w:noWrap w:val="0"/>
            <w:vAlign w:val="center"/>
          </w:tcPr>
          <w:p w14:paraId="6D2B4702">
            <w:pPr>
              <w:bidi w:val="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供应商具有有效的质量体系认证证书（ISO9001），得0.5分</w:t>
            </w:r>
            <w:r>
              <w:rPr>
                <w:rFonts w:hint="eastAsia" w:ascii="宋体" w:hAnsi="宋体" w:eastAsia="宋体" w:cs="宋体"/>
                <w:color w:val="auto"/>
                <w:sz w:val="21"/>
                <w:szCs w:val="21"/>
                <w:highlight w:val="none"/>
                <w:u w:val="none"/>
                <w:lang w:val="en-US" w:eastAsia="zh-CN"/>
              </w:rPr>
              <w:br w:type="textWrapping"/>
            </w:r>
            <w:r>
              <w:rPr>
                <w:rFonts w:hint="eastAsia" w:ascii="宋体" w:hAnsi="宋体" w:eastAsia="宋体" w:cs="宋体"/>
                <w:color w:val="auto"/>
                <w:sz w:val="21"/>
                <w:szCs w:val="21"/>
                <w:highlight w:val="none"/>
                <w:u w:val="none"/>
                <w:lang w:val="en-US" w:eastAsia="zh-CN"/>
              </w:rPr>
              <w:t>供应商具有有效的信息安全管理体系认证证书（ISO27001），得0.5分</w:t>
            </w:r>
            <w:r>
              <w:rPr>
                <w:rFonts w:hint="eastAsia" w:ascii="宋体" w:hAnsi="宋体" w:eastAsia="宋体" w:cs="宋体"/>
                <w:color w:val="auto"/>
                <w:sz w:val="21"/>
                <w:szCs w:val="21"/>
                <w:highlight w:val="none"/>
                <w:u w:val="none"/>
                <w:lang w:val="en-US" w:eastAsia="zh-CN"/>
              </w:rPr>
              <w:br w:type="textWrapping"/>
            </w:r>
            <w:r>
              <w:rPr>
                <w:rFonts w:hint="eastAsia" w:ascii="宋体" w:hAnsi="宋体" w:eastAsia="宋体" w:cs="宋体"/>
                <w:color w:val="auto"/>
                <w:sz w:val="21"/>
                <w:szCs w:val="21"/>
                <w:highlight w:val="none"/>
                <w:u w:val="none"/>
                <w:lang w:val="en-US" w:eastAsia="zh-CN"/>
              </w:rPr>
              <w:t>供应商具有有效的信息安全服务资质认证证书（软件安全开发），得0.5分</w:t>
            </w:r>
            <w:r>
              <w:rPr>
                <w:rFonts w:hint="eastAsia" w:ascii="宋体" w:hAnsi="宋体" w:eastAsia="宋体" w:cs="宋体"/>
                <w:color w:val="auto"/>
                <w:sz w:val="21"/>
                <w:szCs w:val="21"/>
                <w:highlight w:val="none"/>
                <w:u w:val="none"/>
                <w:lang w:val="en-US" w:eastAsia="zh-CN"/>
              </w:rPr>
              <w:br w:type="textWrapping"/>
            </w:r>
            <w:r>
              <w:rPr>
                <w:rFonts w:hint="eastAsia" w:ascii="宋体" w:hAnsi="宋体" w:eastAsia="宋体" w:cs="宋体"/>
                <w:color w:val="auto"/>
                <w:sz w:val="21"/>
                <w:szCs w:val="21"/>
                <w:highlight w:val="none"/>
                <w:u w:val="none"/>
                <w:lang w:val="en-US" w:eastAsia="zh-CN"/>
              </w:rPr>
              <w:t>供应商具有有效的隐私信息管理体系认证证书（ISO27701），得0.5分</w:t>
            </w:r>
            <w:r>
              <w:rPr>
                <w:rFonts w:hint="eastAsia" w:ascii="宋体" w:hAnsi="宋体" w:eastAsia="宋体" w:cs="宋体"/>
                <w:color w:val="auto"/>
                <w:sz w:val="21"/>
                <w:szCs w:val="21"/>
                <w:highlight w:val="none"/>
                <w:u w:val="none"/>
                <w:lang w:val="en-US" w:eastAsia="zh-CN"/>
              </w:rPr>
              <w:br w:type="textWrapping"/>
            </w:r>
            <w:r>
              <w:rPr>
                <w:rFonts w:hint="eastAsia" w:ascii="宋体" w:hAnsi="宋体" w:eastAsia="宋体" w:cs="宋体"/>
                <w:color w:val="auto"/>
                <w:sz w:val="21"/>
                <w:szCs w:val="21"/>
                <w:highlight w:val="none"/>
                <w:u w:val="none"/>
                <w:lang w:val="en-US" w:eastAsia="zh-CN"/>
              </w:rPr>
              <w:t>供应商具有有效的知识产权管理体系认证证书（GB/T29490），得0.5分</w:t>
            </w:r>
            <w:r>
              <w:rPr>
                <w:rFonts w:hint="eastAsia" w:ascii="宋体" w:hAnsi="宋体" w:eastAsia="宋体" w:cs="宋体"/>
                <w:color w:val="auto"/>
                <w:sz w:val="21"/>
                <w:szCs w:val="21"/>
                <w:highlight w:val="none"/>
                <w:u w:val="none"/>
                <w:lang w:val="en-US" w:eastAsia="zh-CN"/>
              </w:rPr>
              <w:br w:type="textWrapping"/>
            </w:r>
            <w:r>
              <w:rPr>
                <w:rFonts w:hint="eastAsia" w:ascii="宋体" w:hAnsi="宋体" w:eastAsia="宋体" w:cs="宋体"/>
                <w:color w:val="auto"/>
                <w:sz w:val="21"/>
                <w:szCs w:val="21"/>
                <w:highlight w:val="none"/>
                <w:u w:val="none"/>
                <w:lang w:val="en-US" w:eastAsia="zh-CN"/>
              </w:rPr>
              <w:t>以上资料需提供证书复印件并加盖公章，不提供不得分（认证在有效期内)。</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792A6C0">
            <w:pPr>
              <w:bidi w:val="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2.5</w:t>
            </w:r>
          </w:p>
        </w:tc>
      </w:tr>
      <w:tr w14:paraId="41EB8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AA0F5F">
            <w:pPr>
              <w:bidi w:val="0"/>
              <w:jc w:val="center"/>
              <w:rPr>
                <w:rFonts w:hint="eastAsia" w:ascii="宋体" w:hAnsi="宋体" w:eastAsia="宋体" w:cs="宋体"/>
                <w:color w:val="auto"/>
                <w:sz w:val="21"/>
                <w:szCs w:val="21"/>
                <w:highlight w:val="none"/>
                <w:u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4964CE04">
            <w:pPr>
              <w:bidi w:val="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引擎能力</w:t>
            </w:r>
          </w:p>
        </w:tc>
        <w:tc>
          <w:tcPr>
            <w:tcW w:w="6651" w:type="dxa"/>
            <w:tcBorders>
              <w:top w:val="single" w:color="000000" w:sz="4" w:space="0"/>
              <w:left w:val="single" w:color="000000" w:sz="4" w:space="0"/>
              <w:bottom w:val="single" w:color="000000" w:sz="4" w:space="0"/>
              <w:right w:val="single" w:color="000000" w:sz="4" w:space="0"/>
            </w:tcBorders>
            <w:noWrap w:val="0"/>
            <w:vAlign w:val="center"/>
          </w:tcPr>
          <w:p w14:paraId="74B59821">
            <w:pPr>
              <w:bidi w:val="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生产商或制造商具备完全国产自主可控，拥有“一种在OSGB数据处理中提升渲染场景效率的方法”、“一种城市三维数据组织的方法”、“一种倾斜模型组织构建方法”等技术方向的软件发明专利及“三维视频融合系统软件”、“三维警用地图API软件”、“三维警用一张图平台软件”、“三维警用安保系统软件”、“三维场景人脸识别系统软件”等类似相关软著/专利，提供以上</w:t>
            </w:r>
            <w:r>
              <w:rPr>
                <w:rFonts w:hint="eastAsia" w:ascii="宋体" w:hAnsi="宋体" w:cs="宋体"/>
                <w:color w:val="auto"/>
                <w:sz w:val="21"/>
                <w:szCs w:val="21"/>
                <w:highlight w:val="none"/>
                <w:u w:val="none"/>
                <w:lang w:val="en-US" w:eastAsia="zh-CN"/>
              </w:rPr>
              <w:t>任意6</w:t>
            </w:r>
            <w:r>
              <w:rPr>
                <w:rFonts w:hint="eastAsia" w:ascii="宋体" w:hAnsi="宋体" w:eastAsia="宋体" w:cs="宋体"/>
                <w:color w:val="auto"/>
                <w:sz w:val="21"/>
                <w:szCs w:val="21"/>
                <w:highlight w:val="none"/>
                <w:u w:val="none"/>
                <w:lang w:val="en-US" w:eastAsia="zh-CN"/>
              </w:rPr>
              <w:t>个得3分，任意</w:t>
            </w:r>
            <w:r>
              <w:rPr>
                <w:rFonts w:hint="eastAsia" w:ascii="宋体" w:hAnsi="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个得2分，任意</w:t>
            </w:r>
            <w:r>
              <w:rPr>
                <w:rFonts w:hint="eastAsia" w:ascii="宋体" w:hAnsi="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val="en-US" w:eastAsia="zh-CN"/>
              </w:rPr>
              <w:t>个得1分。（需提供相关软著/专利证书复印件并加投标人公章）</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ACB6CF3">
            <w:pPr>
              <w:bidi w:val="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w:t>
            </w:r>
          </w:p>
        </w:tc>
      </w:tr>
      <w:tr w14:paraId="71F57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9B8574">
            <w:pPr>
              <w:bidi w:val="0"/>
              <w:jc w:val="center"/>
              <w:rPr>
                <w:rFonts w:hint="eastAsia" w:ascii="宋体" w:hAnsi="宋体" w:eastAsia="宋体" w:cs="宋体"/>
                <w:color w:val="auto"/>
                <w:sz w:val="21"/>
                <w:szCs w:val="21"/>
                <w:highlight w:val="none"/>
                <w:u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14:paraId="406BD32D">
            <w:pPr>
              <w:bidi w:val="0"/>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u w:val="none"/>
                <w:lang w:val="en-US" w:eastAsia="zh-CN"/>
              </w:rPr>
              <w:t>业绩</w:t>
            </w:r>
          </w:p>
        </w:tc>
        <w:tc>
          <w:tcPr>
            <w:tcW w:w="6651" w:type="dxa"/>
            <w:tcBorders>
              <w:top w:val="single" w:color="000000" w:sz="4" w:space="0"/>
              <w:left w:val="single" w:color="000000" w:sz="4" w:space="0"/>
              <w:bottom w:val="single" w:color="auto" w:sz="4" w:space="0"/>
              <w:right w:val="single" w:color="000000" w:sz="4" w:space="0"/>
            </w:tcBorders>
            <w:noWrap w:val="0"/>
            <w:vAlign w:val="center"/>
          </w:tcPr>
          <w:p w14:paraId="6BFB4FE3">
            <w:pPr>
              <w:bidi w:val="0"/>
              <w:jc w:val="lef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u w:val="none"/>
                <w:lang w:val="en-US" w:eastAsia="zh-CN"/>
              </w:rPr>
              <w:t>供应商自2022年1月1日以来（以合同签订日期为准）实施完成的同类项目业绩的，每提供1个合同得0.5分，本项最多得1分。</w:t>
            </w:r>
            <w:r>
              <w:rPr>
                <w:rFonts w:hint="eastAsia" w:ascii="宋体" w:hAnsi="宋体" w:eastAsia="宋体" w:cs="宋体"/>
                <w:color w:val="auto"/>
                <w:sz w:val="21"/>
                <w:szCs w:val="21"/>
                <w:highlight w:val="none"/>
                <w:u w:val="none"/>
                <w:lang w:val="en-US" w:eastAsia="zh-CN"/>
              </w:rPr>
              <w:br w:type="textWrapping"/>
            </w:r>
            <w:r>
              <w:rPr>
                <w:rFonts w:hint="eastAsia" w:ascii="宋体" w:hAnsi="宋体" w:eastAsia="宋体" w:cs="宋体"/>
                <w:color w:val="auto"/>
                <w:sz w:val="21"/>
                <w:szCs w:val="21"/>
                <w:highlight w:val="none"/>
                <w:u w:val="none"/>
                <w:lang w:val="en-US" w:eastAsia="zh-CN"/>
              </w:rPr>
              <w:t>注：提供合同复印件并加盖投标人公章。</w:t>
            </w:r>
          </w:p>
        </w:tc>
        <w:tc>
          <w:tcPr>
            <w:tcW w:w="849" w:type="dxa"/>
            <w:tcBorders>
              <w:top w:val="single" w:color="000000" w:sz="4" w:space="0"/>
              <w:left w:val="single" w:color="000000" w:sz="4" w:space="0"/>
              <w:bottom w:val="single" w:color="auto" w:sz="4" w:space="0"/>
              <w:right w:val="single" w:color="000000" w:sz="4" w:space="0"/>
            </w:tcBorders>
            <w:noWrap w:val="0"/>
            <w:vAlign w:val="center"/>
          </w:tcPr>
          <w:p w14:paraId="3793C2D1">
            <w:pPr>
              <w:bidi w:val="0"/>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u w:val="none"/>
                <w:lang w:val="en-US" w:eastAsia="zh-CN"/>
              </w:rPr>
              <w:t>1</w:t>
            </w:r>
          </w:p>
        </w:tc>
      </w:tr>
      <w:tr w14:paraId="6AD78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6"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14:paraId="3B189168">
            <w:pPr>
              <w:bidi w:val="0"/>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价格分（30分）</w:t>
            </w:r>
          </w:p>
        </w:tc>
        <w:tc>
          <w:tcPr>
            <w:tcW w:w="7404" w:type="dxa"/>
            <w:gridSpan w:val="2"/>
            <w:tcBorders>
              <w:top w:val="single" w:color="000000" w:sz="4" w:space="0"/>
              <w:left w:val="single" w:color="000000" w:sz="4" w:space="0"/>
              <w:bottom w:val="single" w:color="000000" w:sz="4" w:space="0"/>
              <w:right w:val="single" w:color="000000" w:sz="4" w:space="0"/>
            </w:tcBorders>
            <w:noWrap w:val="0"/>
            <w:vAlign w:val="center"/>
          </w:tcPr>
          <w:p w14:paraId="39090547">
            <w:pPr>
              <w:bidi w:val="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评标基准价指满足招标文件要求且最低的参与评审的价格。</w:t>
            </w:r>
          </w:p>
          <w:p w14:paraId="759FB9D4">
            <w:pPr>
              <w:bidi w:val="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参与评审的价格=投标报价×[1-小微企业价格的政策优惠（如有）]</w:t>
            </w:r>
          </w:p>
          <w:p w14:paraId="1B9F7D33">
            <w:pPr>
              <w:bidi w:val="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参与评审的价格为评标基准价的其价格得分得满分30分。</w:t>
            </w:r>
          </w:p>
          <w:p w14:paraId="0A93F498">
            <w:pPr>
              <w:bidi w:val="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其他投标人价格得分按照下列公式计算：</w:t>
            </w:r>
          </w:p>
          <w:p w14:paraId="48E95C2F">
            <w:pPr>
              <w:bidi w:val="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价格得分=（评标基准价/参与评审的价格）×30%×100。</w:t>
            </w:r>
          </w:p>
          <w:p w14:paraId="48D90876">
            <w:pPr>
              <w:bidi w:val="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注：1.</w:t>
            </w:r>
            <w:r>
              <w:rPr>
                <w:rFonts w:hint="eastAsia"/>
                <w:b/>
                <w:bCs/>
                <w:color w:val="auto"/>
                <w:highlight w:val="none"/>
              </w:rPr>
              <w:t>本项目投标应以人民币报价，本项目最高限价为</w:t>
            </w:r>
            <w:r>
              <w:rPr>
                <w:rFonts w:hint="eastAsia"/>
                <w:b/>
                <w:bCs/>
                <w:color w:val="auto"/>
                <w:kern w:val="2"/>
                <w:sz w:val="21"/>
                <w:szCs w:val="21"/>
                <w:highlight w:val="none"/>
                <w:u w:val="none"/>
                <w:lang w:val="en-US" w:eastAsia="zh-CN" w:bidi="ar"/>
              </w:rPr>
              <w:t>3938000</w:t>
            </w:r>
            <w:r>
              <w:rPr>
                <w:rFonts w:hint="eastAsia"/>
                <w:b/>
                <w:bCs/>
                <w:color w:val="auto"/>
                <w:highlight w:val="none"/>
                <w:lang w:val="en-US"/>
              </w:rPr>
              <w:t>元</w:t>
            </w:r>
            <w:r>
              <w:rPr>
                <w:rFonts w:hint="eastAsia" w:ascii="宋体" w:hAnsi="宋体" w:eastAsia="宋体" w:cs="宋体"/>
                <w:b/>
                <w:bCs/>
                <w:color w:val="auto"/>
                <w:szCs w:val="21"/>
                <w:highlight w:val="none"/>
                <w:lang w:val="en-US" w:eastAsia="zh-CN"/>
              </w:rPr>
              <w:t>（其中应用开发1305000元，基础设施层2633000元），</w:t>
            </w:r>
            <w:r>
              <w:rPr>
                <w:rFonts w:hint="eastAsia"/>
                <w:b/>
                <w:bCs/>
                <w:color w:val="auto"/>
                <w:highlight w:val="none"/>
              </w:rPr>
              <w:t>超过此限价作无效标处理</w:t>
            </w:r>
            <w:r>
              <w:rPr>
                <w:rFonts w:hint="eastAsia"/>
                <w:color w:val="auto"/>
                <w:highlight w:val="none"/>
                <w:lang w:eastAsia="zh-CN"/>
              </w:rPr>
              <w:t>。</w:t>
            </w:r>
          </w:p>
          <w:p w14:paraId="733BD947">
            <w:pPr>
              <w:bidi w:val="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2.价格得分小数点后保留2位小数。</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6CA6119">
            <w:pPr>
              <w:bidi w:val="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30</w:t>
            </w:r>
          </w:p>
        </w:tc>
      </w:tr>
    </w:tbl>
    <w:p w14:paraId="68C07CBD">
      <w:pPr>
        <w:pStyle w:val="18"/>
        <w:spacing w:line="240" w:lineRule="auto"/>
        <w:ind w:left="0" w:firstLine="0"/>
        <w:jc w:val="left"/>
        <w:rPr>
          <w:color w:val="auto"/>
          <w:sz w:val="21"/>
          <w:highlight w:val="none"/>
        </w:rPr>
      </w:pPr>
    </w:p>
    <w:p w14:paraId="0801C55F">
      <w:pPr>
        <w:wordWrap w:val="0"/>
        <w:rPr>
          <w:rFonts w:ascii="宋体" w:hAnsi="宋体"/>
          <w:color w:val="auto"/>
          <w:szCs w:val="21"/>
          <w:highlight w:val="none"/>
        </w:rPr>
      </w:pPr>
      <w:r>
        <w:rPr>
          <w:rFonts w:hint="eastAsia" w:ascii="宋体" w:hAnsi="宋体"/>
          <w:color w:val="auto"/>
          <w:szCs w:val="21"/>
          <w:highlight w:val="none"/>
        </w:rPr>
        <w:t>注：1、各评委成员自行按以上参考分值评分。</w:t>
      </w:r>
    </w:p>
    <w:p w14:paraId="228347E0">
      <w:pPr>
        <w:wordWrap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2、表内要求提供的资料，未按要求提供的均不得分。</w:t>
      </w:r>
    </w:p>
    <w:p w14:paraId="0E86E8DC">
      <w:pPr>
        <w:pStyle w:val="41"/>
        <w:ind w:firstLine="0" w:firstLineChars="0"/>
        <w:rPr>
          <w:rFonts w:hint="eastAsia"/>
          <w:color w:val="auto"/>
          <w:highlight w:val="none"/>
        </w:rPr>
      </w:pPr>
    </w:p>
    <w:p w14:paraId="324478FE">
      <w:pPr>
        <w:pStyle w:val="2"/>
        <w:spacing w:line="240" w:lineRule="auto"/>
        <w:jc w:val="center"/>
        <w:rPr>
          <w:color w:val="auto"/>
          <w:highlight w:val="none"/>
        </w:rPr>
      </w:pPr>
      <w:bookmarkStart w:id="99" w:name="_Toc13693"/>
      <w:bookmarkStart w:id="100" w:name="_Toc24726"/>
      <w:r>
        <w:rPr>
          <w:rFonts w:hint="eastAsia"/>
          <w:color w:val="auto"/>
          <w:highlight w:val="none"/>
        </w:rPr>
        <w:br w:type="page"/>
      </w:r>
      <w:bookmarkStart w:id="101" w:name="_Toc574"/>
      <w:r>
        <w:rPr>
          <w:rFonts w:hint="eastAsia"/>
          <w:color w:val="auto"/>
          <w:highlight w:val="none"/>
        </w:rPr>
        <w:t>第五部分  合同主要条款及格式</w:t>
      </w:r>
      <w:bookmarkEnd w:id="99"/>
      <w:bookmarkEnd w:id="100"/>
      <w:bookmarkEnd w:id="101"/>
    </w:p>
    <w:p w14:paraId="4F6A0287">
      <w:pPr>
        <w:pStyle w:val="17"/>
        <w:jc w:val="center"/>
        <w:rPr>
          <w:rFonts w:hint="eastAsia" w:ascii="Times New Roman" w:hAnsi="Times New Roman"/>
          <w:b/>
          <w:snapToGrid w:val="0"/>
          <w:color w:val="auto"/>
          <w:kern w:val="0"/>
          <w:szCs w:val="21"/>
          <w:highlight w:val="none"/>
        </w:rPr>
      </w:pPr>
      <w:r>
        <w:rPr>
          <w:rFonts w:hint="eastAsia"/>
          <w:b/>
          <w:snapToGrid w:val="0"/>
          <w:color w:val="auto"/>
          <w:kern w:val="0"/>
          <w:sz w:val="28"/>
          <w:szCs w:val="28"/>
          <w:highlight w:val="none"/>
        </w:rPr>
        <w:t xml:space="preserve">           </w:t>
      </w:r>
      <w:r>
        <w:rPr>
          <w:rFonts w:hint="eastAsia" w:hAnsi="宋体"/>
          <w:b/>
          <w:color w:val="auto"/>
          <w:sz w:val="36"/>
          <w:highlight w:val="none"/>
        </w:rPr>
        <w:t xml:space="preserve">   </w:t>
      </w:r>
      <w:r>
        <w:rPr>
          <w:rFonts w:hint="eastAsia" w:hAnsi="宋体"/>
          <w:b/>
          <w:color w:val="auto"/>
          <w:sz w:val="22"/>
          <w:szCs w:val="28"/>
          <w:highlight w:val="none"/>
        </w:rPr>
        <w:t xml:space="preserve">                                      </w:t>
      </w:r>
      <w:r>
        <w:rPr>
          <w:rFonts w:hint="eastAsia"/>
          <w:b/>
          <w:snapToGrid w:val="0"/>
          <w:color w:val="auto"/>
          <w:kern w:val="0"/>
          <w:sz w:val="28"/>
          <w:szCs w:val="28"/>
          <w:highlight w:val="none"/>
        </w:rPr>
        <w:t xml:space="preserve">                                                </w:t>
      </w:r>
      <w:r>
        <w:rPr>
          <w:rFonts w:ascii="Times New Roman" w:hAnsi="Times New Roman"/>
          <w:b/>
          <w:snapToGrid w:val="0"/>
          <w:color w:val="auto"/>
          <w:kern w:val="0"/>
          <w:szCs w:val="21"/>
          <w:highlight w:val="none"/>
        </w:rPr>
        <w:t xml:space="preserve"> </w:t>
      </w:r>
      <w:r>
        <w:rPr>
          <w:rFonts w:hint="eastAsia" w:ascii="Times New Roman" w:hAnsi="Times New Roman"/>
          <w:b/>
          <w:snapToGrid w:val="0"/>
          <w:color w:val="auto"/>
          <w:kern w:val="0"/>
          <w:szCs w:val="21"/>
          <w:highlight w:val="none"/>
        </w:rPr>
        <w:t xml:space="preserve">  </w:t>
      </w:r>
    </w:p>
    <w:p w14:paraId="44B6FC3D">
      <w:pPr>
        <w:bidi w:val="0"/>
        <w:rPr>
          <w:rFonts w:hint="eastAsia"/>
          <w:color w:val="auto"/>
          <w:highlight w:val="none"/>
        </w:rPr>
      </w:pPr>
    </w:p>
    <w:p w14:paraId="6EB6AC1D">
      <w:pPr>
        <w:snapToGrid w:val="0"/>
        <w:spacing w:line="360" w:lineRule="auto"/>
        <w:ind w:firstLine="422" w:firstLineChars="200"/>
        <w:outlineLvl w:val="9"/>
        <w:rPr>
          <w:rFonts w:ascii="宋体" w:hAnsi="宋体"/>
          <w:b/>
          <w:bCs/>
          <w:color w:val="auto"/>
          <w:szCs w:val="21"/>
          <w:highlight w:val="none"/>
        </w:rPr>
      </w:pPr>
      <w:r>
        <w:rPr>
          <w:rFonts w:hint="eastAsia" w:ascii="宋体" w:hAnsi="宋体"/>
          <w:b/>
          <w:bCs/>
          <w:color w:val="auto"/>
          <w:szCs w:val="21"/>
          <w:highlight w:val="none"/>
        </w:rPr>
        <w:t xml:space="preserve">甲方： </w:t>
      </w:r>
    </w:p>
    <w:p w14:paraId="067F3A34">
      <w:pPr>
        <w:snapToGrid w:val="0"/>
        <w:spacing w:line="360" w:lineRule="auto"/>
        <w:ind w:firstLine="422" w:firstLineChars="200"/>
        <w:outlineLvl w:val="9"/>
        <w:rPr>
          <w:color w:val="auto"/>
          <w:highlight w:val="none"/>
        </w:rPr>
      </w:pPr>
      <w:r>
        <w:rPr>
          <w:rFonts w:hint="eastAsia" w:ascii="宋体" w:hAnsi="宋体"/>
          <w:b/>
          <w:bCs/>
          <w:color w:val="auto"/>
          <w:szCs w:val="21"/>
          <w:highlight w:val="none"/>
        </w:rPr>
        <w:t>乙方：</w:t>
      </w:r>
    </w:p>
    <w:p w14:paraId="38738950">
      <w:pPr>
        <w:widowControl/>
        <w:snapToGrid w:val="0"/>
        <w:spacing w:line="360" w:lineRule="auto"/>
        <w:ind w:firstLine="420" w:firstLineChars="200"/>
        <w:jc w:val="left"/>
        <w:outlineLvl w:val="9"/>
        <w:rPr>
          <w:rFonts w:ascii="宋体" w:hAnsi="宋体" w:cs="宋体"/>
          <w:color w:val="auto"/>
          <w:szCs w:val="21"/>
          <w:highlight w:val="none"/>
        </w:rPr>
      </w:pPr>
      <w:r>
        <w:rPr>
          <w:rFonts w:hint="eastAsia" w:ascii="宋体" w:hAnsi="宋体" w:cs="宋体"/>
          <w:color w:val="auto"/>
          <w:szCs w:val="21"/>
          <w:highlight w:val="none"/>
        </w:rPr>
        <w:t>依据</w:t>
      </w:r>
      <w:r>
        <w:rPr>
          <w:rFonts w:ascii="宋体" w:hAnsi="宋体" w:cs="宋体"/>
          <w:color w:val="auto"/>
          <w:szCs w:val="21"/>
          <w:highlight w:val="none"/>
        </w:rPr>
        <w:t>《中华人民共和国</w:t>
      </w:r>
      <w:r>
        <w:rPr>
          <w:rFonts w:hint="eastAsia" w:ascii="宋体" w:hAnsi="宋体" w:cs="宋体"/>
          <w:color w:val="auto"/>
          <w:szCs w:val="21"/>
          <w:highlight w:val="none"/>
        </w:rPr>
        <w:t>民法典</w:t>
      </w:r>
      <w:r>
        <w:rPr>
          <w:rFonts w:ascii="宋体" w:hAnsi="宋体" w:cs="宋体"/>
          <w:color w:val="auto"/>
          <w:szCs w:val="21"/>
          <w:highlight w:val="none"/>
        </w:rPr>
        <w:t>》及</w:t>
      </w:r>
      <w:r>
        <w:rPr>
          <w:rFonts w:hint="eastAsia" w:ascii="宋体" w:hAnsi="宋体" w:cs="宋体"/>
          <w:color w:val="auto"/>
          <w:szCs w:val="21"/>
          <w:highlight w:val="none"/>
        </w:rPr>
        <w:t>相</w:t>
      </w:r>
      <w:r>
        <w:rPr>
          <w:rFonts w:ascii="宋体" w:hAnsi="宋体" w:cs="宋体"/>
          <w:color w:val="auto"/>
          <w:szCs w:val="21"/>
          <w:highlight w:val="none"/>
        </w:rPr>
        <w:t>关法律法规之规定</w:t>
      </w:r>
      <w:r>
        <w:rPr>
          <w:rFonts w:hint="eastAsia" w:ascii="宋体" w:hAnsi="宋体" w:cs="宋体"/>
          <w:color w:val="auto"/>
          <w:szCs w:val="21"/>
          <w:highlight w:val="none"/>
        </w:rPr>
        <w:t>，甲乙双方在平等、自愿的基础上，经双方协商一致，达成如下协议，以资共同遵照执行。</w:t>
      </w:r>
    </w:p>
    <w:p w14:paraId="1D297DD4">
      <w:pPr>
        <w:snapToGrid w:val="0"/>
        <w:spacing w:line="360" w:lineRule="auto"/>
        <w:ind w:firstLine="422" w:firstLineChars="200"/>
        <w:outlineLvl w:val="9"/>
        <w:rPr>
          <w:rFonts w:ascii="宋体" w:hAnsi="宋体"/>
          <w:b/>
          <w:bCs/>
          <w:color w:val="auto"/>
          <w:szCs w:val="21"/>
          <w:highlight w:val="none"/>
        </w:rPr>
      </w:pPr>
      <w:bookmarkStart w:id="102" w:name="_Toc92283830"/>
      <w:r>
        <w:rPr>
          <w:rFonts w:hint="eastAsia" w:ascii="宋体" w:hAnsi="宋体"/>
          <w:b/>
          <w:bCs/>
          <w:color w:val="auto"/>
          <w:szCs w:val="21"/>
          <w:highlight w:val="none"/>
        </w:rPr>
        <w:t>一、项目主要内容</w:t>
      </w:r>
      <w:bookmarkEnd w:id="102"/>
    </w:p>
    <w:p w14:paraId="4FDD2899">
      <w:pPr>
        <w:bidi w:val="0"/>
        <w:rPr>
          <w:rFonts w:hint="eastAsia"/>
          <w:color w:val="auto"/>
          <w:highlight w:val="none"/>
        </w:rPr>
      </w:pPr>
    </w:p>
    <w:p w14:paraId="11729508">
      <w:pPr>
        <w:snapToGrid w:val="0"/>
        <w:spacing w:line="360" w:lineRule="auto"/>
        <w:ind w:firstLine="422" w:firstLineChars="200"/>
        <w:outlineLvl w:val="9"/>
        <w:rPr>
          <w:rFonts w:hint="default" w:ascii="宋体" w:hAnsi="宋体" w:eastAsia="宋体"/>
          <w:b/>
          <w:bCs/>
          <w:color w:val="auto"/>
          <w:szCs w:val="21"/>
          <w:highlight w:val="none"/>
          <w:lang w:val="en-US" w:eastAsia="zh-CN"/>
        </w:rPr>
      </w:pPr>
      <w:r>
        <w:rPr>
          <w:rFonts w:hint="eastAsia" w:ascii="宋体" w:hAnsi="宋体"/>
          <w:b/>
          <w:bCs/>
          <w:color w:val="auto"/>
          <w:szCs w:val="21"/>
          <w:highlight w:val="none"/>
        </w:rPr>
        <w:t>二、</w:t>
      </w:r>
      <w:r>
        <w:rPr>
          <w:rFonts w:hint="eastAsia" w:ascii="宋体" w:hAnsi="宋体"/>
          <w:b/>
          <w:bCs/>
          <w:color w:val="auto"/>
          <w:szCs w:val="21"/>
          <w:highlight w:val="none"/>
          <w:lang w:val="en-US" w:eastAsia="zh-CN"/>
        </w:rPr>
        <w:t>项目进度要求</w:t>
      </w:r>
    </w:p>
    <w:p w14:paraId="6A6387B9">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color w:val="auto"/>
          <w:sz w:val="21"/>
          <w:szCs w:val="21"/>
          <w:highlight w:val="none"/>
        </w:rPr>
      </w:pPr>
      <w:bookmarkStart w:id="103" w:name="_Toc92283831"/>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lang w:val="zh-CN"/>
        </w:rPr>
        <w:t>自合同签订</w:t>
      </w:r>
      <w:r>
        <w:rPr>
          <w:rFonts w:hint="eastAsia" w:ascii="宋体" w:hAnsi="宋体" w:eastAsia="宋体" w:cs="宋体"/>
          <w:color w:val="auto"/>
          <w:sz w:val="21"/>
          <w:szCs w:val="21"/>
          <w:highlight w:val="none"/>
        </w:rPr>
        <w:t>之日起</w:t>
      </w:r>
      <w:r>
        <w:rPr>
          <w:rFonts w:hint="eastAsia" w:ascii="宋体" w:hAnsi="宋体" w:eastAsia="宋体" w:cs="宋体"/>
          <w:color w:val="auto"/>
          <w:sz w:val="21"/>
          <w:szCs w:val="21"/>
          <w:highlight w:val="none"/>
          <w:lang w:val="zh-CN"/>
        </w:rPr>
        <w:t>进场实施，</w:t>
      </w:r>
      <w:r>
        <w:rPr>
          <w:rFonts w:hint="eastAsia"/>
          <w:color w:val="auto"/>
          <w:highlight w:val="none"/>
        </w:rPr>
        <w:t>40天内完成硬件全部到货</w:t>
      </w:r>
      <w:r>
        <w:rPr>
          <w:rFonts w:hint="eastAsia"/>
          <w:color w:val="auto"/>
          <w:highlight w:val="none"/>
          <w:lang w:eastAsia="zh-CN"/>
        </w:rPr>
        <w:t>，</w:t>
      </w:r>
      <w:r>
        <w:rPr>
          <w:rFonts w:hint="eastAsia" w:ascii="宋体" w:hAnsi="宋体" w:eastAsia="宋体" w:cs="宋体"/>
          <w:color w:val="auto"/>
          <w:sz w:val="21"/>
          <w:szCs w:val="21"/>
          <w:highlight w:val="none"/>
          <w:lang w:val="en-US" w:eastAsia="zh-CN"/>
        </w:rPr>
        <w:t>120</w:t>
      </w:r>
      <w:r>
        <w:rPr>
          <w:rFonts w:hint="eastAsia" w:ascii="宋体" w:hAnsi="宋体" w:eastAsia="宋体" w:cs="宋体"/>
          <w:color w:val="auto"/>
          <w:sz w:val="21"/>
          <w:szCs w:val="21"/>
          <w:highlight w:val="none"/>
        </w:rPr>
        <w:t>天内完成软件开发、</w:t>
      </w:r>
      <w:r>
        <w:rPr>
          <w:rFonts w:hint="eastAsia"/>
          <w:color w:val="auto"/>
          <w:highlight w:val="none"/>
        </w:rPr>
        <w:t>安装调试</w:t>
      </w:r>
      <w:r>
        <w:rPr>
          <w:rFonts w:hint="eastAsia" w:ascii="宋体" w:hAnsi="宋体" w:eastAsia="宋体" w:cs="宋体"/>
          <w:color w:val="auto"/>
          <w:sz w:val="21"/>
          <w:szCs w:val="21"/>
          <w:highlight w:val="none"/>
        </w:rPr>
        <w:t>工</w:t>
      </w:r>
    </w:p>
    <w:p w14:paraId="096E32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作并组织项目初验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初验通过后进入为期</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个月的试运行期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试运行期间无重大故障发生组织项目终验。</w:t>
      </w:r>
    </w:p>
    <w:p w14:paraId="1F90485B">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应严格按确认的进度计划开展工作，验收时间每延期1天，扣除合同总价的1‰，延期超过10</w:t>
      </w:r>
    </w:p>
    <w:p w14:paraId="0B1EF3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天的，自延期第11日起，每延期1天，扣除合同总价5‰。扣除合同金额超过10%的，</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有权取消合同，并追究</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的违约责任。</w:t>
      </w:r>
    </w:p>
    <w:p w14:paraId="0B45EE6A">
      <w:pPr>
        <w:snapToGrid w:val="0"/>
        <w:spacing w:line="360" w:lineRule="auto"/>
        <w:ind w:firstLine="422" w:firstLineChars="200"/>
        <w:outlineLvl w:val="9"/>
        <w:rPr>
          <w:rFonts w:ascii="宋体" w:hAnsi="宋体"/>
          <w:b/>
          <w:bCs/>
          <w:color w:val="auto"/>
          <w:szCs w:val="21"/>
          <w:highlight w:val="none"/>
        </w:rPr>
      </w:pPr>
      <w:r>
        <w:rPr>
          <w:rFonts w:hint="eastAsia" w:ascii="宋体" w:hAnsi="宋体"/>
          <w:b/>
          <w:bCs/>
          <w:color w:val="auto"/>
          <w:szCs w:val="21"/>
          <w:highlight w:val="none"/>
        </w:rPr>
        <w:t>三、项目费用及支付方式</w:t>
      </w:r>
      <w:bookmarkEnd w:id="103"/>
    </w:p>
    <w:p w14:paraId="1DA19CFC">
      <w:pPr>
        <w:widowControl/>
        <w:spacing w:line="360" w:lineRule="auto"/>
        <w:ind w:firstLine="420" w:firstLineChars="200"/>
        <w:outlineLvl w:val="9"/>
        <w:rPr>
          <w:rFonts w:hAnsi="宋体" w:cs="宋体"/>
          <w:color w:val="auto"/>
          <w:szCs w:val="21"/>
          <w:highlight w:val="none"/>
        </w:rPr>
      </w:pPr>
      <w:bookmarkStart w:id="104" w:name="_Toc92283832"/>
      <w:r>
        <w:rPr>
          <w:rFonts w:hint="eastAsia" w:ascii="宋体" w:hAnsi="宋体"/>
          <w:color w:val="auto"/>
          <w:szCs w:val="21"/>
          <w:highlight w:val="none"/>
        </w:rPr>
        <w:t>1、</w:t>
      </w:r>
      <w:r>
        <w:rPr>
          <w:rFonts w:hint="eastAsia" w:hAnsi="宋体" w:cs="宋体"/>
          <w:color w:val="auto"/>
          <w:szCs w:val="21"/>
          <w:highlight w:val="none"/>
        </w:rPr>
        <w:t>本合同金额为</w:t>
      </w:r>
      <w:r>
        <w:rPr>
          <w:rFonts w:hint="eastAsia" w:hAnsi="宋体" w:cs="宋体"/>
          <w:b/>
          <w:bCs/>
          <w:color w:val="auto"/>
          <w:szCs w:val="21"/>
          <w:highlight w:val="none"/>
        </w:rPr>
        <w:t>（大写）：</w:t>
      </w:r>
      <w:r>
        <w:rPr>
          <w:rFonts w:hint="eastAsia" w:ascii="宋体" w:hAnsi="宋体" w:eastAsia="宋体" w:cs="宋体"/>
          <w:b/>
          <w:bCs/>
          <w:color w:val="auto"/>
          <w:szCs w:val="21"/>
          <w:highlight w:val="none"/>
          <w:u w:val="single"/>
          <w:lang w:val="en-US" w:eastAsia="zh-CN"/>
        </w:rPr>
        <w:t xml:space="preserve">       </w:t>
      </w:r>
      <w:r>
        <w:rPr>
          <w:rFonts w:hint="eastAsia" w:hAnsi="宋体" w:cs="宋体"/>
          <w:b/>
          <w:bCs/>
          <w:color w:val="auto"/>
          <w:szCs w:val="21"/>
          <w:highlight w:val="none"/>
        </w:rPr>
        <w:t>元（￥</w:t>
      </w:r>
      <w:r>
        <w:rPr>
          <w:rFonts w:hint="eastAsia" w:ascii="宋体" w:hAnsi="宋体" w:eastAsia="宋体" w:cs="宋体"/>
          <w:b/>
          <w:bCs/>
          <w:color w:val="auto"/>
          <w:szCs w:val="21"/>
          <w:highlight w:val="none"/>
          <w:u w:val="single"/>
          <w:lang w:val="en-US" w:eastAsia="zh-CN"/>
        </w:rPr>
        <w:t xml:space="preserve">       </w:t>
      </w:r>
      <w:r>
        <w:rPr>
          <w:rFonts w:hint="eastAsia" w:hAnsi="宋体" w:cs="宋体"/>
          <w:b/>
          <w:bCs/>
          <w:color w:val="auto"/>
          <w:szCs w:val="21"/>
          <w:highlight w:val="none"/>
        </w:rPr>
        <w:t>元）人民币。</w:t>
      </w:r>
    </w:p>
    <w:p w14:paraId="53E171B8">
      <w:pPr>
        <w:widowControl/>
        <w:spacing w:line="360" w:lineRule="auto"/>
        <w:ind w:firstLine="420" w:firstLineChars="200"/>
        <w:outlineLvl w:val="9"/>
        <w:rPr>
          <w:rFonts w:hint="eastAsia" w:ascii="宋体" w:hAnsi="宋体" w:eastAsia="宋体" w:cs="宋体"/>
          <w:bCs/>
          <w:color w:val="auto"/>
          <w:kern w:val="0"/>
          <w:sz w:val="21"/>
          <w:szCs w:val="21"/>
          <w:highlight w:val="none"/>
          <w:lang w:val="zh-CN"/>
        </w:rPr>
      </w:pPr>
      <w:r>
        <w:rPr>
          <w:rFonts w:hint="eastAsia" w:ascii="宋体" w:hAnsi="宋体"/>
          <w:color w:val="auto"/>
          <w:szCs w:val="21"/>
          <w:highlight w:val="none"/>
        </w:rPr>
        <w:t>2、</w:t>
      </w:r>
      <w:r>
        <w:rPr>
          <w:rStyle w:val="31"/>
          <w:rFonts w:hint="eastAsia"/>
          <w:b w:val="0"/>
          <w:bCs w:val="0"/>
          <w:color w:val="auto"/>
          <w:szCs w:val="21"/>
          <w:highlight w:val="none"/>
        </w:rPr>
        <w:t>合同签订并具备实施条件后7个工作日内支付合同总金额的</w:t>
      </w:r>
      <w:r>
        <w:rPr>
          <w:rStyle w:val="31"/>
          <w:rFonts w:hint="eastAsia"/>
          <w:b w:val="0"/>
          <w:bCs w:val="0"/>
          <w:color w:val="auto"/>
          <w:szCs w:val="21"/>
          <w:highlight w:val="none"/>
          <w:lang w:val="en-US" w:eastAsia="zh-CN"/>
        </w:rPr>
        <w:t>40</w:t>
      </w:r>
      <w:r>
        <w:rPr>
          <w:rStyle w:val="31"/>
          <w:rFonts w:hint="eastAsia"/>
          <w:b w:val="0"/>
          <w:bCs w:val="0"/>
          <w:color w:val="auto"/>
          <w:szCs w:val="21"/>
          <w:highlight w:val="none"/>
        </w:rPr>
        <w:t>%作为预付款，</w:t>
      </w:r>
      <w:r>
        <w:rPr>
          <w:rFonts w:hint="eastAsia" w:ascii="宋体" w:hAnsi="宋体" w:eastAsia="宋体" w:cs="宋体"/>
          <w:color w:val="auto"/>
          <w:sz w:val="21"/>
          <w:szCs w:val="21"/>
          <w:highlight w:val="none"/>
        </w:rPr>
        <w:t>项目初验通过后支付至合同总价</w:t>
      </w:r>
      <w:r>
        <w:rPr>
          <w:rFonts w:hint="eastAsia" w:ascii="宋体" w:hAnsi="宋体" w:eastAsia="宋体" w:cs="宋体"/>
          <w:color w:val="auto"/>
          <w:sz w:val="21"/>
          <w:szCs w:val="21"/>
          <w:highlight w:val="none"/>
          <w:lang w:val="en-US" w:eastAsia="zh-CN"/>
        </w:rPr>
        <w:t>6</w:t>
      </w:r>
      <w:r>
        <w:rPr>
          <w:rFonts w:hint="eastAsia" w:ascii="宋体" w:hAnsi="宋体" w:eastAsia="宋体" w:cs="宋体"/>
          <w:bCs/>
          <w:color w:val="auto"/>
          <w:kern w:val="0"/>
          <w:sz w:val="21"/>
          <w:szCs w:val="21"/>
          <w:highlight w:val="none"/>
          <w:lang w:val="zh-CN"/>
        </w:rPr>
        <w:t>0%；</w:t>
      </w:r>
      <w:r>
        <w:rPr>
          <w:rFonts w:hint="eastAsia" w:ascii="宋体" w:hAnsi="宋体" w:eastAsia="宋体" w:cs="宋体"/>
          <w:color w:val="auto"/>
          <w:sz w:val="21"/>
          <w:szCs w:val="21"/>
          <w:highlight w:val="none"/>
        </w:rPr>
        <w:t>项目终验后支付合同总价的10</w:t>
      </w:r>
      <w:r>
        <w:rPr>
          <w:rFonts w:hint="eastAsia" w:ascii="宋体" w:hAnsi="宋体" w:eastAsia="宋体" w:cs="宋体"/>
          <w:bCs/>
          <w:color w:val="auto"/>
          <w:kern w:val="0"/>
          <w:sz w:val="21"/>
          <w:szCs w:val="21"/>
          <w:highlight w:val="none"/>
          <w:lang w:val="zh-CN"/>
        </w:rPr>
        <w:t>0%。</w:t>
      </w:r>
    </w:p>
    <w:p w14:paraId="0976E1BA">
      <w:pPr>
        <w:widowControl/>
        <w:spacing w:line="360" w:lineRule="auto"/>
        <w:ind w:firstLine="422" w:firstLineChars="200"/>
        <w:outlineLvl w:val="9"/>
        <w:rPr>
          <w:rFonts w:ascii="宋体" w:hAnsi="宋体"/>
          <w:b/>
          <w:bCs/>
          <w:color w:val="auto"/>
          <w:szCs w:val="21"/>
          <w:highlight w:val="none"/>
        </w:rPr>
      </w:pPr>
      <w:r>
        <w:rPr>
          <w:rFonts w:hint="eastAsia" w:ascii="宋体" w:hAnsi="宋体"/>
          <w:b/>
          <w:bCs/>
          <w:color w:val="auto"/>
          <w:szCs w:val="21"/>
          <w:highlight w:val="none"/>
        </w:rPr>
        <w:t>四、甲乙双方的职责和义务</w:t>
      </w:r>
      <w:bookmarkEnd w:id="104"/>
    </w:p>
    <w:p w14:paraId="742473B6">
      <w:pPr>
        <w:adjustRightInd w:val="0"/>
        <w:snapToGrid w:val="0"/>
        <w:spacing w:line="360" w:lineRule="auto"/>
        <w:ind w:firstLine="422" w:firstLineChars="200"/>
        <w:outlineLvl w:val="9"/>
        <w:rPr>
          <w:rFonts w:ascii="宋体" w:hAnsi="宋体"/>
          <w:b/>
          <w:bCs/>
          <w:color w:val="auto"/>
          <w:szCs w:val="21"/>
          <w:highlight w:val="none"/>
        </w:rPr>
      </w:pPr>
      <w:bookmarkStart w:id="105" w:name="_Toc92283833"/>
      <w:r>
        <w:rPr>
          <w:rFonts w:hint="eastAsia" w:ascii="宋体" w:hAnsi="宋体"/>
          <w:b/>
          <w:bCs/>
          <w:color w:val="auto"/>
          <w:szCs w:val="21"/>
          <w:highlight w:val="none"/>
        </w:rPr>
        <w:t>（一）甲方的职责和义务</w:t>
      </w:r>
      <w:bookmarkEnd w:id="105"/>
    </w:p>
    <w:p w14:paraId="10C9FB35">
      <w:pPr>
        <w:adjustRightInd w:val="0"/>
        <w:snapToGrid w:val="0"/>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1、</w:t>
      </w:r>
      <w:r>
        <w:rPr>
          <w:rFonts w:hint="eastAsia"/>
          <w:color w:val="auto"/>
          <w:szCs w:val="21"/>
          <w:highlight w:val="none"/>
        </w:rPr>
        <w:t>甲方向乙方说明项目内容和具体要求，提供项目进行中所需的工作环境和条件，并做好有关的协调和配合工作。</w:t>
      </w:r>
    </w:p>
    <w:p w14:paraId="372A164D">
      <w:pPr>
        <w:adjustRightInd w:val="0"/>
        <w:snapToGrid w:val="0"/>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2、</w:t>
      </w:r>
      <w:r>
        <w:rPr>
          <w:rFonts w:hint="eastAsia"/>
          <w:color w:val="auto"/>
          <w:szCs w:val="21"/>
          <w:highlight w:val="none"/>
        </w:rPr>
        <w:t>甲方需确定专人，配合项目实施，并负责本单位日常应用指导工作</w:t>
      </w:r>
      <w:r>
        <w:rPr>
          <w:rFonts w:hint="eastAsia" w:ascii="宋体" w:hAnsi="宋体"/>
          <w:color w:val="auto"/>
          <w:szCs w:val="21"/>
          <w:highlight w:val="none"/>
        </w:rPr>
        <w:t>。</w:t>
      </w:r>
    </w:p>
    <w:p w14:paraId="134A589D">
      <w:pPr>
        <w:adjustRightInd w:val="0"/>
        <w:snapToGrid w:val="0"/>
        <w:spacing w:line="360" w:lineRule="auto"/>
        <w:ind w:firstLine="420" w:firstLineChars="200"/>
        <w:outlineLvl w:val="9"/>
        <w:rPr>
          <w:rFonts w:ascii="宋体" w:hAnsi="宋体"/>
          <w:color w:val="auto"/>
          <w:szCs w:val="21"/>
          <w:highlight w:val="none"/>
        </w:rPr>
      </w:pPr>
      <w:r>
        <w:rPr>
          <w:rFonts w:hint="eastAsia"/>
          <w:color w:val="auto"/>
          <w:szCs w:val="21"/>
          <w:highlight w:val="none"/>
        </w:rPr>
        <w:t>3、</w:t>
      </w:r>
      <w:r>
        <w:rPr>
          <w:rFonts w:hint="eastAsia" w:ascii="宋体" w:hAnsi="宋体"/>
          <w:color w:val="auto"/>
          <w:szCs w:val="21"/>
          <w:highlight w:val="none"/>
        </w:rPr>
        <w:t>依照合同的规定，向乙方及时付款。</w:t>
      </w:r>
    </w:p>
    <w:p w14:paraId="2F1E462F">
      <w:pPr>
        <w:adjustRightInd w:val="0"/>
        <w:snapToGrid w:val="0"/>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4、甲方有对乙方的实施、服务及产品的质量进行监督的权利，在使用时如发现故障，有权要求乙方及时处理。</w:t>
      </w:r>
    </w:p>
    <w:p w14:paraId="01BFAE89">
      <w:pPr>
        <w:snapToGrid w:val="0"/>
        <w:spacing w:line="360" w:lineRule="auto"/>
        <w:ind w:firstLine="422" w:firstLineChars="200"/>
        <w:outlineLvl w:val="9"/>
        <w:rPr>
          <w:rFonts w:ascii="宋体" w:hAnsi="宋体"/>
          <w:b/>
          <w:bCs/>
          <w:color w:val="auto"/>
          <w:szCs w:val="21"/>
          <w:highlight w:val="none"/>
        </w:rPr>
      </w:pPr>
      <w:bookmarkStart w:id="106" w:name="_Toc92283834"/>
      <w:r>
        <w:rPr>
          <w:rFonts w:hint="eastAsia" w:ascii="宋体" w:hAnsi="宋体"/>
          <w:b/>
          <w:bCs/>
          <w:color w:val="auto"/>
          <w:szCs w:val="21"/>
          <w:highlight w:val="none"/>
        </w:rPr>
        <w:t>（二）乙方的职责和义务</w:t>
      </w:r>
      <w:bookmarkEnd w:id="106"/>
    </w:p>
    <w:p w14:paraId="7FD2E45C">
      <w:pPr>
        <w:snapToGrid w:val="0"/>
        <w:spacing w:line="360" w:lineRule="auto"/>
        <w:ind w:firstLine="420" w:firstLineChars="200"/>
        <w:outlineLvl w:val="9"/>
        <w:rPr>
          <w:rFonts w:hint="eastAsia"/>
          <w:color w:val="auto"/>
          <w:szCs w:val="21"/>
          <w:highlight w:val="none"/>
        </w:rPr>
      </w:pPr>
      <w:r>
        <w:rPr>
          <w:rFonts w:hint="eastAsia" w:ascii="宋体" w:hAnsi="宋体"/>
          <w:color w:val="auto"/>
          <w:szCs w:val="21"/>
          <w:highlight w:val="none"/>
        </w:rPr>
        <w:t>1、</w:t>
      </w:r>
      <w:r>
        <w:rPr>
          <w:rFonts w:hint="eastAsia"/>
          <w:color w:val="auto"/>
          <w:szCs w:val="21"/>
          <w:highlight w:val="none"/>
        </w:rPr>
        <w:t>乙方应确定团队，并指定专人负责，按照甲方的要求做好项目建设和服务。</w:t>
      </w:r>
    </w:p>
    <w:p w14:paraId="1EEF7489">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本项目实施阶段要求驻场，</w:t>
      </w:r>
      <w:r>
        <w:rPr>
          <w:rFonts w:hint="eastAsia"/>
          <w:color w:val="auto"/>
          <w:szCs w:val="21"/>
          <w:highlight w:val="none"/>
        </w:rPr>
        <w:t>乙方</w:t>
      </w:r>
      <w:r>
        <w:rPr>
          <w:rFonts w:hint="eastAsia" w:ascii="宋体" w:hAnsi="宋体" w:eastAsia="宋体" w:cs="宋体"/>
          <w:color w:val="auto"/>
          <w:sz w:val="21"/>
          <w:szCs w:val="21"/>
          <w:highlight w:val="none"/>
          <w:lang w:val="zh-CN"/>
        </w:rPr>
        <w:t>明确各阶段的人员驻场安排，项目经理要求在项目建设各阶段在现场开展相关工作，并保证一定的到场率；项目小组团队成员在各阶段</w:t>
      </w:r>
      <w:r>
        <w:rPr>
          <w:rFonts w:hint="eastAsia" w:ascii="宋体" w:hAnsi="宋体" w:eastAsia="宋体" w:cs="宋体"/>
          <w:color w:val="auto"/>
          <w:sz w:val="21"/>
          <w:szCs w:val="21"/>
          <w:highlight w:val="none"/>
        </w:rPr>
        <w:t>均</w:t>
      </w:r>
      <w:r>
        <w:rPr>
          <w:rFonts w:hint="eastAsia" w:ascii="宋体" w:hAnsi="宋体" w:eastAsia="宋体" w:cs="宋体"/>
          <w:color w:val="auto"/>
          <w:sz w:val="21"/>
          <w:szCs w:val="21"/>
          <w:highlight w:val="none"/>
          <w:lang w:val="zh-CN"/>
        </w:rPr>
        <w:t>至少安排</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人</w:t>
      </w:r>
      <w:r>
        <w:rPr>
          <w:rFonts w:hint="eastAsia" w:ascii="宋体" w:hAnsi="宋体" w:eastAsia="宋体" w:cs="宋体"/>
          <w:color w:val="auto"/>
          <w:sz w:val="21"/>
          <w:szCs w:val="21"/>
          <w:highlight w:val="none"/>
        </w:rPr>
        <w:t>以上</w:t>
      </w:r>
      <w:r>
        <w:rPr>
          <w:rFonts w:hint="eastAsia" w:ascii="宋体" w:hAnsi="宋体" w:eastAsia="宋体" w:cs="宋体"/>
          <w:color w:val="auto"/>
          <w:sz w:val="21"/>
          <w:szCs w:val="21"/>
          <w:highlight w:val="none"/>
          <w:lang w:val="zh-CN"/>
        </w:rPr>
        <w:t>进驻现场开展各项工作，</w:t>
      </w:r>
      <w:r>
        <w:rPr>
          <w:rFonts w:hint="eastAsia" w:ascii="宋体" w:hAnsi="宋体" w:eastAsia="宋体" w:cs="宋体"/>
          <w:color w:val="auto"/>
          <w:sz w:val="21"/>
          <w:szCs w:val="21"/>
          <w:highlight w:val="none"/>
        </w:rPr>
        <w:t>系统试运行期间安排不少于1人驻场工作</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如人员未按要求到位的，每发现一次扣除合同总价的1‰，扣除合同金额超过10%的，</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有权取消合同，并追究</w:t>
      </w:r>
      <w:r>
        <w:rPr>
          <w:rFonts w:hint="eastAsia"/>
          <w:color w:val="auto"/>
          <w:szCs w:val="21"/>
          <w:highlight w:val="none"/>
        </w:rPr>
        <w:t>乙方</w:t>
      </w:r>
      <w:r>
        <w:rPr>
          <w:rFonts w:hint="eastAsia" w:ascii="宋体" w:hAnsi="宋体" w:eastAsia="宋体" w:cs="宋体"/>
          <w:color w:val="auto"/>
          <w:sz w:val="21"/>
          <w:szCs w:val="21"/>
          <w:highlight w:val="none"/>
        </w:rPr>
        <w:t>的违约责任。</w:t>
      </w:r>
    </w:p>
    <w:p w14:paraId="4ED705BE">
      <w:pPr>
        <w:snapToGrid w:val="0"/>
        <w:spacing w:line="360" w:lineRule="auto"/>
        <w:ind w:firstLine="420" w:firstLineChars="200"/>
        <w:outlineLvl w:val="9"/>
        <w:rPr>
          <w:rFonts w:hint="eastAsia"/>
          <w:color w:val="auto"/>
          <w:kern w:val="2"/>
          <w:sz w:val="21"/>
          <w:szCs w:val="21"/>
          <w:highlight w:val="none"/>
          <w:lang w:bidi="ar"/>
        </w:rPr>
      </w:pPr>
      <w:r>
        <w:rPr>
          <w:rFonts w:hint="eastAsia"/>
          <w:color w:val="auto"/>
          <w:kern w:val="2"/>
          <w:sz w:val="21"/>
          <w:szCs w:val="21"/>
          <w:highlight w:val="none"/>
          <w:lang w:val="en-US" w:eastAsia="zh-CN" w:bidi="ar"/>
        </w:rPr>
        <w:t>3</w:t>
      </w:r>
      <w:r>
        <w:rPr>
          <w:rFonts w:hint="eastAsia"/>
          <w:color w:val="auto"/>
          <w:kern w:val="2"/>
          <w:sz w:val="21"/>
          <w:szCs w:val="21"/>
          <w:highlight w:val="none"/>
          <w:lang w:bidi="ar"/>
        </w:rPr>
        <w:t>、当有紧急情况发生时，乙方技术支持工程师应在</w:t>
      </w:r>
      <w:r>
        <w:rPr>
          <w:color w:val="auto"/>
          <w:kern w:val="2"/>
          <w:sz w:val="21"/>
          <w:szCs w:val="21"/>
          <w:highlight w:val="none"/>
          <w:u w:val="single" w:color="000000"/>
          <w:lang w:bidi="ar"/>
        </w:rPr>
        <w:t xml:space="preserve">  </w:t>
      </w:r>
      <w:r>
        <w:rPr>
          <w:rFonts w:hint="eastAsia"/>
          <w:color w:val="auto"/>
          <w:kern w:val="2"/>
          <w:sz w:val="21"/>
          <w:szCs w:val="21"/>
          <w:highlight w:val="none"/>
          <w:lang w:bidi="ar"/>
        </w:rPr>
        <w:t>小时以内迅速赶到现场，紧急情况下解决问题的时间不超过</w:t>
      </w:r>
      <w:r>
        <w:rPr>
          <w:color w:val="auto"/>
          <w:kern w:val="2"/>
          <w:sz w:val="21"/>
          <w:szCs w:val="21"/>
          <w:highlight w:val="none"/>
          <w:u w:val="single" w:color="000000"/>
          <w:lang w:bidi="ar"/>
        </w:rPr>
        <w:t xml:space="preserve">  </w:t>
      </w:r>
      <w:r>
        <w:rPr>
          <w:rFonts w:hint="eastAsia"/>
          <w:color w:val="auto"/>
          <w:kern w:val="2"/>
          <w:sz w:val="21"/>
          <w:szCs w:val="21"/>
          <w:highlight w:val="none"/>
          <w:lang w:bidi="ar"/>
        </w:rPr>
        <w:t>小时；当</w:t>
      </w:r>
      <w:r>
        <w:rPr>
          <w:rFonts w:hint="eastAsia"/>
          <w:color w:val="auto"/>
          <w:highlight w:val="none"/>
        </w:rPr>
        <w:t>严重事件</w:t>
      </w:r>
      <w:r>
        <w:rPr>
          <w:rFonts w:hint="eastAsia"/>
          <w:color w:val="auto"/>
          <w:kern w:val="2"/>
          <w:sz w:val="21"/>
          <w:szCs w:val="21"/>
          <w:highlight w:val="none"/>
          <w:lang w:bidi="ar"/>
        </w:rPr>
        <w:t>情况发生但影响用户正常使用时，技术支持工程师应该在</w:t>
      </w:r>
      <w:r>
        <w:rPr>
          <w:color w:val="auto"/>
          <w:kern w:val="2"/>
          <w:sz w:val="21"/>
          <w:szCs w:val="21"/>
          <w:highlight w:val="none"/>
          <w:u w:val="single" w:color="000000"/>
          <w:lang w:bidi="ar"/>
        </w:rPr>
        <w:t xml:space="preserve">   </w:t>
      </w:r>
      <w:r>
        <w:rPr>
          <w:rFonts w:hint="eastAsia"/>
          <w:color w:val="auto"/>
          <w:kern w:val="2"/>
          <w:sz w:val="21"/>
          <w:szCs w:val="21"/>
          <w:highlight w:val="none"/>
          <w:lang w:bidi="ar"/>
        </w:rPr>
        <w:t>小时之内响应，并且给出相应的处理方法，</w:t>
      </w:r>
      <w:r>
        <w:rPr>
          <w:rFonts w:hint="eastAsia"/>
          <w:color w:val="auto"/>
          <w:highlight w:val="none"/>
        </w:rPr>
        <w:t>严重事件</w:t>
      </w:r>
      <w:r>
        <w:rPr>
          <w:rFonts w:hint="eastAsia"/>
          <w:color w:val="auto"/>
          <w:kern w:val="2"/>
          <w:sz w:val="21"/>
          <w:szCs w:val="21"/>
          <w:highlight w:val="none"/>
          <w:lang w:bidi="ar"/>
        </w:rPr>
        <w:t>情况下解决问题的时间不应超过</w:t>
      </w:r>
      <w:r>
        <w:rPr>
          <w:color w:val="auto"/>
          <w:kern w:val="2"/>
          <w:sz w:val="21"/>
          <w:szCs w:val="21"/>
          <w:highlight w:val="none"/>
          <w:u w:val="single" w:color="000000"/>
          <w:lang w:bidi="ar"/>
        </w:rPr>
        <w:t xml:space="preserve">   </w:t>
      </w:r>
      <w:r>
        <w:rPr>
          <w:rFonts w:hint="eastAsia"/>
          <w:color w:val="auto"/>
          <w:kern w:val="2"/>
          <w:sz w:val="21"/>
          <w:szCs w:val="21"/>
          <w:highlight w:val="none"/>
          <w:lang w:bidi="ar"/>
        </w:rPr>
        <w:t>小时。当</w:t>
      </w:r>
      <w:r>
        <w:rPr>
          <w:rFonts w:hint="eastAsia"/>
          <w:color w:val="auto"/>
          <w:highlight w:val="none"/>
        </w:rPr>
        <w:t>一般事件</w:t>
      </w:r>
      <w:r>
        <w:rPr>
          <w:rFonts w:hint="eastAsia"/>
          <w:color w:val="auto"/>
          <w:kern w:val="2"/>
          <w:sz w:val="21"/>
          <w:szCs w:val="21"/>
          <w:highlight w:val="none"/>
          <w:lang w:bidi="ar"/>
        </w:rPr>
        <w:t>情况发生但</w:t>
      </w:r>
      <w:r>
        <w:rPr>
          <w:rFonts w:hint="eastAsia"/>
          <w:color w:val="auto"/>
          <w:kern w:val="2"/>
          <w:sz w:val="21"/>
          <w:szCs w:val="21"/>
          <w:highlight w:val="none"/>
          <w:lang w:val="en-US" w:eastAsia="zh-CN" w:bidi="ar"/>
        </w:rPr>
        <w:t>不</w:t>
      </w:r>
      <w:r>
        <w:rPr>
          <w:rFonts w:hint="eastAsia"/>
          <w:color w:val="auto"/>
          <w:kern w:val="2"/>
          <w:sz w:val="21"/>
          <w:szCs w:val="21"/>
          <w:highlight w:val="none"/>
          <w:lang w:bidi="ar"/>
        </w:rPr>
        <w:t>影响用户正常使用时，技术支持工程师应该在</w:t>
      </w:r>
      <w:r>
        <w:rPr>
          <w:color w:val="auto"/>
          <w:kern w:val="2"/>
          <w:sz w:val="21"/>
          <w:szCs w:val="21"/>
          <w:highlight w:val="none"/>
          <w:u w:val="single" w:color="000000"/>
          <w:lang w:bidi="ar"/>
        </w:rPr>
        <w:t xml:space="preserve">   </w:t>
      </w:r>
      <w:r>
        <w:rPr>
          <w:rFonts w:hint="eastAsia"/>
          <w:color w:val="auto"/>
          <w:kern w:val="2"/>
          <w:sz w:val="21"/>
          <w:szCs w:val="21"/>
          <w:highlight w:val="none"/>
          <w:lang w:bidi="ar"/>
        </w:rPr>
        <w:t>小时之内响应，并且给出相应的处理方法，</w:t>
      </w:r>
      <w:r>
        <w:rPr>
          <w:rFonts w:hint="eastAsia"/>
          <w:color w:val="auto"/>
          <w:highlight w:val="none"/>
        </w:rPr>
        <w:t>一般事件</w:t>
      </w:r>
      <w:r>
        <w:rPr>
          <w:rFonts w:hint="eastAsia"/>
          <w:color w:val="auto"/>
          <w:kern w:val="2"/>
          <w:sz w:val="21"/>
          <w:szCs w:val="21"/>
          <w:highlight w:val="none"/>
          <w:lang w:bidi="ar"/>
        </w:rPr>
        <w:t>情况下解决问题的时间不应超过</w:t>
      </w:r>
      <w:r>
        <w:rPr>
          <w:color w:val="auto"/>
          <w:kern w:val="2"/>
          <w:sz w:val="21"/>
          <w:szCs w:val="21"/>
          <w:highlight w:val="none"/>
          <w:u w:val="single" w:color="000000"/>
          <w:lang w:bidi="ar"/>
        </w:rPr>
        <w:t xml:space="preserve">   </w:t>
      </w:r>
      <w:r>
        <w:rPr>
          <w:rFonts w:hint="eastAsia"/>
          <w:color w:val="auto"/>
          <w:kern w:val="2"/>
          <w:sz w:val="21"/>
          <w:szCs w:val="21"/>
          <w:highlight w:val="none"/>
          <w:lang w:bidi="ar"/>
        </w:rPr>
        <w:t>小时。</w:t>
      </w:r>
    </w:p>
    <w:p w14:paraId="2F9A8A67">
      <w:pPr>
        <w:snapToGrid w:val="0"/>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、乙方保证所提供的软产品是完整的，并在参数、性能、质量等方面满足安全、可靠和高效运行与方便维护的全部要求。</w:t>
      </w:r>
    </w:p>
    <w:p w14:paraId="1A1E66AF">
      <w:pPr>
        <w:snapToGrid w:val="0"/>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、服务期内乙方应派遣有工作经验的技术人员到甲方现场提供实施、安装、调试、维护及培训等服务，该服务费用包括在合同价格内。</w:t>
      </w:r>
    </w:p>
    <w:p w14:paraId="32A2F91D">
      <w:pPr>
        <w:snapToGrid w:val="0"/>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、在服务期内，乙方应负责免费向甲方提供与软件有关新的或改进的运行经验、技术开发和安全方面的所有资料及信息。</w:t>
      </w:r>
    </w:p>
    <w:p w14:paraId="4A751C57">
      <w:pPr>
        <w:adjustRightInd w:val="0"/>
        <w:snapToGrid w:val="0"/>
        <w:spacing w:line="360" w:lineRule="auto"/>
        <w:ind w:firstLine="422" w:firstLineChars="200"/>
        <w:outlineLvl w:val="9"/>
        <w:rPr>
          <w:rFonts w:ascii="Cambria" w:hAnsi="Cambria"/>
          <w:bCs/>
          <w:color w:val="auto"/>
          <w:kern w:val="28"/>
          <w:sz w:val="20"/>
          <w:szCs w:val="21"/>
          <w:highlight w:val="none"/>
          <w:lang w:val="zh-CN"/>
        </w:rPr>
      </w:pPr>
      <w:bookmarkStart w:id="107" w:name="_Toc92283835"/>
      <w:r>
        <w:rPr>
          <w:rFonts w:hint="eastAsia" w:ascii="宋体" w:hAnsi="宋体"/>
          <w:b/>
          <w:bCs/>
          <w:color w:val="auto"/>
          <w:szCs w:val="21"/>
          <w:highlight w:val="none"/>
        </w:rPr>
        <w:t>五、</w:t>
      </w:r>
      <w:bookmarkEnd w:id="107"/>
      <w:r>
        <w:rPr>
          <w:rFonts w:hint="eastAsia" w:ascii="Cambria" w:hAnsi="Cambria"/>
          <w:b/>
          <w:bCs/>
          <w:color w:val="auto"/>
          <w:kern w:val="28"/>
          <w:szCs w:val="21"/>
          <w:highlight w:val="none"/>
          <w:lang w:val="zh-CN"/>
        </w:rPr>
        <w:t>验收及</w:t>
      </w:r>
      <w:r>
        <w:rPr>
          <w:rFonts w:hint="eastAsia" w:ascii="Cambria" w:hAnsi="Cambria"/>
          <w:b/>
          <w:bCs/>
          <w:color w:val="auto"/>
          <w:kern w:val="28"/>
          <w:szCs w:val="21"/>
          <w:highlight w:val="none"/>
          <w:lang w:val="en-US" w:eastAsia="zh-CN"/>
        </w:rPr>
        <w:t>交付</w:t>
      </w:r>
      <w:r>
        <w:rPr>
          <w:rFonts w:hint="eastAsia" w:ascii="Cambria" w:hAnsi="Cambria"/>
          <w:b/>
          <w:bCs/>
          <w:color w:val="auto"/>
          <w:kern w:val="28"/>
          <w:szCs w:val="21"/>
          <w:highlight w:val="none"/>
          <w:lang w:val="zh-CN"/>
        </w:rPr>
        <w:t>要求</w:t>
      </w:r>
    </w:p>
    <w:p w14:paraId="4C061F9D">
      <w:pPr>
        <w:pStyle w:val="5"/>
        <w:pageBreakBefore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1、验收要求</w:t>
      </w:r>
    </w:p>
    <w:p w14:paraId="46925E93">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了合同要求的全部建设内容和文档资料，满足合同及招标文件、乙方投标响应文件要求；试运行时性能满足合同要求；试运行验收时出现的问题已被解决；项目通过第三方机构的相关系统测评并完成整改工作；系统符合IRS针对数据、组件等审查要求。</w:t>
      </w:r>
    </w:p>
    <w:p w14:paraId="35C71BAF">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乙方应配合本项目第三方评测机构进行相关系统测评，并对测试结果中出现的问题或缺陷进行整改，直到满足要求为止。</w:t>
      </w:r>
    </w:p>
    <w:p w14:paraId="6F531C85">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在整个项目建设过程中，乙方如果使用第三方产品，必须作出采购单位关于知识产权免责申明的承诺。</w:t>
      </w:r>
    </w:p>
    <w:p w14:paraId="51BA9460">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项目的验收包括初步验收、试运行和</w:t>
      </w:r>
      <w:r>
        <w:rPr>
          <w:rFonts w:hint="eastAsia" w:ascii="宋体" w:hAnsi="宋体" w:eastAsia="宋体" w:cs="宋体"/>
          <w:color w:val="auto"/>
          <w:sz w:val="21"/>
          <w:szCs w:val="21"/>
          <w:highlight w:val="none"/>
        </w:rPr>
        <w:t>终验</w:t>
      </w:r>
      <w:r>
        <w:rPr>
          <w:rFonts w:hint="eastAsia" w:ascii="宋体" w:hAnsi="宋体" w:eastAsia="宋体" w:cs="宋体"/>
          <w:color w:val="auto"/>
          <w:sz w:val="21"/>
          <w:szCs w:val="21"/>
          <w:highlight w:val="none"/>
          <w:lang w:val="zh-CN"/>
        </w:rPr>
        <w:t>。</w:t>
      </w:r>
    </w:p>
    <w:p w14:paraId="327F3D97">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1）设备到货</w:t>
      </w:r>
    </w:p>
    <w:p w14:paraId="2781493E">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同时设备到货后，采购人与乙方共同对所有设备进行开箱检查，出现损坏、数量不全或产品不对等问题时，由中标人负责解决。</w:t>
      </w:r>
    </w:p>
    <w:p w14:paraId="46952488">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）项目初验</w:t>
      </w:r>
    </w:p>
    <w:p w14:paraId="39D248C4">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甲方成立项目验收委员会，由项目验收委员会组织项目初验，根据项目验收标准进行验收。项目初</w:t>
      </w:r>
    </w:p>
    <w:p w14:paraId="376B853D">
      <w:pPr>
        <w:pStyle w:val="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验前，</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zh-CN"/>
        </w:rPr>
        <w:t>应首先对系统进行自测，并将系统自测报告提交项目验收委员会和监理方审查。</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zh-CN"/>
        </w:rPr>
        <w:t>依本合同约定向甲方提交成果及相关文档，并向甲方提出初验申请。甲方接到</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zh-CN"/>
        </w:rPr>
        <w:t>初验申请后，由项目验收委员会进行初验，初验合格后联合签署初验报告。</w:t>
      </w:r>
    </w:p>
    <w:p w14:paraId="0B1FB532">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）试运行</w:t>
      </w:r>
    </w:p>
    <w:p w14:paraId="2F6A8435">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初验合格之日起，系统进入试运行，试运行时间为</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个月。</w:t>
      </w:r>
    </w:p>
    <w:p w14:paraId="3FC260C7">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终验</w:t>
      </w:r>
    </w:p>
    <w:p w14:paraId="758AB13D">
      <w:pPr>
        <w:pStyle w:val="5"/>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宋体" w:hAnsi="宋体" w:eastAsia="宋体" w:cs="宋体"/>
          <w:color w:val="auto"/>
          <w:sz w:val="21"/>
          <w:szCs w:val="21"/>
          <w:highlight w:val="none"/>
          <w:lang w:val="zh-CN"/>
        </w:rPr>
        <w:t>系统通过试运行后，</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zh-CN"/>
        </w:rPr>
        <w:t>向甲方提出</w:t>
      </w:r>
      <w:r>
        <w:rPr>
          <w:rFonts w:hint="eastAsia" w:ascii="宋体" w:hAnsi="宋体" w:eastAsia="宋体" w:cs="宋体"/>
          <w:color w:val="auto"/>
          <w:sz w:val="21"/>
          <w:szCs w:val="21"/>
          <w:highlight w:val="none"/>
        </w:rPr>
        <w:t>终验</w:t>
      </w:r>
      <w:r>
        <w:rPr>
          <w:rFonts w:hint="eastAsia" w:ascii="宋体" w:hAnsi="宋体" w:eastAsia="宋体" w:cs="宋体"/>
          <w:color w:val="auto"/>
          <w:sz w:val="21"/>
          <w:szCs w:val="21"/>
          <w:highlight w:val="none"/>
          <w:lang w:val="zh-CN"/>
        </w:rPr>
        <w:t>申请，甲方</w:t>
      </w:r>
      <w:r>
        <w:rPr>
          <w:rFonts w:hint="eastAsia" w:ascii="宋体" w:hAnsi="宋体" w:eastAsia="宋体" w:cs="宋体"/>
          <w:color w:val="auto"/>
          <w:sz w:val="21"/>
          <w:szCs w:val="21"/>
          <w:highlight w:val="none"/>
        </w:rPr>
        <w:t>提请区相关部门</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对本项目终验</w:t>
      </w:r>
      <w:r>
        <w:rPr>
          <w:rFonts w:hint="eastAsia" w:ascii="宋体" w:hAnsi="宋体" w:eastAsia="宋体" w:cs="宋体"/>
          <w:color w:val="auto"/>
          <w:sz w:val="21"/>
          <w:szCs w:val="21"/>
          <w:highlight w:val="none"/>
          <w:lang w:val="zh-CN"/>
        </w:rPr>
        <w:t>。</w:t>
      </w:r>
    </w:p>
    <w:p w14:paraId="6C152016">
      <w:pPr>
        <w:pStyle w:val="3"/>
        <w:pageBreakBefore w:val="0"/>
        <w:numPr>
          <w:ilvl w:val="1"/>
          <w:numId w:val="0"/>
        </w:numPr>
        <w:kinsoku/>
        <w:wordWrap/>
        <w:overflowPunct/>
        <w:topLinePunct w:val="0"/>
        <w:autoSpaceDE/>
        <w:autoSpaceDN/>
        <w:bidi w:val="0"/>
        <w:adjustRightInd/>
        <w:snapToGrid/>
        <w:spacing w:before="0" w:after="0" w:line="360" w:lineRule="auto"/>
        <w:ind w:firstLine="442" w:firstLineChars="200"/>
        <w:jc w:val="both"/>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2、交付要求</w:t>
      </w:r>
    </w:p>
    <w:p w14:paraId="21A08FCF">
      <w:pPr>
        <w:spacing w:line="360" w:lineRule="auto"/>
        <w:ind w:firstLine="420" w:firstLineChars="200"/>
        <w:jc w:val="left"/>
        <w:textAlignment w:val="baseline"/>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zh-CN"/>
        </w:rPr>
        <w:t>应按照招标文件所约定的内容和时间进行交付；按照计算机软件工程规范国家标准分阶段交付应用系统的文档，所交付的文档与文件应该是电子版式及纸质形式。交付的文档包括但不限于：需求规格说明书、概要设计说明书、详细设计说明书、数据库设计说明书、项目测试方案、项目测试报告、用户操作手册、管理与维护手册、安装手册、总结报告及采购人认为需要的其他材料。</w:t>
      </w:r>
    </w:p>
    <w:p w14:paraId="5DE65FAE">
      <w:pPr>
        <w:pStyle w:val="38"/>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Times New Roman"/>
          <w:b/>
          <w:bCs/>
          <w:color w:val="auto"/>
          <w:kern w:val="2"/>
          <w:sz w:val="21"/>
          <w:szCs w:val="21"/>
          <w:highlight w:val="none"/>
          <w:lang w:val="en-US" w:eastAsia="zh-CN" w:bidi="ar-SA"/>
        </w:rPr>
      </w:pPr>
      <w:bookmarkStart w:id="108" w:name="_Toc92283836"/>
      <w:r>
        <w:rPr>
          <w:rFonts w:hint="eastAsia" w:ascii="宋体" w:hAnsi="宋体" w:eastAsia="宋体" w:cs="Times New Roman"/>
          <w:b/>
          <w:bCs/>
          <w:color w:val="auto"/>
          <w:kern w:val="2"/>
          <w:sz w:val="21"/>
          <w:szCs w:val="21"/>
          <w:highlight w:val="none"/>
          <w:lang w:val="en-US" w:eastAsia="zh-CN" w:bidi="ar-SA"/>
        </w:rPr>
        <w:t>六、</w:t>
      </w:r>
      <w:r>
        <w:rPr>
          <w:rFonts w:hint="eastAsia" w:ascii="宋体" w:hAnsi="宋体" w:eastAsia="宋体"/>
          <w:b/>
          <w:color w:val="auto"/>
          <w:szCs w:val="21"/>
          <w:highlight w:val="none"/>
        </w:rPr>
        <w:t>质量保证</w:t>
      </w:r>
    </w:p>
    <w:p w14:paraId="09DA8351">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1、乙方保证所提供的设备是全新的、未使用过的。</w:t>
      </w:r>
    </w:p>
    <w:p w14:paraId="62909DDC">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2、乙方保证采用先进的技术、优质的材料和零部件、一流的工艺、严格的质量管理为甲方提供技术先进、质量上乘、外表美观并完全符合合同规定的质量、规格、性能要求的产品。</w:t>
      </w:r>
    </w:p>
    <w:p w14:paraId="02C0E5A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3、乙方保证对所供设备的设计、采购、制造、检验、涂装、包装、安装、调试等各个环节进行严格的质量管理和质量控制。</w:t>
      </w:r>
    </w:p>
    <w:p w14:paraId="034F10E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4、乙方保证所提供的设备在正确安装、正常使用和维护保养的情况下，具有使甲方满意的使用性能和使用寿命。</w:t>
      </w:r>
    </w:p>
    <w:p w14:paraId="2183D978">
      <w:pPr>
        <w:pStyle w:val="3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5、如发生所提供的货物与投标文件和合同不符，甲方有权拒收或退货,由此产生的一切责任和后果由</w:t>
      </w:r>
      <w:r>
        <w:rPr>
          <w:rFonts w:hint="eastAsia" w:ascii="宋体" w:hAnsi="宋体" w:eastAsia="宋体"/>
          <w:color w:val="auto"/>
          <w:szCs w:val="21"/>
          <w:highlight w:val="none"/>
        </w:rPr>
        <w:t>乙</w:t>
      </w:r>
      <w:r>
        <w:rPr>
          <w:rFonts w:hint="eastAsia" w:ascii="宋体" w:hAnsi="宋体" w:eastAsia="宋体" w:cs="Times New Roman"/>
          <w:color w:val="auto"/>
          <w:kern w:val="2"/>
          <w:sz w:val="21"/>
          <w:szCs w:val="21"/>
          <w:highlight w:val="none"/>
          <w:lang w:val="en-US" w:eastAsia="zh-CN" w:bidi="ar-SA"/>
        </w:rPr>
        <w:t>承担。</w:t>
      </w:r>
    </w:p>
    <w:p w14:paraId="5CAEEB11">
      <w:pPr>
        <w:pStyle w:val="3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zh-CN" w:eastAsia="zh-CN" w:bidi="ar-SA"/>
        </w:rPr>
        <w:t>本次招标的产品</w:t>
      </w:r>
      <w:r>
        <w:rPr>
          <w:rFonts w:hint="eastAsia" w:ascii="宋体" w:hAnsi="宋体" w:eastAsia="宋体" w:cs="宋体"/>
          <w:b/>
          <w:bCs/>
          <w:color w:val="auto"/>
          <w:kern w:val="2"/>
          <w:sz w:val="21"/>
          <w:szCs w:val="21"/>
          <w:highlight w:val="none"/>
          <w:lang w:val="en-US" w:eastAsia="zh-CN" w:bidi="ar-SA"/>
        </w:rPr>
        <w:t>质保期为</w:t>
      </w:r>
      <w:r>
        <w:rPr>
          <w:rFonts w:hint="eastAsia" w:ascii="宋体" w:hAnsi="宋体" w:eastAsia="宋体" w:cs="宋体"/>
          <w:b/>
          <w:bCs/>
          <w:color w:val="auto"/>
          <w:sz w:val="21"/>
          <w:szCs w:val="21"/>
          <w:highlight w:val="none"/>
          <w:lang w:val="zh-CN"/>
        </w:rPr>
        <w:t>3年，</w:t>
      </w:r>
      <w:r>
        <w:rPr>
          <w:rFonts w:hint="eastAsia" w:ascii="Times New Roman" w:hAnsi="宋体" w:eastAsia="宋体" w:cs="宋体"/>
          <w:color w:val="auto"/>
          <w:sz w:val="21"/>
          <w:szCs w:val="21"/>
          <w:highlight w:val="none"/>
        </w:rPr>
        <w:t>自交货验收合格之日起计</w:t>
      </w:r>
      <w:r>
        <w:rPr>
          <w:rFonts w:hint="eastAsia" w:ascii="Times New Roman" w:hAnsi="宋体" w:eastAsia="宋体" w:cs="宋体"/>
          <w:color w:val="auto"/>
          <w:sz w:val="21"/>
          <w:szCs w:val="21"/>
          <w:highlight w:val="none"/>
          <w:lang w:val="zh-CN"/>
        </w:rPr>
        <w:t>（</w:t>
      </w:r>
      <w:r>
        <w:rPr>
          <w:rFonts w:hint="eastAsia" w:ascii="Times New Roman" w:hAnsi="宋体" w:eastAsia="宋体" w:cs="宋体"/>
          <w:color w:val="auto"/>
          <w:sz w:val="21"/>
          <w:szCs w:val="21"/>
          <w:highlight w:val="none"/>
          <w:lang w:val="en-US" w:eastAsia="zh-CN"/>
        </w:rPr>
        <w:t>其中国际出口下一代防火墙(万兆)、国际出口上网行为管理系统、国际出口负载均衡、国内出口下一代防火墙（万兆）、APT威胁检测系统的质保期为5年，合同签订前提供原厂质保函</w:t>
      </w:r>
      <w:r>
        <w:rPr>
          <w:rFonts w:hint="eastAsia" w:ascii="Times New Roman" w:hAnsi="宋体" w:eastAsia="宋体" w:cs="宋体"/>
          <w:color w:val="auto"/>
          <w:sz w:val="21"/>
          <w:szCs w:val="21"/>
          <w:highlight w:val="none"/>
          <w:lang w:val="zh-CN"/>
        </w:rPr>
        <w:t>）</w:t>
      </w:r>
      <w:r>
        <w:rPr>
          <w:rFonts w:hint="eastAsia" w:ascii="宋体" w:hAnsi="宋体" w:eastAsia="宋体" w:cs="宋体"/>
          <w:color w:val="auto"/>
          <w:kern w:val="2"/>
          <w:sz w:val="21"/>
          <w:szCs w:val="21"/>
          <w:highlight w:val="none"/>
          <w:lang w:val="zh-CN" w:eastAsia="zh-CN" w:bidi="ar-SA"/>
        </w:rPr>
        <w:t>，其</w:t>
      </w:r>
      <w:r>
        <w:rPr>
          <w:rFonts w:hint="eastAsia" w:ascii="宋体" w:hAnsi="宋体" w:eastAsia="宋体" w:cs="宋体"/>
          <w:color w:val="auto"/>
          <w:kern w:val="2"/>
          <w:sz w:val="21"/>
          <w:szCs w:val="21"/>
          <w:highlight w:val="none"/>
          <w:lang w:val="en-US" w:eastAsia="zh-CN" w:bidi="ar-SA"/>
        </w:rPr>
        <w:t>价格</w:t>
      </w:r>
      <w:r>
        <w:rPr>
          <w:rFonts w:hint="eastAsia" w:ascii="宋体" w:hAnsi="宋体" w:eastAsia="宋体" w:cs="宋体"/>
          <w:color w:val="auto"/>
          <w:kern w:val="2"/>
          <w:sz w:val="21"/>
          <w:szCs w:val="21"/>
          <w:highlight w:val="none"/>
          <w:lang w:val="zh-CN" w:eastAsia="zh-CN" w:bidi="ar-SA"/>
        </w:rPr>
        <w:t>应已含在产品报价内。</w:t>
      </w:r>
      <w:r>
        <w:rPr>
          <w:rFonts w:hint="eastAsia" w:ascii="宋体" w:hAnsi="宋体" w:eastAsia="宋体" w:cs="宋体"/>
          <w:color w:val="auto"/>
          <w:kern w:val="2"/>
          <w:sz w:val="21"/>
          <w:szCs w:val="21"/>
          <w:highlight w:val="none"/>
          <w:lang w:val="en-US" w:eastAsia="zh-CN" w:bidi="ar-SA"/>
        </w:rPr>
        <w:t>质保</w:t>
      </w:r>
      <w:r>
        <w:rPr>
          <w:rFonts w:hint="eastAsia" w:ascii="宋体" w:hAnsi="宋体" w:eastAsia="宋体" w:cs="宋体"/>
          <w:color w:val="auto"/>
          <w:kern w:val="2"/>
          <w:sz w:val="21"/>
          <w:szCs w:val="21"/>
          <w:highlight w:val="none"/>
          <w:lang w:val="zh-CN" w:eastAsia="zh-CN" w:bidi="ar-SA"/>
        </w:rPr>
        <w:t>范围包括所有主、配件及现场上门服务。在免费</w:t>
      </w:r>
      <w:r>
        <w:rPr>
          <w:rFonts w:hint="eastAsia" w:ascii="宋体" w:hAnsi="宋体" w:eastAsia="宋体" w:cs="宋体"/>
          <w:color w:val="auto"/>
          <w:kern w:val="2"/>
          <w:sz w:val="21"/>
          <w:szCs w:val="21"/>
          <w:highlight w:val="none"/>
          <w:lang w:val="en-US" w:eastAsia="zh-CN" w:bidi="ar-SA"/>
        </w:rPr>
        <w:t>质保期</w:t>
      </w:r>
      <w:r>
        <w:rPr>
          <w:rFonts w:hint="eastAsia" w:ascii="宋体" w:hAnsi="宋体" w:eastAsia="宋体" w:cs="宋体"/>
          <w:color w:val="auto"/>
          <w:kern w:val="2"/>
          <w:sz w:val="21"/>
          <w:szCs w:val="21"/>
          <w:highlight w:val="none"/>
          <w:lang w:val="zh-CN" w:eastAsia="zh-CN" w:bidi="ar-SA"/>
        </w:rPr>
        <w:t>内，如果产品发生故障，</w:t>
      </w:r>
      <w:r>
        <w:rPr>
          <w:rFonts w:hint="eastAsia"/>
          <w:color w:val="auto"/>
          <w:szCs w:val="21"/>
          <w:highlight w:val="none"/>
        </w:rPr>
        <w:t>乙方</w:t>
      </w:r>
      <w:r>
        <w:rPr>
          <w:rFonts w:hint="eastAsia" w:ascii="宋体" w:hAnsi="宋体" w:eastAsia="宋体" w:cs="宋体"/>
          <w:color w:val="auto"/>
          <w:kern w:val="2"/>
          <w:sz w:val="21"/>
          <w:szCs w:val="21"/>
          <w:highlight w:val="none"/>
          <w:lang w:val="zh-CN" w:eastAsia="zh-CN" w:bidi="ar-SA"/>
        </w:rPr>
        <w:t>要调查故障原因并修复直至满足最终验收指标和性能的要求，或者更换整个或部分有缺陷的材料或软件。以上都是免费的。免费提供质保期内备品备件，并根据招标人要求安装或移位；</w:t>
      </w:r>
      <w:r>
        <w:rPr>
          <w:rFonts w:hint="eastAsia"/>
          <w:color w:val="auto"/>
          <w:szCs w:val="21"/>
          <w:highlight w:val="none"/>
        </w:rPr>
        <w:t>乙方</w:t>
      </w:r>
      <w:r>
        <w:rPr>
          <w:rFonts w:hint="eastAsia" w:ascii="宋体" w:hAnsi="宋体" w:eastAsia="宋体" w:cs="宋体"/>
          <w:color w:val="auto"/>
          <w:kern w:val="2"/>
          <w:sz w:val="21"/>
          <w:szCs w:val="21"/>
          <w:highlight w:val="none"/>
          <w:lang w:val="zh-CN" w:eastAsia="zh-CN" w:bidi="ar-SA"/>
        </w:rPr>
        <w:t>对主要设备须提供足够的备品备件、附件和耗材并保证是原厂生产，以满足设备正常运行的需要。上述项目建设含所有集成、安装、调试等所有费用。</w:t>
      </w:r>
    </w:p>
    <w:p w14:paraId="43D4F58F">
      <w:pPr>
        <w:pStyle w:val="5"/>
        <w:keepNext w:val="0"/>
        <w:keepLines w:val="0"/>
        <w:pageBreakBefore w:val="0"/>
        <w:widowControl/>
        <w:kinsoku/>
        <w:wordWrap/>
        <w:overflowPunct/>
        <w:topLinePunct w:val="0"/>
        <w:autoSpaceDE/>
        <w:autoSpaceDN/>
        <w:bidi w:val="0"/>
        <w:adjustRightInd/>
        <w:snapToGrid w:val="0"/>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7、乙方</w:t>
      </w:r>
      <w:r>
        <w:rPr>
          <w:rFonts w:hint="eastAsia" w:ascii="宋体" w:hAnsi="宋体" w:eastAsia="宋体" w:cs="宋体"/>
          <w:color w:val="auto"/>
          <w:kern w:val="2"/>
          <w:sz w:val="21"/>
          <w:szCs w:val="21"/>
          <w:highlight w:val="none"/>
          <w:lang w:val="zh-CN" w:eastAsia="zh-CN" w:bidi="ar-SA"/>
        </w:rPr>
        <w:t>应保证对软件系统提供至少3年的免费质保期，在质保运维期内由于软件本身质量原因造成的任何损伤或损坏，中标人须免费负责修复、升级、更换。</w:t>
      </w:r>
    </w:p>
    <w:p w14:paraId="63F8C835">
      <w:pPr>
        <w:adjustRightInd w:val="0"/>
        <w:snapToGrid w:val="0"/>
        <w:spacing w:line="360" w:lineRule="auto"/>
        <w:ind w:firstLine="422" w:firstLineChars="200"/>
        <w:outlineLvl w:val="9"/>
        <w:rPr>
          <w:rFonts w:ascii="宋体" w:hAnsi="宋体"/>
          <w:b/>
          <w:bCs/>
          <w:color w:val="auto"/>
          <w:szCs w:val="21"/>
          <w:highlight w:val="none"/>
        </w:rPr>
      </w:pPr>
      <w:r>
        <w:rPr>
          <w:rFonts w:hint="eastAsia" w:ascii="宋体" w:hAnsi="宋体"/>
          <w:b/>
          <w:bCs/>
          <w:color w:val="auto"/>
          <w:szCs w:val="21"/>
          <w:highlight w:val="none"/>
          <w:lang w:val="en-US" w:eastAsia="zh-CN"/>
        </w:rPr>
        <w:t>七</w:t>
      </w:r>
      <w:r>
        <w:rPr>
          <w:rFonts w:hint="eastAsia" w:ascii="宋体" w:hAnsi="宋体"/>
          <w:b/>
          <w:bCs/>
          <w:color w:val="auto"/>
          <w:szCs w:val="21"/>
          <w:highlight w:val="none"/>
        </w:rPr>
        <w:t>、保密要求</w:t>
      </w:r>
      <w:bookmarkEnd w:id="108"/>
    </w:p>
    <w:p w14:paraId="147C8A63">
      <w:pPr>
        <w:tabs>
          <w:tab w:val="left" w:pos="1275"/>
        </w:tabs>
        <w:snapToGrid w:val="0"/>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1、甲乙双方应对本合同内容保密（包括但不限于项目内容、项目费用、服务费等商务、技术秘密），不得提供给予本合同无关的第三方。</w:t>
      </w:r>
    </w:p>
    <w:p w14:paraId="42CA8877">
      <w:pPr>
        <w:tabs>
          <w:tab w:val="left" w:pos="1275"/>
        </w:tabs>
        <w:snapToGrid w:val="0"/>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2、乙方未经甲方书面许可，不得向第三方泄露任何与甲方相关的文件、数据等信息。</w:t>
      </w:r>
    </w:p>
    <w:p w14:paraId="3C86E0F3">
      <w:pPr>
        <w:tabs>
          <w:tab w:val="left" w:pos="1275"/>
        </w:tabs>
        <w:snapToGrid w:val="0"/>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3、甲方对乙方提供的技术资料有保密义务，不得提供给予本合同无关的第三方。</w:t>
      </w:r>
    </w:p>
    <w:p w14:paraId="42DFD92E">
      <w:pPr>
        <w:snapToGrid w:val="0"/>
        <w:spacing w:line="360" w:lineRule="auto"/>
        <w:ind w:firstLine="422" w:firstLineChars="200"/>
        <w:outlineLvl w:val="9"/>
        <w:rPr>
          <w:rFonts w:ascii="宋体" w:hAnsi="宋体"/>
          <w:b/>
          <w:bCs/>
          <w:color w:val="auto"/>
          <w:szCs w:val="21"/>
          <w:highlight w:val="none"/>
        </w:rPr>
      </w:pPr>
      <w:bookmarkStart w:id="109" w:name="_Toc92283837"/>
      <w:r>
        <w:rPr>
          <w:rFonts w:hint="eastAsia" w:ascii="宋体" w:hAnsi="宋体"/>
          <w:b/>
          <w:bCs/>
          <w:color w:val="auto"/>
          <w:szCs w:val="21"/>
          <w:highlight w:val="none"/>
        </w:rPr>
        <w:t>八、不可抗力</w:t>
      </w:r>
      <w:bookmarkEnd w:id="109"/>
    </w:p>
    <w:p w14:paraId="2E42AACD">
      <w:pPr>
        <w:tabs>
          <w:tab w:val="left" w:pos="1275"/>
        </w:tabs>
        <w:snapToGrid w:val="0"/>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1、如合同双方中任何一方由于不可抗力，如：地震、水灾、台风、战争而无法按期履行合同。由双方协商确定后，合同执行的时间做相应延期。</w:t>
      </w:r>
    </w:p>
    <w:p w14:paraId="5D3B94B2">
      <w:pPr>
        <w:tabs>
          <w:tab w:val="left" w:pos="1275"/>
        </w:tabs>
        <w:snapToGrid w:val="0"/>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2、受影响方应尽快将所发生的不可抗力事故的情况以电话或传真通知另一方，并在不可抗力发生14天内尽快用传真和挂号信将有关权威机构出具的证明文件提交另一方确认。</w:t>
      </w:r>
    </w:p>
    <w:p w14:paraId="283F0E59">
      <w:pPr>
        <w:tabs>
          <w:tab w:val="left" w:pos="1275"/>
        </w:tabs>
        <w:snapToGrid w:val="0"/>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3、当不可抗力事故终止或事故消除后，受阻方应尽快用传真或电传通知对方关于不可抗力形势的解除并以挂号信加以确认，并继续履行合同。</w:t>
      </w:r>
    </w:p>
    <w:p w14:paraId="38D4A0A9">
      <w:pPr>
        <w:snapToGrid w:val="0"/>
        <w:spacing w:line="360" w:lineRule="auto"/>
        <w:ind w:firstLine="422" w:firstLineChars="200"/>
        <w:outlineLvl w:val="9"/>
        <w:rPr>
          <w:rFonts w:ascii="宋体" w:hAnsi="宋体"/>
          <w:b/>
          <w:bCs/>
          <w:color w:val="auto"/>
          <w:szCs w:val="21"/>
          <w:highlight w:val="none"/>
        </w:rPr>
      </w:pPr>
      <w:bookmarkStart w:id="110" w:name="_Toc92283838"/>
      <w:r>
        <w:rPr>
          <w:rFonts w:hint="eastAsia" w:ascii="宋体" w:hAnsi="宋体"/>
          <w:b/>
          <w:bCs/>
          <w:color w:val="auto"/>
          <w:szCs w:val="21"/>
          <w:highlight w:val="none"/>
        </w:rPr>
        <w:t>九、违约责任</w:t>
      </w:r>
      <w:bookmarkEnd w:id="110"/>
    </w:p>
    <w:p w14:paraId="56D5162D">
      <w:pPr>
        <w:spacing w:line="360" w:lineRule="auto"/>
        <w:ind w:firstLine="420" w:firstLineChars="200"/>
        <w:outlineLvl w:val="9"/>
        <w:rPr>
          <w:rFonts w:ascii="宋体" w:hAnsi="宋体" w:cs="宋体"/>
          <w:color w:val="auto"/>
          <w:szCs w:val="21"/>
          <w:highlight w:val="none"/>
        </w:rPr>
      </w:pPr>
      <w:bookmarkStart w:id="111" w:name="_Toc92283839"/>
      <w:r>
        <w:rPr>
          <w:rFonts w:hint="eastAsia" w:ascii="宋体" w:hAnsi="宋体" w:cs="宋体"/>
          <w:color w:val="auto"/>
          <w:szCs w:val="21"/>
          <w:highlight w:val="none"/>
        </w:rPr>
        <w:t>1、甲方无正当理由拒绝接受服务的，甲方向乙方偿付合同金额百分之五作为违约金。</w:t>
      </w:r>
    </w:p>
    <w:p w14:paraId="4F61F4D2">
      <w:pPr>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2、甲方无故逾期验收和办理款项支付手续的，甲方应按逾期付款总额每日万分之五向乙方支付违约金。</w:t>
      </w:r>
    </w:p>
    <w:p w14:paraId="2D421CDD">
      <w:pPr>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3、乙方逾期交付的，乙方应按合同金额的每日千分之一向甲方支付违约金，由甲方从待付项目款中扣除。逾期超过约定日期40个工作日不能交付的，甲方可解除本合同。</w:t>
      </w:r>
    </w:p>
    <w:p w14:paraId="1F1B9791">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cs="宋体"/>
          <w:color w:val="auto"/>
          <w:szCs w:val="21"/>
          <w:highlight w:val="none"/>
        </w:rPr>
        <w:t>4、乙方所交的服务不符合合同规定及采购文件规定标准的，甲方有权拒收该服务，乙方愿意调整</w:t>
      </w:r>
      <w:r>
        <w:rPr>
          <w:rFonts w:hint="eastAsia" w:ascii="宋体" w:hAnsi="宋体" w:eastAsia="宋体" w:cs="宋体"/>
          <w:color w:val="auto"/>
          <w:szCs w:val="21"/>
          <w:highlight w:val="none"/>
        </w:rPr>
        <w:t>但逾期交付的，按乙方逾期交付处理。乙方拒绝调整的，采购人可解除本合同。</w:t>
      </w:r>
    </w:p>
    <w:p w14:paraId="7C9234FB">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若乙方在运维服务期内违反本运维要求，应承担如下违约责任：</w:t>
      </w:r>
    </w:p>
    <w:p w14:paraId="6EC1169C">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未依巡检计划巡检，少一次巡检支付合同总价</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违约金，因未巡检致故障未及时处理的，承担设备维修、业务中断等全部损失。未及时完成巡检维护整改的，每次支付合同总价</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违约金。</w:t>
      </w:r>
    </w:p>
    <w:p w14:paraId="44A25BBF">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故障响应超规定时限，按紧急、严重、一般事件对应延迟时长支付不同比例违约金（如紧急事件每延迟</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小时付合同总价</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违约金；严重事件每延迟</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小时付合同总价</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违约金；一般事件每延迟</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小时付合同总价</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违约金），因延迟致重大损失承担全部赔偿责任。硬件或软件故障处理不力，承担相应维修费用与业务中断损失。</w:t>
      </w:r>
    </w:p>
    <w:p w14:paraId="052AC582">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重大赛事期间，运维人员安排不足、未与赛事方密切沟通并按需提供技术支持等情况，每次支付合同总价1%违约金，造成严重后果承担全部责任与赔偿。</w:t>
      </w:r>
    </w:p>
    <w:p w14:paraId="483A05D0">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未提供7*</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小时备品备件服务或储备不足致系统停机延长，每次支付合同总价1%违约金并承担相应损失赔偿。</w:t>
      </w:r>
    </w:p>
    <w:p w14:paraId="6506C97E">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若乙方累计违约达</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次或造成损失超合同总价</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0%，委托方有权解约，乙方需返还已付运维费用并承担全部损失赔偿责任。</w:t>
      </w:r>
    </w:p>
    <w:p w14:paraId="19CA6BFA">
      <w:pPr>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6、乙方因未能如期提供服务或因其他违约行为导致甲方解除合同的，乙方应向甲方支付合同总值5%的违约金，如造成甲方损失（包括直接经济损失及可预见的间接经济损失）超过违约金的，超出部分由乙方继续承担赔偿责任。</w:t>
      </w:r>
    </w:p>
    <w:p w14:paraId="2DC2B06B">
      <w:pPr>
        <w:snapToGrid w:val="0"/>
        <w:spacing w:line="360" w:lineRule="auto"/>
        <w:ind w:firstLine="422" w:firstLineChars="200"/>
        <w:outlineLvl w:val="9"/>
        <w:rPr>
          <w:rFonts w:ascii="宋体" w:hAnsi="宋体"/>
          <w:b/>
          <w:bCs/>
          <w:color w:val="auto"/>
          <w:szCs w:val="21"/>
          <w:highlight w:val="none"/>
        </w:rPr>
      </w:pPr>
      <w:r>
        <w:rPr>
          <w:rFonts w:hint="eastAsia" w:ascii="宋体" w:hAnsi="宋体"/>
          <w:b/>
          <w:bCs/>
          <w:color w:val="auto"/>
          <w:szCs w:val="21"/>
          <w:highlight w:val="none"/>
        </w:rPr>
        <w:t>十、争议解决</w:t>
      </w:r>
      <w:bookmarkEnd w:id="111"/>
    </w:p>
    <w:p w14:paraId="73A306B5">
      <w:pPr>
        <w:snapToGrid w:val="0"/>
        <w:spacing w:line="360" w:lineRule="auto"/>
        <w:ind w:firstLine="420" w:firstLineChars="200"/>
        <w:textAlignment w:val="baseline"/>
        <w:outlineLvl w:val="9"/>
        <w:rPr>
          <w:rFonts w:ascii="宋体" w:hAnsi="宋体"/>
          <w:color w:val="auto"/>
          <w:szCs w:val="21"/>
          <w:highlight w:val="none"/>
        </w:rPr>
      </w:pPr>
      <w:r>
        <w:rPr>
          <w:rFonts w:hint="eastAsia" w:ascii="宋体" w:hAnsi="宋体"/>
          <w:color w:val="auto"/>
          <w:szCs w:val="21"/>
          <w:highlight w:val="none"/>
        </w:rPr>
        <w:t>在本合同履行过程中发生争议，双方应当友好协商解决。如协商不成，申请舟山仲裁委员会仲裁解决。</w:t>
      </w:r>
    </w:p>
    <w:p w14:paraId="48E94D74">
      <w:pPr>
        <w:snapToGrid w:val="0"/>
        <w:spacing w:line="360" w:lineRule="auto"/>
        <w:ind w:firstLine="422" w:firstLineChars="200"/>
        <w:outlineLvl w:val="9"/>
        <w:rPr>
          <w:rFonts w:ascii="宋体" w:hAnsi="宋体"/>
          <w:b/>
          <w:bCs/>
          <w:color w:val="auto"/>
          <w:szCs w:val="21"/>
          <w:highlight w:val="none"/>
        </w:rPr>
      </w:pPr>
      <w:bookmarkStart w:id="112" w:name="_Toc92283840"/>
      <w:r>
        <w:rPr>
          <w:rFonts w:hint="eastAsia" w:ascii="宋体" w:hAnsi="宋体"/>
          <w:b/>
          <w:bCs/>
          <w:color w:val="auto"/>
          <w:szCs w:val="21"/>
          <w:highlight w:val="none"/>
        </w:rPr>
        <w:t>十</w:t>
      </w:r>
      <w:r>
        <w:rPr>
          <w:rFonts w:hint="eastAsia" w:ascii="宋体" w:hAnsi="宋体"/>
          <w:b/>
          <w:bCs/>
          <w:color w:val="auto"/>
          <w:szCs w:val="21"/>
          <w:highlight w:val="none"/>
          <w:lang w:val="en-US" w:eastAsia="zh-CN"/>
        </w:rPr>
        <w:t>一</w:t>
      </w:r>
      <w:r>
        <w:rPr>
          <w:rFonts w:hint="eastAsia" w:ascii="宋体" w:hAnsi="宋体"/>
          <w:b/>
          <w:bCs/>
          <w:color w:val="auto"/>
          <w:szCs w:val="21"/>
          <w:highlight w:val="none"/>
        </w:rPr>
        <w:t>、其它事项</w:t>
      </w:r>
      <w:bookmarkEnd w:id="112"/>
    </w:p>
    <w:p w14:paraId="1AEBA1D3">
      <w:pPr>
        <w:snapToGrid w:val="0"/>
        <w:spacing w:line="360" w:lineRule="auto"/>
        <w:ind w:firstLine="420" w:firstLineChars="200"/>
        <w:textAlignment w:val="baseline"/>
        <w:outlineLvl w:val="9"/>
        <w:rPr>
          <w:rFonts w:ascii="宋体" w:hAnsi="宋体"/>
          <w:color w:val="auto"/>
          <w:szCs w:val="21"/>
          <w:highlight w:val="none"/>
        </w:rPr>
      </w:pPr>
      <w:r>
        <w:rPr>
          <w:rFonts w:hint="eastAsia" w:ascii="宋体" w:hAnsi="宋体"/>
          <w:color w:val="auto"/>
          <w:szCs w:val="21"/>
          <w:highlight w:val="none"/>
        </w:rPr>
        <w:t>1、本合同一式四份</w:t>
      </w:r>
      <w:r>
        <w:rPr>
          <w:rFonts w:ascii="宋体" w:hAnsi="宋体"/>
          <w:color w:val="auto"/>
          <w:szCs w:val="21"/>
          <w:highlight w:val="none"/>
        </w:rPr>
        <w:t>，</w:t>
      </w:r>
      <w:r>
        <w:rPr>
          <w:rFonts w:hint="eastAsia" w:ascii="宋体" w:hAnsi="宋体"/>
          <w:color w:val="auto"/>
          <w:szCs w:val="21"/>
          <w:highlight w:val="none"/>
        </w:rPr>
        <w:t>均</w:t>
      </w:r>
      <w:r>
        <w:rPr>
          <w:rFonts w:ascii="宋体" w:hAnsi="宋体"/>
          <w:color w:val="auto"/>
          <w:szCs w:val="21"/>
          <w:highlight w:val="none"/>
        </w:rPr>
        <w:t>具有同等法律效力，甲、乙双方签字盖章后各执</w:t>
      </w:r>
      <w:r>
        <w:rPr>
          <w:rFonts w:hint="eastAsia" w:ascii="宋体" w:hAnsi="宋体"/>
          <w:color w:val="auto"/>
          <w:szCs w:val="21"/>
          <w:highlight w:val="none"/>
        </w:rPr>
        <w:t>贰</w:t>
      </w:r>
      <w:r>
        <w:rPr>
          <w:rFonts w:ascii="宋体" w:hAnsi="宋体"/>
          <w:color w:val="auto"/>
          <w:szCs w:val="21"/>
          <w:highlight w:val="none"/>
        </w:rPr>
        <w:t>份。</w:t>
      </w:r>
      <w:r>
        <w:rPr>
          <w:rFonts w:hint="eastAsia" w:ascii="宋体" w:hAnsi="宋体"/>
          <w:color w:val="auto"/>
          <w:szCs w:val="21"/>
          <w:highlight w:val="none"/>
        </w:rPr>
        <w:t>自甲方、乙方</w:t>
      </w:r>
      <w:r>
        <w:rPr>
          <w:rFonts w:ascii="宋体" w:hAnsi="宋体"/>
          <w:color w:val="auto"/>
          <w:szCs w:val="21"/>
          <w:highlight w:val="none"/>
        </w:rPr>
        <w:t>法人</w:t>
      </w:r>
      <w:r>
        <w:rPr>
          <w:rFonts w:hint="eastAsia" w:ascii="宋体" w:hAnsi="宋体"/>
          <w:color w:val="auto"/>
          <w:szCs w:val="21"/>
          <w:highlight w:val="none"/>
        </w:rPr>
        <w:t>代表</w:t>
      </w:r>
      <w:r>
        <w:rPr>
          <w:rFonts w:ascii="宋体" w:hAnsi="宋体"/>
          <w:color w:val="auto"/>
          <w:szCs w:val="21"/>
          <w:highlight w:val="none"/>
        </w:rPr>
        <w:t>或授权委托人</w:t>
      </w:r>
      <w:r>
        <w:rPr>
          <w:rFonts w:hint="eastAsia" w:ascii="宋体" w:hAnsi="宋体"/>
          <w:color w:val="auto"/>
          <w:szCs w:val="21"/>
          <w:highlight w:val="none"/>
        </w:rPr>
        <w:t>签字并加盖有效印章之日起生效。</w:t>
      </w:r>
    </w:p>
    <w:p w14:paraId="01F1CD92">
      <w:pPr>
        <w:spacing w:line="420" w:lineRule="exact"/>
        <w:ind w:firstLine="420" w:firstLineChars="200"/>
        <w:outlineLvl w:val="9"/>
        <w:rPr>
          <w:rFonts w:hint="eastAsia" w:ascii="宋体" w:hAnsi="宋体" w:eastAsia="宋体" w:cs="宋体"/>
          <w:color w:val="auto"/>
          <w:sz w:val="24"/>
          <w:szCs w:val="24"/>
          <w:highlight w:val="none"/>
        </w:rPr>
      </w:pPr>
      <w:r>
        <w:rPr>
          <w:rFonts w:hint="eastAsia" w:ascii="宋体" w:hAnsi="宋体"/>
          <w:color w:val="auto"/>
          <w:szCs w:val="21"/>
          <w:highlight w:val="none"/>
        </w:rPr>
        <w:t>2、</w:t>
      </w:r>
      <w:r>
        <w:rPr>
          <w:rFonts w:ascii="宋体" w:hAnsi="宋体"/>
          <w:color w:val="auto"/>
          <w:szCs w:val="21"/>
          <w:highlight w:val="none"/>
        </w:rPr>
        <w:t>本合同</w:t>
      </w:r>
      <w:r>
        <w:rPr>
          <w:rFonts w:hint="eastAsia" w:ascii="宋体" w:hAnsi="宋体"/>
          <w:color w:val="auto"/>
          <w:szCs w:val="21"/>
          <w:highlight w:val="none"/>
        </w:rPr>
        <w:t>未尽事宜</w:t>
      </w:r>
      <w:r>
        <w:rPr>
          <w:rFonts w:ascii="宋体" w:hAnsi="宋体"/>
          <w:color w:val="auto"/>
          <w:szCs w:val="21"/>
          <w:highlight w:val="none"/>
        </w:rPr>
        <w:t>，双方协商解决。</w:t>
      </w:r>
    </w:p>
    <w:p w14:paraId="6D186B10">
      <w:pPr>
        <w:pStyle w:val="14"/>
        <w:keepNext w:val="0"/>
        <w:keepLines w:val="0"/>
        <w:pageBreakBefore w:val="0"/>
        <w:kinsoku/>
        <w:wordWrap/>
        <w:overflowPunct/>
        <w:topLinePunct w:val="0"/>
        <w:autoSpaceDE/>
        <w:autoSpaceDN/>
        <w:bidi w:val="0"/>
        <w:adjustRightInd/>
        <w:snapToGrid/>
        <w:spacing w:line="240" w:lineRule="auto"/>
        <w:ind w:firstLine="0"/>
        <w:textAlignment w:val="auto"/>
        <w:outlineLvl w:val="9"/>
        <w:rPr>
          <w:rFonts w:hint="eastAsia" w:ascii="宋体" w:hAnsi="宋体" w:eastAsia="宋体" w:cs="宋体"/>
          <w:color w:val="auto"/>
          <w:sz w:val="21"/>
          <w:szCs w:val="21"/>
          <w:highlight w:val="none"/>
        </w:rPr>
      </w:pPr>
    </w:p>
    <w:p w14:paraId="4DDEFF09">
      <w:pPr>
        <w:pStyle w:val="14"/>
        <w:keepNext w:val="0"/>
        <w:keepLines w:val="0"/>
        <w:pageBreakBefore w:val="0"/>
        <w:kinsoku/>
        <w:wordWrap/>
        <w:overflowPunct/>
        <w:topLinePunct w:val="0"/>
        <w:autoSpaceDE/>
        <w:autoSpaceDN/>
        <w:bidi w:val="0"/>
        <w:adjustRightInd/>
        <w:snapToGrid/>
        <w:spacing w:line="240" w:lineRule="auto"/>
        <w:ind w:firstLine="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乙方： </w:t>
      </w:r>
    </w:p>
    <w:p w14:paraId="1979047B">
      <w:pPr>
        <w:pStyle w:val="14"/>
        <w:keepNext w:val="0"/>
        <w:keepLines w:val="0"/>
        <w:pageBreakBefore w:val="0"/>
        <w:kinsoku/>
        <w:wordWrap/>
        <w:overflowPunct/>
        <w:topLinePunct w:val="0"/>
        <w:autoSpaceDE/>
        <w:autoSpaceDN/>
        <w:bidi w:val="0"/>
        <w:adjustRightInd/>
        <w:snapToGrid/>
        <w:spacing w:line="240" w:lineRule="auto"/>
        <w:ind w:firstLine="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地址： </w:t>
      </w:r>
    </w:p>
    <w:p w14:paraId="7B0B635A">
      <w:pPr>
        <w:pStyle w:val="14"/>
        <w:keepNext w:val="0"/>
        <w:keepLines w:val="0"/>
        <w:pageBreakBefore w:val="0"/>
        <w:kinsoku/>
        <w:wordWrap/>
        <w:overflowPunct/>
        <w:topLinePunct w:val="0"/>
        <w:autoSpaceDE/>
        <w:autoSpaceDN/>
        <w:bidi w:val="0"/>
        <w:adjustRightInd/>
        <w:snapToGrid/>
        <w:spacing w:line="240" w:lineRule="auto"/>
        <w:ind w:firstLine="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w:t>
      </w:r>
      <w:r>
        <w:rPr>
          <w:rFonts w:hint="eastAsia" w:ascii="宋体" w:hAnsi="宋体" w:cs="宋体"/>
          <w:color w:val="auto"/>
          <w:sz w:val="21"/>
          <w:szCs w:val="21"/>
          <w:highlight w:val="none"/>
        </w:rPr>
        <w:t>或</w:t>
      </w:r>
      <w:r>
        <w:rPr>
          <w:rFonts w:hint="eastAsia" w:ascii="宋体" w:hAnsi="宋体" w:eastAsia="宋体" w:cs="宋体"/>
          <w:color w:val="auto"/>
          <w:sz w:val="21"/>
          <w:szCs w:val="21"/>
          <w:highlight w:val="none"/>
        </w:rPr>
        <w:t xml:space="preserve">授权）代表人：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w:t>
      </w:r>
      <w:r>
        <w:rPr>
          <w:rFonts w:hint="eastAsia" w:ascii="宋体" w:hAnsi="宋体" w:cs="宋体"/>
          <w:color w:val="auto"/>
          <w:sz w:val="21"/>
          <w:szCs w:val="21"/>
          <w:highlight w:val="none"/>
        </w:rPr>
        <w:t>或</w:t>
      </w:r>
      <w:r>
        <w:rPr>
          <w:rFonts w:hint="eastAsia" w:ascii="宋体" w:hAnsi="宋体" w:eastAsia="宋体" w:cs="宋体"/>
          <w:color w:val="auto"/>
          <w:sz w:val="21"/>
          <w:szCs w:val="21"/>
          <w:highlight w:val="none"/>
        </w:rPr>
        <w:t>授权）代表人：</w:t>
      </w:r>
    </w:p>
    <w:p w14:paraId="5956EA35">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 xml:space="preserve">日期：      年  月  日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日期：      年  月  日</w:t>
      </w:r>
    </w:p>
    <w:p w14:paraId="29D4F8C9">
      <w:pPr>
        <w:pStyle w:val="12"/>
        <w:rPr>
          <w:rFonts w:hint="eastAsia" w:ascii="宋体" w:hAnsi="宋体"/>
          <w:color w:val="auto"/>
          <w:sz w:val="24"/>
          <w:szCs w:val="24"/>
          <w:highlight w:val="none"/>
        </w:rPr>
      </w:pPr>
    </w:p>
    <w:p w14:paraId="65051D84">
      <w:pPr>
        <w:pStyle w:val="2"/>
        <w:rPr>
          <w:color w:val="auto"/>
          <w:highlight w:val="none"/>
        </w:rPr>
      </w:pPr>
      <w:bookmarkStart w:id="113" w:name="_Toc27525"/>
      <w:r>
        <w:rPr>
          <w:rFonts w:hint="eastAsia"/>
          <w:color w:val="auto"/>
          <w:highlight w:val="none"/>
        </w:rPr>
        <w:br w:type="page"/>
      </w:r>
      <w:bookmarkStart w:id="114" w:name="_Toc8739"/>
      <w:r>
        <w:rPr>
          <w:rFonts w:hint="eastAsia"/>
          <w:color w:val="auto"/>
          <w:highlight w:val="none"/>
        </w:rPr>
        <w:t>第六部分  投标文件格式</w:t>
      </w:r>
      <w:bookmarkEnd w:id="113"/>
      <w:bookmarkEnd w:id="114"/>
    </w:p>
    <w:p w14:paraId="29493C6A">
      <w:pPr>
        <w:snapToGrid w:val="0"/>
        <w:spacing w:before="120" w:beforeLines="50" w:after="50"/>
        <w:rPr>
          <w:rFonts w:hint="eastAsia" w:ascii="宋体" w:hAnsi="宋体" w:cs="宋体"/>
          <w:color w:val="auto"/>
          <w:szCs w:val="21"/>
          <w:highlight w:val="none"/>
        </w:rPr>
      </w:pPr>
    </w:p>
    <w:p w14:paraId="49ADCDE2">
      <w:pPr>
        <w:snapToGrid w:val="0"/>
        <w:spacing w:before="120" w:beforeLines="50" w:after="50"/>
        <w:rPr>
          <w:rFonts w:ascii="宋体" w:hAnsi="宋体" w:cs="宋体"/>
          <w:bCs/>
          <w:color w:val="auto"/>
          <w:szCs w:val="21"/>
          <w:highlight w:val="none"/>
        </w:rPr>
      </w:pPr>
    </w:p>
    <w:p w14:paraId="4E36CA60">
      <w:pPr>
        <w:snapToGrid w:val="0"/>
        <w:spacing w:before="120" w:beforeLines="50" w:after="50"/>
        <w:rPr>
          <w:rFonts w:ascii="宋体" w:hAnsi="宋体" w:cs="宋体"/>
          <w:color w:val="auto"/>
          <w:szCs w:val="21"/>
          <w:highlight w:val="none"/>
        </w:rPr>
      </w:pPr>
      <w:r>
        <w:rPr>
          <w:rFonts w:hint="eastAsia" w:ascii="宋体" w:hAnsi="宋体" w:cs="宋体"/>
          <w:color w:val="auto"/>
          <w:szCs w:val="21"/>
          <w:highlight w:val="none"/>
        </w:rPr>
        <w:t xml:space="preserve">封面格式： </w:t>
      </w:r>
    </w:p>
    <w:p w14:paraId="3171AC00">
      <w:pPr>
        <w:snapToGrid w:val="0"/>
        <w:spacing w:before="120" w:beforeLines="50" w:after="50"/>
        <w:rPr>
          <w:rFonts w:ascii="宋体" w:hAnsi="宋体" w:cs="宋体"/>
          <w:color w:val="auto"/>
          <w:szCs w:val="21"/>
          <w:highlight w:val="none"/>
        </w:rPr>
      </w:pPr>
      <w:r>
        <w:rPr>
          <w:rFonts w:hint="eastAsia" w:ascii="宋体" w:hAnsi="宋体" w:cs="宋体"/>
          <w:color w:val="auto"/>
          <w:szCs w:val="21"/>
          <w:highlight w:val="none"/>
        </w:rPr>
        <w:t xml:space="preserve">                                         </w:t>
      </w:r>
    </w:p>
    <w:p w14:paraId="1A4FCAC5">
      <w:pPr>
        <w:snapToGrid w:val="0"/>
        <w:spacing w:before="120" w:beforeLines="50" w:after="50"/>
        <w:jc w:val="center"/>
        <w:rPr>
          <w:rFonts w:ascii="宋体" w:hAnsi="宋体" w:cs="宋体"/>
          <w:bCs/>
          <w:color w:val="auto"/>
          <w:szCs w:val="21"/>
          <w:highlight w:val="none"/>
        </w:rPr>
      </w:pPr>
    </w:p>
    <w:p w14:paraId="37310F79">
      <w:pPr>
        <w:snapToGrid w:val="0"/>
        <w:spacing w:before="120"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投标文件</w:t>
      </w:r>
    </w:p>
    <w:p w14:paraId="4EB62663">
      <w:pPr>
        <w:snapToGrid w:val="0"/>
        <w:spacing w:before="120" w:beforeLines="50" w:after="50"/>
        <w:rPr>
          <w:rFonts w:ascii="宋体" w:hAnsi="宋体" w:cs="宋体"/>
          <w:bCs/>
          <w:color w:val="auto"/>
          <w:szCs w:val="21"/>
          <w:highlight w:val="none"/>
        </w:rPr>
      </w:pPr>
    </w:p>
    <w:p w14:paraId="6D6C2DA5">
      <w:pPr>
        <w:snapToGrid w:val="0"/>
        <w:spacing w:line="400" w:lineRule="exact"/>
        <w:ind w:firstLine="1039" w:firstLineChars="495"/>
        <w:rPr>
          <w:rFonts w:ascii="宋体" w:hAnsi="宋体" w:cs="宋体"/>
          <w:bCs/>
          <w:color w:val="auto"/>
          <w:szCs w:val="21"/>
          <w:highlight w:val="none"/>
        </w:rPr>
      </w:pPr>
      <w:r>
        <w:rPr>
          <w:rFonts w:hint="eastAsia" w:ascii="宋体" w:hAnsi="宋体" w:cs="宋体"/>
          <w:bCs/>
          <w:color w:val="auto"/>
          <w:szCs w:val="21"/>
          <w:highlight w:val="none"/>
        </w:rPr>
        <w:t>项目名称：</w:t>
      </w:r>
      <w:r>
        <w:rPr>
          <w:rFonts w:hint="eastAsia" w:ascii="宋体" w:hAnsi="宋体" w:cs="宋体"/>
          <w:color w:val="auto"/>
          <w:szCs w:val="21"/>
          <w:highlight w:val="none"/>
        </w:rPr>
        <w:t xml:space="preserve"> </w:t>
      </w:r>
    </w:p>
    <w:p w14:paraId="7C81C92E">
      <w:pPr>
        <w:snapToGrid w:val="0"/>
        <w:spacing w:line="400" w:lineRule="exact"/>
        <w:ind w:firstLine="420" w:firstLineChars="200"/>
        <w:rPr>
          <w:color w:val="auto"/>
          <w:highlight w:val="none"/>
        </w:rPr>
      </w:pPr>
      <w:r>
        <w:rPr>
          <w:rFonts w:hint="eastAsia" w:ascii="宋体" w:hAnsi="宋体" w:cs="宋体"/>
          <w:bCs/>
          <w:color w:val="auto"/>
          <w:szCs w:val="21"/>
          <w:highlight w:val="none"/>
        </w:rPr>
        <w:t xml:space="preserve">      项目编号：</w:t>
      </w:r>
    </w:p>
    <w:p w14:paraId="6E1D218E">
      <w:pP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rPr>
        <w:t>投标文件名称：资格证明文件/报价文件/商务技术文件</w:t>
      </w:r>
      <w:r>
        <w:rPr>
          <w:rFonts w:ascii="宋体" w:hAnsi="宋体" w:cs="宋体"/>
          <w:bCs/>
          <w:color w:val="auto"/>
          <w:kern w:val="0"/>
          <w:szCs w:val="21"/>
          <w:highlight w:val="none"/>
        </w:rPr>
        <w:t xml:space="preserve"> </w:t>
      </w:r>
    </w:p>
    <w:p w14:paraId="53242559">
      <w:pP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rPr>
        <w:t>投标人名称（盖章）：</w:t>
      </w:r>
    </w:p>
    <w:p w14:paraId="1569B61A">
      <w:pP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rPr>
        <w:t>投标人地址：</w:t>
      </w:r>
    </w:p>
    <w:p w14:paraId="08E9AC3D">
      <w:pPr>
        <w:snapToGrid w:val="0"/>
        <w:spacing w:line="400" w:lineRule="exact"/>
        <w:ind w:firstLine="1050" w:firstLineChars="500"/>
        <w:rPr>
          <w:rFonts w:ascii="宋体" w:hAnsi="宋体" w:cs="宋体"/>
          <w:bCs/>
          <w:color w:val="auto"/>
          <w:kern w:val="0"/>
          <w:szCs w:val="21"/>
          <w:highlight w:val="none"/>
        </w:rPr>
      </w:pPr>
      <w:r>
        <w:rPr>
          <w:rFonts w:hint="eastAsia" w:ascii="宋体" w:hAnsi="宋体" w:cs="宋体"/>
          <w:bCs/>
          <w:color w:val="auto"/>
          <w:kern w:val="0"/>
          <w:szCs w:val="21"/>
          <w:highlight w:val="none"/>
        </w:rPr>
        <w:t>法定代表人或授权代表人（签字或盖章）</w:t>
      </w:r>
    </w:p>
    <w:p w14:paraId="510A72C9">
      <w:pPr>
        <w:pStyle w:val="10"/>
        <w:snapToGrid w:val="0"/>
        <w:spacing w:line="400" w:lineRule="exact"/>
        <w:ind w:firstLine="978" w:firstLineChars="466"/>
        <w:rPr>
          <w:rFonts w:hAnsi="宋体" w:cs="宋体"/>
          <w:bCs/>
          <w:color w:val="auto"/>
          <w:szCs w:val="21"/>
          <w:highlight w:val="none"/>
        </w:rPr>
      </w:pPr>
      <w:r>
        <w:rPr>
          <w:rFonts w:hint="eastAsia" w:hAnsi="宋体" w:cs="宋体"/>
          <w:bCs/>
          <w:color w:val="auto"/>
          <w:szCs w:val="21"/>
          <w:highlight w:val="none"/>
        </w:rPr>
        <w:t xml:space="preserve">                  </w:t>
      </w:r>
    </w:p>
    <w:p w14:paraId="3324B499">
      <w:pPr>
        <w:snapToGrid w:val="0"/>
        <w:spacing w:line="400" w:lineRule="exact"/>
        <w:ind w:firstLine="645"/>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4A06D62D">
      <w:pPr>
        <w:spacing w:after="240" w:afterLines="100" w:line="360" w:lineRule="auto"/>
        <w:jc w:val="left"/>
        <w:rPr>
          <w:rFonts w:ascii="宋体" w:hAnsi="宋体" w:cs="宋体"/>
          <w:color w:val="auto"/>
          <w:szCs w:val="21"/>
          <w:highlight w:val="none"/>
        </w:rPr>
      </w:pPr>
      <w:r>
        <w:rPr>
          <w:rFonts w:hint="eastAsia" w:ascii="宋体" w:hAnsi="宋体" w:cs="宋体"/>
          <w:b/>
          <w:color w:val="auto"/>
          <w:szCs w:val="21"/>
          <w:highlight w:val="none"/>
        </w:rPr>
        <w:br w:type="page"/>
      </w:r>
    </w:p>
    <w:p w14:paraId="609354A8">
      <w:pPr>
        <w:adjustRightInd w:val="0"/>
        <w:snapToGrid w:val="0"/>
        <w:jc w:val="center"/>
        <w:rPr>
          <w:rFonts w:ascii="宋体" w:hAnsi="宋体" w:cs="宋体"/>
          <w:b/>
          <w:color w:val="auto"/>
          <w:szCs w:val="21"/>
          <w:highlight w:val="none"/>
        </w:rPr>
      </w:pPr>
      <w:r>
        <w:rPr>
          <w:rFonts w:hint="eastAsia" w:ascii="宋体" w:hAnsi="宋体" w:cs="宋体"/>
          <w:b/>
          <w:color w:val="auto"/>
          <w:sz w:val="30"/>
          <w:szCs w:val="30"/>
          <w:highlight w:val="none"/>
        </w:rPr>
        <w:t>投标人资格条件自查表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48"/>
        <w:gridCol w:w="5327"/>
        <w:gridCol w:w="1265"/>
        <w:gridCol w:w="1498"/>
      </w:tblGrid>
      <w:tr w14:paraId="23BF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3" w:hRule="atLeast"/>
          <w:jc w:val="center"/>
        </w:trPr>
        <w:tc>
          <w:tcPr>
            <w:tcW w:w="848" w:type="dxa"/>
            <w:noWrap w:val="0"/>
            <w:vAlign w:val="center"/>
          </w:tcPr>
          <w:p w14:paraId="41B50E0B">
            <w:pPr>
              <w:adjustRightInd w:val="0"/>
              <w:snapToGrid w:val="0"/>
              <w:jc w:val="center"/>
              <w:rPr>
                <w:rFonts w:ascii="宋体" w:hAnsi="宋体" w:cs="宋体"/>
                <w:color w:val="auto"/>
                <w:szCs w:val="21"/>
                <w:highlight w:val="none"/>
              </w:rPr>
            </w:pPr>
            <w:r>
              <w:rPr>
                <w:rStyle w:val="31"/>
                <w:rFonts w:hint="eastAsia" w:ascii="宋体" w:hAnsi="宋体" w:cs="宋体"/>
                <w:color w:val="auto"/>
                <w:szCs w:val="21"/>
                <w:highlight w:val="none"/>
              </w:rPr>
              <w:t>评审内容</w:t>
            </w:r>
          </w:p>
        </w:tc>
        <w:tc>
          <w:tcPr>
            <w:tcW w:w="5327" w:type="dxa"/>
            <w:noWrap w:val="0"/>
            <w:vAlign w:val="center"/>
          </w:tcPr>
          <w:p w14:paraId="17BD1084">
            <w:pPr>
              <w:adjustRightInd w:val="0"/>
              <w:snapToGrid w:val="0"/>
              <w:jc w:val="center"/>
              <w:rPr>
                <w:rFonts w:ascii="宋体" w:hAnsi="宋体" w:cs="宋体"/>
                <w:color w:val="auto"/>
                <w:szCs w:val="21"/>
                <w:highlight w:val="none"/>
              </w:rPr>
            </w:pPr>
            <w:r>
              <w:rPr>
                <w:rStyle w:val="31"/>
                <w:rFonts w:hint="eastAsia" w:ascii="宋体" w:hAnsi="宋体" w:cs="宋体"/>
                <w:color w:val="auto"/>
                <w:szCs w:val="21"/>
                <w:highlight w:val="none"/>
              </w:rPr>
              <w:t>招标文件要求</w:t>
            </w:r>
          </w:p>
        </w:tc>
        <w:tc>
          <w:tcPr>
            <w:tcW w:w="1265" w:type="dxa"/>
            <w:noWrap w:val="0"/>
            <w:vAlign w:val="center"/>
          </w:tcPr>
          <w:p w14:paraId="4A29FE67">
            <w:pPr>
              <w:adjustRightInd w:val="0"/>
              <w:snapToGrid w:val="0"/>
              <w:jc w:val="center"/>
              <w:rPr>
                <w:rFonts w:ascii="宋体" w:hAnsi="宋体" w:cs="宋体"/>
                <w:color w:val="auto"/>
                <w:szCs w:val="21"/>
                <w:highlight w:val="none"/>
              </w:rPr>
            </w:pPr>
            <w:r>
              <w:rPr>
                <w:rStyle w:val="31"/>
                <w:rFonts w:hint="eastAsia" w:ascii="宋体" w:hAnsi="宋体" w:cs="宋体"/>
                <w:color w:val="auto"/>
                <w:szCs w:val="21"/>
                <w:highlight w:val="none"/>
              </w:rPr>
              <w:t>自查结论</w:t>
            </w:r>
          </w:p>
        </w:tc>
        <w:tc>
          <w:tcPr>
            <w:tcW w:w="1498" w:type="dxa"/>
            <w:noWrap w:val="0"/>
            <w:vAlign w:val="center"/>
          </w:tcPr>
          <w:p w14:paraId="36A5C3C8">
            <w:pPr>
              <w:adjustRightInd w:val="0"/>
              <w:snapToGrid w:val="0"/>
              <w:jc w:val="center"/>
              <w:rPr>
                <w:rFonts w:ascii="宋体" w:hAnsi="宋体" w:cs="宋体"/>
                <w:color w:val="auto"/>
                <w:szCs w:val="21"/>
                <w:highlight w:val="none"/>
              </w:rPr>
            </w:pPr>
            <w:r>
              <w:rPr>
                <w:rStyle w:val="31"/>
                <w:rFonts w:hint="eastAsia" w:ascii="宋体" w:hAnsi="宋体" w:cs="宋体"/>
                <w:color w:val="auto"/>
                <w:szCs w:val="21"/>
                <w:highlight w:val="none"/>
              </w:rPr>
              <w:t>证明资料</w:t>
            </w:r>
          </w:p>
        </w:tc>
      </w:tr>
      <w:tr w14:paraId="1AC0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3" w:hRule="atLeast"/>
          <w:jc w:val="center"/>
        </w:trPr>
        <w:tc>
          <w:tcPr>
            <w:tcW w:w="848" w:type="dxa"/>
            <w:vMerge w:val="restart"/>
            <w:noWrap w:val="0"/>
            <w:vAlign w:val="center"/>
          </w:tcPr>
          <w:p w14:paraId="708FACBD">
            <w:pPr>
              <w:pStyle w:val="55"/>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资</w:t>
            </w:r>
          </w:p>
          <w:p w14:paraId="1E804433">
            <w:pPr>
              <w:pStyle w:val="55"/>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格</w:t>
            </w:r>
          </w:p>
          <w:p w14:paraId="5D10B166">
            <w:pPr>
              <w:pStyle w:val="55"/>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性</w:t>
            </w:r>
          </w:p>
          <w:p w14:paraId="68423B18">
            <w:pPr>
              <w:pStyle w:val="55"/>
              <w:adjustRightInd w:val="0"/>
              <w:snapToGrid w:val="0"/>
              <w:spacing w:before="0" w:beforeAutospacing="0" w:after="0" w:afterAutospacing="0"/>
              <w:jc w:val="center"/>
              <w:rPr>
                <w:rFonts w:cs="宋体"/>
                <w:b/>
                <w:color w:val="auto"/>
                <w:sz w:val="21"/>
                <w:szCs w:val="21"/>
                <w:highlight w:val="none"/>
              </w:rPr>
            </w:pPr>
            <w:r>
              <w:rPr>
                <w:rFonts w:hint="eastAsia" w:cs="宋体"/>
                <w:b/>
                <w:color w:val="auto"/>
                <w:sz w:val="21"/>
                <w:szCs w:val="21"/>
                <w:highlight w:val="none"/>
              </w:rPr>
              <w:t>审</w:t>
            </w:r>
          </w:p>
          <w:p w14:paraId="1B08DB2C">
            <w:pPr>
              <w:pStyle w:val="55"/>
              <w:adjustRightInd w:val="0"/>
              <w:snapToGrid w:val="0"/>
              <w:spacing w:before="0" w:beforeAutospacing="0" w:after="0" w:afterAutospacing="0"/>
              <w:jc w:val="center"/>
              <w:rPr>
                <w:rStyle w:val="31"/>
                <w:rFonts w:cs="宋体"/>
                <w:color w:val="auto"/>
                <w:szCs w:val="21"/>
                <w:highlight w:val="none"/>
              </w:rPr>
            </w:pPr>
            <w:r>
              <w:rPr>
                <w:rFonts w:hint="eastAsia" w:cs="宋体"/>
                <w:b/>
                <w:color w:val="auto"/>
                <w:sz w:val="21"/>
                <w:szCs w:val="21"/>
                <w:highlight w:val="none"/>
              </w:rPr>
              <w:t>查</w:t>
            </w:r>
          </w:p>
        </w:tc>
        <w:tc>
          <w:tcPr>
            <w:tcW w:w="5327" w:type="dxa"/>
            <w:noWrap w:val="0"/>
            <w:vAlign w:val="center"/>
          </w:tcPr>
          <w:p w14:paraId="757F32AD">
            <w:pPr>
              <w:adjustRightInd w:val="0"/>
              <w:snapToGrid w:val="0"/>
              <w:jc w:val="left"/>
              <w:rPr>
                <w:rStyle w:val="31"/>
                <w:rFonts w:ascii="宋体" w:hAnsi="宋体" w:cs="宋体"/>
                <w:color w:val="auto"/>
                <w:szCs w:val="21"/>
                <w:highlight w:val="none"/>
              </w:rPr>
            </w:pPr>
            <w:r>
              <w:rPr>
                <w:rFonts w:hint="eastAsia" w:ascii="宋体" w:hAnsi="宋体" w:cs="宋体"/>
                <w:color w:val="auto"/>
                <w:szCs w:val="21"/>
                <w:highlight w:val="none"/>
              </w:rPr>
              <w:t>一、符合《中华人民共和国政府采购法》第</w:t>
            </w:r>
            <w:r>
              <w:rPr>
                <w:rFonts w:hint="eastAsia" w:ascii="宋体" w:hAnsi="宋体" w:cs="宋体"/>
                <w:color w:val="auto"/>
                <w:szCs w:val="21"/>
                <w:highlight w:val="none"/>
                <w:lang w:val="en-US" w:eastAsia="zh-CN"/>
              </w:rPr>
              <w:t>二十二</w:t>
            </w:r>
            <w:r>
              <w:rPr>
                <w:rFonts w:hint="eastAsia" w:ascii="宋体" w:hAnsi="宋体" w:cs="宋体"/>
                <w:color w:val="auto"/>
                <w:szCs w:val="21"/>
                <w:highlight w:val="none"/>
              </w:rPr>
              <w:t>条规定。</w:t>
            </w:r>
          </w:p>
        </w:tc>
        <w:tc>
          <w:tcPr>
            <w:tcW w:w="1265" w:type="dxa"/>
            <w:noWrap w:val="0"/>
            <w:vAlign w:val="center"/>
          </w:tcPr>
          <w:p w14:paraId="7D0EEF16">
            <w:pPr>
              <w:adjustRightInd w:val="0"/>
              <w:snapToGrid w:val="0"/>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 xml:space="preserve">通过 </w:t>
            </w:r>
          </w:p>
          <w:p w14:paraId="1A5418AF">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1498" w:type="dxa"/>
            <w:noWrap w:val="0"/>
            <w:vAlign w:val="center"/>
          </w:tcPr>
          <w:p w14:paraId="6D5B14CA">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1B46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767" w:hRule="atLeast"/>
          <w:jc w:val="center"/>
        </w:trPr>
        <w:tc>
          <w:tcPr>
            <w:tcW w:w="848" w:type="dxa"/>
            <w:vMerge w:val="continue"/>
            <w:noWrap w:val="0"/>
            <w:vAlign w:val="center"/>
          </w:tcPr>
          <w:p w14:paraId="725FE336">
            <w:pPr>
              <w:pStyle w:val="55"/>
              <w:adjustRightInd w:val="0"/>
              <w:snapToGrid w:val="0"/>
              <w:spacing w:before="0" w:beforeAutospacing="0" w:after="0" w:afterAutospacing="0"/>
              <w:jc w:val="center"/>
              <w:rPr>
                <w:rFonts w:cs="宋体"/>
                <w:b/>
                <w:color w:val="auto"/>
                <w:sz w:val="21"/>
                <w:szCs w:val="21"/>
                <w:highlight w:val="none"/>
              </w:rPr>
            </w:pPr>
          </w:p>
        </w:tc>
        <w:tc>
          <w:tcPr>
            <w:tcW w:w="5327" w:type="dxa"/>
            <w:noWrap w:val="0"/>
            <w:vAlign w:val="center"/>
          </w:tcPr>
          <w:p w14:paraId="3271DBB1">
            <w:p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 xml:space="preserve">二、投标人未被 </w:t>
            </w:r>
            <w:r>
              <w:rPr>
                <w:rFonts w:hint="eastAsia" w:ascii="宋体" w:hAnsi="宋体" w:cs="宋体"/>
                <w:color w:val="auto"/>
                <w:highlight w:val="none"/>
                <w:lang w:val="en"/>
              </w:rPr>
              <w:t>“信用中国”（www.creditchina.gov.cn)、中国政府采购网（www.ccgp.gov.cn）列入失信被执行人、重大税收违法案件当事人名单、政府采购严重违法失信行为记录名单。</w:t>
            </w:r>
          </w:p>
        </w:tc>
        <w:tc>
          <w:tcPr>
            <w:tcW w:w="1265" w:type="dxa"/>
            <w:noWrap w:val="0"/>
            <w:vAlign w:val="center"/>
          </w:tcPr>
          <w:p w14:paraId="4A697025">
            <w:pPr>
              <w:adjustRightInd w:val="0"/>
              <w:snapToGrid w:val="0"/>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 xml:space="preserve">通过 </w:t>
            </w:r>
          </w:p>
          <w:p w14:paraId="111B463F">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1498" w:type="dxa"/>
            <w:noWrap w:val="0"/>
            <w:vAlign w:val="center"/>
          </w:tcPr>
          <w:p w14:paraId="41EAFACA">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4AB2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3" w:hRule="atLeast"/>
          <w:jc w:val="center"/>
        </w:trPr>
        <w:tc>
          <w:tcPr>
            <w:tcW w:w="848" w:type="dxa"/>
            <w:vMerge w:val="continue"/>
            <w:noWrap w:val="0"/>
            <w:vAlign w:val="center"/>
          </w:tcPr>
          <w:p w14:paraId="794B59E8">
            <w:pPr>
              <w:pStyle w:val="55"/>
              <w:adjustRightInd w:val="0"/>
              <w:snapToGrid w:val="0"/>
              <w:spacing w:before="0" w:beforeAutospacing="0" w:after="0" w:afterAutospacing="0"/>
              <w:jc w:val="center"/>
              <w:rPr>
                <w:rFonts w:cs="宋体"/>
                <w:b/>
                <w:color w:val="auto"/>
                <w:sz w:val="21"/>
                <w:szCs w:val="21"/>
                <w:highlight w:val="none"/>
              </w:rPr>
            </w:pPr>
          </w:p>
        </w:tc>
        <w:tc>
          <w:tcPr>
            <w:tcW w:w="5327" w:type="dxa"/>
            <w:noWrap w:val="0"/>
            <w:vAlign w:val="center"/>
          </w:tcPr>
          <w:p w14:paraId="0B05BC0B">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三、</w:t>
            </w:r>
            <w:r>
              <w:rPr>
                <w:rFonts w:hint="eastAsia" w:ascii="宋体" w:hAnsi="宋体"/>
                <w:color w:val="auto"/>
                <w:highlight w:val="none"/>
              </w:rPr>
              <w:t>投标人资格声明函。</w:t>
            </w:r>
          </w:p>
        </w:tc>
        <w:tc>
          <w:tcPr>
            <w:tcW w:w="1265" w:type="dxa"/>
            <w:noWrap w:val="0"/>
            <w:vAlign w:val="center"/>
          </w:tcPr>
          <w:p w14:paraId="5840E32E">
            <w:pPr>
              <w:adjustRightInd w:val="0"/>
              <w:snapToGrid w:val="0"/>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 xml:space="preserve">通过 </w:t>
            </w:r>
          </w:p>
          <w:p w14:paraId="52808079">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1498" w:type="dxa"/>
            <w:noWrap w:val="0"/>
            <w:vAlign w:val="center"/>
          </w:tcPr>
          <w:p w14:paraId="33042268">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3A76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767" w:hRule="atLeast"/>
          <w:jc w:val="center"/>
        </w:trPr>
        <w:tc>
          <w:tcPr>
            <w:tcW w:w="848" w:type="dxa"/>
            <w:vMerge w:val="continue"/>
            <w:noWrap w:val="0"/>
            <w:vAlign w:val="center"/>
          </w:tcPr>
          <w:p w14:paraId="3276878A">
            <w:pPr>
              <w:pStyle w:val="55"/>
              <w:adjustRightInd w:val="0"/>
              <w:snapToGrid w:val="0"/>
              <w:spacing w:before="0" w:beforeAutospacing="0" w:after="0" w:afterAutospacing="0"/>
              <w:jc w:val="center"/>
              <w:rPr>
                <w:rFonts w:cs="宋体"/>
                <w:b/>
                <w:color w:val="auto"/>
                <w:sz w:val="21"/>
                <w:szCs w:val="21"/>
                <w:highlight w:val="none"/>
              </w:rPr>
            </w:pPr>
          </w:p>
        </w:tc>
        <w:tc>
          <w:tcPr>
            <w:tcW w:w="5327" w:type="dxa"/>
            <w:noWrap w:val="0"/>
            <w:vAlign w:val="center"/>
          </w:tcPr>
          <w:p w14:paraId="122DD95D">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四、有效的企业法人营业执照（或事业法人登记证）、其他组织（个体工商户）的营业执照或者民办非企业单位登记证书复印件（复印件加盖公章）；（供应商如果有名称变更的，应提供由行政主管部门出具的变更证明文件复印件加盖供应商公章）。</w:t>
            </w:r>
          </w:p>
        </w:tc>
        <w:tc>
          <w:tcPr>
            <w:tcW w:w="1265" w:type="dxa"/>
            <w:noWrap w:val="0"/>
            <w:vAlign w:val="center"/>
          </w:tcPr>
          <w:p w14:paraId="63E33CC5">
            <w:pPr>
              <w:adjustRightInd w:val="0"/>
              <w:snapToGrid w:val="0"/>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 xml:space="preserve">通过 </w:t>
            </w:r>
          </w:p>
          <w:p w14:paraId="0DC4791D">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1498" w:type="dxa"/>
            <w:noWrap w:val="0"/>
            <w:vAlign w:val="center"/>
          </w:tcPr>
          <w:p w14:paraId="7A8B394B">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1F15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017" w:hRule="atLeast"/>
          <w:jc w:val="center"/>
        </w:trPr>
        <w:tc>
          <w:tcPr>
            <w:tcW w:w="848" w:type="dxa"/>
            <w:vMerge w:val="continue"/>
            <w:noWrap w:val="0"/>
            <w:vAlign w:val="center"/>
          </w:tcPr>
          <w:p w14:paraId="69AC98BA">
            <w:pPr>
              <w:pStyle w:val="55"/>
              <w:adjustRightInd w:val="0"/>
              <w:snapToGrid w:val="0"/>
              <w:spacing w:before="0" w:beforeAutospacing="0" w:after="0" w:afterAutospacing="0"/>
              <w:jc w:val="center"/>
              <w:rPr>
                <w:rFonts w:cs="宋体"/>
                <w:b/>
                <w:color w:val="auto"/>
                <w:sz w:val="21"/>
                <w:szCs w:val="21"/>
                <w:highlight w:val="none"/>
              </w:rPr>
            </w:pPr>
          </w:p>
        </w:tc>
        <w:tc>
          <w:tcPr>
            <w:tcW w:w="5327" w:type="dxa"/>
            <w:noWrap w:val="0"/>
            <w:vAlign w:val="center"/>
          </w:tcPr>
          <w:p w14:paraId="4601AA86">
            <w:pPr>
              <w:adjustRightInd w:val="0"/>
              <w:snapToGrid w:val="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w:t>
            </w:r>
            <w:r>
              <w:rPr>
                <w:rFonts w:hint="eastAsia" w:ascii="宋体" w:hAnsi="宋体" w:eastAsia="宋体" w:cs="Times New Roman"/>
                <w:color w:val="auto"/>
                <w:highlight w:val="none"/>
              </w:rPr>
              <w:t>投标人控股股东名称、控股公司的名称和存在管理、被管理关系的单位名称说明</w:t>
            </w:r>
            <w:r>
              <w:rPr>
                <w:rFonts w:hint="eastAsia" w:ascii="宋体" w:hAnsi="宋体" w:eastAsia="宋体" w:cs="Times New Roman"/>
                <w:color w:val="auto"/>
                <w:highlight w:val="none"/>
                <w:lang w:eastAsia="zh-CN"/>
              </w:rPr>
              <w:t>。</w:t>
            </w:r>
          </w:p>
        </w:tc>
        <w:tc>
          <w:tcPr>
            <w:tcW w:w="1265" w:type="dxa"/>
            <w:noWrap w:val="0"/>
            <w:vAlign w:val="center"/>
          </w:tcPr>
          <w:p w14:paraId="3671BCAC">
            <w:pPr>
              <w:adjustRightInd w:val="0"/>
              <w:snapToGrid w:val="0"/>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 xml:space="preserve">通过 </w:t>
            </w:r>
          </w:p>
          <w:p w14:paraId="1A534368">
            <w:pPr>
              <w:adjustRightInd w:val="0"/>
              <w:snapToGrid w:val="0"/>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□不通过</w:t>
            </w:r>
          </w:p>
        </w:tc>
        <w:tc>
          <w:tcPr>
            <w:tcW w:w="1498" w:type="dxa"/>
            <w:noWrap w:val="0"/>
            <w:vAlign w:val="center"/>
          </w:tcPr>
          <w:p w14:paraId="66DE6374">
            <w:pPr>
              <w:adjustRightInd w:val="0"/>
              <w:snapToGrid w:val="0"/>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第（ ）页</w:t>
            </w:r>
          </w:p>
        </w:tc>
      </w:tr>
      <w:tr w14:paraId="3BA15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13" w:hRule="atLeast"/>
          <w:jc w:val="center"/>
        </w:trPr>
        <w:tc>
          <w:tcPr>
            <w:tcW w:w="848" w:type="dxa"/>
            <w:vMerge w:val="continue"/>
            <w:noWrap w:val="0"/>
            <w:vAlign w:val="center"/>
          </w:tcPr>
          <w:p w14:paraId="641BC479">
            <w:pPr>
              <w:adjustRightInd w:val="0"/>
              <w:snapToGrid w:val="0"/>
              <w:rPr>
                <w:rFonts w:ascii="宋体" w:hAnsi="宋体" w:cs="宋体"/>
                <w:color w:val="auto"/>
                <w:szCs w:val="21"/>
                <w:highlight w:val="none"/>
              </w:rPr>
            </w:pPr>
          </w:p>
        </w:tc>
        <w:tc>
          <w:tcPr>
            <w:tcW w:w="5327" w:type="dxa"/>
            <w:noWrap w:val="0"/>
            <w:vAlign w:val="center"/>
          </w:tcPr>
          <w:p w14:paraId="7C20D6E6">
            <w:pPr>
              <w:adjustRightInd w:val="0"/>
              <w:snapToGrid w:val="0"/>
              <w:rPr>
                <w:rFonts w:ascii="宋体" w:hAnsi="宋体" w:cs="宋体"/>
                <w:color w:val="auto"/>
                <w:szCs w:val="21"/>
                <w:highlight w:val="none"/>
              </w:rPr>
            </w:pP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、本项目不接受联合体投标。</w:t>
            </w:r>
          </w:p>
        </w:tc>
        <w:tc>
          <w:tcPr>
            <w:tcW w:w="1265" w:type="dxa"/>
            <w:noWrap w:val="0"/>
            <w:vAlign w:val="center"/>
          </w:tcPr>
          <w:p w14:paraId="13CF5125">
            <w:pPr>
              <w:adjustRightInd w:val="0"/>
              <w:snapToGrid w:val="0"/>
              <w:rPr>
                <w:rFonts w:ascii="宋体" w:hAnsi="宋体" w:cs="宋体"/>
                <w:color w:val="auto"/>
                <w:szCs w:val="21"/>
                <w:highlight w:val="none"/>
              </w:rPr>
            </w:pPr>
            <w:r>
              <w:rPr>
                <w:rFonts w:hint="eastAsia" w:ascii="宋体" w:hAnsi="宋体" w:cs="宋体"/>
                <w:color w:val="auto"/>
                <w:szCs w:val="21"/>
                <w:highlight w:val="none"/>
              </w:rPr>
              <w:t>□通过</w:t>
            </w:r>
          </w:p>
          <w:p w14:paraId="71EB62BF">
            <w:pPr>
              <w:adjustRightInd w:val="0"/>
              <w:snapToGrid w:val="0"/>
              <w:rPr>
                <w:rFonts w:ascii="宋体" w:hAnsi="宋体" w:cs="宋体"/>
                <w:color w:val="auto"/>
                <w:szCs w:val="21"/>
                <w:highlight w:val="none"/>
              </w:rPr>
            </w:pPr>
            <w:r>
              <w:rPr>
                <w:rFonts w:hint="eastAsia" w:ascii="宋体" w:hAnsi="宋体" w:cs="宋体"/>
                <w:color w:val="auto"/>
                <w:szCs w:val="21"/>
                <w:highlight w:val="none"/>
              </w:rPr>
              <w:t>□不通过</w:t>
            </w:r>
          </w:p>
        </w:tc>
        <w:tc>
          <w:tcPr>
            <w:tcW w:w="1498" w:type="dxa"/>
            <w:noWrap w:val="0"/>
            <w:vAlign w:val="center"/>
          </w:tcPr>
          <w:p w14:paraId="5D119D85">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 ）页</w:t>
            </w:r>
          </w:p>
        </w:tc>
      </w:tr>
    </w:tbl>
    <w:p w14:paraId="5C8AF4A4">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   </w:t>
      </w:r>
    </w:p>
    <w:p w14:paraId="4C66BD62">
      <w:pPr>
        <w:snapToGrid w:val="0"/>
        <w:spacing w:line="360" w:lineRule="auto"/>
        <w:ind w:firstLine="211" w:firstLineChars="100"/>
        <w:jc w:val="left"/>
        <w:rPr>
          <w:rFonts w:hint="eastAsia" w:ascii="宋体" w:hAnsi="宋体" w:cs="宋体"/>
          <w:b/>
          <w:color w:val="auto"/>
          <w:szCs w:val="21"/>
          <w:highlight w:val="none"/>
        </w:rPr>
      </w:pPr>
      <w:r>
        <w:rPr>
          <w:rFonts w:hint="eastAsia" w:ascii="宋体" w:hAnsi="宋体" w:cs="宋体"/>
          <w:b/>
          <w:color w:val="auto"/>
          <w:szCs w:val="21"/>
          <w:highlight w:val="none"/>
        </w:rPr>
        <w:t>备注：投标人自查表将作为投标人有效性审查的重要内容之一，投标人必须严格按照其内容及序列</w:t>
      </w:r>
    </w:p>
    <w:p w14:paraId="5E951203">
      <w:pPr>
        <w:snapToGrid w:val="0"/>
        <w:spacing w:line="360" w:lineRule="auto"/>
        <w:ind w:firstLine="211" w:firstLineChars="100"/>
        <w:jc w:val="left"/>
        <w:rPr>
          <w:rFonts w:ascii="宋体" w:hAnsi="宋体" w:cs="宋体"/>
          <w:color w:val="auto"/>
          <w:szCs w:val="21"/>
          <w:highlight w:val="none"/>
        </w:rPr>
      </w:pPr>
      <w:r>
        <w:rPr>
          <w:rFonts w:hint="eastAsia" w:ascii="宋体" w:hAnsi="宋体" w:cs="宋体"/>
          <w:b/>
          <w:color w:val="auto"/>
          <w:szCs w:val="21"/>
          <w:highlight w:val="none"/>
        </w:rPr>
        <w:t>要求在投标文件中对应如实提供，对资格性证明文件的任何缺漏和不符合项将会直接导致投标无效！</w:t>
      </w:r>
    </w:p>
    <w:p w14:paraId="03D3EED1">
      <w:pPr>
        <w:jc w:val="center"/>
        <w:rPr>
          <w:rFonts w:ascii="宋体" w:hAnsi="宋体" w:cs="宋体"/>
          <w:b/>
          <w:color w:val="auto"/>
          <w:highlight w:val="none"/>
        </w:rPr>
      </w:pPr>
    </w:p>
    <w:p w14:paraId="2AD9DCCE">
      <w:pPr>
        <w:spacing w:after="240" w:afterLines="100" w:line="360" w:lineRule="auto"/>
        <w:jc w:val="left"/>
        <w:rPr>
          <w:rFonts w:eastAsia="黑体"/>
          <w:color w:val="auto"/>
          <w:spacing w:val="20"/>
          <w:sz w:val="36"/>
          <w:szCs w:val="32"/>
          <w:highlight w:val="none"/>
        </w:rPr>
        <w:sectPr>
          <w:pgSz w:w="11906" w:h="16838"/>
          <w:pgMar w:top="1247" w:right="1247" w:bottom="1134" w:left="1247" w:header="851" w:footer="851" w:gutter="0"/>
          <w:cols w:space="720" w:num="1"/>
          <w:docGrid w:linePitch="312" w:charSpace="0"/>
        </w:sectPr>
      </w:pPr>
    </w:p>
    <w:p w14:paraId="2C9A4108">
      <w:pPr>
        <w:rPr>
          <w:rFonts w:hint="eastAsia" w:ascii="宋体" w:hAnsi="宋体" w:cs="宋体"/>
          <w:color w:val="auto"/>
          <w:szCs w:val="21"/>
          <w:highlight w:val="none"/>
        </w:rPr>
      </w:pPr>
    </w:p>
    <w:p w14:paraId="1B8B55BD">
      <w:pPr>
        <w:adjustRightInd w:val="0"/>
        <w:snapToGrid w:val="0"/>
        <w:jc w:val="center"/>
        <w:rPr>
          <w:rFonts w:ascii="宋体" w:hAnsi="宋体" w:cs="宋体"/>
          <w:b/>
          <w:color w:val="auto"/>
          <w:sz w:val="30"/>
          <w:szCs w:val="30"/>
          <w:highlight w:val="none"/>
        </w:rPr>
      </w:pPr>
      <w:r>
        <w:rPr>
          <w:rFonts w:hint="eastAsia" w:ascii="宋体" w:hAnsi="宋体" w:cs="宋体"/>
          <w:b/>
          <w:color w:val="auto"/>
          <w:sz w:val="30"/>
          <w:szCs w:val="30"/>
          <w:highlight w:val="none"/>
        </w:rPr>
        <w:t>投标人资格声明函</w:t>
      </w:r>
    </w:p>
    <w:p w14:paraId="7DA16DDB">
      <w:pPr>
        <w:spacing w:line="480" w:lineRule="auto"/>
        <w:rPr>
          <w:b/>
          <w:color w:val="auto"/>
          <w:szCs w:val="21"/>
          <w:highlight w:val="none"/>
        </w:rPr>
      </w:pPr>
      <w:r>
        <w:rPr>
          <w:rFonts w:hint="eastAsia"/>
          <w:b/>
          <w:color w:val="auto"/>
          <w:szCs w:val="21"/>
          <w:highlight w:val="none"/>
          <w:lang w:eastAsia="zh-CN"/>
        </w:rPr>
        <w:t>宁波国研信息科技有限公司</w:t>
      </w:r>
      <w:r>
        <w:rPr>
          <w:rFonts w:hint="eastAsia"/>
          <w:b/>
          <w:color w:val="auto"/>
          <w:szCs w:val="21"/>
          <w:highlight w:val="none"/>
        </w:rPr>
        <w:t>：</w:t>
      </w:r>
    </w:p>
    <w:p w14:paraId="0DCF0DB8">
      <w:pPr>
        <w:snapToGrid w:val="0"/>
        <w:spacing w:before="120" w:beforeLines="50" w:line="360" w:lineRule="auto"/>
        <w:ind w:firstLine="424" w:firstLineChars="202"/>
        <w:rPr>
          <w:rFonts w:ascii="宋体" w:hAnsi="宋体"/>
          <w:color w:val="auto"/>
          <w:highlight w:val="none"/>
        </w:rPr>
      </w:pPr>
      <w:r>
        <w:rPr>
          <w:rFonts w:hint="eastAsia" w:ascii="宋体" w:hAnsi="宋体" w:cs="宋体"/>
          <w:color w:val="auto"/>
          <w:highlight w:val="none"/>
        </w:rPr>
        <w:t>关于</w:t>
      </w:r>
      <w:r>
        <w:rPr>
          <w:rFonts w:hint="eastAsia" w:ascii="宋体" w:hAnsi="宋体" w:cs="宋体"/>
          <w:color w:val="auto"/>
          <w:highlight w:val="none"/>
          <w:u w:val="single"/>
        </w:rPr>
        <w:t xml:space="preserve">  </w:t>
      </w:r>
      <w:r>
        <w:rPr>
          <w:rFonts w:hint="eastAsia" w:ascii="宋体" w:hAnsi="宋体" w:cs="宋体"/>
          <w:color w:val="auto"/>
          <w:kern w:val="28"/>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项目（项目编号：</w:t>
      </w:r>
      <w:r>
        <w:rPr>
          <w:rFonts w:hint="eastAsia" w:ascii="宋体" w:hAnsi="宋体"/>
          <w:b/>
          <w:color w:val="auto"/>
          <w:szCs w:val="21"/>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），我方愿意参加投标，并</w:t>
      </w:r>
      <w:r>
        <w:rPr>
          <w:rFonts w:hint="eastAsia" w:ascii="宋体" w:hAnsi="宋体"/>
          <w:color w:val="auto"/>
          <w:highlight w:val="none"/>
        </w:rPr>
        <w:t>郑重声明如下：</w:t>
      </w:r>
    </w:p>
    <w:p w14:paraId="6870AD91">
      <w:pPr>
        <w:spacing w:line="360" w:lineRule="auto"/>
        <w:ind w:firstLine="420" w:firstLineChars="200"/>
        <w:rPr>
          <w:rFonts w:hint="eastAsia" w:ascii="宋体" w:hAnsi="宋体"/>
          <w:color w:val="auto"/>
          <w:highlight w:val="none"/>
        </w:rPr>
      </w:pPr>
      <w:r>
        <w:rPr>
          <w:rFonts w:hint="eastAsia" w:ascii="宋体" w:hAnsi="宋体"/>
          <w:color w:val="auto"/>
          <w:highlight w:val="none"/>
        </w:rPr>
        <w:t>1、我单位符合《中华人民共和国政府采购法》第</w:t>
      </w:r>
      <w:r>
        <w:rPr>
          <w:rFonts w:hint="eastAsia" w:ascii="宋体" w:hAnsi="宋体"/>
          <w:color w:val="auto"/>
          <w:highlight w:val="none"/>
          <w:lang w:val="en-US" w:eastAsia="zh-CN"/>
        </w:rPr>
        <w:t>二十二</w:t>
      </w:r>
      <w:r>
        <w:rPr>
          <w:rFonts w:hint="eastAsia" w:ascii="宋体" w:hAnsi="宋体"/>
          <w:color w:val="auto"/>
          <w:highlight w:val="none"/>
        </w:rPr>
        <w:t>条规定：</w:t>
      </w:r>
    </w:p>
    <w:p w14:paraId="0E9EFAC6">
      <w:pPr>
        <w:spacing w:line="360" w:lineRule="auto"/>
        <w:ind w:firstLine="420" w:firstLineChars="200"/>
        <w:rPr>
          <w:rFonts w:hint="eastAsia" w:ascii="宋体" w:hAnsi="宋体"/>
          <w:color w:val="auto"/>
          <w:highlight w:val="none"/>
        </w:rPr>
      </w:pPr>
      <w:r>
        <w:rPr>
          <w:rFonts w:hint="eastAsia" w:ascii="宋体" w:hAnsi="宋体"/>
          <w:color w:val="auto"/>
          <w:highlight w:val="none"/>
        </w:rPr>
        <w:t>(1)、具有独立承担民事责任的能力；</w:t>
      </w:r>
    </w:p>
    <w:p w14:paraId="38D557EB">
      <w:pPr>
        <w:spacing w:line="360" w:lineRule="auto"/>
        <w:ind w:firstLine="420" w:firstLineChars="200"/>
        <w:rPr>
          <w:rFonts w:hint="eastAsia" w:ascii="宋体" w:hAnsi="宋体"/>
          <w:color w:val="auto"/>
          <w:highlight w:val="none"/>
        </w:rPr>
      </w:pPr>
      <w:r>
        <w:rPr>
          <w:rFonts w:hint="eastAsia" w:ascii="宋体" w:hAnsi="宋体"/>
          <w:color w:val="auto"/>
          <w:highlight w:val="none"/>
        </w:rPr>
        <w:t>(2)、具有良好的商业信誉和健全的财务会计制度；</w:t>
      </w:r>
    </w:p>
    <w:p w14:paraId="0571A373">
      <w:pPr>
        <w:spacing w:line="360" w:lineRule="auto"/>
        <w:ind w:firstLine="420" w:firstLineChars="200"/>
        <w:rPr>
          <w:rFonts w:hint="eastAsia" w:ascii="宋体" w:hAnsi="宋体"/>
          <w:color w:val="auto"/>
          <w:highlight w:val="none"/>
        </w:rPr>
      </w:pPr>
      <w:r>
        <w:rPr>
          <w:rFonts w:hint="eastAsia" w:ascii="宋体" w:hAnsi="宋体"/>
          <w:color w:val="auto"/>
          <w:highlight w:val="none"/>
        </w:rPr>
        <w:t>(3)、具有履行合同所必需的设备和专业技术能力；</w:t>
      </w:r>
    </w:p>
    <w:p w14:paraId="64B73BBD">
      <w:pPr>
        <w:spacing w:line="360" w:lineRule="auto"/>
        <w:ind w:firstLine="420" w:firstLineChars="200"/>
        <w:rPr>
          <w:rFonts w:hint="eastAsia" w:ascii="宋体" w:hAnsi="宋体"/>
          <w:color w:val="auto"/>
          <w:highlight w:val="none"/>
        </w:rPr>
      </w:pPr>
      <w:r>
        <w:rPr>
          <w:rFonts w:hint="eastAsia" w:ascii="宋体" w:hAnsi="宋体"/>
          <w:color w:val="auto"/>
          <w:highlight w:val="none"/>
        </w:rPr>
        <w:t>(4)、有依法缴纳税收和社会保障资金的良好记录；</w:t>
      </w:r>
    </w:p>
    <w:p w14:paraId="68EAE6C4">
      <w:pPr>
        <w:spacing w:line="360" w:lineRule="auto"/>
        <w:ind w:firstLine="420" w:firstLineChars="200"/>
        <w:rPr>
          <w:rFonts w:hint="eastAsia" w:ascii="宋体" w:hAnsi="宋体"/>
          <w:color w:val="auto"/>
          <w:highlight w:val="none"/>
        </w:rPr>
      </w:pPr>
      <w:r>
        <w:rPr>
          <w:rFonts w:hint="eastAsia" w:ascii="宋体" w:hAnsi="宋体"/>
          <w:color w:val="auto"/>
          <w:highlight w:val="none"/>
        </w:rPr>
        <w:t>(5)、参加政府采购活动前三年内，在经营活动中没有重大违法记录；</w:t>
      </w:r>
    </w:p>
    <w:p w14:paraId="021234B4">
      <w:pPr>
        <w:spacing w:line="360" w:lineRule="auto"/>
        <w:ind w:firstLine="420" w:firstLineChars="200"/>
        <w:rPr>
          <w:rFonts w:hint="eastAsia" w:ascii="宋体" w:hAnsi="宋体"/>
          <w:color w:val="auto"/>
          <w:highlight w:val="none"/>
        </w:rPr>
      </w:pPr>
      <w:r>
        <w:rPr>
          <w:rFonts w:hint="eastAsia" w:ascii="宋体" w:hAnsi="宋体"/>
          <w:color w:val="auto"/>
          <w:highlight w:val="none"/>
        </w:rPr>
        <w:t>(6)、法律、行政法规规定的其他条件。</w:t>
      </w:r>
    </w:p>
    <w:p w14:paraId="53C91B36">
      <w:pPr>
        <w:spacing w:line="360" w:lineRule="auto"/>
        <w:ind w:firstLine="420" w:firstLineChars="200"/>
        <w:rPr>
          <w:rFonts w:hint="eastAsia" w:ascii="宋体" w:hAnsi="宋体"/>
          <w:color w:val="auto"/>
          <w:highlight w:val="none"/>
        </w:rPr>
      </w:pPr>
      <w:r>
        <w:rPr>
          <w:rFonts w:hint="eastAsia" w:ascii="宋体" w:hAnsi="宋体"/>
          <w:color w:val="auto"/>
          <w:highlight w:val="none"/>
        </w:rPr>
        <w:t>2、本次投标由我单位独自参与，为非联合体投标。</w:t>
      </w:r>
    </w:p>
    <w:p w14:paraId="44E13AE8">
      <w:pPr>
        <w:spacing w:line="360" w:lineRule="auto"/>
        <w:ind w:firstLine="420" w:firstLineChars="200"/>
        <w:rPr>
          <w:rFonts w:hint="eastAsia" w:ascii="宋体" w:hAnsi="宋体"/>
          <w:color w:val="auto"/>
          <w:highlight w:val="none"/>
        </w:rPr>
      </w:pPr>
      <w:r>
        <w:rPr>
          <w:rFonts w:hint="eastAsia" w:ascii="宋体" w:hAnsi="宋体"/>
          <w:color w:val="auto"/>
          <w:highlight w:val="none"/>
        </w:rPr>
        <w:t>3、我单位符合采购文件规定的特定资格条件的要求。</w:t>
      </w:r>
    </w:p>
    <w:p w14:paraId="7EF985D8">
      <w:pPr>
        <w:spacing w:line="360" w:lineRule="auto"/>
        <w:ind w:firstLine="420" w:firstLineChars="200"/>
        <w:rPr>
          <w:rFonts w:hint="eastAsia" w:ascii="宋体" w:hAnsi="宋体"/>
          <w:color w:val="auto"/>
          <w:highlight w:val="none"/>
        </w:rPr>
      </w:pPr>
      <w:r>
        <w:rPr>
          <w:rFonts w:hint="eastAsia" w:ascii="宋体" w:hAnsi="宋体"/>
          <w:color w:val="auto"/>
          <w:highlight w:val="none"/>
        </w:rPr>
        <w:t>4、本投标文件自开标之日起90天内有效。</w:t>
      </w:r>
    </w:p>
    <w:p w14:paraId="4223F938">
      <w:pPr>
        <w:spacing w:line="360" w:lineRule="auto"/>
        <w:ind w:firstLine="420" w:firstLineChars="200"/>
        <w:rPr>
          <w:rFonts w:ascii="宋体" w:hAnsi="宋体"/>
          <w:color w:val="auto"/>
          <w:highlight w:val="none"/>
        </w:rPr>
      </w:pPr>
      <w:r>
        <w:rPr>
          <w:rFonts w:hint="eastAsia" w:ascii="宋体" w:hAnsi="宋体"/>
          <w:color w:val="auto"/>
          <w:highlight w:val="none"/>
        </w:rPr>
        <w:t>5、我方提交的所有投标文件、资料都是准确的和真实的。</w:t>
      </w:r>
    </w:p>
    <w:p w14:paraId="3A904EC8">
      <w:pPr>
        <w:spacing w:line="360" w:lineRule="auto"/>
        <w:ind w:firstLine="420" w:firstLineChars="200"/>
        <w:rPr>
          <w:rFonts w:hint="eastAsia" w:ascii="宋体" w:hAnsi="宋体"/>
          <w:color w:val="auto"/>
          <w:highlight w:val="none"/>
        </w:rPr>
      </w:pPr>
      <w:r>
        <w:rPr>
          <w:rFonts w:hint="eastAsia" w:ascii="宋体" w:hAnsi="宋体"/>
          <w:color w:val="auto"/>
          <w:highlight w:val="none"/>
        </w:rPr>
        <w:t>6、我方的单位负责人与所参投的本采购项目的其他投标人的单位负责人不为同一人且与其他投标人之间不存在直接控股、管理关系。</w:t>
      </w:r>
    </w:p>
    <w:p w14:paraId="07F43007">
      <w:pPr>
        <w:spacing w:line="360" w:lineRule="auto"/>
        <w:ind w:firstLine="420" w:firstLineChars="200"/>
        <w:rPr>
          <w:rFonts w:ascii="宋体" w:hAnsi="宋体"/>
          <w:color w:val="auto"/>
          <w:highlight w:val="none"/>
        </w:rPr>
      </w:pPr>
      <w:r>
        <w:rPr>
          <w:rFonts w:hint="eastAsia" w:ascii="宋体" w:hAnsi="宋体"/>
          <w:color w:val="auto"/>
          <w:highlight w:val="none"/>
        </w:rPr>
        <w:t>7、我方不是采购人的附属机构；与采购人聘请的为此项目进行设计、编制规范、提供咨询服务的公司及其附属机构没有任何直接或间接的关联。</w:t>
      </w:r>
    </w:p>
    <w:p w14:paraId="20A6DE96">
      <w:pPr>
        <w:spacing w:line="360" w:lineRule="auto"/>
        <w:ind w:firstLine="420" w:firstLineChars="200"/>
        <w:rPr>
          <w:rFonts w:ascii="宋体" w:hAnsi="宋体"/>
          <w:color w:val="auto"/>
          <w:highlight w:val="none"/>
        </w:rPr>
      </w:pPr>
      <w:r>
        <w:rPr>
          <w:rFonts w:hint="eastAsia" w:ascii="宋体" w:hAnsi="宋体"/>
          <w:color w:val="auto"/>
          <w:highlight w:val="none"/>
        </w:rPr>
        <w:t>8、我方未被“信用中国”（www.creditchina.gov.cn)、中国政府采购网（www.ccgp.gov.cn）列入失信被执行人、重大税收违法案件当事人名单、政府采购严重违法失信行为记录名单。</w:t>
      </w:r>
    </w:p>
    <w:p w14:paraId="6E720714">
      <w:pPr>
        <w:spacing w:line="360" w:lineRule="auto"/>
        <w:ind w:firstLine="420" w:firstLineChars="200"/>
        <w:rPr>
          <w:rFonts w:ascii="宋体" w:hAnsi="宋体"/>
          <w:color w:val="auto"/>
          <w:highlight w:val="none"/>
        </w:rPr>
      </w:pPr>
      <w:r>
        <w:rPr>
          <w:rFonts w:hint="eastAsia" w:ascii="宋体" w:hAnsi="宋体"/>
          <w:color w:val="auto"/>
          <w:highlight w:val="none"/>
        </w:rPr>
        <w:t>我方对上述声明的真实性负责。本次招标采购活动中，如有违法、违规、弄虚作假行为，所造成的损失、不良后果及法律责任，一律由我我方承担。</w:t>
      </w:r>
    </w:p>
    <w:p w14:paraId="6F6BD8FD">
      <w:pPr>
        <w:spacing w:line="360" w:lineRule="auto"/>
        <w:ind w:firstLine="420"/>
        <w:rPr>
          <w:rFonts w:ascii="宋体" w:hAnsi="宋体" w:cs="宋体"/>
          <w:b/>
          <w:color w:val="auto"/>
          <w:highlight w:val="none"/>
        </w:rPr>
      </w:pPr>
      <w:r>
        <w:rPr>
          <w:rFonts w:hint="eastAsia" w:ascii="宋体" w:hAnsi="宋体" w:cs="宋体"/>
          <w:b/>
          <w:color w:val="auto"/>
          <w:highlight w:val="none"/>
        </w:rPr>
        <w:t>特此声明！</w:t>
      </w:r>
    </w:p>
    <w:p w14:paraId="28067279">
      <w:pPr>
        <w:spacing w:line="480" w:lineRule="auto"/>
        <w:rPr>
          <w:rFonts w:ascii="宋体" w:hAnsi="宋体"/>
          <w:color w:val="auto"/>
          <w:highlight w:val="none"/>
        </w:rPr>
      </w:pPr>
    </w:p>
    <w:p w14:paraId="387477BA">
      <w:pPr>
        <w:spacing w:line="480" w:lineRule="auto"/>
        <w:ind w:left="2940" w:firstLine="420"/>
        <w:jc w:val="left"/>
        <w:rPr>
          <w:rFonts w:ascii="宋体" w:hAnsi="宋体"/>
          <w:color w:val="auto"/>
          <w:highlight w:val="none"/>
        </w:rPr>
      </w:pPr>
      <w:r>
        <w:rPr>
          <w:rFonts w:hint="eastAsia" w:ascii="宋体" w:hAnsi="宋体"/>
          <w:color w:val="auto"/>
          <w:highlight w:val="none"/>
        </w:rPr>
        <w:t>投标人名称（盖章）：</w:t>
      </w:r>
      <w:r>
        <w:rPr>
          <w:rFonts w:hint="eastAsia" w:ascii="宋体" w:hAnsi="宋体"/>
          <w:color w:val="auto"/>
          <w:highlight w:val="none"/>
          <w:u w:val="single"/>
        </w:rPr>
        <w:t xml:space="preserve">                            </w:t>
      </w:r>
    </w:p>
    <w:p w14:paraId="78AB6740">
      <w:pPr>
        <w:spacing w:line="480" w:lineRule="auto"/>
        <w:ind w:left="2940" w:firstLine="420"/>
        <w:jc w:val="left"/>
        <w:rPr>
          <w:rFonts w:ascii="宋体" w:hAnsi="宋体"/>
          <w:color w:val="auto"/>
          <w:highlight w:val="none"/>
          <w:u w:val="single"/>
        </w:rPr>
      </w:pPr>
      <w:r>
        <w:rPr>
          <w:rFonts w:hint="eastAsia" w:ascii="宋体" w:hAnsi="宋体"/>
          <w:color w:val="auto"/>
          <w:highlight w:val="none"/>
        </w:rPr>
        <w:t>日      期：</w:t>
      </w:r>
      <w:r>
        <w:rPr>
          <w:rFonts w:hint="eastAsia" w:ascii="宋体" w:hAnsi="宋体"/>
          <w:color w:val="auto"/>
          <w:highlight w:val="none"/>
          <w:u w:val="single"/>
        </w:rPr>
        <w:t xml:space="preserve">                                       </w:t>
      </w:r>
    </w:p>
    <w:p w14:paraId="25C645B1">
      <w:pPr>
        <w:spacing w:line="360" w:lineRule="auto"/>
        <w:rPr>
          <w:rFonts w:ascii="宋体" w:hAnsi="宋体"/>
          <w:color w:val="auto"/>
          <w:highlight w:val="none"/>
        </w:rPr>
      </w:pPr>
    </w:p>
    <w:p w14:paraId="17E7523E">
      <w:pPr>
        <w:adjustRightInd w:val="0"/>
        <w:snapToGrid w:val="0"/>
        <w:jc w:val="left"/>
        <w:rPr>
          <w:rFonts w:ascii="宋体" w:hAnsi="宋体"/>
          <w:color w:val="auto"/>
          <w:highlight w:val="none"/>
        </w:rPr>
      </w:pPr>
    </w:p>
    <w:p w14:paraId="4B09B7BC">
      <w:pPr>
        <w:adjustRightInd w:val="0"/>
        <w:snapToGrid w:val="0"/>
        <w:jc w:val="left"/>
        <w:rPr>
          <w:rFonts w:hint="eastAsia" w:ascii="宋体" w:hAnsi="宋体" w:cs="宋体"/>
          <w:color w:val="auto"/>
          <w:szCs w:val="21"/>
          <w:highlight w:val="none"/>
        </w:rPr>
      </w:pPr>
    </w:p>
    <w:p w14:paraId="47FF4366">
      <w:pPr>
        <w:adjustRightInd w:val="0"/>
        <w:snapToGrid w:val="0"/>
        <w:jc w:val="left"/>
        <w:rPr>
          <w:rFonts w:hint="eastAsia" w:ascii="宋体" w:hAnsi="宋体" w:cs="宋体"/>
          <w:color w:val="auto"/>
          <w:szCs w:val="21"/>
          <w:highlight w:val="none"/>
        </w:rPr>
      </w:pPr>
    </w:p>
    <w:p w14:paraId="743CB41B">
      <w:pPr>
        <w:adjustRightInd w:val="0"/>
        <w:snapToGrid w:val="0"/>
        <w:jc w:val="left"/>
        <w:rPr>
          <w:rFonts w:hint="eastAsia" w:ascii="宋体" w:hAnsi="宋体" w:cs="宋体"/>
          <w:color w:val="auto"/>
          <w:szCs w:val="21"/>
          <w:highlight w:val="none"/>
        </w:rPr>
      </w:pPr>
    </w:p>
    <w:p w14:paraId="269F498C">
      <w:pPr>
        <w:adjustRightInd w:val="0"/>
        <w:snapToGrid w:val="0"/>
        <w:jc w:val="left"/>
        <w:rPr>
          <w:rFonts w:hint="eastAsia" w:ascii="宋体" w:hAnsi="宋体" w:cs="宋体"/>
          <w:color w:val="auto"/>
          <w:szCs w:val="21"/>
          <w:highlight w:val="none"/>
        </w:rPr>
      </w:pPr>
    </w:p>
    <w:p w14:paraId="4CEB536A">
      <w:pPr>
        <w:adjustRightInd w:val="0"/>
        <w:snapToGrid w:val="0"/>
        <w:jc w:val="left"/>
        <w:rPr>
          <w:rFonts w:hint="eastAsia" w:ascii="宋体" w:hAnsi="宋体" w:cs="宋体"/>
          <w:color w:val="auto"/>
          <w:szCs w:val="21"/>
          <w:highlight w:val="none"/>
        </w:rPr>
      </w:pPr>
    </w:p>
    <w:p w14:paraId="2AA0EE06">
      <w:pPr>
        <w:adjustRightInd w:val="0"/>
        <w:snapToGrid w:val="0"/>
        <w:jc w:val="left"/>
        <w:rPr>
          <w:rFonts w:hint="eastAsia" w:ascii="宋体" w:hAnsi="宋体" w:cs="宋体"/>
          <w:color w:val="auto"/>
          <w:szCs w:val="21"/>
          <w:highlight w:val="none"/>
        </w:rPr>
      </w:pPr>
    </w:p>
    <w:p w14:paraId="6AEB61E7">
      <w:pPr>
        <w:adjustRightInd w:val="0"/>
        <w:snapToGrid w:val="0"/>
        <w:jc w:val="left"/>
        <w:rPr>
          <w:rFonts w:hint="eastAsia" w:ascii="宋体" w:hAnsi="宋体" w:cs="宋体"/>
          <w:color w:val="auto"/>
          <w:szCs w:val="21"/>
          <w:highlight w:val="none"/>
        </w:rPr>
      </w:pPr>
    </w:p>
    <w:p w14:paraId="51F15246">
      <w:pPr>
        <w:spacing w:line="400" w:lineRule="exact"/>
        <w:rPr>
          <w:rFonts w:ascii="宋体" w:hAnsi="宋体"/>
          <w:b/>
          <w:bCs/>
          <w:color w:val="auto"/>
          <w:sz w:val="24"/>
          <w:szCs w:val="24"/>
          <w:highlight w:val="none"/>
        </w:rPr>
      </w:pPr>
      <w:r>
        <w:rPr>
          <w:rFonts w:hint="eastAsia" w:ascii="宋体" w:hAnsi="宋体"/>
          <w:b/>
          <w:bCs/>
          <w:color w:val="auto"/>
          <w:sz w:val="24"/>
          <w:szCs w:val="24"/>
          <w:highlight w:val="none"/>
        </w:rPr>
        <w:t>有效的企业法人营业执照（或事业法人登记证）、其他组织（个体工商户）的营业执照或者民办非企业单位登记证书复印件（复印件加盖公章）；（供应商如果有名称变更的，应提供由行政主管部门出具的变更证明文件复印件加盖供应商公章）；</w:t>
      </w:r>
    </w:p>
    <w:p w14:paraId="307C75B8">
      <w:pPr>
        <w:spacing w:before="120" w:after="120"/>
        <w:jc w:val="center"/>
        <w:rPr>
          <w:rFonts w:hint="eastAsia" w:ascii="宋体" w:hAnsi="宋体" w:cs="宋体"/>
          <w:b/>
          <w:bCs/>
          <w:color w:val="auto"/>
          <w:sz w:val="24"/>
          <w:highlight w:val="none"/>
        </w:rPr>
      </w:pPr>
      <w:r>
        <w:rPr>
          <w:rFonts w:hint="eastAsia" w:ascii="宋体" w:hAnsi="宋体" w:cs="宋体"/>
          <w:b/>
          <w:color w:val="auto"/>
          <w:sz w:val="30"/>
          <w:szCs w:val="30"/>
          <w:highlight w:val="none"/>
        </w:rPr>
        <w:br w:type="page"/>
      </w:r>
      <w:r>
        <w:rPr>
          <w:rFonts w:hint="eastAsia" w:ascii="宋体" w:hAnsi="宋体" w:cs="宋体"/>
          <w:b/>
          <w:bCs/>
          <w:color w:val="auto"/>
          <w:sz w:val="24"/>
          <w:highlight w:val="none"/>
        </w:rPr>
        <w:t>投标人控股股东名称、控股公司的名称和存在管理、被管理关系的单位名称说明</w:t>
      </w:r>
    </w:p>
    <w:p w14:paraId="31E4D253">
      <w:pPr>
        <w:spacing w:line="360" w:lineRule="auto"/>
        <w:rPr>
          <w:rFonts w:ascii="宋体" w:hAnsi="宋体"/>
          <w:color w:val="auto"/>
          <w:szCs w:val="21"/>
          <w:highlight w:val="none"/>
        </w:rPr>
      </w:pPr>
    </w:p>
    <w:p w14:paraId="61CF324D">
      <w:pPr>
        <w:spacing w:line="360" w:lineRule="auto"/>
        <w:rPr>
          <w:rFonts w:ascii="宋体" w:hAnsi="宋体"/>
          <w:color w:val="auto"/>
          <w:szCs w:val="21"/>
          <w:highlight w:val="none"/>
          <w:u w:val="single"/>
        </w:rPr>
      </w:pPr>
      <w:r>
        <w:rPr>
          <w:rFonts w:ascii="宋体" w:hAnsi="宋体"/>
          <w:color w:val="auto"/>
          <w:szCs w:val="21"/>
          <w:highlight w:val="none"/>
        </w:rPr>
        <w:t>致：</w:t>
      </w:r>
      <w:r>
        <w:rPr>
          <w:rFonts w:ascii="宋体" w:hAnsi="宋体"/>
          <w:color w:val="auto"/>
          <w:szCs w:val="21"/>
          <w:highlight w:val="none"/>
          <w:u w:val="single"/>
        </w:rPr>
        <w:t>（采购人）</w:t>
      </w:r>
    </w:p>
    <w:p w14:paraId="53FB5995">
      <w:pPr>
        <w:spacing w:line="360" w:lineRule="auto"/>
        <w:rPr>
          <w:rFonts w:ascii="宋体" w:hAnsi="宋体"/>
          <w:color w:val="auto"/>
          <w:szCs w:val="21"/>
          <w:highlight w:val="none"/>
        </w:rPr>
      </w:pPr>
    </w:p>
    <w:p w14:paraId="3319E238">
      <w:pPr>
        <w:ind w:firstLine="426"/>
        <w:rPr>
          <w:rFonts w:ascii="宋体" w:hAnsi="Courier New" w:cs="Courier New"/>
          <w:color w:val="auto"/>
          <w:szCs w:val="21"/>
          <w:highlight w:val="none"/>
        </w:rPr>
      </w:pPr>
      <w:r>
        <w:rPr>
          <w:rFonts w:hint="eastAsia" w:ascii="宋体" w:hAnsi="Courier New" w:cs="Courier New"/>
          <w:color w:val="auto"/>
          <w:szCs w:val="21"/>
          <w:highlight w:val="none"/>
        </w:rPr>
        <w:t>与我方的法定代表人（单位负责人）为同一人的单位如下：</w:t>
      </w:r>
    </w:p>
    <w:p w14:paraId="074FA58A">
      <w:pPr>
        <w:ind w:firstLine="426"/>
        <w:rPr>
          <w:rFonts w:ascii="宋体" w:hAnsi="Courier New" w:cs="Courier New"/>
          <w:color w:val="auto"/>
          <w:szCs w:val="21"/>
          <w:highlight w:val="none"/>
        </w:rPr>
      </w:pPr>
    </w:p>
    <w:p w14:paraId="16C7D37E">
      <w:pPr>
        <w:ind w:firstLine="426"/>
        <w:rPr>
          <w:rFonts w:ascii="宋体" w:hAnsi="Courier New" w:cs="Courier New"/>
          <w:color w:val="auto"/>
          <w:szCs w:val="21"/>
          <w:highlight w:val="none"/>
        </w:rPr>
      </w:pPr>
      <w:r>
        <w:rPr>
          <w:rFonts w:hint="eastAsia" w:ascii="宋体" w:hAnsi="Courier New" w:cs="Courier New"/>
          <w:color w:val="auto"/>
          <w:szCs w:val="21"/>
          <w:highlight w:val="none"/>
        </w:rPr>
        <w:t>我方的控股股东如下：</w:t>
      </w:r>
    </w:p>
    <w:p w14:paraId="006DC46F">
      <w:pPr>
        <w:ind w:firstLine="426"/>
        <w:rPr>
          <w:rFonts w:ascii="宋体" w:hAnsi="Courier New" w:cs="Courier New"/>
          <w:color w:val="auto"/>
          <w:szCs w:val="21"/>
          <w:highlight w:val="none"/>
        </w:rPr>
      </w:pPr>
    </w:p>
    <w:p w14:paraId="489DFB68">
      <w:pPr>
        <w:ind w:firstLine="426"/>
        <w:rPr>
          <w:rFonts w:ascii="宋体" w:hAnsi="Courier New" w:cs="Courier New"/>
          <w:color w:val="auto"/>
          <w:szCs w:val="21"/>
          <w:highlight w:val="none"/>
        </w:rPr>
      </w:pPr>
      <w:r>
        <w:rPr>
          <w:rFonts w:hint="eastAsia" w:ascii="宋体" w:hAnsi="Courier New" w:cs="Courier New"/>
          <w:color w:val="auto"/>
          <w:szCs w:val="21"/>
          <w:highlight w:val="none"/>
        </w:rPr>
        <w:t>我方直接控股的单位如下：</w:t>
      </w:r>
    </w:p>
    <w:p w14:paraId="6BE0B796">
      <w:pPr>
        <w:ind w:firstLine="426"/>
        <w:rPr>
          <w:rFonts w:ascii="宋体" w:hAnsi="Courier New" w:cs="Courier New"/>
          <w:color w:val="auto"/>
          <w:szCs w:val="21"/>
          <w:highlight w:val="none"/>
        </w:rPr>
      </w:pPr>
    </w:p>
    <w:p w14:paraId="5EE92A5A">
      <w:pPr>
        <w:ind w:firstLine="426"/>
        <w:rPr>
          <w:rFonts w:ascii="宋体" w:hAnsi="Courier New" w:cs="Courier New"/>
          <w:color w:val="auto"/>
          <w:szCs w:val="21"/>
          <w:highlight w:val="none"/>
        </w:rPr>
      </w:pPr>
      <w:r>
        <w:rPr>
          <w:rFonts w:hint="eastAsia" w:ascii="宋体" w:hAnsi="Courier New" w:cs="Courier New"/>
          <w:color w:val="auto"/>
          <w:szCs w:val="21"/>
          <w:highlight w:val="none"/>
        </w:rPr>
        <w:t>与我方存在管理、被管理关系的单位名称如下：</w:t>
      </w:r>
    </w:p>
    <w:p w14:paraId="6B0AD054">
      <w:pPr>
        <w:ind w:firstLine="426"/>
        <w:rPr>
          <w:rFonts w:ascii="宋体" w:hAnsi="Courier New" w:cs="Courier New"/>
          <w:color w:val="auto"/>
          <w:szCs w:val="21"/>
          <w:highlight w:val="none"/>
        </w:rPr>
      </w:pPr>
    </w:p>
    <w:p w14:paraId="3F91573C">
      <w:pPr>
        <w:ind w:firstLine="426"/>
        <w:rPr>
          <w:rFonts w:ascii="宋体" w:hAnsi="宋体"/>
          <w:color w:val="auto"/>
          <w:szCs w:val="21"/>
          <w:highlight w:val="none"/>
        </w:rPr>
      </w:pPr>
    </w:p>
    <w:p w14:paraId="40622F48">
      <w:pPr>
        <w:ind w:firstLine="426"/>
        <w:rPr>
          <w:rFonts w:ascii="宋体" w:hAnsi="宋体"/>
          <w:color w:val="auto"/>
          <w:szCs w:val="21"/>
          <w:highlight w:val="none"/>
        </w:rPr>
      </w:pPr>
    </w:p>
    <w:p w14:paraId="4E7313BC">
      <w:pPr>
        <w:ind w:firstLine="426"/>
        <w:rPr>
          <w:rFonts w:ascii="宋体" w:hAnsi="宋体"/>
          <w:color w:val="auto"/>
          <w:szCs w:val="21"/>
          <w:highlight w:val="none"/>
        </w:rPr>
      </w:pPr>
    </w:p>
    <w:p w14:paraId="1E9C3EEF">
      <w:pPr>
        <w:ind w:firstLine="426"/>
        <w:rPr>
          <w:rFonts w:ascii="宋体" w:hAnsi="宋体"/>
          <w:color w:val="auto"/>
          <w:szCs w:val="21"/>
          <w:highlight w:val="none"/>
        </w:rPr>
      </w:pPr>
    </w:p>
    <w:p w14:paraId="13B64C90">
      <w:pPr>
        <w:ind w:firstLine="426"/>
        <w:rPr>
          <w:rFonts w:ascii="宋体" w:hAnsi="宋体"/>
          <w:color w:val="auto"/>
          <w:szCs w:val="21"/>
          <w:highlight w:val="none"/>
        </w:rPr>
      </w:pPr>
    </w:p>
    <w:p w14:paraId="3ED02D67">
      <w:pPr>
        <w:spacing w:line="360" w:lineRule="auto"/>
        <w:ind w:firstLine="426"/>
        <w:rPr>
          <w:rFonts w:ascii="宋体" w:hAnsi="宋体"/>
          <w:color w:val="auto"/>
          <w:szCs w:val="21"/>
          <w:highlight w:val="none"/>
        </w:rPr>
      </w:pPr>
    </w:p>
    <w:p w14:paraId="3A3E2F20">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 标 人（盖章）：</w:t>
      </w:r>
    </w:p>
    <w:p w14:paraId="0BC2A144">
      <w:pPr>
        <w:pStyle w:val="14"/>
        <w:snapToGrid w:val="0"/>
        <w:spacing w:line="360" w:lineRule="auto"/>
        <w:ind w:firstLine="0"/>
        <w:rPr>
          <w:rFonts w:hint="eastAsia" w:hAnsi="宋体" w:cs="宋体"/>
          <w:color w:val="auto"/>
          <w:spacing w:val="0"/>
          <w:sz w:val="21"/>
          <w:szCs w:val="21"/>
          <w:highlight w:val="none"/>
        </w:rPr>
      </w:pPr>
      <w:r>
        <w:rPr>
          <w:rFonts w:hint="eastAsia" w:ascii="宋体" w:hAnsi="宋体"/>
          <w:color w:val="auto"/>
          <w:kern w:val="0"/>
          <w:szCs w:val="21"/>
          <w:highlight w:val="none"/>
        </w:rPr>
        <w:t>法定代表人（或全权代表）签字或盖章</w:t>
      </w:r>
      <w:r>
        <w:rPr>
          <w:rFonts w:hint="eastAsia" w:hAnsi="宋体" w:cs="宋体"/>
          <w:color w:val="auto"/>
          <w:spacing w:val="0"/>
          <w:sz w:val="21"/>
          <w:szCs w:val="21"/>
          <w:highlight w:val="none"/>
        </w:rPr>
        <w:t>：</w:t>
      </w:r>
    </w:p>
    <w:p w14:paraId="2B8C122C">
      <w:pPr>
        <w:pStyle w:val="14"/>
        <w:widowControl/>
        <w:spacing w:line="360" w:lineRule="auto"/>
        <w:ind w:firstLine="0"/>
        <w:jc w:val="left"/>
        <w:rPr>
          <w:rFonts w:hint="eastAsia" w:hAnsi="宋体" w:cs="宋体"/>
          <w:color w:val="auto"/>
          <w:spacing w:val="0"/>
          <w:sz w:val="21"/>
          <w:szCs w:val="21"/>
          <w:highlight w:val="none"/>
        </w:rPr>
      </w:pPr>
      <w:r>
        <w:rPr>
          <w:rFonts w:hint="eastAsia" w:hAnsi="宋体" w:cs="宋体"/>
          <w:color w:val="auto"/>
          <w:spacing w:val="0"/>
          <w:sz w:val="21"/>
          <w:szCs w:val="21"/>
          <w:highlight w:val="none"/>
        </w:rPr>
        <w:t>日            期：</w:t>
      </w:r>
    </w:p>
    <w:p w14:paraId="693FFA4A">
      <w:pPr>
        <w:spacing w:line="360" w:lineRule="auto"/>
        <w:rPr>
          <w:rFonts w:hint="eastAsia" w:ascii="宋体" w:hAnsi="宋体" w:cs="宋体"/>
          <w:color w:val="auto"/>
          <w:highlight w:val="none"/>
        </w:rPr>
      </w:pPr>
    </w:p>
    <w:p w14:paraId="25BC161E">
      <w:pPr>
        <w:spacing w:line="360" w:lineRule="auto"/>
        <w:rPr>
          <w:rFonts w:hint="eastAsia" w:ascii="宋体" w:hAnsi="宋体" w:cs="宋体"/>
          <w:color w:val="auto"/>
          <w:highlight w:val="none"/>
        </w:rPr>
      </w:pPr>
    </w:p>
    <w:p w14:paraId="7F84C72E">
      <w:pPr>
        <w:pStyle w:val="10"/>
        <w:rPr>
          <w:rFonts w:hint="eastAsia" w:eastAsia="宋体"/>
          <w:color w:val="auto"/>
          <w:highlight w:val="none"/>
          <w:lang w:eastAsia="zh-CN"/>
        </w:rPr>
      </w:pPr>
      <w:r>
        <w:rPr>
          <w:rFonts w:hint="eastAsia" w:ascii="宋体" w:hAnsi="宋体" w:cs="宋体"/>
          <w:b/>
          <w:bCs/>
          <w:color w:val="auto"/>
          <w:highlight w:val="none"/>
        </w:rPr>
        <w:t>注：</w:t>
      </w:r>
      <w:r>
        <w:rPr>
          <w:rFonts w:hint="eastAsia" w:ascii="宋体" w:hAnsi="宋体" w:cs="宋体"/>
          <w:b/>
          <w:bCs/>
          <w:color w:val="auto"/>
          <w:szCs w:val="21"/>
          <w:highlight w:val="none"/>
        </w:rPr>
        <w:t>联合体投标的，联合体各方须分别提供</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如有</w:t>
      </w:r>
      <w:r>
        <w:rPr>
          <w:rFonts w:hint="eastAsia" w:ascii="宋体" w:hAnsi="宋体" w:cs="宋体"/>
          <w:b/>
          <w:bCs/>
          <w:color w:val="auto"/>
          <w:szCs w:val="21"/>
          <w:highlight w:val="none"/>
          <w:lang w:eastAsia="zh-CN"/>
        </w:rPr>
        <w:t>）</w:t>
      </w:r>
    </w:p>
    <w:p w14:paraId="3B858E55">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br w:type="page"/>
      </w:r>
      <w:r>
        <w:rPr>
          <w:rFonts w:hint="eastAsia" w:ascii="宋体" w:hAnsi="宋体" w:cs="宋体"/>
          <w:b/>
          <w:color w:val="auto"/>
          <w:sz w:val="30"/>
          <w:szCs w:val="30"/>
          <w:highlight w:val="none"/>
        </w:rPr>
        <w:t>投</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标</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函</w:t>
      </w:r>
    </w:p>
    <w:p w14:paraId="148DB3B3">
      <w:pPr>
        <w:spacing w:line="360" w:lineRule="auto"/>
        <w:rPr>
          <w:rFonts w:ascii="宋体" w:hAnsi="宋体"/>
          <w:b/>
          <w:color w:val="auto"/>
          <w:sz w:val="24"/>
          <w:highlight w:val="none"/>
        </w:rPr>
      </w:pPr>
      <w:r>
        <w:rPr>
          <w:rFonts w:hint="eastAsia" w:ascii="宋体" w:hAnsi="宋体"/>
          <w:b/>
          <w:color w:val="auto"/>
          <w:sz w:val="24"/>
          <w:highlight w:val="none"/>
          <w:lang w:eastAsia="zh-CN"/>
        </w:rPr>
        <w:t>宁波国研信息科技有限公司</w:t>
      </w:r>
      <w:r>
        <w:rPr>
          <w:rFonts w:hint="eastAsia" w:ascii="宋体" w:hAnsi="宋体"/>
          <w:b/>
          <w:color w:val="auto"/>
          <w:sz w:val="24"/>
          <w:highlight w:val="none"/>
        </w:rPr>
        <w:t>：</w:t>
      </w:r>
    </w:p>
    <w:p w14:paraId="4F9C8610">
      <w:pPr>
        <w:spacing w:line="360" w:lineRule="auto"/>
        <w:ind w:firstLine="420" w:firstLineChars="200"/>
        <w:rPr>
          <w:rFonts w:ascii="宋体" w:hAnsi="宋体"/>
          <w:color w:val="auto"/>
          <w:kern w:val="0"/>
          <w:highlight w:val="none"/>
        </w:rPr>
      </w:pPr>
      <w:r>
        <w:rPr>
          <w:rFonts w:hint="eastAsia" w:ascii="宋体" w:hAnsi="宋体"/>
          <w:color w:val="auto"/>
          <w:kern w:val="0"/>
          <w:highlight w:val="none"/>
          <w:u w:val="single"/>
        </w:rPr>
        <w:t xml:space="preserve">       &lt;投标人名称&gt;      </w:t>
      </w:r>
      <w:r>
        <w:rPr>
          <w:rFonts w:hint="eastAsia" w:ascii="宋体" w:hAnsi="宋体"/>
          <w:color w:val="auto"/>
          <w:kern w:val="0"/>
          <w:highlight w:val="none"/>
        </w:rPr>
        <w:t xml:space="preserve"> 正式授权</w:t>
      </w:r>
      <w:r>
        <w:rPr>
          <w:rFonts w:hint="eastAsia" w:ascii="宋体" w:hAnsi="宋体"/>
          <w:color w:val="auto"/>
          <w:kern w:val="0"/>
          <w:highlight w:val="none"/>
          <w:u w:val="single"/>
        </w:rPr>
        <w:t xml:space="preserve">      &lt;投标人代表姓名、职务、职称&gt;      </w:t>
      </w:r>
      <w:r>
        <w:rPr>
          <w:rFonts w:hint="eastAsia" w:ascii="宋体" w:hAnsi="宋体"/>
          <w:color w:val="auto"/>
          <w:kern w:val="0"/>
          <w:highlight w:val="none"/>
        </w:rPr>
        <w:t xml:space="preserve">为我方代表，参加贵方组织的 </w:t>
      </w:r>
      <w:r>
        <w:rPr>
          <w:rFonts w:hint="eastAsia" w:ascii="宋体" w:hAnsi="宋体"/>
          <w:color w:val="auto"/>
          <w:kern w:val="0"/>
          <w:highlight w:val="none"/>
          <w:u w:val="single"/>
        </w:rPr>
        <w:t xml:space="preserve">      &lt;项目名称、项目编号&gt;      </w:t>
      </w:r>
      <w:r>
        <w:rPr>
          <w:rFonts w:hint="eastAsia" w:ascii="宋体" w:hAnsi="宋体"/>
          <w:color w:val="auto"/>
          <w:kern w:val="0"/>
          <w:highlight w:val="none"/>
        </w:rPr>
        <w:t xml:space="preserve"> 项目公开招标的有关活动，并对此招标项目进行投标。为此：</w:t>
      </w:r>
    </w:p>
    <w:p w14:paraId="43C03156">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1. 我方同意在本招标项目招标文件中规定的开标日起90日历天内遵守本投标文件中的承诺且在此期限期满之前均具有约束力。</w:t>
      </w:r>
    </w:p>
    <w:p w14:paraId="6F492E82">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2．本项目投标总价见投标报价文件所附《开标一览表》的“投标总价”。</w:t>
      </w:r>
    </w:p>
    <w:p w14:paraId="6701FFF8">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3. 提供招标文件规定的全部投标文件。</w:t>
      </w:r>
    </w:p>
    <w:p w14:paraId="74B70FDE">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4. 如果我方中标，保证忠实地执行双方所签订的政府采购合同，并承担政府采购合同规定的责任和义务。</w:t>
      </w:r>
    </w:p>
    <w:p w14:paraId="6984F2B1">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5. 我方保证遵守招标文件的全部规定。</w:t>
      </w:r>
    </w:p>
    <w:p w14:paraId="6CC94A71">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6. 我方保证尊重评标委员会的评标结果，完全理解本招标项目不一定接受最低报价的投标。</w:t>
      </w:r>
    </w:p>
    <w:p w14:paraId="267A37A4">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7. 我方愿意向你中心提供任何与本招标项目投标有关的数据，并根据需要提供一切承诺的证明材料。</w:t>
      </w:r>
    </w:p>
    <w:p w14:paraId="3A699FC3">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8. 我方已详细审查全部招标文件，在投标之前已经与招标方进行了充分的沟通，完全理解并接受招标文件的各项规定和要求，对招标文件的合理性、合法性不再有异议。</w:t>
      </w:r>
    </w:p>
    <w:p w14:paraId="632DC0AC">
      <w:pPr>
        <w:spacing w:line="360" w:lineRule="auto"/>
        <w:ind w:firstLine="420" w:firstLineChars="200"/>
        <w:rPr>
          <w:rFonts w:ascii="宋体" w:hAnsi="宋体"/>
          <w:color w:val="auto"/>
          <w:kern w:val="0"/>
          <w:highlight w:val="none"/>
        </w:rPr>
      </w:pPr>
      <w:r>
        <w:rPr>
          <w:rFonts w:hint="eastAsia" w:ascii="宋体" w:hAnsi="宋体"/>
          <w:color w:val="auto"/>
          <w:kern w:val="0"/>
          <w:highlight w:val="none"/>
        </w:rPr>
        <w:t>9. 与本项目投标活动有关的一切正式往来信函请寄：</w:t>
      </w:r>
    </w:p>
    <w:p w14:paraId="7BE29CDF">
      <w:pPr>
        <w:spacing w:line="360" w:lineRule="auto"/>
        <w:rPr>
          <w:rFonts w:ascii="宋体" w:hAnsi="宋体"/>
          <w:color w:val="auto"/>
          <w:kern w:val="0"/>
          <w:szCs w:val="21"/>
          <w:highlight w:val="none"/>
        </w:rPr>
      </w:pPr>
      <w:r>
        <w:rPr>
          <w:rFonts w:hint="eastAsia" w:ascii="宋体" w:hAnsi="宋体"/>
          <w:color w:val="auto"/>
          <w:kern w:val="0"/>
          <w:szCs w:val="21"/>
          <w:highlight w:val="none"/>
        </w:rPr>
        <w:t>地址：</w:t>
      </w:r>
      <w:r>
        <w:rPr>
          <w:rFonts w:hint="eastAsia" w:ascii="宋体" w:hAnsi="宋体"/>
          <w:color w:val="auto"/>
          <w:kern w:val="0"/>
          <w:szCs w:val="21"/>
          <w:highlight w:val="none"/>
          <w:u w:val="single"/>
        </w:rPr>
        <w:t xml:space="preserve">                                                                         </w:t>
      </w:r>
    </w:p>
    <w:p w14:paraId="76DB0AD5">
      <w:pPr>
        <w:spacing w:line="360" w:lineRule="auto"/>
        <w:rPr>
          <w:rFonts w:ascii="宋体" w:hAnsi="宋体"/>
          <w:color w:val="auto"/>
          <w:kern w:val="0"/>
          <w:szCs w:val="21"/>
          <w:highlight w:val="none"/>
        </w:rPr>
      </w:pPr>
      <w:r>
        <w:rPr>
          <w:rFonts w:hint="eastAsia" w:ascii="宋体" w:hAnsi="宋体"/>
          <w:color w:val="auto"/>
          <w:kern w:val="0"/>
          <w:szCs w:val="21"/>
          <w:highlight w:val="none"/>
        </w:rPr>
        <w:t>邮编：</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电话：</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传真：</w:t>
      </w:r>
      <w:r>
        <w:rPr>
          <w:rFonts w:hint="eastAsia" w:ascii="宋体" w:hAnsi="宋体"/>
          <w:color w:val="auto"/>
          <w:kern w:val="0"/>
          <w:szCs w:val="21"/>
          <w:highlight w:val="none"/>
          <w:u w:val="single"/>
        </w:rPr>
        <w:t xml:space="preserve">                    </w:t>
      </w:r>
    </w:p>
    <w:p w14:paraId="4ACA4CD9">
      <w:pPr>
        <w:spacing w:line="360" w:lineRule="auto"/>
        <w:rPr>
          <w:color w:val="auto"/>
          <w:kern w:val="0"/>
          <w:highlight w:val="none"/>
        </w:rPr>
      </w:pPr>
    </w:p>
    <w:p w14:paraId="728D6019">
      <w:pPr>
        <w:spacing w:line="360" w:lineRule="auto"/>
        <w:ind w:firstLine="3675" w:firstLineChars="1750"/>
        <w:rPr>
          <w:rFonts w:ascii="宋体" w:hAnsi="宋体"/>
          <w:color w:val="auto"/>
          <w:kern w:val="0"/>
          <w:szCs w:val="21"/>
          <w:highlight w:val="none"/>
          <w:u w:val="single"/>
        </w:rPr>
      </w:pPr>
      <w:r>
        <w:rPr>
          <w:rFonts w:hint="eastAsia" w:ascii="宋体" w:hAnsi="宋体"/>
          <w:color w:val="auto"/>
          <w:kern w:val="0"/>
          <w:szCs w:val="21"/>
          <w:highlight w:val="none"/>
        </w:rPr>
        <w:t xml:space="preserve">投标人（盖章）： </w:t>
      </w:r>
      <w:r>
        <w:rPr>
          <w:rFonts w:hint="eastAsia" w:ascii="宋体" w:hAnsi="宋体"/>
          <w:color w:val="auto"/>
          <w:kern w:val="0"/>
          <w:szCs w:val="21"/>
          <w:highlight w:val="none"/>
          <w:u w:val="single"/>
        </w:rPr>
        <w:t xml:space="preserve">                                </w:t>
      </w:r>
    </w:p>
    <w:p w14:paraId="767B5D20">
      <w:pPr>
        <w:spacing w:line="360" w:lineRule="auto"/>
        <w:ind w:firstLine="3675" w:firstLineChars="1750"/>
        <w:rPr>
          <w:rFonts w:ascii="宋体" w:hAnsi="宋体"/>
          <w:color w:val="auto"/>
          <w:kern w:val="0"/>
          <w:szCs w:val="21"/>
          <w:highlight w:val="none"/>
          <w:u w:val="single"/>
        </w:rPr>
      </w:pPr>
      <w:r>
        <w:rPr>
          <w:rFonts w:hint="eastAsia" w:ascii="宋体" w:hAnsi="宋体"/>
          <w:color w:val="auto"/>
          <w:kern w:val="0"/>
          <w:szCs w:val="21"/>
          <w:highlight w:val="none"/>
        </w:rPr>
        <w:t>法定代表人（或全权代表）签字或盖章：</w:t>
      </w:r>
      <w:r>
        <w:rPr>
          <w:rFonts w:hint="eastAsia" w:ascii="宋体" w:hAnsi="宋体"/>
          <w:color w:val="auto"/>
          <w:kern w:val="0"/>
          <w:szCs w:val="21"/>
          <w:highlight w:val="none"/>
          <w:u w:val="single"/>
        </w:rPr>
        <w:t xml:space="preserve">              </w:t>
      </w:r>
    </w:p>
    <w:p w14:paraId="77473917">
      <w:pPr>
        <w:spacing w:line="360" w:lineRule="auto"/>
        <w:ind w:firstLine="3675" w:firstLineChars="1750"/>
        <w:rPr>
          <w:rFonts w:ascii="宋体" w:hAnsi="宋体"/>
          <w:color w:val="auto"/>
          <w:kern w:val="0"/>
          <w:szCs w:val="21"/>
          <w:highlight w:val="none"/>
          <w:u w:val="single"/>
        </w:rPr>
      </w:pPr>
      <w:r>
        <w:rPr>
          <w:rFonts w:hint="eastAsia" w:ascii="宋体" w:hAnsi="宋体"/>
          <w:color w:val="auto"/>
          <w:kern w:val="0"/>
          <w:szCs w:val="21"/>
          <w:highlight w:val="none"/>
        </w:rPr>
        <w:t>日   期：</w:t>
      </w:r>
      <w:r>
        <w:rPr>
          <w:rFonts w:hint="eastAsia" w:ascii="宋体" w:hAnsi="宋体"/>
          <w:color w:val="auto"/>
          <w:kern w:val="0"/>
          <w:szCs w:val="21"/>
          <w:highlight w:val="none"/>
          <w:u w:val="single"/>
        </w:rPr>
        <w:t xml:space="preserve">                                         </w:t>
      </w:r>
    </w:p>
    <w:p w14:paraId="316FC621">
      <w:pPr>
        <w:spacing w:line="360" w:lineRule="auto"/>
        <w:rPr>
          <w:rFonts w:ascii="宋体" w:hAnsi="宋体"/>
          <w:color w:val="auto"/>
          <w:kern w:val="0"/>
          <w:highlight w:val="none"/>
        </w:rPr>
      </w:pPr>
    </w:p>
    <w:p w14:paraId="02E6E21E">
      <w:pPr>
        <w:spacing w:after="240" w:afterLines="100" w:line="360" w:lineRule="auto"/>
        <w:jc w:val="center"/>
        <w:outlineLvl w:val="0"/>
        <w:rPr>
          <w:rFonts w:ascii="宋体" w:hAnsi="宋体" w:cs="宋体"/>
          <w:b/>
          <w:color w:val="auto"/>
          <w:sz w:val="30"/>
          <w:szCs w:val="30"/>
          <w:highlight w:val="none"/>
        </w:rPr>
      </w:pPr>
      <w:r>
        <w:rPr>
          <w:rFonts w:ascii="宋体" w:hAnsi="宋体"/>
          <w:color w:val="auto"/>
          <w:highlight w:val="none"/>
        </w:rPr>
        <w:br w:type="page"/>
      </w:r>
      <w:r>
        <w:rPr>
          <w:rFonts w:hint="eastAsia" w:ascii="宋体" w:hAnsi="宋体" w:cs="宋体"/>
          <w:b/>
          <w:color w:val="auto"/>
          <w:sz w:val="30"/>
          <w:szCs w:val="30"/>
          <w:highlight w:val="none"/>
        </w:rPr>
        <w:t>开</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标</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一</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览</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表</w:t>
      </w:r>
    </w:p>
    <w:p w14:paraId="580D023C">
      <w:pPr>
        <w:spacing w:before="120" w:beforeLines="50" w:after="240" w:afterLines="100"/>
        <w:rPr>
          <w:rFonts w:ascii="宋体" w:hAnsi="宋体"/>
          <w:b/>
          <w:bCs/>
          <w:color w:val="auto"/>
          <w:spacing w:val="20"/>
          <w:szCs w:val="21"/>
          <w:highlight w:val="none"/>
          <w:u w:val="single"/>
        </w:rPr>
      </w:pPr>
      <w:r>
        <w:rPr>
          <w:rFonts w:hint="eastAsia" w:ascii="宋体" w:hAnsi="宋体"/>
          <w:color w:val="auto"/>
          <w:szCs w:val="21"/>
          <w:highlight w:val="none"/>
        </w:rPr>
        <w:t>项目编号：</w:t>
      </w:r>
      <w:r>
        <w:rPr>
          <w:rFonts w:hint="eastAsia" w:ascii="宋体" w:hAnsi="宋体"/>
          <w:b/>
          <w:bCs/>
          <w:color w:val="auto"/>
          <w:spacing w:val="20"/>
          <w:szCs w:val="21"/>
          <w:highlight w:val="none"/>
          <w:u w:val="single"/>
        </w:rPr>
        <w:t xml:space="preserve">             </w:t>
      </w:r>
    </w:p>
    <w:tbl>
      <w:tblPr>
        <w:tblStyle w:val="28"/>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4"/>
        <w:gridCol w:w="6087"/>
      </w:tblGrid>
      <w:tr w14:paraId="55DC7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934" w:type="dxa"/>
            <w:noWrap w:val="0"/>
            <w:vAlign w:val="center"/>
          </w:tcPr>
          <w:p w14:paraId="6337492A">
            <w:pPr>
              <w:jc w:val="center"/>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项目名称</w:t>
            </w:r>
          </w:p>
        </w:tc>
        <w:tc>
          <w:tcPr>
            <w:tcW w:w="6087" w:type="dxa"/>
            <w:noWrap w:val="0"/>
            <w:vAlign w:val="center"/>
          </w:tcPr>
          <w:p w14:paraId="355DF866">
            <w:pPr>
              <w:widowControl/>
              <w:jc w:val="center"/>
              <w:rPr>
                <w:rFonts w:hint="default" w:ascii="宋体" w:hAnsi="宋体" w:eastAsia="宋体"/>
                <w:b/>
                <w:bCs/>
                <w:color w:val="auto"/>
                <w:szCs w:val="21"/>
                <w:highlight w:val="none"/>
                <w:lang w:val="en-US" w:eastAsia="zh-CN"/>
              </w:rPr>
            </w:pPr>
            <w:r>
              <w:rPr>
                <w:rFonts w:hint="eastAsia" w:ascii="宋体" w:hAnsi="宋体" w:cs="宋体"/>
                <w:b/>
                <w:bCs/>
                <w:color w:val="auto"/>
                <w:kern w:val="0"/>
                <w:szCs w:val="21"/>
                <w:highlight w:val="none"/>
              </w:rPr>
              <w:t>投标</w:t>
            </w:r>
            <w:r>
              <w:rPr>
                <w:rFonts w:hint="eastAsia" w:ascii="宋体" w:hAnsi="宋体" w:cs="宋体"/>
                <w:b/>
                <w:bCs/>
                <w:color w:val="auto"/>
                <w:kern w:val="0"/>
                <w:szCs w:val="21"/>
                <w:highlight w:val="none"/>
                <w:lang w:val="en-US" w:eastAsia="zh-CN"/>
              </w:rPr>
              <w:t>总</w:t>
            </w:r>
            <w:r>
              <w:rPr>
                <w:rFonts w:hint="eastAsia" w:ascii="宋体" w:hAnsi="宋体" w:cs="宋体"/>
                <w:b/>
                <w:bCs/>
                <w:color w:val="auto"/>
                <w:kern w:val="0"/>
                <w:szCs w:val="21"/>
                <w:highlight w:val="none"/>
              </w:rPr>
              <w:t>价（人民币）</w:t>
            </w:r>
          </w:p>
        </w:tc>
      </w:tr>
      <w:tr w14:paraId="0DAD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2934" w:type="dxa"/>
            <w:noWrap w:val="0"/>
            <w:vAlign w:val="center"/>
          </w:tcPr>
          <w:p w14:paraId="3DF431A2">
            <w:pPr>
              <w:widowControl/>
              <w:jc w:val="center"/>
              <w:rPr>
                <w:rFonts w:hint="eastAsia" w:ascii="宋体" w:hAnsi="宋体" w:eastAsia="宋体" w:cs="宋体"/>
                <w:b/>
                <w:color w:val="auto"/>
                <w:kern w:val="1"/>
                <w:szCs w:val="21"/>
                <w:highlight w:val="none"/>
                <w:lang w:eastAsia="zh-CN"/>
              </w:rPr>
            </w:pPr>
            <w:r>
              <w:rPr>
                <w:rFonts w:hint="eastAsia" w:ascii="宋体" w:hAnsi="宋体" w:eastAsia="宋体" w:cs="宋体"/>
                <w:color w:val="auto"/>
                <w:szCs w:val="21"/>
                <w:highlight w:val="none"/>
                <w:lang w:val="en-US" w:eastAsia="zh-CN"/>
              </w:rPr>
              <w:t>北仑区体育赛事数字化应用项目</w:t>
            </w:r>
          </w:p>
        </w:tc>
        <w:tc>
          <w:tcPr>
            <w:tcW w:w="6087" w:type="dxa"/>
            <w:noWrap w:val="0"/>
            <w:vAlign w:val="center"/>
          </w:tcPr>
          <w:p w14:paraId="5BCC8949">
            <w:pPr>
              <w:widowControl/>
              <w:jc w:val="both"/>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小写</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u w:val="single"/>
                <w:lang w:val="en-US" w:eastAsia="zh-CN"/>
              </w:rPr>
              <w:t xml:space="preserve">             </w:t>
            </w:r>
            <w:r>
              <w:rPr>
                <w:rFonts w:hint="eastAsia" w:ascii="宋体" w:hAnsi="宋体" w:cs="宋体"/>
                <w:b/>
                <w:bCs/>
                <w:color w:val="auto"/>
                <w:kern w:val="0"/>
                <w:szCs w:val="21"/>
                <w:highlight w:val="none"/>
              </w:rPr>
              <w:t>元</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大</w:t>
            </w:r>
            <w:r>
              <w:rPr>
                <w:rFonts w:hint="eastAsia" w:ascii="宋体" w:hAnsi="宋体"/>
                <w:b/>
                <w:bCs/>
                <w:color w:val="auto"/>
                <w:szCs w:val="21"/>
                <w:highlight w:val="none"/>
              </w:rPr>
              <w:t>写：</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元</w:t>
            </w:r>
          </w:p>
          <w:p w14:paraId="0E3850C0">
            <w:pPr>
              <w:pStyle w:val="12"/>
              <w:jc w:val="both"/>
              <w:rPr>
                <w:rFonts w:hint="eastAsia" w:ascii="宋体" w:hAnsi="宋体" w:eastAsia="宋体" w:cs="宋体"/>
                <w:b/>
                <w:bCs/>
                <w:i w:val="0"/>
                <w:iCs w:val="0"/>
                <w:color w:val="auto"/>
                <w:kern w:val="0"/>
                <w:sz w:val="21"/>
                <w:szCs w:val="21"/>
                <w:highlight w:val="none"/>
                <w:lang w:val="en-US" w:eastAsia="zh-CN" w:bidi="ar-SA"/>
              </w:rPr>
            </w:pPr>
          </w:p>
          <w:p w14:paraId="033C66D1">
            <w:pPr>
              <w:pStyle w:val="12"/>
              <w:jc w:val="both"/>
              <w:rPr>
                <w:rFonts w:hint="default" w:ascii="宋体" w:hAnsi="宋体" w:eastAsia="宋体" w:cs="宋体"/>
                <w:b/>
                <w:bCs/>
                <w:i w:val="0"/>
                <w:iCs w:val="0"/>
                <w:color w:val="auto"/>
                <w:kern w:val="0"/>
                <w:sz w:val="21"/>
                <w:szCs w:val="21"/>
                <w:highlight w:val="none"/>
                <w:lang w:val="en-US" w:eastAsia="zh-CN" w:bidi="ar-SA"/>
              </w:rPr>
            </w:pPr>
            <w:r>
              <w:rPr>
                <w:rFonts w:hint="eastAsia" w:ascii="宋体" w:hAnsi="宋体" w:eastAsia="宋体" w:cs="宋体"/>
                <w:b/>
                <w:bCs/>
                <w:i w:val="0"/>
                <w:iCs w:val="0"/>
                <w:color w:val="auto"/>
                <w:kern w:val="0"/>
                <w:sz w:val="21"/>
                <w:szCs w:val="21"/>
                <w:highlight w:val="none"/>
                <w:lang w:val="en-US" w:eastAsia="zh-CN" w:bidi="ar-SA"/>
              </w:rPr>
              <w:t>其中：</w:t>
            </w:r>
          </w:p>
          <w:p w14:paraId="3FCF99F8">
            <w:pPr>
              <w:pStyle w:val="12"/>
              <w:jc w:val="center"/>
              <w:rPr>
                <w:rFonts w:hint="eastAsia" w:ascii="宋体" w:hAnsi="宋体" w:eastAsia="宋体" w:cs="宋体"/>
                <w:b/>
                <w:bCs/>
                <w:i w:val="0"/>
                <w:iCs w:val="0"/>
                <w:color w:val="auto"/>
                <w:kern w:val="0"/>
                <w:sz w:val="22"/>
                <w:szCs w:val="22"/>
                <w:highlight w:val="none"/>
                <w:lang w:val="en-US" w:eastAsia="zh-CN" w:bidi="ar-SA"/>
              </w:rPr>
            </w:pPr>
            <w:r>
              <w:rPr>
                <w:rFonts w:hint="eastAsia" w:ascii="宋体" w:hAnsi="宋体" w:eastAsia="宋体" w:cs="宋体"/>
                <w:b/>
                <w:bCs/>
                <w:i w:val="0"/>
                <w:iCs w:val="0"/>
                <w:color w:val="auto"/>
                <w:kern w:val="0"/>
                <w:sz w:val="21"/>
                <w:szCs w:val="21"/>
                <w:highlight w:val="none"/>
                <w:lang w:val="en-US" w:eastAsia="zh-CN" w:bidi="ar-SA"/>
              </w:rPr>
              <w:t>应用开发报价：</w:t>
            </w:r>
            <w:r>
              <w:rPr>
                <w:rFonts w:hint="eastAsia" w:ascii="宋体" w:hAnsi="宋体" w:eastAsia="宋体" w:cs="宋体"/>
                <w:b/>
                <w:bCs/>
                <w:i w:val="0"/>
                <w:iCs w:val="0"/>
                <w:color w:val="auto"/>
                <w:kern w:val="0"/>
                <w:sz w:val="20"/>
                <w:szCs w:val="22"/>
                <w:highlight w:val="none"/>
              </w:rPr>
              <w:t>小写</w:t>
            </w:r>
            <w:r>
              <w:rPr>
                <w:rFonts w:hint="eastAsia" w:ascii="宋体" w:hAnsi="宋体" w:eastAsia="宋体" w:cs="宋体"/>
                <w:b/>
                <w:bCs/>
                <w:i w:val="0"/>
                <w:iCs w:val="0"/>
                <w:color w:val="auto"/>
                <w:kern w:val="0"/>
                <w:sz w:val="20"/>
                <w:szCs w:val="22"/>
                <w:highlight w:val="none"/>
                <w:lang w:eastAsia="zh-CN"/>
              </w:rPr>
              <w:t>：</w:t>
            </w:r>
            <w:r>
              <w:rPr>
                <w:rFonts w:hint="eastAsia" w:ascii="宋体" w:hAnsi="宋体" w:eastAsia="宋体" w:cs="宋体"/>
                <w:b/>
                <w:bCs/>
                <w:i w:val="0"/>
                <w:iCs w:val="0"/>
                <w:color w:val="auto"/>
                <w:kern w:val="0"/>
                <w:sz w:val="20"/>
                <w:szCs w:val="22"/>
                <w:highlight w:val="none"/>
                <w:u w:val="single"/>
                <w:lang w:val="en-US" w:eastAsia="zh-CN"/>
              </w:rPr>
              <w:t xml:space="preserve">            </w:t>
            </w:r>
            <w:r>
              <w:rPr>
                <w:rFonts w:hint="eastAsia" w:ascii="宋体" w:hAnsi="宋体" w:eastAsia="宋体" w:cs="宋体"/>
                <w:b/>
                <w:bCs/>
                <w:i w:val="0"/>
                <w:iCs w:val="0"/>
                <w:color w:val="auto"/>
                <w:kern w:val="0"/>
                <w:sz w:val="20"/>
                <w:szCs w:val="22"/>
                <w:highlight w:val="none"/>
              </w:rPr>
              <w:t>元</w:t>
            </w:r>
            <w:r>
              <w:rPr>
                <w:rFonts w:hint="eastAsia" w:ascii="宋体" w:hAnsi="宋体" w:eastAsia="宋体" w:cs="宋体"/>
                <w:b/>
                <w:bCs/>
                <w:i w:val="0"/>
                <w:iCs w:val="0"/>
                <w:color w:val="auto"/>
                <w:kern w:val="0"/>
                <w:sz w:val="20"/>
                <w:szCs w:val="22"/>
                <w:highlight w:val="none"/>
                <w:lang w:eastAsia="zh-CN"/>
              </w:rPr>
              <w:t>，</w:t>
            </w:r>
            <w:r>
              <w:rPr>
                <w:rFonts w:hint="eastAsia" w:ascii="宋体" w:hAnsi="宋体" w:eastAsia="宋体" w:cs="宋体"/>
                <w:b/>
                <w:bCs/>
                <w:i w:val="0"/>
                <w:iCs w:val="0"/>
                <w:color w:val="auto"/>
                <w:kern w:val="0"/>
                <w:sz w:val="20"/>
                <w:szCs w:val="22"/>
                <w:highlight w:val="none"/>
                <w:lang w:val="en-US" w:eastAsia="zh-CN"/>
              </w:rPr>
              <w:t>大</w:t>
            </w:r>
            <w:r>
              <w:rPr>
                <w:rFonts w:hint="eastAsia" w:ascii="宋体" w:hAnsi="宋体" w:eastAsia="宋体" w:cs="宋体"/>
                <w:b/>
                <w:bCs/>
                <w:i w:val="0"/>
                <w:iCs w:val="0"/>
                <w:color w:val="auto"/>
                <w:sz w:val="20"/>
                <w:szCs w:val="22"/>
                <w:highlight w:val="none"/>
              </w:rPr>
              <w:t>写：</w:t>
            </w:r>
            <w:r>
              <w:rPr>
                <w:rFonts w:hint="eastAsia" w:ascii="宋体" w:hAnsi="宋体" w:eastAsia="宋体" w:cs="宋体"/>
                <w:b/>
                <w:bCs/>
                <w:i w:val="0"/>
                <w:iCs w:val="0"/>
                <w:color w:val="auto"/>
                <w:sz w:val="20"/>
                <w:szCs w:val="22"/>
                <w:highlight w:val="none"/>
                <w:u w:val="single"/>
              </w:rPr>
              <w:t xml:space="preserve">             </w:t>
            </w:r>
            <w:r>
              <w:rPr>
                <w:rFonts w:hint="eastAsia" w:ascii="宋体" w:hAnsi="宋体" w:eastAsia="宋体" w:cs="宋体"/>
                <w:b/>
                <w:bCs/>
                <w:i w:val="0"/>
                <w:iCs w:val="0"/>
                <w:color w:val="auto"/>
                <w:sz w:val="20"/>
                <w:szCs w:val="22"/>
                <w:highlight w:val="none"/>
              </w:rPr>
              <w:t>元</w:t>
            </w:r>
          </w:p>
          <w:p w14:paraId="7FFAA7C0">
            <w:pPr>
              <w:pStyle w:val="13"/>
              <w:ind w:left="0" w:leftChars="0" w:firstLine="0" w:firstLineChars="0"/>
              <w:jc w:val="both"/>
              <w:rPr>
                <w:rFonts w:hint="eastAsia" w:ascii="宋体" w:hAnsi="宋体" w:eastAsia="宋体" w:cs="宋体"/>
                <w:color w:val="auto"/>
                <w:highlight w:val="none"/>
                <w:lang w:val="en-US" w:eastAsia="zh-CN"/>
              </w:rPr>
            </w:pPr>
            <w:r>
              <w:rPr>
                <w:rFonts w:hint="eastAsia" w:ascii="宋体" w:hAnsi="宋体" w:eastAsia="宋体" w:cs="宋体"/>
                <w:b/>
                <w:bCs/>
                <w:i w:val="0"/>
                <w:iCs w:val="0"/>
                <w:color w:val="auto"/>
                <w:kern w:val="0"/>
                <w:sz w:val="21"/>
                <w:szCs w:val="21"/>
                <w:highlight w:val="none"/>
                <w:lang w:val="en-US" w:eastAsia="zh-CN" w:bidi="ar-SA"/>
              </w:rPr>
              <w:t>基础设施层报价：</w:t>
            </w:r>
            <w:r>
              <w:rPr>
                <w:rFonts w:hint="eastAsia" w:ascii="宋体" w:hAnsi="宋体" w:eastAsia="宋体" w:cs="宋体"/>
                <w:b/>
                <w:bCs/>
                <w:i w:val="0"/>
                <w:iCs w:val="0"/>
                <w:color w:val="auto"/>
                <w:kern w:val="0"/>
                <w:szCs w:val="21"/>
                <w:highlight w:val="none"/>
              </w:rPr>
              <w:t>小写</w:t>
            </w:r>
            <w:r>
              <w:rPr>
                <w:rFonts w:hint="eastAsia" w:ascii="宋体" w:hAnsi="宋体" w:eastAsia="宋体" w:cs="宋体"/>
                <w:b/>
                <w:bCs/>
                <w:i w:val="0"/>
                <w:iCs w:val="0"/>
                <w:color w:val="auto"/>
                <w:kern w:val="0"/>
                <w:szCs w:val="21"/>
                <w:highlight w:val="none"/>
                <w:lang w:eastAsia="zh-CN"/>
              </w:rPr>
              <w:t>：</w:t>
            </w:r>
            <w:r>
              <w:rPr>
                <w:rFonts w:hint="eastAsia" w:ascii="宋体" w:hAnsi="宋体" w:eastAsia="宋体" w:cs="宋体"/>
                <w:b/>
                <w:bCs/>
                <w:i w:val="0"/>
                <w:iCs w:val="0"/>
                <w:color w:val="auto"/>
                <w:kern w:val="0"/>
                <w:szCs w:val="21"/>
                <w:highlight w:val="none"/>
                <w:u w:val="single"/>
                <w:lang w:val="en-US" w:eastAsia="zh-CN"/>
              </w:rPr>
              <w:t xml:space="preserve">           </w:t>
            </w:r>
            <w:r>
              <w:rPr>
                <w:rFonts w:hint="eastAsia" w:ascii="宋体" w:hAnsi="宋体" w:eastAsia="宋体" w:cs="宋体"/>
                <w:b/>
                <w:bCs/>
                <w:i w:val="0"/>
                <w:iCs w:val="0"/>
                <w:color w:val="auto"/>
                <w:kern w:val="0"/>
                <w:szCs w:val="21"/>
                <w:highlight w:val="none"/>
              </w:rPr>
              <w:t>元</w:t>
            </w:r>
            <w:r>
              <w:rPr>
                <w:rFonts w:hint="eastAsia" w:ascii="宋体" w:hAnsi="宋体" w:eastAsia="宋体" w:cs="宋体"/>
                <w:b/>
                <w:bCs/>
                <w:i w:val="0"/>
                <w:iCs w:val="0"/>
                <w:color w:val="auto"/>
                <w:kern w:val="0"/>
                <w:szCs w:val="21"/>
                <w:highlight w:val="none"/>
                <w:lang w:eastAsia="zh-CN"/>
              </w:rPr>
              <w:t>，</w:t>
            </w:r>
            <w:r>
              <w:rPr>
                <w:rFonts w:hint="eastAsia" w:ascii="宋体" w:hAnsi="宋体" w:eastAsia="宋体" w:cs="宋体"/>
                <w:b/>
                <w:bCs/>
                <w:i w:val="0"/>
                <w:iCs w:val="0"/>
                <w:color w:val="auto"/>
                <w:kern w:val="0"/>
                <w:szCs w:val="21"/>
                <w:highlight w:val="none"/>
                <w:lang w:val="en-US" w:eastAsia="zh-CN"/>
              </w:rPr>
              <w:t>大</w:t>
            </w:r>
            <w:r>
              <w:rPr>
                <w:rFonts w:hint="eastAsia" w:ascii="宋体" w:hAnsi="宋体" w:eastAsia="宋体" w:cs="宋体"/>
                <w:b/>
                <w:bCs/>
                <w:i w:val="0"/>
                <w:iCs w:val="0"/>
                <w:color w:val="auto"/>
                <w:szCs w:val="21"/>
                <w:highlight w:val="none"/>
              </w:rPr>
              <w:t>写：</w:t>
            </w:r>
            <w:r>
              <w:rPr>
                <w:rFonts w:hint="eastAsia" w:ascii="宋体" w:hAnsi="宋体" w:eastAsia="宋体" w:cs="宋体"/>
                <w:b/>
                <w:bCs/>
                <w:i w:val="0"/>
                <w:iCs w:val="0"/>
                <w:color w:val="auto"/>
                <w:szCs w:val="21"/>
                <w:highlight w:val="none"/>
                <w:u w:val="single"/>
              </w:rPr>
              <w:t xml:space="preserve">             </w:t>
            </w:r>
            <w:r>
              <w:rPr>
                <w:rFonts w:hint="eastAsia" w:ascii="宋体" w:hAnsi="宋体" w:eastAsia="宋体" w:cs="宋体"/>
                <w:b/>
                <w:bCs/>
                <w:i w:val="0"/>
                <w:iCs w:val="0"/>
                <w:color w:val="auto"/>
                <w:szCs w:val="21"/>
                <w:highlight w:val="none"/>
              </w:rPr>
              <w:t>元</w:t>
            </w:r>
          </w:p>
        </w:tc>
      </w:tr>
    </w:tbl>
    <w:p w14:paraId="1FB47AE1">
      <w:pPr>
        <w:spacing w:line="360" w:lineRule="auto"/>
        <w:rPr>
          <w:rFonts w:hint="eastAsia" w:ascii="宋体" w:hAnsi="宋体"/>
          <w:b/>
          <w:color w:val="auto"/>
          <w:highlight w:val="none"/>
        </w:rPr>
      </w:pPr>
    </w:p>
    <w:p w14:paraId="326F2537">
      <w:pPr>
        <w:spacing w:line="360" w:lineRule="auto"/>
        <w:rPr>
          <w:rFonts w:ascii="宋体" w:hAnsi="宋体"/>
          <w:b/>
          <w:color w:val="auto"/>
          <w:highlight w:val="none"/>
        </w:rPr>
      </w:pPr>
      <w:r>
        <w:rPr>
          <w:rFonts w:hint="eastAsia" w:ascii="宋体" w:hAnsi="宋体"/>
          <w:b/>
          <w:color w:val="auto"/>
          <w:highlight w:val="none"/>
        </w:rPr>
        <w:t>说明：</w:t>
      </w:r>
    </w:p>
    <w:p w14:paraId="16613EA1">
      <w:pPr>
        <w:pStyle w:val="10"/>
        <w:spacing w:line="360" w:lineRule="auto"/>
        <w:ind w:firstLine="0"/>
        <w:rPr>
          <w:rFonts w:ascii="宋体" w:hAnsi="Times New Roman" w:eastAsia="宋体" w:cs="Times New Roman"/>
          <w:color w:val="auto"/>
          <w:highlight w:val="none"/>
        </w:rPr>
      </w:pPr>
      <w:r>
        <w:rPr>
          <w:rFonts w:ascii="宋体" w:hAnsi="Times New Roman" w:eastAsia="宋体" w:cs="Times New Roman"/>
          <w:color w:val="auto"/>
          <w:highlight w:val="none"/>
        </w:rPr>
        <w:t>1</w:t>
      </w:r>
      <w:r>
        <w:rPr>
          <w:rFonts w:hint="eastAsia" w:ascii="宋体" w:hAnsi="Times New Roman" w:eastAsia="宋体" w:cs="Times New Roman"/>
          <w:color w:val="auto"/>
          <w:highlight w:val="none"/>
        </w:rPr>
        <w:t>、报价一经涂改，应在涂改处加盖单位公章或者由法定代表人或授权委托人签字或盖章，否则其投标作无效标处理。</w:t>
      </w:r>
    </w:p>
    <w:p w14:paraId="670C9162">
      <w:pPr>
        <w:pStyle w:val="10"/>
        <w:spacing w:line="360" w:lineRule="auto"/>
        <w:ind w:firstLine="0"/>
        <w:rPr>
          <w:color w:val="auto"/>
          <w:highlight w:val="none"/>
        </w:rPr>
      </w:pPr>
      <w:r>
        <w:rPr>
          <w:rFonts w:hint="eastAsia" w:ascii="宋体" w:hAnsi="Times New Roman" w:eastAsia="宋体" w:cs="Times New Roman"/>
          <w:color w:val="auto"/>
          <w:highlight w:val="none"/>
        </w:rPr>
        <w:t>2、本表格的“投标总价”应与投标报价明细表</w:t>
      </w:r>
      <w:r>
        <w:rPr>
          <w:rFonts w:hint="eastAsia" w:ascii="宋体" w:hAnsi="Times New Roman" w:eastAsia="宋体" w:cs="Times New Roman"/>
          <w:color w:val="auto"/>
          <w:highlight w:val="none"/>
          <w:lang w:eastAsia="zh-CN"/>
        </w:rPr>
        <w:t>（</w:t>
      </w:r>
      <w:r>
        <w:rPr>
          <w:rFonts w:hint="eastAsia" w:ascii="宋体" w:hAnsi="宋体" w:eastAsia="宋体" w:cs="宋体"/>
          <w:b w:val="0"/>
          <w:bCs w:val="0"/>
          <w:color w:val="auto"/>
          <w:szCs w:val="21"/>
          <w:highlight w:val="none"/>
          <w:lang w:val="en-US" w:eastAsia="zh-CN"/>
        </w:rPr>
        <w:t>应用开发+基础设施层</w:t>
      </w:r>
      <w:r>
        <w:rPr>
          <w:rFonts w:hint="eastAsia" w:ascii="宋体" w:hAnsi="Times New Roman" w:eastAsia="宋体" w:cs="Times New Roman"/>
          <w:color w:val="auto"/>
          <w:highlight w:val="none"/>
          <w:lang w:eastAsia="zh-CN"/>
        </w:rPr>
        <w:t>）</w:t>
      </w:r>
      <w:r>
        <w:rPr>
          <w:rFonts w:hint="eastAsia" w:ascii="宋体" w:hAnsi="Times New Roman" w:eastAsia="宋体" w:cs="Times New Roman"/>
          <w:color w:val="auto"/>
          <w:highlight w:val="none"/>
          <w:lang w:val="en-US" w:eastAsia="zh-CN"/>
        </w:rPr>
        <w:t>投标总价之和</w:t>
      </w:r>
      <w:r>
        <w:rPr>
          <w:rFonts w:hint="eastAsia" w:ascii="宋体" w:hAnsi="Times New Roman" w:eastAsia="宋体" w:cs="Times New Roman"/>
          <w:color w:val="auto"/>
          <w:highlight w:val="none"/>
        </w:rPr>
        <w:t>一致。</w:t>
      </w:r>
    </w:p>
    <w:p w14:paraId="54607755">
      <w:pPr>
        <w:spacing w:before="120" w:beforeLines="50" w:after="120" w:afterLines="50" w:line="360" w:lineRule="auto"/>
        <w:rPr>
          <w:rFonts w:hint="eastAsia" w:ascii="宋体" w:hAnsi="Times New Roman" w:eastAsia="宋体" w:cs="Times New Roman"/>
          <w:b w:val="0"/>
          <w:bCs w:val="0"/>
          <w:color w:val="auto"/>
          <w:highlight w:val="none"/>
          <w:lang w:eastAsia="zh-CN"/>
        </w:rPr>
      </w:pPr>
      <w:r>
        <w:rPr>
          <w:rFonts w:hint="eastAsia" w:ascii="宋体" w:hAnsi="Times New Roman" w:eastAsia="宋体" w:cs="Times New Roman"/>
          <w:color w:val="auto"/>
          <w:highlight w:val="none"/>
          <w:lang w:val="en-US" w:eastAsia="zh-CN"/>
        </w:rPr>
        <w:t>3、</w:t>
      </w:r>
      <w:r>
        <w:rPr>
          <w:rFonts w:hint="eastAsia" w:ascii="宋体" w:hAnsi="Times New Roman" w:eastAsia="宋体" w:cs="Times New Roman"/>
          <w:color w:val="auto"/>
          <w:highlight w:val="none"/>
        </w:rPr>
        <w:t>本项目投标应以人民币报价，本项目最高限价为</w:t>
      </w:r>
      <w:r>
        <w:rPr>
          <w:rFonts w:hint="eastAsia" w:ascii="宋体" w:hAnsi="Times New Roman" w:eastAsia="宋体" w:cs="Times New Roman"/>
          <w:color w:val="auto"/>
          <w:highlight w:val="none"/>
          <w:lang w:val="en-US" w:eastAsia="zh-CN"/>
        </w:rPr>
        <w:t>3938000</w:t>
      </w:r>
      <w:r>
        <w:rPr>
          <w:rFonts w:hint="eastAsia" w:ascii="宋体" w:hAnsi="Times New Roman" w:eastAsia="宋体" w:cs="Times New Roman"/>
          <w:color w:val="auto"/>
          <w:highlight w:val="none"/>
          <w:lang w:val="en-US"/>
        </w:rPr>
        <w:t>元</w:t>
      </w:r>
      <w:r>
        <w:rPr>
          <w:rFonts w:hint="eastAsia" w:ascii="宋体" w:hAnsi="宋体" w:eastAsia="宋体" w:cs="宋体"/>
          <w:b w:val="0"/>
          <w:bCs w:val="0"/>
          <w:color w:val="auto"/>
          <w:szCs w:val="21"/>
          <w:highlight w:val="none"/>
          <w:lang w:val="en-US" w:eastAsia="zh-CN"/>
        </w:rPr>
        <w:t>（其中应用开发1305000元，基础设施层2633000元）</w:t>
      </w:r>
      <w:r>
        <w:rPr>
          <w:rFonts w:hint="eastAsia" w:ascii="宋体" w:hAnsi="Times New Roman" w:eastAsia="宋体" w:cs="Times New Roman"/>
          <w:b w:val="0"/>
          <w:bCs w:val="0"/>
          <w:color w:val="auto"/>
          <w:highlight w:val="none"/>
          <w:lang w:val="en-US" w:eastAsia="zh-CN"/>
        </w:rPr>
        <w:t>，</w:t>
      </w:r>
      <w:r>
        <w:rPr>
          <w:rFonts w:hint="eastAsia" w:ascii="宋体" w:hAnsi="Times New Roman" w:eastAsia="宋体" w:cs="Times New Roman"/>
          <w:b w:val="0"/>
          <w:bCs w:val="0"/>
          <w:color w:val="auto"/>
          <w:highlight w:val="none"/>
        </w:rPr>
        <w:t>超过此限价作无效标处理</w:t>
      </w:r>
      <w:r>
        <w:rPr>
          <w:rFonts w:hint="eastAsia" w:ascii="宋体" w:hAnsi="Times New Roman" w:eastAsia="宋体" w:cs="Times New Roman"/>
          <w:b w:val="0"/>
          <w:bCs w:val="0"/>
          <w:color w:val="auto"/>
          <w:highlight w:val="none"/>
          <w:lang w:eastAsia="zh-CN"/>
        </w:rPr>
        <w:t>。</w:t>
      </w:r>
    </w:p>
    <w:p w14:paraId="7C69DE82">
      <w:pPr>
        <w:spacing w:before="120" w:beforeLines="50" w:after="120" w:afterLines="50" w:line="360" w:lineRule="auto"/>
        <w:rPr>
          <w:rFonts w:hint="eastAsia" w:ascii="宋体" w:hAnsi="宋体"/>
          <w:color w:val="auto"/>
          <w:kern w:val="0"/>
          <w:szCs w:val="21"/>
          <w:highlight w:val="none"/>
        </w:rPr>
      </w:pPr>
    </w:p>
    <w:p w14:paraId="3A3CDCF7">
      <w:pPr>
        <w:spacing w:before="120" w:beforeLines="50" w:after="120" w:afterLines="50" w:line="360" w:lineRule="auto"/>
        <w:rPr>
          <w:rFonts w:hint="eastAsia" w:ascii="宋体" w:hAnsi="宋体"/>
          <w:color w:val="auto"/>
          <w:kern w:val="0"/>
          <w:szCs w:val="21"/>
          <w:highlight w:val="none"/>
        </w:rPr>
      </w:pPr>
    </w:p>
    <w:p w14:paraId="68053C22">
      <w:pPr>
        <w:spacing w:before="120" w:beforeLines="50" w:after="120" w:afterLines="50" w:line="360" w:lineRule="auto"/>
        <w:rPr>
          <w:color w:val="auto"/>
          <w:highlight w:val="none"/>
        </w:rPr>
      </w:pPr>
      <w:r>
        <w:rPr>
          <w:rFonts w:hint="eastAsia" w:ascii="宋体" w:hAnsi="宋体"/>
          <w:color w:val="auto"/>
          <w:kern w:val="0"/>
          <w:szCs w:val="21"/>
          <w:highlight w:val="none"/>
        </w:rPr>
        <w:t>投标人（盖章）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6508C71E">
      <w:pPr>
        <w:spacing w:line="360" w:lineRule="auto"/>
        <w:rPr>
          <w:rFonts w:hint="eastAsia" w:ascii="宋体" w:hAnsi="宋体"/>
          <w:color w:val="auto"/>
          <w:szCs w:val="21"/>
          <w:highlight w:val="none"/>
        </w:rPr>
      </w:pPr>
      <w:r>
        <w:rPr>
          <w:rFonts w:hint="eastAsia" w:ascii="宋体" w:hAnsi="宋体"/>
          <w:color w:val="auto"/>
          <w:szCs w:val="21"/>
          <w:highlight w:val="none"/>
        </w:rPr>
        <w:t>法定代表人(或全权代表)签字或盖章：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9D77C50">
      <w:pPr>
        <w:spacing w:line="360" w:lineRule="auto"/>
        <w:rPr>
          <w:rFonts w:hint="eastAsia" w:ascii="宋体" w:hAnsi="宋体"/>
          <w:color w:val="auto"/>
          <w:szCs w:val="21"/>
          <w:highlight w:val="none"/>
          <w:u w:val="singl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p>
    <w:p w14:paraId="23B1EEB3">
      <w:pPr>
        <w:spacing w:after="240" w:afterLines="100"/>
        <w:jc w:val="center"/>
        <w:rPr>
          <w:rFonts w:hint="eastAsia" w:ascii="宋体" w:hAnsi="宋体"/>
          <w:color w:val="auto"/>
          <w:szCs w:val="21"/>
          <w:highlight w:val="none"/>
          <w:u w:val="single"/>
        </w:rPr>
      </w:pPr>
      <w:r>
        <w:rPr>
          <w:rFonts w:hint="eastAsia" w:ascii="宋体" w:hAnsi="宋体"/>
          <w:color w:val="auto"/>
          <w:szCs w:val="21"/>
          <w:highlight w:val="none"/>
          <w:u w:val="single"/>
        </w:rPr>
        <w:br w:type="page"/>
      </w:r>
      <w:r>
        <w:rPr>
          <w:rFonts w:hint="eastAsia" w:ascii="宋体" w:hAnsi="宋体" w:cs="宋体"/>
          <w:b/>
          <w:color w:val="auto"/>
          <w:sz w:val="30"/>
          <w:szCs w:val="30"/>
          <w:highlight w:val="none"/>
        </w:rPr>
        <w:t>投标报价明细表</w:t>
      </w:r>
    </w:p>
    <w:p w14:paraId="236B3BA5">
      <w:pPr>
        <w:spacing w:after="240" w:afterLines="100"/>
        <w:jc w:val="center"/>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w:t>
      </w:r>
      <w:r>
        <w:rPr>
          <w:rFonts w:hint="eastAsia" w:ascii="宋体" w:hAnsi="宋体" w:eastAsia="宋体" w:cs="宋体"/>
          <w:b/>
          <w:color w:val="auto"/>
          <w:sz w:val="30"/>
          <w:szCs w:val="30"/>
          <w:highlight w:val="none"/>
          <w:lang w:val="en-US" w:eastAsia="zh-CN"/>
        </w:rPr>
        <w:t>应用开发</w:t>
      </w:r>
      <w:r>
        <w:rPr>
          <w:rFonts w:hint="eastAsia" w:ascii="宋体" w:hAnsi="宋体" w:cs="宋体"/>
          <w:b/>
          <w:color w:val="auto"/>
          <w:sz w:val="30"/>
          <w:szCs w:val="30"/>
          <w:highlight w:val="none"/>
          <w:lang w:val="en-US" w:eastAsia="zh-CN"/>
        </w:rPr>
        <w:t>明细表</w:t>
      </w:r>
      <w:r>
        <w:rPr>
          <w:rFonts w:hint="eastAsia" w:ascii="宋体" w:hAnsi="宋体" w:cs="宋体"/>
          <w:b/>
          <w:color w:val="auto"/>
          <w:sz w:val="30"/>
          <w:szCs w:val="30"/>
          <w:highlight w:val="none"/>
          <w:lang w:eastAsia="zh-CN"/>
        </w:rPr>
        <w:t>）</w:t>
      </w:r>
    </w:p>
    <w:p w14:paraId="13AE51B9">
      <w:pPr>
        <w:spacing w:before="120" w:beforeLines="50" w:after="240" w:afterLines="100"/>
        <w:rPr>
          <w:rFonts w:ascii="宋体" w:hAnsi="宋体"/>
          <w:b/>
          <w:bCs/>
          <w:color w:val="auto"/>
          <w:spacing w:val="20"/>
          <w:szCs w:val="21"/>
          <w:highlight w:val="none"/>
          <w:u w:val="single"/>
        </w:rPr>
      </w:pPr>
      <w:r>
        <w:rPr>
          <w:rFonts w:hint="eastAsia" w:ascii="宋体" w:hAnsi="宋体"/>
          <w:color w:val="auto"/>
          <w:szCs w:val="21"/>
          <w:highlight w:val="none"/>
        </w:rPr>
        <w:t>项目编号：</w:t>
      </w:r>
      <w:r>
        <w:rPr>
          <w:rFonts w:hint="eastAsia" w:ascii="宋体" w:hAnsi="宋体"/>
          <w:b/>
          <w:bCs/>
          <w:color w:val="auto"/>
          <w:spacing w:val="20"/>
          <w:szCs w:val="21"/>
          <w:highlight w:val="none"/>
          <w:u w:val="single"/>
        </w:rPr>
        <w:t xml:space="preserve">                     </w:t>
      </w:r>
      <w:r>
        <w:rPr>
          <w:rFonts w:hint="eastAsia" w:ascii="宋体" w:hAnsi="宋体"/>
          <w:b/>
          <w:bCs/>
          <w:color w:val="auto"/>
          <w:spacing w:val="20"/>
          <w:szCs w:val="21"/>
          <w:highlight w:val="none"/>
          <w:u w:val="none"/>
          <w:lang w:val="en-US" w:eastAsia="zh-CN"/>
        </w:rPr>
        <w:t xml:space="preserve">    </w:t>
      </w:r>
      <w:r>
        <w:rPr>
          <w:rFonts w:hint="eastAsia" w:ascii="宋体" w:hAnsi="宋体"/>
          <w:color w:val="auto"/>
          <w:szCs w:val="21"/>
          <w:highlight w:val="none"/>
        </w:rPr>
        <w:t>项目</w:t>
      </w:r>
      <w:r>
        <w:rPr>
          <w:rFonts w:hint="eastAsia" w:ascii="宋体" w:hAnsi="宋体"/>
          <w:color w:val="auto"/>
          <w:szCs w:val="21"/>
          <w:highlight w:val="none"/>
          <w:lang w:val="en-US" w:eastAsia="zh-CN"/>
        </w:rPr>
        <w:t>名称</w:t>
      </w:r>
      <w:r>
        <w:rPr>
          <w:rFonts w:hint="eastAsia" w:ascii="宋体" w:hAnsi="宋体"/>
          <w:color w:val="auto"/>
          <w:szCs w:val="21"/>
          <w:highlight w:val="none"/>
        </w:rPr>
        <w:t>：</w:t>
      </w:r>
      <w:r>
        <w:rPr>
          <w:rFonts w:hint="eastAsia" w:ascii="宋体" w:hAnsi="宋体"/>
          <w:b/>
          <w:bCs/>
          <w:color w:val="auto"/>
          <w:spacing w:val="20"/>
          <w:szCs w:val="21"/>
          <w:highlight w:val="none"/>
          <w:u w:val="single"/>
        </w:rPr>
        <w:t xml:space="preserve">   </w:t>
      </w:r>
      <w:r>
        <w:rPr>
          <w:rFonts w:hint="eastAsia" w:ascii="宋体" w:hAnsi="宋体"/>
          <w:b/>
          <w:bCs/>
          <w:color w:val="auto"/>
          <w:spacing w:val="20"/>
          <w:szCs w:val="21"/>
          <w:highlight w:val="none"/>
          <w:u w:val="single"/>
          <w:lang w:val="en-US" w:eastAsia="zh-CN"/>
        </w:rPr>
        <w:t xml:space="preserve">     </w:t>
      </w:r>
      <w:r>
        <w:rPr>
          <w:rFonts w:hint="eastAsia" w:ascii="宋体" w:hAnsi="宋体"/>
          <w:b/>
          <w:bCs/>
          <w:color w:val="auto"/>
          <w:spacing w:val="20"/>
          <w:szCs w:val="21"/>
          <w:highlight w:val="none"/>
          <w:u w:val="single"/>
        </w:rPr>
        <w:t xml:space="preserve">          </w:t>
      </w:r>
    </w:p>
    <w:tbl>
      <w:tblPr>
        <w:tblStyle w:val="28"/>
        <w:tblW w:w="94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0"/>
        <w:gridCol w:w="2643"/>
        <w:gridCol w:w="913"/>
        <w:gridCol w:w="1803"/>
        <w:gridCol w:w="2265"/>
        <w:gridCol w:w="903"/>
      </w:tblGrid>
      <w:tr w14:paraId="7D8CE1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4" w:hRule="atLeast"/>
          <w:jc w:val="center"/>
        </w:trPr>
        <w:tc>
          <w:tcPr>
            <w:tcW w:w="950" w:type="dxa"/>
            <w:noWrap w:val="0"/>
            <w:vAlign w:val="center"/>
          </w:tcPr>
          <w:p w14:paraId="6A44340E">
            <w:pPr>
              <w:pStyle w:val="17"/>
              <w:spacing w:before="0" w:beforeLines="0" w:after="0" w:afterLines="0"/>
              <w:jc w:val="center"/>
              <w:rPr>
                <w:rFonts w:hint="eastAsia"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序号</w:t>
            </w:r>
          </w:p>
        </w:tc>
        <w:tc>
          <w:tcPr>
            <w:tcW w:w="2643" w:type="dxa"/>
            <w:tcBorders>
              <w:right w:val="single" w:color="auto" w:sz="4" w:space="0"/>
            </w:tcBorders>
            <w:noWrap w:val="0"/>
            <w:vAlign w:val="center"/>
          </w:tcPr>
          <w:p w14:paraId="1B354328">
            <w:pPr>
              <w:spacing w:line="400" w:lineRule="exact"/>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内容</w:t>
            </w:r>
          </w:p>
        </w:tc>
        <w:tc>
          <w:tcPr>
            <w:tcW w:w="913" w:type="dxa"/>
            <w:tcBorders>
              <w:left w:val="single" w:color="auto" w:sz="4" w:space="0"/>
            </w:tcBorders>
            <w:noWrap w:val="0"/>
            <w:vAlign w:val="center"/>
          </w:tcPr>
          <w:p w14:paraId="14EF3DA7">
            <w:pPr>
              <w:spacing w:line="400" w:lineRule="exact"/>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数量</w:t>
            </w:r>
          </w:p>
        </w:tc>
        <w:tc>
          <w:tcPr>
            <w:tcW w:w="1803" w:type="dxa"/>
            <w:noWrap w:val="0"/>
            <w:vAlign w:val="center"/>
          </w:tcPr>
          <w:p w14:paraId="323BFDB2">
            <w:pPr>
              <w:spacing w:line="400" w:lineRule="exact"/>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单价（元）</w:t>
            </w:r>
          </w:p>
        </w:tc>
        <w:tc>
          <w:tcPr>
            <w:tcW w:w="2265" w:type="dxa"/>
            <w:noWrap w:val="0"/>
            <w:vAlign w:val="center"/>
          </w:tcPr>
          <w:p w14:paraId="13323270">
            <w:pPr>
              <w:spacing w:line="400" w:lineRule="exact"/>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总价</w:t>
            </w:r>
            <w:r>
              <w:rPr>
                <w:rFonts w:hint="eastAsia" w:ascii="宋体" w:hAnsi="宋体" w:cs="宋体"/>
                <w:color w:val="auto"/>
                <w:sz w:val="24"/>
                <w:szCs w:val="24"/>
                <w:highlight w:val="none"/>
                <w:shd w:val="clear" w:color="auto" w:fill="auto"/>
              </w:rPr>
              <w:t>（元）</w:t>
            </w:r>
          </w:p>
        </w:tc>
        <w:tc>
          <w:tcPr>
            <w:tcW w:w="903" w:type="dxa"/>
            <w:noWrap w:val="0"/>
            <w:vAlign w:val="center"/>
          </w:tcPr>
          <w:p w14:paraId="33E2B50B">
            <w:pPr>
              <w:spacing w:line="400" w:lineRule="exact"/>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备注</w:t>
            </w:r>
          </w:p>
        </w:tc>
      </w:tr>
      <w:tr w14:paraId="1B3A09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8" w:hRule="atLeast"/>
          <w:jc w:val="center"/>
        </w:trPr>
        <w:tc>
          <w:tcPr>
            <w:tcW w:w="950" w:type="dxa"/>
            <w:noWrap w:val="0"/>
            <w:vAlign w:val="center"/>
          </w:tcPr>
          <w:p w14:paraId="094300D2">
            <w:pPr>
              <w:spacing w:line="400" w:lineRule="exact"/>
              <w:jc w:val="center"/>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1</w:t>
            </w:r>
          </w:p>
        </w:tc>
        <w:tc>
          <w:tcPr>
            <w:tcW w:w="2643" w:type="dxa"/>
            <w:tcBorders>
              <w:right w:val="single" w:color="auto" w:sz="4" w:space="0"/>
            </w:tcBorders>
            <w:noWrap w:val="0"/>
            <w:vAlign w:val="center"/>
          </w:tcPr>
          <w:p w14:paraId="74CD4D5C">
            <w:pPr>
              <w:spacing w:line="400" w:lineRule="exact"/>
              <w:jc w:val="center"/>
              <w:rPr>
                <w:rFonts w:hint="eastAsia" w:ascii="宋体" w:hAnsi="宋体" w:cs="宋体"/>
                <w:color w:val="auto"/>
                <w:sz w:val="21"/>
                <w:szCs w:val="21"/>
                <w:highlight w:val="none"/>
                <w:shd w:val="clear" w:color="auto" w:fill="auto"/>
              </w:rPr>
            </w:pPr>
          </w:p>
        </w:tc>
        <w:tc>
          <w:tcPr>
            <w:tcW w:w="913" w:type="dxa"/>
            <w:tcBorders>
              <w:left w:val="single" w:color="auto" w:sz="4" w:space="0"/>
            </w:tcBorders>
            <w:noWrap w:val="0"/>
            <w:vAlign w:val="center"/>
          </w:tcPr>
          <w:p w14:paraId="36B920FE">
            <w:pPr>
              <w:spacing w:line="400" w:lineRule="exact"/>
              <w:jc w:val="center"/>
              <w:rPr>
                <w:rFonts w:hint="eastAsia" w:ascii="宋体" w:hAnsi="宋体" w:eastAsia="宋体" w:cs="宋体"/>
                <w:color w:val="auto"/>
                <w:sz w:val="21"/>
                <w:szCs w:val="21"/>
                <w:highlight w:val="none"/>
                <w:shd w:val="clear" w:color="auto" w:fill="auto"/>
                <w:lang w:val="en-US" w:eastAsia="zh-CN"/>
              </w:rPr>
            </w:pPr>
          </w:p>
        </w:tc>
        <w:tc>
          <w:tcPr>
            <w:tcW w:w="1803" w:type="dxa"/>
            <w:noWrap w:val="0"/>
            <w:vAlign w:val="center"/>
          </w:tcPr>
          <w:p w14:paraId="1E6C5676">
            <w:pPr>
              <w:spacing w:line="400" w:lineRule="exact"/>
              <w:jc w:val="center"/>
              <w:rPr>
                <w:rFonts w:hint="eastAsia" w:ascii="宋体" w:hAnsi="宋体" w:cs="宋体"/>
                <w:color w:val="auto"/>
                <w:sz w:val="21"/>
                <w:szCs w:val="21"/>
                <w:highlight w:val="none"/>
                <w:shd w:val="clear" w:color="auto" w:fill="auto"/>
              </w:rPr>
            </w:pPr>
          </w:p>
        </w:tc>
        <w:tc>
          <w:tcPr>
            <w:tcW w:w="2265" w:type="dxa"/>
            <w:noWrap w:val="0"/>
            <w:vAlign w:val="center"/>
          </w:tcPr>
          <w:p w14:paraId="22B52B43">
            <w:pPr>
              <w:spacing w:line="400" w:lineRule="exact"/>
              <w:jc w:val="center"/>
              <w:rPr>
                <w:rFonts w:hint="eastAsia" w:ascii="宋体" w:hAnsi="宋体" w:cs="宋体"/>
                <w:color w:val="auto"/>
                <w:sz w:val="21"/>
                <w:szCs w:val="21"/>
                <w:highlight w:val="none"/>
                <w:shd w:val="clear" w:color="auto" w:fill="auto"/>
              </w:rPr>
            </w:pPr>
          </w:p>
        </w:tc>
        <w:tc>
          <w:tcPr>
            <w:tcW w:w="903" w:type="dxa"/>
            <w:noWrap w:val="0"/>
            <w:vAlign w:val="center"/>
          </w:tcPr>
          <w:p w14:paraId="228CDA22">
            <w:pPr>
              <w:spacing w:line="400" w:lineRule="exact"/>
              <w:jc w:val="center"/>
              <w:rPr>
                <w:rFonts w:hint="eastAsia" w:ascii="宋体" w:hAnsi="宋体" w:cs="宋体"/>
                <w:color w:val="auto"/>
                <w:sz w:val="21"/>
                <w:szCs w:val="21"/>
                <w:highlight w:val="none"/>
                <w:shd w:val="clear" w:color="auto" w:fill="auto"/>
              </w:rPr>
            </w:pPr>
          </w:p>
        </w:tc>
      </w:tr>
      <w:tr w14:paraId="30E91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50" w:type="dxa"/>
            <w:noWrap w:val="0"/>
            <w:vAlign w:val="center"/>
          </w:tcPr>
          <w:p w14:paraId="1D78F5ED">
            <w:pPr>
              <w:spacing w:line="400" w:lineRule="exact"/>
              <w:jc w:val="center"/>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2</w:t>
            </w:r>
          </w:p>
        </w:tc>
        <w:tc>
          <w:tcPr>
            <w:tcW w:w="2643" w:type="dxa"/>
            <w:tcBorders>
              <w:right w:val="single" w:color="auto" w:sz="4" w:space="0"/>
            </w:tcBorders>
            <w:noWrap w:val="0"/>
            <w:vAlign w:val="center"/>
          </w:tcPr>
          <w:p w14:paraId="7CC37AE8">
            <w:pPr>
              <w:spacing w:line="400" w:lineRule="exact"/>
              <w:jc w:val="center"/>
              <w:rPr>
                <w:rFonts w:hint="eastAsia" w:ascii="宋体" w:hAnsi="宋体" w:cs="宋体"/>
                <w:color w:val="auto"/>
                <w:sz w:val="21"/>
                <w:szCs w:val="21"/>
                <w:highlight w:val="none"/>
                <w:shd w:val="clear" w:color="auto" w:fill="auto"/>
              </w:rPr>
            </w:pPr>
          </w:p>
        </w:tc>
        <w:tc>
          <w:tcPr>
            <w:tcW w:w="913" w:type="dxa"/>
            <w:tcBorders>
              <w:left w:val="single" w:color="auto" w:sz="4" w:space="0"/>
            </w:tcBorders>
            <w:noWrap w:val="0"/>
            <w:vAlign w:val="center"/>
          </w:tcPr>
          <w:p w14:paraId="60D8500B">
            <w:pPr>
              <w:spacing w:line="400" w:lineRule="exact"/>
              <w:jc w:val="center"/>
              <w:rPr>
                <w:rFonts w:hint="eastAsia" w:ascii="宋体" w:hAnsi="宋体" w:eastAsia="宋体" w:cs="宋体"/>
                <w:color w:val="auto"/>
                <w:kern w:val="2"/>
                <w:sz w:val="21"/>
                <w:szCs w:val="21"/>
                <w:highlight w:val="none"/>
                <w:shd w:val="clear" w:color="auto" w:fill="auto"/>
                <w:lang w:val="en-US" w:eastAsia="zh-CN" w:bidi="ar-SA"/>
              </w:rPr>
            </w:pPr>
          </w:p>
        </w:tc>
        <w:tc>
          <w:tcPr>
            <w:tcW w:w="1803" w:type="dxa"/>
            <w:noWrap w:val="0"/>
            <w:vAlign w:val="center"/>
          </w:tcPr>
          <w:p w14:paraId="4D7B3129">
            <w:pPr>
              <w:spacing w:line="400" w:lineRule="exact"/>
              <w:jc w:val="center"/>
              <w:rPr>
                <w:rFonts w:hint="eastAsia" w:ascii="宋体" w:hAnsi="宋体" w:cs="宋体"/>
                <w:color w:val="auto"/>
                <w:kern w:val="0"/>
                <w:sz w:val="21"/>
                <w:szCs w:val="21"/>
                <w:highlight w:val="none"/>
                <w:shd w:val="clear" w:color="auto" w:fill="auto"/>
              </w:rPr>
            </w:pPr>
          </w:p>
        </w:tc>
        <w:tc>
          <w:tcPr>
            <w:tcW w:w="2265" w:type="dxa"/>
            <w:noWrap w:val="0"/>
            <w:vAlign w:val="center"/>
          </w:tcPr>
          <w:p w14:paraId="52158BBD">
            <w:pPr>
              <w:spacing w:line="400" w:lineRule="exact"/>
              <w:jc w:val="center"/>
              <w:rPr>
                <w:rFonts w:hint="eastAsia" w:ascii="宋体" w:hAnsi="宋体" w:cs="宋体"/>
                <w:color w:val="auto"/>
                <w:sz w:val="21"/>
                <w:szCs w:val="21"/>
                <w:highlight w:val="none"/>
                <w:shd w:val="clear" w:color="auto" w:fill="auto"/>
              </w:rPr>
            </w:pPr>
          </w:p>
        </w:tc>
        <w:tc>
          <w:tcPr>
            <w:tcW w:w="903" w:type="dxa"/>
            <w:noWrap w:val="0"/>
            <w:vAlign w:val="center"/>
          </w:tcPr>
          <w:p w14:paraId="7524DCD6">
            <w:pPr>
              <w:spacing w:line="400" w:lineRule="exact"/>
              <w:jc w:val="center"/>
              <w:rPr>
                <w:rFonts w:hint="eastAsia" w:ascii="宋体" w:hAnsi="宋体" w:cs="宋体"/>
                <w:color w:val="auto"/>
                <w:sz w:val="21"/>
                <w:szCs w:val="21"/>
                <w:highlight w:val="none"/>
                <w:shd w:val="clear" w:color="auto" w:fill="auto"/>
              </w:rPr>
            </w:pPr>
          </w:p>
        </w:tc>
      </w:tr>
      <w:tr w14:paraId="119B88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atLeast"/>
          <w:jc w:val="center"/>
        </w:trPr>
        <w:tc>
          <w:tcPr>
            <w:tcW w:w="950" w:type="dxa"/>
            <w:noWrap w:val="0"/>
            <w:vAlign w:val="center"/>
          </w:tcPr>
          <w:p w14:paraId="7F223E07">
            <w:pPr>
              <w:spacing w:line="400" w:lineRule="exact"/>
              <w:jc w:val="center"/>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3</w:t>
            </w:r>
          </w:p>
        </w:tc>
        <w:tc>
          <w:tcPr>
            <w:tcW w:w="2643" w:type="dxa"/>
            <w:tcBorders>
              <w:right w:val="single" w:color="auto" w:sz="4" w:space="0"/>
            </w:tcBorders>
            <w:noWrap w:val="0"/>
            <w:vAlign w:val="center"/>
          </w:tcPr>
          <w:p w14:paraId="75D3E556">
            <w:pPr>
              <w:spacing w:line="400" w:lineRule="exact"/>
              <w:jc w:val="center"/>
              <w:rPr>
                <w:rFonts w:hint="eastAsia" w:ascii="宋体" w:hAnsi="宋体" w:cs="宋体"/>
                <w:color w:val="auto"/>
                <w:sz w:val="21"/>
                <w:szCs w:val="21"/>
                <w:highlight w:val="none"/>
                <w:shd w:val="clear" w:color="auto" w:fill="auto"/>
              </w:rPr>
            </w:pPr>
          </w:p>
        </w:tc>
        <w:tc>
          <w:tcPr>
            <w:tcW w:w="913" w:type="dxa"/>
            <w:tcBorders>
              <w:left w:val="single" w:color="auto" w:sz="4" w:space="0"/>
            </w:tcBorders>
            <w:noWrap w:val="0"/>
            <w:vAlign w:val="center"/>
          </w:tcPr>
          <w:p w14:paraId="38A65760">
            <w:pPr>
              <w:spacing w:line="400" w:lineRule="exact"/>
              <w:jc w:val="center"/>
              <w:rPr>
                <w:rFonts w:hint="eastAsia" w:ascii="宋体" w:hAnsi="宋体" w:eastAsia="宋体" w:cs="宋体"/>
                <w:color w:val="auto"/>
                <w:kern w:val="2"/>
                <w:sz w:val="21"/>
                <w:szCs w:val="21"/>
                <w:highlight w:val="none"/>
                <w:shd w:val="clear" w:color="auto" w:fill="auto"/>
                <w:lang w:val="en-US" w:eastAsia="zh-CN" w:bidi="ar-SA"/>
              </w:rPr>
            </w:pPr>
          </w:p>
        </w:tc>
        <w:tc>
          <w:tcPr>
            <w:tcW w:w="1803" w:type="dxa"/>
            <w:noWrap w:val="0"/>
            <w:vAlign w:val="center"/>
          </w:tcPr>
          <w:p w14:paraId="3258791E">
            <w:pPr>
              <w:spacing w:line="400" w:lineRule="exact"/>
              <w:jc w:val="center"/>
              <w:rPr>
                <w:rFonts w:hint="eastAsia" w:ascii="宋体" w:hAnsi="宋体" w:cs="宋体"/>
                <w:color w:val="auto"/>
                <w:sz w:val="21"/>
                <w:szCs w:val="21"/>
                <w:highlight w:val="none"/>
                <w:shd w:val="clear" w:color="auto" w:fill="auto"/>
              </w:rPr>
            </w:pPr>
          </w:p>
        </w:tc>
        <w:tc>
          <w:tcPr>
            <w:tcW w:w="2265" w:type="dxa"/>
            <w:noWrap w:val="0"/>
            <w:vAlign w:val="center"/>
          </w:tcPr>
          <w:p w14:paraId="4646FCDB">
            <w:pPr>
              <w:spacing w:line="400" w:lineRule="exact"/>
              <w:jc w:val="center"/>
              <w:rPr>
                <w:rFonts w:hint="eastAsia" w:ascii="宋体" w:hAnsi="宋体" w:cs="宋体"/>
                <w:color w:val="auto"/>
                <w:sz w:val="21"/>
                <w:szCs w:val="21"/>
                <w:highlight w:val="none"/>
                <w:shd w:val="clear" w:color="auto" w:fill="auto"/>
              </w:rPr>
            </w:pPr>
          </w:p>
        </w:tc>
        <w:tc>
          <w:tcPr>
            <w:tcW w:w="903" w:type="dxa"/>
            <w:noWrap w:val="0"/>
            <w:vAlign w:val="center"/>
          </w:tcPr>
          <w:p w14:paraId="0CABF44A">
            <w:pPr>
              <w:spacing w:line="400" w:lineRule="exact"/>
              <w:jc w:val="center"/>
              <w:rPr>
                <w:rFonts w:hint="eastAsia" w:ascii="宋体" w:hAnsi="宋体" w:cs="宋体"/>
                <w:color w:val="auto"/>
                <w:sz w:val="21"/>
                <w:szCs w:val="21"/>
                <w:highlight w:val="none"/>
                <w:shd w:val="clear" w:color="auto" w:fill="auto"/>
              </w:rPr>
            </w:pPr>
          </w:p>
        </w:tc>
      </w:tr>
      <w:tr w14:paraId="2C19C7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atLeast"/>
          <w:jc w:val="center"/>
        </w:trPr>
        <w:tc>
          <w:tcPr>
            <w:tcW w:w="950" w:type="dxa"/>
            <w:noWrap w:val="0"/>
            <w:vAlign w:val="center"/>
          </w:tcPr>
          <w:p w14:paraId="7D3B2545">
            <w:pPr>
              <w:spacing w:line="400" w:lineRule="exact"/>
              <w:jc w:val="center"/>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4</w:t>
            </w:r>
          </w:p>
        </w:tc>
        <w:tc>
          <w:tcPr>
            <w:tcW w:w="2643" w:type="dxa"/>
            <w:tcBorders>
              <w:right w:val="single" w:color="auto" w:sz="4" w:space="0"/>
            </w:tcBorders>
            <w:noWrap w:val="0"/>
            <w:vAlign w:val="center"/>
          </w:tcPr>
          <w:p w14:paraId="77A7C67B">
            <w:pPr>
              <w:spacing w:line="400" w:lineRule="exact"/>
              <w:jc w:val="center"/>
              <w:rPr>
                <w:rFonts w:hint="eastAsia" w:ascii="宋体" w:hAnsi="宋体" w:cs="宋体"/>
                <w:color w:val="auto"/>
                <w:sz w:val="21"/>
                <w:szCs w:val="21"/>
                <w:highlight w:val="none"/>
                <w:shd w:val="clear" w:color="auto" w:fill="auto"/>
              </w:rPr>
            </w:pPr>
          </w:p>
        </w:tc>
        <w:tc>
          <w:tcPr>
            <w:tcW w:w="913" w:type="dxa"/>
            <w:tcBorders>
              <w:left w:val="single" w:color="auto" w:sz="4" w:space="0"/>
            </w:tcBorders>
            <w:noWrap w:val="0"/>
            <w:vAlign w:val="center"/>
          </w:tcPr>
          <w:p w14:paraId="373E8612">
            <w:pPr>
              <w:spacing w:line="400" w:lineRule="exact"/>
              <w:jc w:val="center"/>
              <w:rPr>
                <w:rFonts w:hint="eastAsia" w:ascii="宋体" w:hAnsi="宋体" w:cs="宋体"/>
                <w:color w:val="auto"/>
                <w:sz w:val="21"/>
                <w:szCs w:val="21"/>
                <w:highlight w:val="none"/>
                <w:shd w:val="clear" w:color="auto" w:fill="auto"/>
              </w:rPr>
            </w:pPr>
          </w:p>
        </w:tc>
        <w:tc>
          <w:tcPr>
            <w:tcW w:w="1803" w:type="dxa"/>
            <w:noWrap w:val="0"/>
            <w:vAlign w:val="center"/>
          </w:tcPr>
          <w:p w14:paraId="1A1897A4">
            <w:pPr>
              <w:spacing w:line="400" w:lineRule="exact"/>
              <w:jc w:val="center"/>
              <w:rPr>
                <w:rFonts w:hint="eastAsia" w:ascii="宋体" w:hAnsi="宋体" w:cs="宋体"/>
                <w:color w:val="auto"/>
                <w:sz w:val="21"/>
                <w:szCs w:val="21"/>
                <w:highlight w:val="none"/>
                <w:shd w:val="clear" w:color="auto" w:fill="auto"/>
              </w:rPr>
            </w:pPr>
          </w:p>
        </w:tc>
        <w:tc>
          <w:tcPr>
            <w:tcW w:w="2265" w:type="dxa"/>
            <w:noWrap w:val="0"/>
            <w:vAlign w:val="center"/>
          </w:tcPr>
          <w:p w14:paraId="67A11B67">
            <w:pPr>
              <w:spacing w:line="400" w:lineRule="exact"/>
              <w:jc w:val="center"/>
              <w:rPr>
                <w:rFonts w:hint="eastAsia" w:ascii="宋体" w:hAnsi="宋体" w:cs="宋体"/>
                <w:color w:val="auto"/>
                <w:sz w:val="21"/>
                <w:szCs w:val="21"/>
                <w:highlight w:val="none"/>
                <w:shd w:val="clear" w:color="auto" w:fill="auto"/>
              </w:rPr>
            </w:pPr>
          </w:p>
        </w:tc>
        <w:tc>
          <w:tcPr>
            <w:tcW w:w="903" w:type="dxa"/>
            <w:noWrap w:val="0"/>
            <w:vAlign w:val="center"/>
          </w:tcPr>
          <w:p w14:paraId="115735E8">
            <w:pPr>
              <w:spacing w:line="400" w:lineRule="exact"/>
              <w:jc w:val="center"/>
              <w:rPr>
                <w:rFonts w:hint="eastAsia" w:ascii="宋体" w:hAnsi="宋体" w:cs="宋体"/>
                <w:color w:val="auto"/>
                <w:sz w:val="21"/>
                <w:szCs w:val="21"/>
                <w:highlight w:val="none"/>
                <w:shd w:val="clear" w:color="auto" w:fill="auto"/>
              </w:rPr>
            </w:pPr>
          </w:p>
        </w:tc>
      </w:tr>
      <w:tr w14:paraId="445A4B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atLeast"/>
          <w:jc w:val="center"/>
        </w:trPr>
        <w:tc>
          <w:tcPr>
            <w:tcW w:w="950" w:type="dxa"/>
            <w:noWrap w:val="0"/>
            <w:vAlign w:val="center"/>
          </w:tcPr>
          <w:p w14:paraId="6C3587F4">
            <w:pPr>
              <w:spacing w:line="400" w:lineRule="exact"/>
              <w:jc w:val="center"/>
              <w:rPr>
                <w:rFonts w:hint="eastAsia" w:ascii="宋体" w:hAnsi="宋体" w:cs="宋体"/>
                <w:color w:val="auto"/>
                <w:sz w:val="21"/>
                <w:szCs w:val="21"/>
                <w:highlight w:val="none"/>
                <w:shd w:val="clear" w:color="auto" w:fill="auto"/>
              </w:rPr>
            </w:pPr>
            <w:r>
              <w:rPr>
                <w:rFonts w:hint="eastAsia" w:ascii="宋体" w:hAnsi="宋体" w:cs="宋体"/>
                <w:color w:val="auto"/>
                <w:kern w:val="0"/>
                <w:sz w:val="21"/>
                <w:szCs w:val="21"/>
                <w:highlight w:val="none"/>
                <w:shd w:val="clear" w:color="auto" w:fill="auto"/>
              </w:rPr>
              <w:t>…</w:t>
            </w:r>
          </w:p>
        </w:tc>
        <w:tc>
          <w:tcPr>
            <w:tcW w:w="2643" w:type="dxa"/>
            <w:tcBorders>
              <w:right w:val="single" w:color="auto" w:sz="4" w:space="0"/>
            </w:tcBorders>
            <w:noWrap w:val="0"/>
            <w:vAlign w:val="center"/>
          </w:tcPr>
          <w:p w14:paraId="42424227">
            <w:pPr>
              <w:spacing w:line="400" w:lineRule="exact"/>
              <w:jc w:val="center"/>
              <w:rPr>
                <w:rFonts w:hint="eastAsia" w:ascii="宋体" w:hAnsi="宋体" w:cs="宋体"/>
                <w:color w:val="auto"/>
                <w:sz w:val="21"/>
                <w:szCs w:val="21"/>
                <w:highlight w:val="none"/>
                <w:shd w:val="clear" w:color="auto" w:fill="auto"/>
              </w:rPr>
            </w:pPr>
          </w:p>
        </w:tc>
        <w:tc>
          <w:tcPr>
            <w:tcW w:w="913" w:type="dxa"/>
            <w:tcBorders>
              <w:left w:val="single" w:color="auto" w:sz="4" w:space="0"/>
            </w:tcBorders>
            <w:noWrap w:val="0"/>
            <w:vAlign w:val="center"/>
          </w:tcPr>
          <w:p w14:paraId="3AD70E5A">
            <w:pPr>
              <w:spacing w:line="400" w:lineRule="exact"/>
              <w:jc w:val="center"/>
              <w:rPr>
                <w:rFonts w:hint="eastAsia" w:ascii="宋体" w:hAnsi="宋体" w:cs="宋体"/>
                <w:color w:val="auto"/>
                <w:sz w:val="21"/>
                <w:szCs w:val="21"/>
                <w:highlight w:val="none"/>
                <w:shd w:val="clear" w:color="auto" w:fill="auto"/>
              </w:rPr>
            </w:pPr>
          </w:p>
        </w:tc>
        <w:tc>
          <w:tcPr>
            <w:tcW w:w="1803" w:type="dxa"/>
            <w:noWrap w:val="0"/>
            <w:vAlign w:val="center"/>
          </w:tcPr>
          <w:p w14:paraId="4B105DEE">
            <w:pPr>
              <w:spacing w:line="400" w:lineRule="exact"/>
              <w:jc w:val="center"/>
              <w:rPr>
                <w:rFonts w:hint="eastAsia" w:ascii="宋体" w:hAnsi="宋体" w:cs="宋体"/>
                <w:color w:val="auto"/>
                <w:sz w:val="21"/>
                <w:szCs w:val="21"/>
                <w:highlight w:val="none"/>
                <w:shd w:val="clear" w:color="auto" w:fill="auto"/>
              </w:rPr>
            </w:pPr>
          </w:p>
        </w:tc>
        <w:tc>
          <w:tcPr>
            <w:tcW w:w="2265" w:type="dxa"/>
            <w:noWrap w:val="0"/>
            <w:vAlign w:val="center"/>
          </w:tcPr>
          <w:p w14:paraId="7002981E">
            <w:pPr>
              <w:spacing w:line="400" w:lineRule="exact"/>
              <w:jc w:val="center"/>
              <w:rPr>
                <w:rFonts w:hint="eastAsia" w:ascii="宋体" w:hAnsi="宋体" w:cs="宋体"/>
                <w:color w:val="auto"/>
                <w:sz w:val="21"/>
                <w:szCs w:val="21"/>
                <w:highlight w:val="none"/>
                <w:shd w:val="clear" w:color="auto" w:fill="auto"/>
              </w:rPr>
            </w:pPr>
          </w:p>
        </w:tc>
        <w:tc>
          <w:tcPr>
            <w:tcW w:w="903" w:type="dxa"/>
            <w:noWrap w:val="0"/>
            <w:vAlign w:val="center"/>
          </w:tcPr>
          <w:p w14:paraId="53928F0C">
            <w:pPr>
              <w:spacing w:line="400" w:lineRule="exact"/>
              <w:jc w:val="center"/>
              <w:rPr>
                <w:rFonts w:hint="eastAsia" w:ascii="宋体" w:hAnsi="宋体" w:cs="宋体"/>
                <w:color w:val="auto"/>
                <w:sz w:val="21"/>
                <w:szCs w:val="21"/>
                <w:highlight w:val="none"/>
                <w:shd w:val="clear" w:color="auto" w:fill="auto"/>
              </w:rPr>
            </w:pPr>
          </w:p>
        </w:tc>
      </w:tr>
      <w:tr w14:paraId="134CE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atLeast"/>
          <w:jc w:val="center"/>
        </w:trPr>
        <w:tc>
          <w:tcPr>
            <w:tcW w:w="4506" w:type="dxa"/>
            <w:gridSpan w:val="3"/>
            <w:vMerge w:val="restart"/>
            <w:noWrap w:val="0"/>
            <w:vAlign w:val="center"/>
          </w:tcPr>
          <w:p w14:paraId="6A9B2812">
            <w:pPr>
              <w:spacing w:line="400" w:lineRule="exact"/>
              <w:jc w:val="center"/>
              <w:rPr>
                <w:rFonts w:hint="eastAsia" w:ascii="宋体" w:hAnsi="宋体" w:cs="宋体"/>
                <w:color w:val="auto"/>
                <w:sz w:val="21"/>
                <w:szCs w:val="21"/>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应用开发</w:t>
            </w:r>
            <w:r>
              <w:rPr>
                <w:rFonts w:hint="eastAsia" w:ascii="宋体" w:hAnsi="宋体" w:cs="宋体"/>
                <w:color w:val="auto"/>
                <w:sz w:val="24"/>
                <w:szCs w:val="24"/>
                <w:highlight w:val="none"/>
                <w:shd w:val="clear" w:color="auto" w:fill="auto"/>
              </w:rPr>
              <w:t>投标总价（元）</w:t>
            </w:r>
          </w:p>
        </w:tc>
        <w:tc>
          <w:tcPr>
            <w:tcW w:w="4971" w:type="dxa"/>
            <w:gridSpan w:val="3"/>
            <w:noWrap w:val="0"/>
            <w:vAlign w:val="center"/>
          </w:tcPr>
          <w:p w14:paraId="617F0653">
            <w:pPr>
              <w:spacing w:line="400" w:lineRule="exact"/>
              <w:jc w:val="both"/>
              <w:rPr>
                <w:rFonts w:hint="eastAsia" w:ascii="宋体" w:hAnsi="宋体" w:cs="宋体"/>
                <w:color w:val="auto"/>
                <w:sz w:val="21"/>
                <w:szCs w:val="21"/>
                <w:highlight w:val="none"/>
                <w:shd w:val="clear" w:color="auto" w:fill="auto"/>
              </w:rPr>
            </w:pPr>
            <w:r>
              <w:rPr>
                <w:rFonts w:hint="eastAsia" w:ascii="宋体" w:hAnsi="宋体" w:cs="宋体"/>
                <w:b/>
                <w:color w:val="auto"/>
                <w:kern w:val="0"/>
                <w:szCs w:val="21"/>
                <w:highlight w:val="none"/>
              </w:rPr>
              <w:t>小写：</w:t>
            </w:r>
          </w:p>
        </w:tc>
      </w:tr>
      <w:tr w14:paraId="4237CE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atLeast"/>
          <w:jc w:val="center"/>
        </w:trPr>
        <w:tc>
          <w:tcPr>
            <w:tcW w:w="4506" w:type="dxa"/>
            <w:gridSpan w:val="3"/>
            <w:vMerge w:val="continue"/>
            <w:noWrap w:val="0"/>
            <w:vAlign w:val="center"/>
          </w:tcPr>
          <w:p w14:paraId="2214C9AE">
            <w:pPr>
              <w:spacing w:line="400" w:lineRule="exact"/>
              <w:jc w:val="center"/>
              <w:rPr>
                <w:rFonts w:hint="eastAsia" w:ascii="宋体" w:hAnsi="宋体" w:cs="宋体"/>
                <w:color w:val="auto"/>
                <w:sz w:val="21"/>
                <w:szCs w:val="21"/>
                <w:highlight w:val="none"/>
                <w:shd w:val="clear" w:color="auto" w:fill="auto"/>
              </w:rPr>
            </w:pPr>
          </w:p>
        </w:tc>
        <w:tc>
          <w:tcPr>
            <w:tcW w:w="4971" w:type="dxa"/>
            <w:gridSpan w:val="3"/>
            <w:noWrap w:val="0"/>
            <w:vAlign w:val="center"/>
          </w:tcPr>
          <w:p w14:paraId="09B9D710">
            <w:pPr>
              <w:spacing w:line="400" w:lineRule="exact"/>
              <w:jc w:val="both"/>
              <w:rPr>
                <w:rFonts w:hint="eastAsia" w:ascii="宋体" w:hAnsi="宋体" w:cs="宋体"/>
                <w:color w:val="auto"/>
                <w:sz w:val="21"/>
                <w:szCs w:val="21"/>
                <w:highlight w:val="none"/>
                <w:shd w:val="clear" w:color="auto" w:fill="auto"/>
              </w:rPr>
            </w:pPr>
            <w:r>
              <w:rPr>
                <w:rFonts w:hint="eastAsia" w:ascii="宋体" w:hAnsi="宋体" w:cs="宋体"/>
                <w:b/>
                <w:color w:val="auto"/>
                <w:kern w:val="0"/>
                <w:szCs w:val="21"/>
                <w:highlight w:val="none"/>
              </w:rPr>
              <w:t>大写：</w:t>
            </w:r>
          </w:p>
        </w:tc>
      </w:tr>
    </w:tbl>
    <w:p w14:paraId="4A3EA362">
      <w:pPr>
        <w:snapToGrid w:val="0"/>
        <w:spacing w:line="360" w:lineRule="auto"/>
        <w:ind w:firstLine="480" w:firstLineChars="200"/>
        <w:jc w:val="left"/>
        <w:rPr>
          <w:rFonts w:hint="eastAsia" w:ascii="宋体" w:hAnsi="宋体" w:cs="宋体"/>
          <w:color w:val="auto"/>
          <w:sz w:val="24"/>
          <w:szCs w:val="24"/>
          <w:highlight w:val="none"/>
          <w:shd w:val="clear" w:color="auto" w:fill="auto"/>
        </w:rPr>
      </w:pPr>
    </w:p>
    <w:p w14:paraId="0994F419">
      <w:pPr>
        <w:snapToGrid w:val="0"/>
        <w:spacing w:line="360" w:lineRule="auto"/>
        <w:ind w:firstLine="420" w:firstLineChars="200"/>
        <w:jc w:val="left"/>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注: 1、报价一经涂改，应在涂改处加盖单位公章或者由法定代表人或被授权委托人签字或盖章，否则其投标作无效标处理。</w:t>
      </w:r>
    </w:p>
    <w:p w14:paraId="38555D39">
      <w:pPr>
        <w:snapToGrid w:val="0"/>
        <w:spacing w:line="360" w:lineRule="auto"/>
        <w:ind w:firstLine="420" w:firstLineChars="200"/>
        <w:jc w:val="left"/>
        <w:rPr>
          <w:color w:val="auto"/>
          <w:highlight w:val="none"/>
        </w:rPr>
      </w:pPr>
      <w:r>
        <w:rPr>
          <w:rFonts w:hint="eastAsia" w:ascii="宋体" w:hAnsi="宋体" w:cs="宋体"/>
          <w:color w:val="auto"/>
          <w:szCs w:val="21"/>
          <w:highlight w:val="none"/>
          <w:shd w:val="clear" w:color="auto" w:fill="auto"/>
        </w:rPr>
        <w:t>2、</w:t>
      </w:r>
      <w:r>
        <w:rPr>
          <w:rFonts w:hint="eastAsia" w:ascii="宋体" w:hAnsi="宋体" w:eastAsia="宋体" w:cs="宋体"/>
          <w:color w:val="auto"/>
          <w:szCs w:val="21"/>
          <w:highlight w:val="none"/>
          <w:shd w:val="clear" w:color="auto" w:fill="auto"/>
          <w:lang w:val="en-US" w:eastAsia="zh-CN"/>
        </w:rPr>
        <w:t>应用开发</w:t>
      </w:r>
      <w:r>
        <w:rPr>
          <w:rFonts w:hint="eastAsia" w:ascii="宋体" w:hAnsi="宋体" w:eastAsia="宋体" w:cs="宋体"/>
          <w:color w:val="auto"/>
          <w:szCs w:val="21"/>
          <w:highlight w:val="none"/>
          <w:shd w:val="clear" w:color="auto" w:fill="auto"/>
        </w:rPr>
        <w:t>投标总价应与</w:t>
      </w:r>
      <w:r>
        <w:rPr>
          <w:rFonts w:hint="eastAsia" w:ascii="宋体" w:hAnsi="宋体" w:cs="宋体"/>
          <w:color w:val="auto"/>
          <w:szCs w:val="21"/>
          <w:highlight w:val="none"/>
          <w:shd w:val="clear" w:color="auto" w:fill="auto"/>
        </w:rPr>
        <w:t>“开标一览表”中的“</w:t>
      </w:r>
      <w:r>
        <w:rPr>
          <w:rFonts w:hint="eastAsia" w:ascii="宋体" w:hAnsi="宋体" w:eastAsia="宋体" w:cs="宋体"/>
          <w:color w:val="auto"/>
          <w:szCs w:val="21"/>
          <w:highlight w:val="none"/>
          <w:shd w:val="clear" w:color="auto" w:fill="auto"/>
          <w:lang w:val="en-US" w:eastAsia="zh-CN"/>
        </w:rPr>
        <w:t>应用开发报价</w:t>
      </w:r>
      <w:r>
        <w:rPr>
          <w:rFonts w:hint="eastAsia" w:ascii="宋体" w:hAnsi="宋体" w:eastAsia="宋体" w:cs="宋体"/>
          <w:color w:val="auto"/>
          <w:szCs w:val="21"/>
          <w:highlight w:val="none"/>
          <w:shd w:val="clear" w:color="auto" w:fill="auto"/>
        </w:rPr>
        <w:t>”相</w:t>
      </w:r>
      <w:r>
        <w:rPr>
          <w:rFonts w:hint="eastAsia" w:ascii="宋体" w:hAnsi="宋体" w:cs="宋体"/>
          <w:color w:val="auto"/>
          <w:szCs w:val="21"/>
          <w:highlight w:val="none"/>
          <w:shd w:val="clear" w:color="auto" w:fill="auto"/>
        </w:rPr>
        <w:t>一致。</w:t>
      </w:r>
    </w:p>
    <w:p w14:paraId="7C4A3F95">
      <w:pPr>
        <w:snapToGrid w:val="0"/>
        <w:spacing w:line="360" w:lineRule="auto"/>
        <w:ind w:firstLine="420" w:firstLineChars="200"/>
        <w:jc w:val="left"/>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3、</w:t>
      </w:r>
      <w:r>
        <w:rPr>
          <w:rFonts w:hint="eastAsia"/>
          <w:color w:val="auto"/>
          <w:highlight w:val="none"/>
        </w:rPr>
        <w:t>此表在不改变表式的情况下，可自行制作</w:t>
      </w:r>
      <w:r>
        <w:rPr>
          <w:rFonts w:hint="eastAsia" w:ascii="宋体" w:hAnsi="宋体" w:eastAsia="宋体" w:cs="宋体"/>
          <w:color w:val="auto"/>
          <w:szCs w:val="21"/>
          <w:highlight w:val="none"/>
          <w:shd w:val="clear" w:color="auto" w:fill="auto"/>
          <w:lang w:val="en-US" w:eastAsia="zh-CN"/>
        </w:rPr>
        <w:t>。</w:t>
      </w:r>
    </w:p>
    <w:p w14:paraId="57F4BEF4">
      <w:pPr>
        <w:pStyle w:val="12"/>
        <w:rPr>
          <w:color w:val="auto"/>
          <w:highlight w:val="none"/>
        </w:rPr>
      </w:pPr>
    </w:p>
    <w:p w14:paraId="70A13026">
      <w:pPr>
        <w:spacing w:before="120" w:beforeLines="50" w:after="120" w:afterLines="50" w:line="360" w:lineRule="auto"/>
        <w:rPr>
          <w:color w:val="auto"/>
          <w:highlight w:val="none"/>
        </w:rPr>
      </w:pPr>
      <w:r>
        <w:rPr>
          <w:rFonts w:hint="eastAsia" w:ascii="宋体" w:hAnsi="宋体"/>
          <w:color w:val="auto"/>
          <w:kern w:val="0"/>
          <w:szCs w:val="21"/>
          <w:highlight w:val="none"/>
        </w:rPr>
        <w:t>投标人（盖章）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5F19B703">
      <w:pPr>
        <w:spacing w:line="360" w:lineRule="auto"/>
        <w:rPr>
          <w:rFonts w:hint="eastAsia" w:ascii="宋体" w:hAnsi="宋体"/>
          <w:color w:val="auto"/>
          <w:szCs w:val="21"/>
          <w:highlight w:val="none"/>
        </w:rPr>
      </w:pPr>
      <w:r>
        <w:rPr>
          <w:rFonts w:hint="eastAsia" w:ascii="宋体" w:hAnsi="宋体"/>
          <w:color w:val="auto"/>
          <w:szCs w:val="21"/>
          <w:highlight w:val="none"/>
        </w:rPr>
        <w:t>法定代表人(或全权代表)签字或盖章：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25FE4056">
      <w:pPr>
        <w:spacing w:line="360" w:lineRule="auto"/>
        <w:rPr>
          <w:rFonts w:hint="eastAsia" w:ascii="宋体" w:hAnsi="宋体"/>
          <w:color w:val="auto"/>
          <w:szCs w:val="21"/>
          <w:highlight w:val="none"/>
          <w:u w:val="singl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p>
    <w:p w14:paraId="1A7C7C9A">
      <w:pPr>
        <w:spacing w:line="360" w:lineRule="auto"/>
        <w:jc w:val="center"/>
        <w:rPr>
          <w:rFonts w:hint="eastAsia" w:ascii="宋体" w:hAnsi="宋体" w:cs="宋体"/>
          <w:b/>
          <w:color w:val="auto"/>
          <w:sz w:val="30"/>
          <w:szCs w:val="30"/>
          <w:highlight w:val="none"/>
        </w:rPr>
      </w:pPr>
      <w:r>
        <w:rPr>
          <w:rFonts w:ascii="宋体" w:hAnsi="宋体"/>
          <w:color w:val="auto"/>
          <w:highlight w:val="none"/>
        </w:rPr>
        <w:br w:type="page"/>
      </w:r>
      <w:r>
        <w:rPr>
          <w:rFonts w:hint="eastAsia" w:ascii="宋体" w:hAnsi="宋体" w:cs="宋体"/>
          <w:b/>
          <w:color w:val="auto"/>
          <w:sz w:val="30"/>
          <w:szCs w:val="30"/>
          <w:highlight w:val="none"/>
        </w:rPr>
        <w:t>投标报价明细表</w:t>
      </w:r>
    </w:p>
    <w:p w14:paraId="154BB2F1">
      <w:pPr>
        <w:spacing w:after="240" w:afterLines="100"/>
        <w:jc w:val="center"/>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w:t>
      </w:r>
      <w:r>
        <w:rPr>
          <w:rFonts w:hint="eastAsia" w:ascii="宋体" w:hAnsi="宋体" w:eastAsia="宋体" w:cs="宋体"/>
          <w:b/>
          <w:color w:val="auto"/>
          <w:sz w:val="30"/>
          <w:szCs w:val="30"/>
          <w:highlight w:val="none"/>
          <w:lang w:val="en-US" w:eastAsia="zh-CN"/>
        </w:rPr>
        <w:t>基础设施层</w:t>
      </w:r>
      <w:r>
        <w:rPr>
          <w:rFonts w:hint="eastAsia" w:ascii="宋体" w:hAnsi="宋体" w:cs="宋体"/>
          <w:b/>
          <w:color w:val="auto"/>
          <w:sz w:val="30"/>
          <w:szCs w:val="30"/>
          <w:highlight w:val="none"/>
          <w:lang w:val="en-US" w:eastAsia="zh-CN"/>
        </w:rPr>
        <w:t>明细表</w:t>
      </w:r>
      <w:r>
        <w:rPr>
          <w:rFonts w:hint="eastAsia" w:ascii="宋体" w:hAnsi="宋体" w:cs="宋体"/>
          <w:b/>
          <w:color w:val="auto"/>
          <w:sz w:val="30"/>
          <w:szCs w:val="30"/>
          <w:highlight w:val="none"/>
          <w:lang w:eastAsia="zh-CN"/>
        </w:rPr>
        <w:t>）</w:t>
      </w:r>
    </w:p>
    <w:p w14:paraId="16CA8D04">
      <w:pPr>
        <w:spacing w:before="120" w:beforeLines="50" w:after="240" w:afterLines="100"/>
        <w:rPr>
          <w:rFonts w:ascii="宋体" w:hAnsi="宋体"/>
          <w:b/>
          <w:bCs/>
          <w:color w:val="auto"/>
          <w:spacing w:val="20"/>
          <w:szCs w:val="21"/>
          <w:highlight w:val="none"/>
          <w:u w:val="single"/>
        </w:rPr>
      </w:pPr>
      <w:r>
        <w:rPr>
          <w:rFonts w:hint="eastAsia" w:ascii="宋体" w:hAnsi="宋体"/>
          <w:color w:val="auto"/>
          <w:szCs w:val="21"/>
          <w:highlight w:val="none"/>
        </w:rPr>
        <w:t>项目编号：</w:t>
      </w:r>
      <w:r>
        <w:rPr>
          <w:rFonts w:hint="eastAsia" w:ascii="宋体" w:hAnsi="宋体"/>
          <w:b/>
          <w:bCs/>
          <w:color w:val="auto"/>
          <w:spacing w:val="20"/>
          <w:szCs w:val="21"/>
          <w:highlight w:val="none"/>
          <w:u w:val="single"/>
        </w:rPr>
        <w:t xml:space="preserve">                     </w:t>
      </w:r>
      <w:r>
        <w:rPr>
          <w:rFonts w:hint="eastAsia" w:ascii="宋体" w:hAnsi="宋体"/>
          <w:b/>
          <w:bCs/>
          <w:color w:val="auto"/>
          <w:spacing w:val="20"/>
          <w:szCs w:val="21"/>
          <w:highlight w:val="none"/>
          <w:u w:val="none"/>
          <w:lang w:val="en-US" w:eastAsia="zh-CN"/>
        </w:rPr>
        <w:t xml:space="preserve">     </w:t>
      </w:r>
      <w:r>
        <w:rPr>
          <w:rFonts w:hint="eastAsia" w:ascii="宋体" w:hAnsi="宋体"/>
          <w:color w:val="auto"/>
          <w:szCs w:val="21"/>
          <w:highlight w:val="none"/>
        </w:rPr>
        <w:t>项目</w:t>
      </w:r>
      <w:r>
        <w:rPr>
          <w:rFonts w:hint="eastAsia" w:ascii="宋体" w:hAnsi="宋体"/>
          <w:color w:val="auto"/>
          <w:szCs w:val="21"/>
          <w:highlight w:val="none"/>
          <w:lang w:val="en-US" w:eastAsia="zh-CN"/>
        </w:rPr>
        <w:t>名称</w:t>
      </w:r>
      <w:r>
        <w:rPr>
          <w:rFonts w:hint="eastAsia" w:ascii="宋体" w:hAnsi="宋体"/>
          <w:color w:val="auto"/>
          <w:szCs w:val="21"/>
          <w:highlight w:val="none"/>
        </w:rPr>
        <w:t>：</w:t>
      </w:r>
      <w:r>
        <w:rPr>
          <w:rFonts w:hint="eastAsia" w:ascii="宋体" w:hAnsi="宋体"/>
          <w:b/>
          <w:bCs/>
          <w:color w:val="auto"/>
          <w:spacing w:val="20"/>
          <w:szCs w:val="21"/>
          <w:highlight w:val="none"/>
          <w:u w:val="single"/>
        </w:rPr>
        <w:t xml:space="preserve">   </w:t>
      </w:r>
      <w:r>
        <w:rPr>
          <w:rFonts w:hint="eastAsia" w:ascii="宋体" w:hAnsi="宋体"/>
          <w:b/>
          <w:bCs/>
          <w:color w:val="auto"/>
          <w:spacing w:val="20"/>
          <w:szCs w:val="21"/>
          <w:highlight w:val="none"/>
          <w:u w:val="single"/>
          <w:lang w:val="en-US" w:eastAsia="zh-CN"/>
        </w:rPr>
        <w:t xml:space="preserve">     </w:t>
      </w:r>
      <w:r>
        <w:rPr>
          <w:rFonts w:hint="eastAsia" w:ascii="宋体" w:hAnsi="宋体"/>
          <w:b/>
          <w:bCs/>
          <w:color w:val="auto"/>
          <w:spacing w:val="20"/>
          <w:szCs w:val="21"/>
          <w:highlight w:val="none"/>
          <w:u w:val="single"/>
        </w:rPr>
        <w:t xml:space="preserve">         </w:t>
      </w:r>
    </w:p>
    <w:tbl>
      <w:tblPr>
        <w:tblStyle w:val="28"/>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634"/>
        <w:gridCol w:w="1634"/>
        <w:gridCol w:w="1581"/>
        <w:gridCol w:w="865"/>
        <w:gridCol w:w="811"/>
        <w:gridCol w:w="1066"/>
        <w:gridCol w:w="1100"/>
      </w:tblGrid>
      <w:tr w14:paraId="0CA0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89" w:type="dxa"/>
            <w:noWrap w:val="0"/>
            <w:vAlign w:val="center"/>
          </w:tcPr>
          <w:p w14:paraId="37FDF420">
            <w:pPr>
              <w:jc w:val="center"/>
              <w:rPr>
                <w:rFonts w:ascii="宋体" w:hAnsi="宋体"/>
                <w:b/>
                <w:color w:val="auto"/>
                <w:highlight w:val="none"/>
              </w:rPr>
            </w:pPr>
            <w:r>
              <w:rPr>
                <w:rFonts w:hint="eastAsia" w:ascii="宋体" w:hAnsi="宋体"/>
                <w:b/>
                <w:color w:val="auto"/>
                <w:highlight w:val="none"/>
              </w:rPr>
              <w:t>序号</w:t>
            </w:r>
          </w:p>
        </w:tc>
        <w:tc>
          <w:tcPr>
            <w:tcW w:w="1634" w:type="dxa"/>
            <w:noWrap w:val="0"/>
            <w:vAlign w:val="center"/>
          </w:tcPr>
          <w:p w14:paraId="316473F4">
            <w:pPr>
              <w:jc w:val="center"/>
              <w:rPr>
                <w:rFonts w:hint="eastAsia" w:ascii="宋体" w:hAnsi="宋体"/>
                <w:b/>
                <w:color w:val="auto"/>
                <w:highlight w:val="none"/>
              </w:rPr>
            </w:pPr>
            <w:r>
              <w:rPr>
                <w:rFonts w:hint="eastAsia" w:ascii="宋体" w:hAnsi="宋体"/>
                <w:b/>
                <w:color w:val="auto"/>
                <w:highlight w:val="none"/>
                <w:lang w:val="en-US" w:eastAsia="zh-CN"/>
              </w:rPr>
              <w:t>设备</w:t>
            </w:r>
            <w:r>
              <w:rPr>
                <w:rFonts w:hint="eastAsia" w:ascii="宋体" w:hAnsi="宋体"/>
                <w:b/>
                <w:color w:val="auto"/>
                <w:highlight w:val="none"/>
              </w:rPr>
              <w:t>名称</w:t>
            </w:r>
          </w:p>
        </w:tc>
        <w:tc>
          <w:tcPr>
            <w:tcW w:w="1634" w:type="dxa"/>
            <w:noWrap w:val="0"/>
            <w:vAlign w:val="center"/>
          </w:tcPr>
          <w:p w14:paraId="3826D816">
            <w:pPr>
              <w:jc w:val="center"/>
              <w:rPr>
                <w:rFonts w:ascii="宋体" w:hAnsi="宋体"/>
                <w:b/>
                <w:color w:val="auto"/>
                <w:highlight w:val="none"/>
              </w:rPr>
            </w:pPr>
            <w:r>
              <w:rPr>
                <w:rFonts w:hint="eastAsia" w:ascii="宋体" w:hAnsi="宋体"/>
                <w:b/>
                <w:bCs/>
                <w:color w:val="auto"/>
                <w:szCs w:val="21"/>
                <w:highlight w:val="none"/>
                <w:lang w:val="en-US" w:eastAsia="zh-CN"/>
              </w:rPr>
              <w:t>设备参数</w:t>
            </w:r>
          </w:p>
        </w:tc>
        <w:tc>
          <w:tcPr>
            <w:tcW w:w="1581" w:type="dxa"/>
            <w:noWrap w:val="0"/>
            <w:vAlign w:val="center"/>
          </w:tcPr>
          <w:p w14:paraId="7104C490">
            <w:pPr>
              <w:jc w:val="center"/>
              <w:rPr>
                <w:rFonts w:hint="default" w:ascii="宋体" w:hAnsi="宋体" w:eastAsia="宋体"/>
                <w:b/>
                <w:color w:val="auto"/>
                <w:highlight w:val="none"/>
                <w:lang w:val="en-US" w:eastAsia="zh-CN"/>
              </w:rPr>
            </w:pPr>
            <w:r>
              <w:rPr>
                <w:rFonts w:hint="eastAsia" w:ascii="宋体" w:hAnsi="宋体"/>
                <w:b/>
                <w:bCs/>
                <w:color w:val="auto"/>
                <w:szCs w:val="21"/>
                <w:highlight w:val="none"/>
              </w:rPr>
              <w:t>品牌型号</w:t>
            </w:r>
          </w:p>
        </w:tc>
        <w:tc>
          <w:tcPr>
            <w:tcW w:w="865" w:type="dxa"/>
            <w:noWrap w:val="0"/>
            <w:vAlign w:val="center"/>
          </w:tcPr>
          <w:p w14:paraId="0F0FE984">
            <w:pPr>
              <w:jc w:val="center"/>
              <w:rPr>
                <w:rFonts w:ascii="宋体" w:hAnsi="宋体"/>
                <w:b/>
                <w:color w:val="auto"/>
                <w:highlight w:val="none"/>
              </w:rPr>
            </w:pPr>
            <w:r>
              <w:rPr>
                <w:rFonts w:hint="eastAsia" w:ascii="宋体" w:hAnsi="宋体"/>
                <w:b/>
                <w:color w:val="auto"/>
                <w:highlight w:val="none"/>
              </w:rPr>
              <w:t>单位</w:t>
            </w:r>
          </w:p>
        </w:tc>
        <w:tc>
          <w:tcPr>
            <w:tcW w:w="811" w:type="dxa"/>
            <w:noWrap w:val="0"/>
            <w:vAlign w:val="center"/>
          </w:tcPr>
          <w:p w14:paraId="689AEADC">
            <w:pPr>
              <w:jc w:val="center"/>
              <w:rPr>
                <w:rFonts w:ascii="宋体" w:hAnsi="宋体"/>
                <w:b/>
                <w:color w:val="auto"/>
                <w:highlight w:val="none"/>
              </w:rPr>
            </w:pPr>
            <w:r>
              <w:rPr>
                <w:rFonts w:hint="eastAsia" w:ascii="宋体" w:hAnsi="宋体"/>
                <w:b/>
                <w:color w:val="auto"/>
                <w:highlight w:val="none"/>
              </w:rPr>
              <w:t>数量</w:t>
            </w:r>
          </w:p>
        </w:tc>
        <w:tc>
          <w:tcPr>
            <w:tcW w:w="1066" w:type="dxa"/>
            <w:noWrap w:val="0"/>
            <w:vAlign w:val="center"/>
          </w:tcPr>
          <w:p w14:paraId="45A94931">
            <w:pPr>
              <w:jc w:val="center"/>
              <w:rPr>
                <w:rFonts w:ascii="宋体" w:hAnsi="宋体"/>
                <w:b/>
                <w:color w:val="auto"/>
                <w:highlight w:val="none"/>
              </w:rPr>
            </w:pPr>
            <w:r>
              <w:rPr>
                <w:rFonts w:hint="eastAsia" w:ascii="宋体" w:hAnsi="宋体"/>
                <w:b/>
                <w:color w:val="auto"/>
                <w:highlight w:val="none"/>
              </w:rPr>
              <w:t>单价</w:t>
            </w:r>
          </w:p>
          <w:p w14:paraId="5F17B449">
            <w:pPr>
              <w:jc w:val="center"/>
              <w:rPr>
                <w:rFonts w:ascii="宋体" w:hAnsi="宋体"/>
                <w:b/>
                <w:color w:val="auto"/>
                <w:highlight w:val="none"/>
              </w:rPr>
            </w:pPr>
            <w:r>
              <w:rPr>
                <w:rFonts w:hint="eastAsia" w:ascii="宋体" w:hAnsi="宋体"/>
                <w:b/>
                <w:color w:val="auto"/>
                <w:highlight w:val="none"/>
              </w:rPr>
              <w:t>(元)</w:t>
            </w:r>
          </w:p>
        </w:tc>
        <w:tc>
          <w:tcPr>
            <w:tcW w:w="1100" w:type="dxa"/>
            <w:noWrap w:val="0"/>
            <w:vAlign w:val="center"/>
          </w:tcPr>
          <w:p w14:paraId="02F3235E">
            <w:pPr>
              <w:jc w:val="center"/>
              <w:rPr>
                <w:rFonts w:ascii="宋体" w:hAnsi="宋体"/>
                <w:b/>
                <w:color w:val="auto"/>
                <w:highlight w:val="none"/>
              </w:rPr>
            </w:pPr>
            <w:r>
              <w:rPr>
                <w:rFonts w:hint="eastAsia" w:ascii="宋体" w:hAnsi="宋体"/>
                <w:b/>
                <w:color w:val="auto"/>
                <w:highlight w:val="none"/>
              </w:rPr>
              <w:t>总价</w:t>
            </w:r>
          </w:p>
          <w:p w14:paraId="294A4D10">
            <w:pPr>
              <w:jc w:val="center"/>
              <w:rPr>
                <w:rFonts w:ascii="宋体" w:hAnsi="宋体"/>
                <w:b/>
                <w:color w:val="auto"/>
                <w:highlight w:val="none"/>
              </w:rPr>
            </w:pPr>
            <w:r>
              <w:rPr>
                <w:rFonts w:hint="eastAsia" w:ascii="宋体" w:hAnsi="宋体"/>
                <w:b/>
                <w:color w:val="auto"/>
                <w:highlight w:val="none"/>
              </w:rPr>
              <w:t>（元）</w:t>
            </w:r>
          </w:p>
        </w:tc>
      </w:tr>
      <w:tr w14:paraId="36E7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689" w:type="dxa"/>
            <w:noWrap w:val="0"/>
            <w:vAlign w:val="center"/>
          </w:tcPr>
          <w:p w14:paraId="7FD1B97F">
            <w:pPr>
              <w:widowControl/>
              <w:spacing w:line="340" w:lineRule="exact"/>
              <w:jc w:val="center"/>
              <w:rPr>
                <w:rFonts w:ascii="宋体" w:hAnsi="宋体" w:cs="宋体"/>
                <w:b/>
                <w:color w:val="auto"/>
                <w:kern w:val="0"/>
                <w:szCs w:val="21"/>
                <w:highlight w:val="none"/>
              </w:rPr>
            </w:pPr>
          </w:p>
        </w:tc>
        <w:tc>
          <w:tcPr>
            <w:tcW w:w="1634" w:type="dxa"/>
            <w:noWrap w:val="0"/>
            <w:vAlign w:val="center"/>
          </w:tcPr>
          <w:p w14:paraId="7E2AC55C">
            <w:pPr>
              <w:pStyle w:val="41"/>
              <w:spacing w:line="340" w:lineRule="exact"/>
              <w:ind w:firstLine="0" w:firstLineChars="0"/>
              <w:jc w:val="center"/>
              <w:rPr>
                <w:rFonts w:ascii="宋体" w:hAnsi="宋体" w:cs="宋体"/>
                <w:b/>
                <w:color w:val="auto"/>
                <w:kern w:val="0"/>
                <w:highlight w:val="none"/>
              </w:rPr>
            </w:pPr>
          </w:p>
        </w:tc>
        <w:tc>
          <w:tcPr>
            <w:tcW w:w="1634" w:type="dxa"/>
            <w:noWrap w:val="0"/>
            <w:vAlign w:val="center"/>
          </w:tcPr>
          <w:p w14:paraId="26F2361D">
            <w:pPr>
              <w:pStyle w:val="41"/>
              <w:spacing w:line="340" w:lineRule="exact"/>
              <w:ind w:firstLine="0" w:firstLineChars="0"/>
              <w:jc w:val="center"/>
              <w:rPr>
                <w:rFonts w:ascii="宋体" w:hAnsi="宋体" w:cs="宋体"/>
                <w:b/>
                <w:color w:val="auto"/>
                <w:kern w:val="0"/>
                <w:highlight w:val="none"/>
              </w:rPr>
            </w:pPr>
          </w:p>
        </w:tc>
        <w:tc>
          <w:tcPr>
            <w:tcW w:w="1581" w:type="dxa"/>
            <w:noWrap w:val="0"/>
            <w:vAlign w:val="center"/>
          </w:tcPr>
          <w:p w14:paraId="459CD536">
            <w:pPr>
              <w:widowControl/>
              <w:jc w:val="center"/>
              <w:rPr>
                <w:rFonts w:ascii="宋体" w:hAnsi="宋体" w:cs="宋体"/>
                <w:b/>
                <w:color w:val="auto"/>
                <w:kern w:val="0"/>
                <w:szCs w:val="21"/>
                <w:highlight w:val="none"/>
              </w:rPr>
            </w:pPr>
          </w:p>
        </w:tc>
        <w:tc>
          <w:tcPr>
            <w:tcW w:w="865" w:type="dxa"/>
            <w:noWrap w:val="0"/>
            <w:vAlign w:val="center"/>
          </w:tcPr>
          <w:p w14:paraId="602D18B3">
            <w:pPr>
              <w:widowControl/>
              <w:jc w:val="center"/>
              <w:rPr>
                <w:rFonts w:ascii="宋体" w:hAnsi="宋体" w:cs="宋体"/>
                <w:b/>
                <w:color w:val="auto"/>
                <w:kern w:val="0"/>
                <w:szCs w:val="21"/>
                <w:highlight w:val="none"/>
              </w:rPr>
            </w:pPr>
          </w:p>
        </w:tc>
        <w:tc>
          <w:tcPr>
            <w:tcW w:w="811" w:type="dxa"/>
            <w:noWrap w:val="0"/>
            <w:vAlign w:val="center"/>
          </w:tcPr>
          <w:p w14:paraId="0D88D1AB">
            <w:pPr>
              <w:widowControl/>
              <w:jc w:val="center"/>
              <w:rPr>
                <w:rFonts w:ascii="宋体" w:hAnsi="宋体" w:cs="宋体"/>
                <w:b/>
                <w:color w:val="auto"/>
                <w:kern w:val="0"/>
                <w:szCs w:val="21"/>
                <w:highlight w:val="none"/>
              </w:rPr>
            </w:pPr>
          </w:p>
        </w:tc>
        <w:tc>
          <w:tcPr>
            <w:tcW w:w="1066" w:type="dxa"/>
            <w:noWrap w:val="0"/>
            <w:vAlign w:val="center"/>
          </w:tcPr>
          <w:p w14:paraId="4CFBD48F">
            <w:pPr>
              <w:widowControl/>
              <w:jc w:val="center"/>
              <w:rPr>
                <w:rFonts w:ascii="宋体" w:hAnsi="宋体" w:cs="宋体"/>
                <w:color w:val="auto"/>
                <w:kern w:val="0"/>
                <w:sz w:val="18"/>
                <w:szCs w:val="18"/>
                <w:highlight w:val="none"/>
              </w:rPr>
            </w:pPr>
          </w:p>
        </w:tc>
        <w:tc>
          <w:tcPr>
            <w:tcW w:w="1100" w:type="dxa"/>
            <w:noWrap w:val="0"/>
            <w:vAlign w:val="center"/>
          </w:tcPr>
          <w:p w14:paraId="689CDF46">
            <w:pPr>
              <w:widowControl/>
              <w:jc w:val="center"/>
              <w:rPr>
                <w:rFonts w:ascii="宋体" w:hAnsi="宋体" w:cs="宋体"/>
                <w:color w:val="auto"/>
                <w:kern w:val="0"/>
                <w:sz w:val="18"/>
                <w:szCs w:val="18"/>
                <w:highlight w:val="none"/>
              </w:rPr>
            </w:pPr>
          </w:p>
        </w:tc>
      </w:tr>
      <w:tr w14:paraId="3A07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689" w:type="dxa"/>
            <w:noWrap w:val="0"/>
            <w:vAlign w:val="center"/>
          </w:tcPr>
          <w:p w14:paraId="08A3FEC7">
            <w:pPr>
              <w:widowControl/>
              <w:spacing w:line="340" w:lineRule="exact"/>
              <w:jc w:val="center"/>
              <w:rPr>
                <w:rFonts w:ascii="宋体" w:hAnsi="宋体" w:cs="宋体"/>
                <w:b/>
                <w:color w:val="auto"/>
                <w:kern w:val="0"/>
                <w:szCs w:val="21"/>
                <w:highlight w:val="none"/>
              </w:rPr>
            </w:pPr>
          </w:p>
        </w:tc>
        <w:tc>
          <w:tcPr>
            <w:tcW w:w="1634" w:type="dxa"/>
            <w:noWrap w:val="0"/>
            <w:vAlign w:val="center"/>
          </w:tcPr>
          <w:p w14:paraId="4E93BE5F">
            <w:pPr>
              <w:widowControl/>
              <w:spacing w:line="340" w:lineRule="exact"/>
              <w:jc w:val="center"/>
              <w:rPr>
                <w:rFonts w:ascii="宋体" w:hAnsi="宋体" w:cs="宋体"/>
                <w:b/>
                <w:color w:val="auto"/>
                <w:kern w:val="0"/>
                <w:szCs w:val="21"/>
                <w:highlight w:val="none"/>
              </w:rPr>
            </w:pPr>
          </w:p>
        </w:tc>
        <w:tc>
          <w:tcPr>
            <w:tcW w:w="1634" w:type="dxa"/>
            <w:noWrap w:val="0"/>
            <w:vAlign w:val="center"/>
          </w:tcPr>
          <w:p w14:paraId="51D84ACB">
            <w:pPr>
              <w:widowControl/>
              <w:spacing w:line="340" w:lineRule="exact"/>
              <w:jc w:val="center"/>
              <w:rPr>
                <w:rFonts w:ascii="宋体" w:hAnsi="宋体" w:cs="宋体"/>
                <w:b/>
                <w:color w:val="auto"/>
                <w:kern w:val="0"/>
                <w:szCs w:val="21"/>
                <w:highlight w:val="none"/>
              </w:rPr>
            </w:pPr>
          </w:p>
        </w:tc>
        <w:tc>
          <w:tcPr>
            <w:tcW w:w="1581" w:type="dxa"/>
            <w:noWrap w:val="0"/>
            <w:vAlign w:val="center"/>
          </w:tcPr>
          <w:p w14:paraId="5085888A">
            <w:pPr>
              <w:widowControl/>
              <w:jc w:val="center"/>
              <w:rPr>
                <w:rFonts w:ascii="宋体" w:hAnsi="宋体" w:cs="宋体"/>
                <w:b/>
                <w:color w:val="auto"/>
                <w:kern w:val="0"/>
                <w:szCs w:val="21"/>
                <w:highlight w:val="none"/>
              </w:rPr>
            </w:pPr>
          </w:p>
        </w:tc>
        <w:tc>
          <w:tcPr>
            <w:tcW w:w="865" w:type="dxa"/>
            <w:noWrap w:val="0"/>
            <w:vAlign w:val="center"/>
          </w:tcPr>
          <w:p w14:paraId="3FF39E86">
            <w:pPr>
              <w:widowControl/>
              <w:jc w:val="center"/>
              <w:rPr>
                <w:rFonts w:ascii="宋体" w:hAnsi="宋体" w:cs="宋体"/>
                <w:b/>
                <w:color w:val="auto"/>
                <w:kern w:val="0"/>
                <w:szCs w:val="21"/>
                <w:highlight w:val="none"/>
              </w:rPr>
            </w:pPr>
          </w:p>
        </w:tc>
        <w:tc>
          <w:tcPr>
            <w:tcW w:w="811" w:type="dxa"/>
            <w:noWrap w:val="0"/>
            <w:vAlign w:val="center"/>
          </w:tcPr>
          <w:p w14:paraId="08C2C70A">
            <w:pPr>
              <w:widowControl/>
              <w:jc w:val="center"/>
              <w:rPr>
                <w:rFonts w:ascii="宋体" w:hAnsi="宋体" w:cs="宋体"/>
                <w:b/>
                <w:color w:val="auto"/>
                <w:kern w:val="0"/>
                <w:szCs w:val="21"/>
                <w:highlight w:val="none"/>
              </w:rPr>
            </w:pPr>
          </w:p>
        </w:tc>
        <w:tc>
          <w:tcPr>
            <w:tcW w:w="1066" w:type="dxa"/>
            <w:noWrap w:val="0"/>
            <w:vAlign w:val="center"/>
          </w:tcPr>
          <w:p w14:paraId="4B6F42CC">
            <w:pPr>
              <w:widowControl/>
              <w:jc w:val="center"/>
              <w:rPr>
                <w:rFonts w:ascii="宋体" w:hAnsi="宋体" w:cs="宋体"/>
                <w:color w:val="auto"/>
                <w:kern w:val="0"/>
                <w:sz w:val="18"/>
                <w:szCs w:val="18"/>
                <w:highlight w:val="none"/>
              </w:rPr>
            </w:pPr>
          </w:p>
        </w:tc>
        <w:tc>
          <w:tcPr>
            <w:tcW w:w="1100" w:type="dxa"/>
            <w:noWrap w:val="0"/>
            <w:vAlign w:val="center"/>
          </w:tcPr>
          <w:p w14:paraId="132D1832">
            <w:pPr>
              <w:widowControl/>
              <w:jc w:val="center"/>
              <w:rPr>
                <w:rFonts w:ascii="宋体" w:hAnsi="宋体" w:cs="宋体"/>
                <w:color w:val="auto"/>
                <w:kern w:val="0"/>
                <w:sz w:val="18"/>
                <w:szCs w:val="18"/>
                <w:highlight w:val="none"/>
              </w:rPr>
            </w:pPr>
          </w:p>
        </w:tc>
      </w:tr>
      <w:tr w14:paraId="52C69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689" w:type="dxa"/>
            <w:noWrap w:val="0"/>
            <w:vAlign w:val="center"/>
          </w:tcPr>
          <w:p w14:paraId="68023F21">
            <w:pPr>
              <w:widowControl/>
              <w:spacing w:line="340" w:lineRule="exact"/>
              <w:jc w:val="center"/>
              <w:rPr>
                <w:rFonts w:ascii="宋体" w:hAnsi="宋体" w:cs="宋体"/>
                <w:b/>
                <w:color w:val="auto"/>
                <w:kern w:val="0"/>
                <w:szCs w:val="21"/>
                <w:highlight w:val="none"/>
              </w:rPr>
            </w:pPr>
          </w:p>
        </w:tc>
        <w:tc>
          <w:tcPr>
            <w:tcW w:w="1634" w:type="dxa"/>
            <w:noWrap w:val="0"/>
            <w:vAlign w:val="center"/>
          </w:tcPr>
          <w:p w14:paraId="7E8B3845">
            <w:pPr>
              <w:widowControl/>
              <w:spacing w:line="340" w:lineRule="exact"/>
              <w:jc w:val="center"/>
              <w:rPr>
                <w:rFonts w:ascii="宋体" w:hAnsi="宋体" w:cs="宋体"/>
                <w:b/>
                <w:color w:val="auto"/>
                <w:kern w:val="0"/>
                <w:szCs w:val="21"/>
                <w:highlight w:val="none"/>
              </w:rPr>
            </w:pPr>
          </w:p>
        </w:tc>
        <w:tc>
          <w:tcPr>
            <w:tcW w:w="1634" w:type="dxa"/>
            <w:noWrap w:val="0"/>
            <w:vAlign w:val="center"/>
          </w:tcPr>
          <w:p w14:paraId="492D1F72">
            <w:pPr>
              <w:widowControl/>
              <w:spacing w:line="340" w:lineRule="exact"/>
              <w:jc w:val="center"/>
              <w:rPr>
                <w:rFonts w:ascii="宋体" w:hAnsi="宋体" w:cs="宋体"/>
                <w:b/>
                <w:color w:val="auto"/>
                <w:kern w:val="0"/>
                <w:szCs w:val="21"/>
                <w:highlight w:val="none"/>
              </w:rPr>
            </w:pPr>
          </w:p>
        </w:tc>
        <w:tc>
          <w:tcPr>
            <w:tcW w:w="1581" w:type="dxa"/>
            <w:noWrap w:val="0"/>
            <w:vAlign w:val="center"/>
          </w:tcPr>
          <w:p w14:paraId="17F41838">
            <w:pPr>
              <w:widowControl/>
              <w:jc w:val="center"/>
              <w:rPr>
                <w:rFonts w:ascii="宋体" w:hAnsi="宋体" w:cs="宋体"/>
                <w:b/>
                <w:color w:val="auto"/>
                <w:kern w:val="0"/>
                <w:szCs w:val="21"/>
                <w:highlight w:val="none"/>
              </w:rPr>
            </w:pPr>
          </w:p>
        </w:tc>
        <w:tc>
          <w:tcPr>
            <w:tcW w:w="865" w:type="dxa"/>
            <w:noWrap w:val="0"/>
            <w:vAlign w:val="center"/>
          </w:tcPr>
          <w:p w14:paraId="1332C753">
            <w:pPr>
              <w:widowControl/>
              <w:jc w:val="center"/>
              <w:rPr>
                <w:rFonts w:ascii="宋体" w:hAnsi="宋体" w:cs="宋体"/>
                <w:b/>
                <w:color w:val="auto"/>
                <w:kern w:val="0"/>
                <w:szCs w:val="21"/>
                <w:highlight w:val="none"/>
              </w:rPr>
            </w:pPr>
          </w:p>
        </w:tc>
        <w:tc>
          <w:tcPr>
            <w:tcW w:w="811" w:type="dxa"/>
            <w:noWrap w:val="0"/>
            <w:vAlign w:val="center"/>
          </w:tcPr>
          <w:p w14:paraId="44B9A2F0">
            <w:pPr>
              <w:widowControl/>
              <w:jc w:val="center"/>
              <w:rPr>
                <w:rFonts w:ascii="宋体" w:hAnsi="宋体" w:cs="宋体"/>
                <w:b/>
                <w:color w:val="auto"/>
                <w:kern w:val="0"/>
                <w:szCs w:val="21"/>
                <w:highlight w:val="none"/>
              </w:rPr>
            </w:pPr>
          </w:p>
        </w:tc>
        <w:tc>
          <w:tcPr>
            <w:tcW w:w="1066" w:type="dxa"/>
            <w:noWrap w:val="0"/>
            <w:vAlign w:val="center"/>
          </w:tcPr>
          <w:p w14:paraId="3DD2B21D">
            <w:pPr>
              <w:widowControl/>
              <w:jc w:val="center"/>
              <w:rPr>
                <w:rFonts w:ascii="宋体" w:hAnsi="宋体" w:cs="宋体"/>
                <w:color w:val="auto"/>
                <w:kern w:val="0"/>
                <w:sz w:val="18"/>
                <w:szCs w:val="18"/>
                <w:highlight w:val="none"/>
              </w:rPr>
            </w:pPr>
          </w:p>
        </w:tc>
        <w:tc>
          <w:tcPr>
            <w:tcW w:w="1100" w:type="dxa"/>
            <w:noWrap w:val="0"/>
            <w:vAlign w:val="center"/>
          </w:tcPr>
          <w:p w14:paraId="23712887">
            <w:pPr>
              <w:widowControl/>
              <w:jc w:val="center"/>
              <w:rPr>
                <w:rFonts w:ascii="宋体" w:hAnsi="宋体" w:cs="宋体"/>
                <w:color w:val="auto"/>
                <w:kern w:val="0"/>
                <w:sz w:val="18"/>
                <w:szCs w:val="18"/>
                <w:highlight w:val="none"/>
              </w:rPr>
            </w:pPr>
          </w:p>
        </w:tc>
      </w:tr>
      <w:tr w14:paraId="44FD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689" w:type="dxa"/>
            <w:noWrap w:val="0"/>
            <w:vAlign w:val="center"/>
          </w:tcPr>
          <w:p w14:paraId="000C8859">
            <w:pPr>
              <w:widowControl/>
              <w:spacing w:line="340" w:lineRule="exact"/>
              <w:jc w:val="center"/>
              <w:rPr>
                <w:rFonts w:ascii="宋体" w:hAnsi="宋体" w:cs="宋体"/>
                <w:b/>
                <w:color w:val="auto"/>
                <w:kern w:val="0"/>
                <w:szCs w:val="21"/>
                <w:highlight w:val="none"/>
              </w:rPr>
            </w:pPr>
          </w:p>
        </w:tc>
        <w:tc>
          <w:tcPr>
            <w:tcW w:w="1634" w:type="dxa"/>
            <w:noWrap w:val="0"/>
            <w:vAlign w:val="center"/>
          </w:tcPr>
          <w:p w14:paraId="2A6DE90F">
            <w:pPr>
              <w:widowControl/>
              <w:spacing w:line="340" w:lineRule="exact"/>
              <w:jc w:val="center"/>
              <w:rPr>
                <w:rFonts w:ascii="宋体" w:hAnsi="宋体" w:cs="宋体"/>
                <w:b/>
                <w:color w:val="auto"/>
                <w:kern w:val="0"/>
                <w:szCs w:val="21"/>
                <w:highlight w:val="none"/>
              </w:rPr>
            </w:pPr>
          </w:p>
        </w:tc>
        <w:tc>
          <w:tcPr>
            <w:tcW w:w="1634" w:type="dxa"/>
            <w:noWrap w:val="0"/>
            <w:vAlign w:val="center"/>
          </w:tcPr>
          <w:p w14:paraId="05EC6124">
            <w:pPr>
              <w:widowControl/>
              <w:spacing w:line="340" w:lineRule="exact"/>
              <w:jc w:val="center"/>
              <w:rPr>
                <w:rFonts w:ascii="宋体" w:hAnsi="宋体" w:cs="宋体"/>
                <w:b/>
                <w:color w:val="auto"/>
                <w:kern w:val="0"/>
                <w:szCs w:val="21"/>
                <w:highlight w:val="none"/>
              </w:rPr>
            </w:pPr>
          </w:p>
        </w:tc>
        <w:tc>
          <w:tcPr>
            <w:tcW w:w="1581" w:type="dxa"/>
            <w:noWrap w:val="0"/>
            <w:vAlign w:val="center"/>
          </w:tcPr>
          <w:p w14:paraId="41F08B4C">
            <w:pPr>
              <w:widowControl/>
              <w:jc w:val="center"/>
              <w:rPr>
                <w:rFonts w:ascii="宋体" w:hAnsi="宋体" w:cs="宋体"/>
                <w:b/>
                <w:color w:val="auto"/>
                <w:kern w:val="0"/>
                <w:szCs w:val="21"/>
                <w:highlight w:val="none"/>
              </w:rPr>
            </w:pPr>
          </w:p>
        </w:tc>
        <w:tc>
          <w:tcPr>
            <w:tcW w:w="865" w:type="dxa"/>
            <w:noWrap w:val="0"/>
            <w:vAlign w:val="center"/>
          </w:tcPr>
          <w:p w14:paraId="69B5A565">
            <w:pPr>
              <w:widowControl/>
              <w:jc w:val="center"/>
              <w:rPr>
                <w:rFonts w:ascii="宋体" w:hAnsi="宋体" w:cs="宋体"/>
                <w:b/>
                <w:color w:val="auto"/>
                <w:kern w:val="0"/>
                <w:szCs w:val="21"/>
                <w:highlight w:val="none"/>
              </w:rPr>
            </w:pPr>
          </w:p>
        </w:tc>
        <w:tc>
          <w:tcPr>
            <w:tcW w:w="811" w:type="dxa"/>
            <w:noWrap w:val="0"/>
            <w:vAlign w:val="center"/>
          </w:tcPr>
          <w:p w14:paraId="44733283">
            <w:pPr>
              <w:widowControl/>
              <w:jc w:val="center"/>
              <w:rPr>
                <w:rFonts w:ascii="宋体" w:hAnsi="宋体" w:cs="宋体"/>
                <w:b/>
                <w:color w:val="auto"/>
                <w:kern w:val="0"/>
                <w:szCs w:val="21"/>
                <w:highlight w:val="none"/>
              </w:rPr>
            </w:pPr>
          </w:p>
        </w:tc>
        <w:tc>
          <w:tcPr>
            <w:tcW w:w="1066" w:type="dxa"/>
            <w:noWrap w:val="0"/>
            <w:vAlign w:val="center"/>
          </w:tcPr>
          <w:p w14:paraId="707FC887">
            <w:pPr>
              <w:widowControl/>
              <w:jc w:val="center"/>
              <w:rPr>
                <w:rFonts w:ascii="宋体" w:hAnsi="宋体" w:cs="宋体"/>
                <w:color w:val="auto"/>
                <w:kern w:val="0"/>
                <w:sz w:val="18"/>
                <w:szCs w:val="18"/>
                <w:highlight w:val="none"/>
              </w:rPr>
            </w:pPr>
          </w:p>
        </w:tc>
        <w:tc>
          <w:tcPr>
            <w:tcW w:w="1100" w:type="dxa"/>
            <w:noWrap w:val="0"/>
            <w:vAlign w:val="center"/>
          </w:tcPr>
          <w:p w14:paraId="6E0295FB">
            <w:pPr>
              <w:widowControl/>
              <w:jc w:val="center"/>
              <w:rPr>
                <w:rFonts w:ascii="宋体" w:hAnsi="宋体" w:cs="宋体"/>
                <w:color w:val="auto"/>
                <w:kern w:val="0"/>
                <w:sz w:val="18"/>
                <w:szCs w:val="18"/>
                <w:highlight w:val="none"/>
              </w:rPr>
            </w:pPr>
          </w:p>
        </w:tc>
      </w:tr>
      <w:tr w14:paraId="1A8A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689" w:type="dxa"/>
            <w:noWrap w:val="0"/>
            <w:vAlign w:val="center"/>
          </w:tcPr>
          <w:p w14:paraId="072D0565">
            <w:pPr>
              <w:widowControl/>
              <w:spacing w:line="340" w:lineRule="exact"/>
              <w:jc w:val="center"/>
              <w:rPr>
                <w:rFonts w:ascii="宋体" w:hAnsi="宋体" w:cs="宋体"/>
                <w:b/>
                <w:color w:val="auto"/>
                <w:kern w:val="0"/>
                <w:szCs w:val="21"/>
                <w:highlight w:val="none"/>
              </w:rPr>
            </w:pPr>
          </w:p>
        </w:tc>
        <w:tc>
          <w:tcPr>
            <w:tcW w:w="1634" w:type="dxa"/>
            <w:noWrap w:val="0"/>
            <w:vAlign w:val="center"/>
          </w:tcPr>
          <w:p w14:paraId="522E1C73">
            <w:pPr>
              <w:widowControl/>
              <w:spacing w:line="340" w:lineRule="exact"/>
              <w:jc w:val="center"/>
              <w:rPr>
                <w:rFonts w:ascii="宋体" w:hAnsi="宋体" w:cs="宋体"/>
                <w:b/>
                <w:color w:val="auto"/>
                <w:kern w:val="0"/>
                <w:szCs w:val="21"/>
                <w:highlight w:val="none"/>
              </w:rPr>
            </w:pPr>
          </w:p>
        </w:tc>
        <w:tc>
          <w:tcPr>
            <w:tcW w:w="1634" w:type="dxa"/>
            <w:noWrap w:val="0"/>
            <w:vAlign w:val="center"/>
          </w:tcPr>
          <w:p w14:paraId="7CD29546">
            <w:pPr>
              <w:widowControl/>
              <w:spacing w:line="340" w:lineRule="exact"/>
              <w:jc w:val="center"/>
              <w:rPr>
                <w:rFonts w:ascii="宋体" w:hAnsi="宋体" w:cs="宋体"/>
                <w:b/>
                <w:color w:val="auto"/>
                <w:kern w:val="0"/>
                <w:szCs w:val="21"/>
                <w:highlight w:val="none"/>
              </w:rPr>
            </w:pPr>
          </w:p>
        </w:tc>
        <w:tc>
          <w:tcPr>
            <w:tcW w:w="1581" w:type="dxa"/>
            <w:noWrap w:val="0"/>
            <w:vAlign w:val="center"/>
          </w:tcPr>
          <w:p w14:paraId="1547C324">
            <w:pPr>
              <w:widowControl/>
              <w:jc w:val="center"/>
              <w:rPr>
                <w:rFonts w:ascii="宋体" w:hAnsi="宋体" w:cs="宋体"/>
                <w:b/>
                <w:color w:val="auto"/>
                <w:kern w:val="0"/>
                <w:szCs w:val="21"/>
                <w:highlight w:val="none"/>
              </w:rPr>
            </w:pPr>
          </w:p>
        </w:tc>
        <w:tc>
          <w:tcPr>
            <w:tcW w:w="865" w:type="dxa"/>
            <w:noWrap w:val="0"/>
            <w:vAlign w:val="center"/>
          </w:tcPr>
          <w:p w14:paraId="05F3346D">
            <w:pPr>
              <w:widowControl/>
              <w:jc w:val="center"/>
              <w:rPr>
                <w:rFonts w:ascii="宋体" w:hAnsi="宋体" w:cs="宋体"/>
                <w:b/>
                <w:color w:val="auto"/>
                <w:kern w:val="0"/>
                <w:szCs w:val="21"/>
                <w:highlight w:val="none"/>
              </w:rPr>
            </w:pPr>
          </w:p>
        </w:tc>
        <w:tc>
          <w:tcPr>
            <w:tcW w:w="811" w:type="dxa"/>
            <w:noWrap w:val="0"/>
            <w:vAlign w:val="center"/>
          </w:tcPr>
          <w:p w14:paraId="5D1E5F06">
            <w:pPr>
              <w:widowControl/>
              <w:jc w:val="center"/>
              <w:rPr>
                <w:rFonts w:ascii="宋体" w:hAnsi="宋体" w:cs="宋体"/>
                <w:b/>
                <w:color w:val="auto"/>
                <w:kern w:val="0"/>
                <w:szCs w:val="21"/>
                <w:highlight w:val="none"/>
              </w:rPr>
            </w:pPr>
          </w:p>
        </w:tc>
        <w:tc>
          <w:tcPr>
            <w:tcW w:w="1066" w:type="dxa"/>
            <w:noWrap w:val="0"/>
            <w:vAlign w:val="center"/>
          </w:tcPr>
          <w:p w14:paraId="087B6134">
            <w:pPr>
              <w:widowControl/>
              <w:jc w:val="center"/>
              <w:rPr>
                <w:rFonts w:ascii="宋体" w:hAnsi="宋体" w:cs="宋体"/>
                <w:color w:val="auto"/>
                <w:kern w:val="0"/>
                <w:sz w:val="18"/>
                <w:szCs w:val="18"/>
                <w:highlight w:val="none"/>
              </w:rPr>
            </w:pPr>
          </w:p>
        </w:tc>
        <w:tc>
          <w:tcPr>
            <w:tcW w:w="1100" w:type="dxa"/>
            <w:noWrap w:val="0"/>
            <w:vAlign w:val="center"/>
          </w:tcPr>
          <w:p w14:paraId="1867D4ED">
            <w:pPr>
              <w:widowControl/>
              <w:jc w:val="center"/>
              <w:rPr>
                <w:rFonts w:ascii="宋体" w:hAnsi="宋体" w:cs="宋体"/>
                <w:color w:val="auto"/>
                <w:kern w:val="0"/>
                <w:sz w:val="18"/>
                <w:szCs w:val="18"/>
                <w:highlight w:val="none"/>
              </w:rPr>
            </w:pPr>
          </w:p>
        </w:tc>
      </w:tr>
      <w:tr w14:paraId="63C6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689" w:type="dxa"/>
            <w:noWrap w:val="0"/>
            <w:vAlign w:val="center"/>
          </w:tcPr>
          <w:p w14:paraId="63E89D10">
            <w:pPr>
              <w:widowControl/>
              <w:spacing w:line="340" w:lineRule="exact"/>
              <w:jc w:val="center"/>
              <w:rPr>
                <w:rFonts w:ascii="宋体" w:hAnsi="宋体" w:cs="宋体"/>
                <w:b/>
                <w:color w:val="auto"/>
                <w:kern w:val="0"/>
                <w:szCs w:val="21"/>
                <w:highlight w:val="none"/>
              </w:rPr>
            </w:pPr>
          </w:p>
        </w:tc>
        <w:tc>
          <w:tcPr>
            <w:tcW w:w="1634" w:type="dxa"/>
            <w:noWrap w:val="0"/>
            <w:vAlign w:val="center"/>
          </w:tcPr>
          <w:p w14:paraId="1D12D8BF">
            <w:pPr>
              <w:widowControl/>
              <w:spacing w:line="340" w:lineRule="exact"/>
              <w:jc w:val="center"/>
              <w:rPr>
                <w:rFonts w:ascii="宋体" w:hAnsi="宋体" w:cs="宋体"/>
                <w:b/>
                <w:color w:val="auto"/>
                <w:kern w:val="0"/>
                <w:szCs w:val="21"/>
                <w:highlight w:val="none"/>
              </w:rPr>
            </w:pPr>
          </w:p>
        </w:tc>
        <w:tc>
          <w:tcPr>
            <w:tcW w:w="1634" w:type="dxa"/>
            <w:noWrap w:val="0"/>
            <w:vAlign w:val="center"/>
          </w:tcPr>
          <w:p w14:paraId="79A00BA5">
            <w:pPr>
              <w:widowControl/>
              <w:spacing w:line="340" w:lineRule="exact"/>
              <w:jc w:val="center"/>
              <w:rPr>
                <w:rFonts w:ascii="宋体" w:hAnsi="宋体" w:cs="宋体"/>
                <w:b/>
                <w:color w:val="auto"/>
                <w:kern w:val="0"/>
                <w:szCs w:val="21"/>
                <w:highlight w:val="none"/>
              </w:rPr>
            </w:pPr>
          </w:p>
        </w:tc>
        <w:tc>
          <w:tcPr>
            <w:tcW w:w="1581" w:type="dxa"/>
            <w:noWrap w:val="0"/>
            <w:vAlign w:val="center"/>
          </w:tcPr>
          <w:p w14:paraId="67E13C1B">
            <w:pPr>
              <w:widowControl/>
              <w:jc w:val="center"/>
              <w:rPr>
                <w:rFonts w:ascii="宋体" w:hAnsi="宋体" w:cs="宋体"/>
                <w:b/>
                <w:color w:val="auto"/>
                <w:kern w:val="0"/>
                <w:szCs w:val="21"/>
                <w:highlight w:val="none"/>
              </w:rPr>
            </w:pPr>
          </w:p>
        </w:tc>
        <w:tc>
          <w:tcPr>
            <w:tcW w:w="865" w:type="dxa"/>
            <w:noWrap w:val="0"/>
            <w:vAlign w:val="center"/>
          </w:tcPr>
          <w:p w14:paraId="086D4064">
            <w:pPr>
              <w:widowControl/>
              <w:jc w:val="center"/>
              <w:rPr>
                <w:rFonts w:ascii="宋体" w:hAnsi="宋体" w:cs="宋体"/>
                <w:b/>
                <w:color w:val="auto"/>
                <w:kern w:val="0"/>
                <w:szCs w:val="21"/>
                <w:highlight w:val="none"/>
              </w:rPr>
            </w:pPr>
          </w:p>
        </w:tc>
        <w:tc>
          <w:tcPr>
            <w:tcW w:w="811" w:type="dxa"/>
            <w:noWrap w:val="0"/>
            <w:vAlign w:val="center"/>
          </w:tcPr>
          <w:p w14:paraId="028355B4">
            <w:pPr>
              <w:widowControl/>
              <w:jc w:val="center"/>
              <w:rPr>
                <w:rFonts w:ascii="宋体" w:hAnsi="宋体" w:cs="宋体"/>
                <w:b/>
                <w:color w:val="auto"/>
                <w:kern w:val="0"/>
                <w:szCs w:val="21"/>
                <w:highlight w:val="none"/>
              </w:rPr>
            </w:pPr>
          </w:p>
        </w:tc>
        <w:tc>
          <w:tcPr>
            <w:tcW w:w="1066" w:type="dxa"/>
            <w:noWrap w:val="0"/>
            <w:vAlign w:val="center"/>
          </w:tcPr>
          <w:p w14:paraId="01BB78E9">
            <w:pPr>
              <w:widowControl/>
              <w:jc w:val="center"/>
              <w:rPr>
                <w:rFonts w:ascii="宋体" w:hAnsi="宋体" w:cs="宋体"/>
                <w:color w:val="auto"/>
                <w:kern w:val="0"/>
                <w:sz w:val="18"/>
                <w:szCs w:val="18"/>
                <w:highlight w:val="none"/>
              </w:rPr>
            </w:pPr>
          </w:p>
        </w:tc>
        <w:tc>
          <w:tcPr>
            <w:tcW w:w="1100" w:type="dxa"/>
            <w:noWrap w:val="0"/>
            <w:vAlign w:val="center"/>
          </w:tcPr>
          <w:p w14:paraId="3190FA76">
            <w:pPr>
              <w:widowControl/>
              <w:jc w:val="center"/>
              <w:rPr>
                <w:rFonts w:ascii="宋体" w:hAnsi="宋体" w:cs="宋体"/>
                <w:color w:val="auto"/>
                <w:kern w:val="0"/>
                <w:sz w:val="18"/>
                <w:szCs w:val="18"/>
                <w:highlight w:val="none"/>
              </w:rPr>
            </w:pPr>
          </w:p>
        </w:tc>
      </w:tr>
      <w:tr w14:paraId="76C7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exact"/>
        </w:trPr>
        <w:tc>
          <w:tcPr>
            <w:tcW w:w="3957" w:type="dxa"/>
            <w:gridSpan w:val="3"/>
            <w:vMerge w:val="restart"/>
            <w:noWrap w:val="0"/>
            <w:vAlign w:val="center"/>
          </w:tcPr>
          <w:p w14:paraId="06279E60">
            <w:pPr>
              <w:spacing w:line="260" w:lineRule="exact"/>
              <w:jc w:val="center"/>
              <w:rPr>
                <w:rFonts w:ascii="宋体" w:hAnsi="宋体"/>
                <w:color w:val="auto"/>
                <w:szCs w:val="21"/>
                <w:highlight w:val="none"/>
              </w:rPr>
            </w:pPr>
            <w:r>
              <w:rPr>
                <w:rFonts w:hint="eastAsia" w:ascii="宋体" w:hAnsi="宋体" w:eastAsia="宋体" w:cs="Times New Roman"/>
                <w:b/>
                <w:color w:val="auto"/>
                <w:szCs w:val="21"/>
                <w:highlight w:val="none"/>
                <w:lang w:val="en-US" w:eastAsia="zh-CN"/>
              </w:rPr>
              <w:t>基础设施层</w:t>
            </w:r>
            <w:r>
              <w:rPr>
                <w:rFonts w:hint="eastAsia" w:ascii="宋体" w:hAnsi="宋体" w:eastAsia="宋体" w:cs="Times New Roman"/>
                <w:b/>
                <w:color w:val="auto"/>
                <w:szCs w:val="21"/>
                <w:highlight w:val="none"/>
              </w:rPr>
              <w:t>投</w:t>
            </w:r>
            <w:r>
              <w:rPr>
                <w:rFonts w:hint="eastAsia" w:ascii="宋体" w:hAnsi="宋体"/>
                <w:b/>
                <w:color w:val="auto"/>
                <w:szCs w:val="21"/>
                <w:highlight w:val="none"/>
              </w:rPr>
              <w:t>标总价</w:t>
            </w:r>
            <w:r>
              <w:rPr>
                <w:rFonts w:hint="eastAsia" w:ascii="宋体" w:hAnsi="宋体"/>
                <w:b/>
                <w:bCs/>
                <w:color w:val="auto"/>
                <w:szCs w:val="21"/>
                <w:highlight w:val="none"/>
              </w:rPr>
              <w:t>（元）</w:t>
            </w:r>
          </w:p>
        </w:tc>
        <w:tc>
          <w:tcPr>
            <w:tcW w:w="5423" w:type="dxa"/>
            <w:gridSpan w:val="5"/>
            <w:noWrap w:val="0"/>
            <w:vAlign w:val="center"/>
          </w:tcPr>
          <w:p w14:paraId="42A84078">
            <w:pPr>
              <w:widowControl/>
              <w:rPr>
                <w:rFonts w:ascii="宋体" w:hAnsi="宋体" w:cs="宋体"/>
                <w:b/>
                <w:color w:val="auto"/>
                <w:kern w:val="0"/>
                <w:szCs w:val="21"/>
                <w:highlight w:val="none"/>
              </w:rPr>
            </w:pPr>
            <w:r>
              <w:rPr>
                <w:rFonts w:hint="eastAsia" w:ascii="宋体" w:hAnsi="宋体" w:cs="宋体"/>
                <w:b/>
                <w:color w:val="auto"/>
                <w:kern w:val="0"/>
                <w:szCs w:val="21"/>
                <w:highlight w:val="none"/>
              </w:rPr>
              <w:t>小写：</w:t>
            </w:r>
          </w:p>
        </w:tc>
      </w:tr>
      <w:tr w14:paraId="07CD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exact"/>
        </w:trPr>
        <w:tc>
          <w:tcPr>
            <w:tcW w:w="3957" w:type="dxa"/>
            <w:gridSpan w:val="3"/>
            <w:vMerge w:val="continue"/>
            <w:noWrap w:val="0"/>
            <w:vAlign w:val="center"/>
          </w:tcPr>
          <w:p w14:paraId="504617DE">
            <w:pPr>
              <w:spacing w:line="260" w:lineRule="exact"/>
              <w:rPr>
                <w:rFonts w:ascii="宋体" w:hAnsi="宋体"/>
                <w:color w:val="auto"/>
                <w:sz w:val="18"/>
                <w:szCs w:val="18"/>
                <w:highlight w:val="none"/>
              </w:rPr>
            </w:pPr>
          </w:p>
        </w:tc>
        <w:tc>
          <w:tcPr>
            <w:tcW w:w="5423" w:type="dxa"/>
            <w:gridSpan w:val="5"/>
            <w:noWrap w:val="0"/>
            <w:vAlign w:val="center"/>
          </w:tcPr>
          <w:p w14:paraId="06449FB0">
            <w:pPr>
              <w:widowControl/>
              <w:rPr>
                <w:rFonts w:ascii="宋体" w:hAnsi="宋体" w:cs="宋体"/>
                <w:b/>
                <w:color w:val="auto"/>
                <w:kern w:val="0"/>
                <w:szCs w:val="21"/>
                <w:highlight w:val="none"/>
              </w:rPr>
            </w:pPr>
            <w:r>
              <w:rPr>
                <w:rFonts w:hint="eastAsia" w:ascii="宋体" w:hAnsi="宋体" w:cs="宋体"/>
                <w:b/>
                <w:color w:val="auto"/>
                <w:kern w:val="0"/>
                <w:szCs w:val="21"/>
                <w:highlight w:val="none"/>
              </w:rPr>
              <w:t>大写：</w:t>
            </w:r>
          </w:p>
        </w:tc>
      </w:tr>
    </w:tbl>
    <w:p w14:paraId="64BFDB1B">
      <w:pPr>
        <w:snapToGrid w:val="0"/>
        <w:spacing w:line="360" w:lineRule="auto"/>
        <w:ind w:firstLine="480" w:firstLineChars="200"/>
        <w:jc w:val="left"/>
        <w:rPr>
          <w:rFonts w:hint="eastAsia" w:ascii="宋体" w:hAnsi="宋体" w:cs="宋体"/>
          <w:color w:val="auto"/>
          <w:sz w:val="24"/>
          <w:szCs w:val="24"/>
          <w:highlight w:val="none"/>
          <w:shd w:val="clear" w:color="auto" w:fill="auto"/>
        </w:rPr>
      </w:pPr>
    </w:p>
    <w:p w14:paraId="7A80C309">
      <w:pPr>
        <w:snapToGrid w:val="0"/>
        <w:spacing w:line="360" w:lineRule="auto"/>
        <w:ind w:firstLine="420" w:firstLineChars="200"/>
        <w:jc w:val="left"/>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注: 1、报价一经涂改，应在涂改处加盖单位公章或者由法定代表人或被授权委托人签字或盖章，否则其投标作无效标处理。</w:t>
      </w:r>
    </w:p>
    <w:p w14:paraId="3DCCEB71">
      <w:pPr>
        <w:snapToGrid w:val="0"/>
        <w:spacing w:line="360" w:lineRule="auto"/>
        <w:ind w:firstLine="420" w:firstLineChars="200"/>
        <w:jc w:val="left"/>
        <w:rPr>
          <w:color w:val="auto"/>
          <w:highlight w:val="none"/>
        </w:rPr>
      </w:pPr>
      <w:r>
        <w:rPr>
          <w:rFonts w:hint="eastAsia" w:ascii="宋体" w:hAnsi="宋体" w:cs="宋体"/>
          <w:color w:val="auto"/>
          <w:szCs w:val="21"/>
          <w:highlight w:val="none"/>
          <w:shd w:val="clear" w:color="auto" w:fill="auto"/>
        </w:rPr>
        <w:t>2</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基础设施层</w:t>
      </w:r>
      <w:r>
        <w:rPr>
          <w:rFonts w:hint="eastAsia" w:ascii="宋体" w:hAnsi="宋体" w:eastAsia="宋体" w:cs="宋体"/>
          <w:color w:val="auto"/>
          <w:szCs w:val="21"/>
          <w:highlight w:val="none"/>
          <w:shd w:val="clear" w:color="auto" w:fill="auto"/>
        </w:rPr>
        <w:t>投标总价应与“开标一览表”中的“</w:t>
      </w:r>
      <w:r>
        <w:rPr>
          <w:rFonts w:hint="eastAsia" w:ascii="宋体" w:hAnsi="宋体" w:eastAsia="宋体" w:cs="宋体"/>
          <w:color w:val="auto"/>
          <w:szCs w:val="21"/>
          <w:highlight w:val="none"/>
          <w:shd w:val="clear" w:color="auto" w:fill="auto"/>
          <w:lang w:val="en-US" w:eastAsia="zh-CN"/>
        </w:rPr>
        <w:t>基础设施层报价</w:t>
      </w:r>
      <w:r>
        <w:rPr>
          <w:rFonts w:hint="eastAsia" w:ascii="宋体" w:hAnsi="宋体" w:eastAsia="宋体" w:cs="宋体"/>
          <w:color w:val="auto"/>
          <w:szCs w:val="21"/>
          <w:highlight w:val="none"/>
          <w:shd w:val="clear" w:color="auto" w:fill="auto"/>
        </w:rPr>
        <w:t>”相一致。</w:t>
      </w:r>
    </w:p>
    <w:p w14:paraId="35194293">
      <w:pPr>
        <w:snapToGrid w:val="0"/>
        <w:spacing w:line="360" w:lineRule="auto"/>
        <w:ind w:firstLine="420" w:firstLineChars="200"/>
        <w:jc w:val="left"/>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3、</w:t>
      </w:r>
      <w:r>
        <w:rPr>
          <w:rFonts w:hint="eastAsia"/>
          <w:color w:val="auto"/>
          <w:highlight w:val="none"/>
        </w:rPr>
        <w:t>此表在不改变表式的情况下，可自行制作</w:t>
      </w:r>
      <w:r>
        <w:rPr>
          <w:rFonts w:hint="eastAsia" w:ascii="宋体" w:hAnsi="宋体" w:eastAsia="宋体" w:cs="宋体"/>
          <w:color w:val="auto"/>
          <w:szCs w:val="21"/>
          <w:highlight w:val="none"/>
          <w:shd w:val="clear" w:color="auto" w:fill="auto"/>
          <w:lang w:val="en-US" w:eastAsia="zh-CN"/>
        </w:rPr>
        <w:t>。</w:t>
      </w:r>
    </w:p>
    <w:p w14:paraId="385DE984">
      <w:pPr>
        <w:rPr>
          <w:color w:val="auto"/>
          <w:highlight w:val="none"/>
        </w:rPr>
      </w:pPr>
    </w:p>
    <w:p w14:paraId="3C817E86">
      <w:pPr>
        <w:pStyle w:val="12"/>
        <w:rPr>
          <w:color w:val="auto"/>
          <w:highlight w:val="none"/>
        </w:rPr>
      </w:pPr>
    </w:p>
    <w:p w14:paraId="70722FE4">
      <w:pPr>
        <w:spacing w:before="120" w:beforeLines="50" w:after="120" w:afterLines="50" w:line="360" w:lineRule="auto"/>
        <w:rPr>
          <w:color w:val="auto"/>
          <w:highlight w:val="none"/>
        </w:rPr>
      </w:pPr>
      <w:r>
        <w:rPr>
          <w:rFonts w:hint="eastAsia" w:ascii="宋体" w:hAnsi="宋体"/>
          <w:color w:val="auto"/>
          <w:kern w:val="0"/>
          <w:szCs w:val="21"/>
          <w:highlight w:val="none"/>
        </w:rPr>
        <w:t>投标人（盖章）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49C4E939">
      <w:pPr>
        <w:spacing w:line="360" w:lineRule="auto"/>
        <w:rPr>
          <w:rFonts w:hint="eastAsia" w:ascii="宋体" w:hAnsi="宋体"/>
          <w:color w:val="auto"/>
          <w:szCs w:val="21"/>
          <w:highlight w:val="none"/>
        </w:rPr>
      </w:pPr>
      <w:r>
        <w:rPr>
          <w:rFonts w:hint="eastAsia" w:ascii="宋体" w:hAnsi="宋体"/>
          <w:color w:val="auto"/>
          <w:szCs w:val="21"/>
          <w:highlight w:val="none"/>
        </w:rPr>
        <w:t>法定代表人(或全权代表)签字或盖章：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0C08C0F">
      <w:pPr>
        <w:spacing w:line="360" w:lineRule="auto"/>
        <w:rPr>
          <w:rFonts w:hint="eastAsia" w:ascii="宋体" w:hAnsi="宋体"/>
          <w:color w:val="auto"/>
          <w:szCs w:val="21"/>
          <w:highlight w:val="none"/>
          <w:u w:val="singl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p>
    <w:p w14:paraId="4EAA63DF">
      <w:pPr>
        <w:spacing w:line="360" w:lineRule="auto"/>
        <w:rPr>
          <w:rFonts w:ascii="宋体" w:hAnsi="宋体"/>
          <w:color w:val="auto"/>
          <w:highlight w:val="none"/>
        </w:rPr>
      </w:pPr>
    </w:p>
    <w:p w14:paraId="0AA373F6">
      <w:pPr>
        <w:pStyle w:val="14"/>
        <w:spacing w:line="360" w:lineRule="auto"/>
        <w:jc w:val="center"/>
        <w:outlineLvl w:val="0"/>
        <w:rPr>
          <w:b/>
          <w:color w:val="000000" w:themeColor="text1"/>
          <w:sz w:val="28"/>
          <w:szCs w:val="28"/>
          <w14:textFill>
            <w14:solidFill>
              <w14:schemeClr w14:val="tx1"/>
            </w14:solidFill>
          </w14:textFill>
        </w:rPr>
      </w:pPr>
      <w:r>
        <w:rPr>
          <w:rFonts w:hint="eastAsia"/>
          <w:b/>
          <w:bCs/>
          <w:color w:val="auto"/>
          <w:sz w:val="32"/>
          <w:szCs w:val="32"/>
          <w:highlight w:val="none"/>
        </w:rPr>
        <w:br w:type="page"/>
      </w:r>
      <w:r>
        <w:rPr>
          <w:rFonts w:hint="eastAsia" w:ascii="Arial" w:hAnsi="Arial"/>
          <w:b/>
          <w:color w:val="000000" w:themeColor="text1"/>
          <w:sz w:val="28"/>
          <w:szCs w:val="28"/>
          <w14:textFill>
            <w14:solidFill>
              <w14:schemeClr w14:val="tx1"/>
            </w14:solidFill>
          </w14:textFill>
        </w:rPr>
        <w:t>中小企业声明函（服务）</w:t>
      </w:r>
    </w:p>
    <w:p w14:paraId="3BA4639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本公司郑重声明，根据《政府采购促进中小企业发展管理办法》（财库﹝2020﹞46 号）的规定，本公司参加</w:t>
      </w:r>
      <w:r>
        <w:rPr>
          <w:rFonts w:hint="eastAsia" w:ascii="宋体" w:hAnsi="宋体" w:cs="宋体"/>
          <w:color w:val="000000" w:themeColor="text1"/>
          <w:szCs w:val="21"/>
          <w:u w:val="single"/>
          <w14:textFill>
            <w14:solidFill>
              <w14:schemeClr w14:val="tx1"/>
            </w14:solidFill>
          </w14:textFill>
        </w:rPr>
        <w:t>（单位名称）</w:t>
      </w:r>
      <w:r>
        <w:rPr>
          <w:rFonts w:hint="eastAsia" w:ascii="宋体" w:hAnsi="宋体" w:cs="宋体"/>
          <w:color w:val="000000" w:themeColor="text1"/>
          <w:szCs w:val="21"/>
          <w14:textFill>
            <w14:solidFill>
              <w14:schemeClr w14:val="tx1"/>
            </w14:solidFill>
          </w14:textFill>
        </w:rPr>
        <w:t>的</w:t>
      </w:r>
      <w:r>
        <w:rPr>
          <w:rFonts w:hint="eastAsia" w:ascii="宋体" w:hAnsi="宋体" w:cs="宋体"/>
          <w:color w:val="000000" w:themeColor="text1"/>
          <w:szCs w:val="21"/>
          <w:u w:val="single"/>
          <w14:textFill>
            <w14:solidFill>
              <w14:schemeClr w14:val="tx1"/>
            </w14:solidFill>
          </w14:textFill>
        </w:rPr>
        <w:t>（项目名称）</w:t>
      </w:r>
      <w:r>
        <w:rPr>
          <w:rFonts w:hint="eastAsia" w:ascii="宋体" w:hAnsi="宋体" w:cs="宋体"/>
          <w:color w:val="000000" w:themeColor="text1"/>
          <w:szCs w:val="21"/>
          <w14:textFill>
            <w14:solidFill>
              <w14:schemeClr w14:val="tx1"/>
            </w14:solidFill>
          </w14:textFill>
        </w:rPr>
        <w:t>采购活动，服务全部由符合政策要求的中小企业制造。相关企业（含联合体中的中小企业、签订分包意向协议的中小企业）的具体情况如下：</w:t>
      </w:r>
    </w:p>
    <w:p w14:paraId="2C8E16D7">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eastAsia="宋体" w:cs="宋体"/>
          <w:color w:val="auto"/>
          <w:szCs w:val="21"/>
          <w:highlight w:val="none"/>
          <w:u w:val="single"/>
          <w:lang w:val="en-US" w:eastAsia="zh-CN"/>
        </w:rPr>
        <w:t>北仑区体育赛事数字化应用项目</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，属</w:t>
      </w:r>
      <w:r>
        <w:rPr>
          <w:rFonts w:hint="eastAsia" w:ascii="宋体" w:hAnsi="宋体" w:cs="宋体"/>
          <w:color w:val="000000" w:themeColor="text1"/>
          <w:szCs w:val="21"/>
          <w:lang w:eastAsia="zh-CN"/>
          <w14:textFill>
            <w14:solidFill>
              <w14:schemeClr w14:val="tx1"/>
            </w14:solidFill>
          </w14:textFill>
        </w:rPr>
        <w:t>的</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于</w:t>
      </w:r>
      <w:r>
        <w:rPr>
          <w:rFonts w:hint="eastAsia" w:ascii="宋体" w:hAnsi="宋体" w:cs="宋体"/>
          <w:color w:val="000000" w:themeColor="text1"/>
          <w:szCs w:val="21"/>
          <w:u w:val="single"/>
          <w:lang w:val="en-US" w:eastAsia="zh-CN"/>
          <w14:textFill>
            <w14:solidFill>
              <w14:schemeClr w14:val="tx1"/>
            </w14:solidFill>
          </w14:textFill>
        </w:rPr>
        <w:t>软件和信息技术服务业</w:t>
      </w:r>
      <w:bookmarkStart w:id="116" w:name="_GoBack"/>
      <w:bookmarkEnd w:id="116"/>
      <w:r>
        <w:rPr>
          <w:rFonts w:hint="eastAsia" w:ascii="宋体" w:hAnsi="宋体" w:cs="宋体"/>
          <w:color w:val="000000" w:themeColor="text1"/>
          <w:szCs w:val="21"/>
          <w14:textFill>
            <w14:solidFill>
              <w14:schemeClr w14:val="tx1"/>
            </w14:solidFill>
          </w14:textFill>
        </w:rPr>
        <w:t>；承接企业为</w:t>
      </w:r>
      <w:r>
        <w:rPr>
          <w:rFonts w:hint="eastAsia" w:ascii="宋体" w:hAnsi="宋体" w:cs="宋体"/>
          <w:color w:val="000000" w:themeColor="text1"/>
          <w:szCs w:val="21"/>
          <w:u w:val="single"/>
          <w14:textFill>
            <w14:solidFill>
              <w14:schemeClr w14:val="tx1"/>
            </w14:solidFill>
          </w14:textFill>
        </w:rPr>
        <w:t>（企业名称）</w:t>
      </w:r>
      <w:r>
        <w:rPr>
          <w:rFonts w:hint="eastAsia" w:ascii="宋体" w:hAnsi="宋体" w:cs="宋体"/>
          <w:color w:val="000000" w:themeColor="text1"/>
          <w:szCs w:val="21"/>
          <w14:textFill>
            <w14:solidFill>
              <w14:schemeClr w14:val="tx1"/>
            </w14:solidFill>
          </w14:textFill>
        </w:rPr>
        <w:t>，从业人员</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人，营业收入为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万元，资产总额为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万元，属于</w:t>
      </w:r>
      <w:r>
        <w:rPr>
          <w:rFonts w:hint="eastAsia" w:ascii="宋体" w:hAnsi="宋体" w:cs="宋体"/>
          <w:color w:val="000000" w:themeColor="text1"/>
          <w:szCs w:val="21"/>
          <w:u w:val="single"/>
          <w14:textFill>
            <w14:solidFill>
              <w14:schemeClr w14:val="tx1"/>
            </w14:solidFill>
          </w14:textFill>
        </w:rPr>
        <w:t>（中型企业、小型企业、微型企业）</w:t>
      </w:r>
      <w:r>
        <w:rPr>
          <w:rFonts w:hint="eastAsia" w:ascii="宋体" w:hAnsi="宋体" w:cs="宋体"/>
          <w:color w:val="000000" w:themeColor="text1"/>
          <w:szCs w:val="21"/>
          <w14:textFill>
            <w14:solidFill>
              <w14:schemeClr w14:val="tx1"/>
            </w14:solidFill>
          </w14:textFill>
        </w:rPr>
        <w:t>；</w:t>
      </w:r>
    </w:p>
    <w:p w14:paraId="620EEE4D">
      <w:pPr>
        <w:spacing w:line="360" w:lineRule="auto"/>
        <w:ind w:firstLine="420" w:firstLineChars="200"/>
        <w:rPr>
          <w:rFonts w:ascii="宋体" w:hAnsi="宋体" w:cs="宋体"/>
          <w:color w:val="000000" w:themeColor="text1"/>
          <w:szCs w:val="21"/>
          <w14:textFill>
            <w14:solidFill>
              <w14:schemeClr w14:val="tx1"/>
            </w14:solidFill>
          </w14:textFill>
        </w:rPr>
      </w:pPr>
    </w:p>
    <w:p w14:paraId="71D8E2A7">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以上企业，不属于大企业的分支机构，不存在控股股东为大企业的情形，也不存在与大企业的负责人为同一人的情形。</w:t>
      </w:r>
    </w:p>
    <w:p w14:paraId="287C02F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本企业对上述声明内容的真实性负责。如有虚假，将依法承担相应责任。</w:t>
      </w:r>
    </w:p>
    <w:p w14:paraId="388AF049">
      <w:pPr>
        <w:spacing w:line="360" w:lineRule="auto"/>
        <w:rPr>
          <w:rFonts w:ascii="宋体" w:hAnsi="宋体" w:cs="宋体"/>
          <w:color w:val="000000" w:themeColor="text1"/>
          <w:szCs w:val="21"/>
          <w14:textFill>
            <w14:solidFill>
              <w14:schemeClr w14:val="tx1"/>
            </w14:solidFill>
          </w14:textFill>
        </w:rPr>
      </w:pPr>
    </w:p>
    <w:p w14:paraId="4530F497">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企业名称（盖章）：</w:t>
      </w:r>
    </w:p>
    <w:p w14:paraId="0224170E">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日期：</w:t>
      </w:r>
    </w:p>
    <w:p w14:paraId="711644EB">
      <w:pPr>
        <w:spacing w:line="360" w:lineRule="exact"/>
        <w:ind w:firstLine="3990" w:firstLineChars="1900"/>
        <w:rPr>
          <w:color w:val="auto"/>
          <w:szCs w:val="21"/>
          <w:highlight w:val="none"/>
        </w:rPr>
      </w:pPr>
    </w:p>
    <w:p w14:paraId="26B84E94">
      <w:pPr>
        <w:rPr>
          <w:color w:val="auto"/>
          <w:szCs w:val="21"/>
          <w:highlight w:val="none"/>
        </w:rPr>
      </w:pPr>
    </w:p>
    <w:p w14:paraId="307B3FDF">
      <w:pPr>
        <w:spacing w:line="360" w:lineRule="auto"/>
        <w:rPr>
          <w:color w:val="auto"/>
          <w:szCs w:val="21"/>
          <w:highlight w:val="none"/>
        </w:rPr>
      </w:pPr>
      <w:r>
        <w:rPr>
          <w:rFonts w:hint="eastAsia"/>
          <w:color w:val="auto"/>
          <w:szCs w:val="21"/>
          <w:highlight w:val="none"/>
        </w:rPr>
        <w:t>注：从业人员、营业收入、资产总额填报上一年度数据，无上一年度数据的新成立企业可不填报。</w:t>
      </w:r>
    </w:p>
    <w:p w14:paraId="5BC462D9">
      <w:pPr>
        <w:spacing w:line="400" w:lineRule="exact"/>
        <w:ind w:firstLine="422" w:firstLineChars="200"/>
        <w:jc w:val="center"/>
        <w:rPr>
          <w:rFonts w:eastAsia="方正书宋简体"/>
          <w:color w:val="auto"/>
          <w:highlight w:val="none"/>
        </w:rPr>
      </w:pPr>
      <w:r>
        <w:rPr>
          <w:rFonts w:hAnsi="宋体" w:cs="宋体"/>
          <w:b/>
          <w:color w:val="auto"/>
          <w:szCs w:val="21"/>
          <w:highlight w:val="none"/>
        </w:rPr>
        <w:t>风险提示：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7C3FDFD9">
      <w:pPr>
        <w:spacing w:line="360" w:lineRule="auto"/>
        <w:jc w:val="both"/>
        <w:rPr>
          <w:rFonts w:hint="eastAsia" w:ascii="宋体" w:hAnsi="宋体" w:eastAsia="宋体" w:cs="宋体"/>
          <w:b/>
          <w:color w:val="auto"/>
          <w:sz w:val="30"/>
          <w:szCs w:val="30"/>
          <w:highlight w:val="none"/>
          <w:lang w:eastAsia="zh-CN"/>
        </w:rPr>
        <w:sectPr>
          <w:pgSz w:w="11906" w:h="16838"/>
          <w:pgMar w:top="1247" w:right="1247" w:bottom="1134" w:left="1247" w:header="851" w:footer="851" w:gutter="0"/>
          <w:cols w:space="720" w:num="1"/>
          <w:docGrid w:linePitch="312" w:charSpace="0"/>
        </w:sectPr>
      </w:pPr>
    </w:p>
    <w:p w14:paraId="77A105CD">
      <w:pPr>
        <w:keepNext w:val="0"/>
        <w:keepLines w:val="0"/>
        <w:pageBreakBefore w:val="0"/>
        <w:widowControl w:val="0"/>
        <w:kinsoku/>
        <w:wordWrap/>
        <w:overflowPunct/>
        <w:topLinePunct w:val="0"/>
        <w:autoSpaceDE/>
        <w:autoSpaceDN/>
        <w:bidi w:val="0"/>
        <w:adjustRightInd w:val="0"/>
        <w:snapToGrid w:val="0"/>
        <w:spacing w:line="480" w:lineRule="exact"/>
        <w:ind w:right="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中小企业划型标准规定（工信部联企业[2011]300号）</w:t>
      </w:r>
    </w:p>
    <w:tbl>
      <w:tblPr>
        <w:tblStyle w:val="28"/>
        <w:tblW w:w="15008" w:type="dxa"/>
        <w:tblInd w:w="0" w:type="dxa"/>
        <w:tblLayout w:type="fixed"/>
        <w:tblCellMar>
          <w:top w:w="15" w:type="dxa"/>
          <w:left w:w="15" w:type="dxa"/>
          <w:bottom w:w="15" w:type="dxa"/>
          <w:right w:w="15" w:type="dxa"/>
        </w:tblCellMar>
      </w:tblPr>
      <w:tblGrid>
        <w:gridCol w:w="2153"/>
        <w:gridCol w:w="1320"/>
        <w:gridCol w:w="1560"/>
        <w:gridCol w:w="1500"/>
        <w:gridCol w:w="1320"/>
        <w:gridCol w:w="1500"/>
        <w:gridCol w:w="1406"/>
        <w:gridCol w:w="1264"/>
        <w:gridCol w:w="1470"/>
        <w:gridCol w:w="1515"/>
      </w:tblGrid>
      <w:tr w14:paraId="7C14004E">
        <w:tblPrEx>
          <w:tblCellMar>
            <w:top w:w="15" w:type="dxa"/>
            <w:left w:w="15" w:type="dxa"/>
            <w:bottom w:w="15" w:type="dxa"/>
            <w:right w:w="15" w:type="dxa"/>
          </w:tblCellMar>
        </w:tblPrEx>
        <w:trPr>
          <w:trHeight w:val="90" w:hRule="atLeast"/>
        </w:trPr>
        <w:tc>
          <w:tcPr>
            <w:tcW w:w="2153" w:type="dxa"/>
            <w:vMerge w:val="restart"/>
            <w:tcBorders>
              <w:top w:val="single" w:color="000000" w:sz="12" w:space="0"/>
              <w:left w:val="single" w:color="000000" w:sz="12" w:space="0"/>
              <w:bottom w:val="single" w:color="000000" w:sz="4" w:space="0"/>
              <w:right w:val="single" w:color="000000" w:sz="12" w:space="0"/>
            </w:tcBorders>
            <w:noWrap w:val="0"/>
            <w:vAlign w:val="center"/>
          </w:tcPr>
          <w:p w14:paraId="4FE66975">
            <w:pPr>
              <w:widowControl/>
              <w:jc w:val="center"/>
              <w:textAlignment w:val="center"/>
              <w:rPr>
                <w:rFonts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rPr>
              <w:t>行业</w:t>
            </w:r>
          </w:p>
        </w:tc>
        <w:tc>
          <w:tcPr>
            <w:tcW w:w="4380" w:type="dxa"/>
            <w:gridSpan w:val="3"/>
            <w:tcBorders>
              <w:top w:val="single" w:color="000000" w:sz="12" w:space="0"/>
              <w:left w:val="single" w:color="000000" w:sz="12" w:space="0"/>
              <w:bottom w:val="single" w:color="000000" w:sz="4" w:space="0"/>
              <w:right w:val="single" w:color="000000" w:sz="12" w:space="0"/>
            </w:tcBorders>
            <w:noWrap w:val="0"/>
            <w:vAlign w:val="bottom"/>
          </w:tcPr>
          <w:p w14:paraId="01ACBCC8">
            <w:pPr>
              <w:widowControl/>
              <w:jc w:val="center"/>
              <w:textAlignment w:val="bottom"/>
              <w:rPr>
                <w:rFonts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rPr>
              <w:t>中型企业</w:t>
            </w:r>
          </w:p>
        </w:tc>
        <w:tc>
          <w:tcPr>
            <w:tcW w:w="4226" w:type="dxa"/>
            <w:gridSpan w:val="3"/>
            <w:tcBorders>
              <w:top w:val="single" w:color="000000" w:sz="12" w:space="0"/>
              <w:left w:val="single" w:color="000000" w:sz="12" w:space="0"/>
              <w:bottom w:val="single" w:color="000000" w:sz="4" w:space="0"/>
              <w:right w:val="single" w:color="000000" w:sz="12" w:space="0"/>
            </w:tcBorders>
            <w:noWrap w:val="0"/>
            <w:vAlign w:val="bottom"/>
          </w:tcPr>
          <w:p w14:paraId="5E931B0E">
            <w:pPr>
              <w:widowControl/>
              <w:jc w:val="center"/>
              <w:textAlignment w:val="bottom"/>
              <w:rPr>
                <w:rFonts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rPr>
              <w:t>小型企业</w:t>
            </w:r>
          </w:p>
        </w:tc>
        <w:tc>
          <w:tcPr>
            <w:tcW w:w="4249" w:type="dxa"/>
            <w:gridSpan w:val="3"/>
            <w:tcBorders>
              <w:top w:val="single" w:color="000000" w:sz="12" w:space="0"/>
              <w:left w:val="single" w:color="000000" w:sz="12" w:space="0"/>
              <w:bottom w:val="single" w:color="000000" w:sz="4" w:space="0"/>
              <w:right w:val="single" w:color="000000" w:sz="12" w:space="0"/>
            </w:tcBorders>
            <w:noWrap w:val="0"/>
            <w:vAlign w:val="bottom"/>
          </w:tcPr>
          <w:p w14:paraId="49185A63">
            <w:pPr>
              <w:widowControl/>
              <w:jc w:val="center"/>
              <w:textAlignment w:val="bottom"/>
              <w:rPr>
                <w:rFonts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rPr>
              <w:t>微型企业</w:t>
            </w:r>
          </w:p>
        </w:tc>
      </w:tr>
      <w:tr w14:paraId="5FFF815D">
        <w:tblPrEx>
          <w:tblCellMar>
            <w:top w:w="15" w:type="dxa"/>
            <w:left w:w="15" w:type="dxa"/>
            <w:bottom w:w="15" w:type="dxa"/>
            <w:right w:w="15" w:type="dxa"/>
          </w:tblCellMar>
        </w:tblPrEx>
        <w:trPr>
          <w:trHeight w:val="374" w:hRule="atLeast"/>
        </w:trPr>
        <w:tc>
          <w:tcPr>
            <w:tcW w:w="2153" w:type="dxa"/>
            <w:vMerge w:val="continue"/>
            <w:tcBorders>
              <w:top w:val="single" w:color="000000" w:sz="12" w:space="0"/>
              <w:left w:val="single" w:color="000000" w:sz="12" w:space="0"/>
              <w:bottom w:val="single" w:color="000000" w:sz="4" w:space="0"/>
              <w:right w:val="single" w:color="000000" w:sz="12" w:space="0"/>
            </w:tcBorders>
            <w:noWrap w:val="0"/>
            <w:vAlign w:val="center"/>
          </w:tcPr>
          <w:p w14:paraId="3BFE4678">
            <w:pPr>
              <w:jc w:val="center"/>
              <w:rPr>
                <w:rFonts w:ascii="宋体" w:hAnsi="宋体" w:eastAsia="宋体" w:cs="宋体"/>
                <w:b/>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2545A80C">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从业人员X（人）</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14:paraId="51EE7094">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营业收入 Y（万元）</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14:paraId="6FE6EC09">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资产总额 Z（万元）</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2E1A3E10">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从业人员X（人）</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14:paraId="37DE005F">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营业收入Y（万元）</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14:paraId="28138D33">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资产总额Z（万元）</w:t>
            </w: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14:paraId="25B526AC">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从业人员X（人）</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14:paraId="5AC71025">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营业收入Y（万元）</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14:paraId="73BA6FE8">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资产总额Z（万元）</w:t>
            </w:r>
          </w:p>
        </w:tc>
      </w:tr>
      <w:tr w14:paraId="3560811C">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14:paraId="070AE3D8">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 1、农林牧渔业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4122BEE4">
            <w:pPr>
              <w:rPr>
                <w:rFonts w:ascii="宋体" w:hAnsi="宋体" w:eastAsia="宋体" w:cs="宋体"/>
                <w:color w:val="auto"/>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bottom"/>
          </w:tcPr>
          <w:p w14:paraId="0DCA0981">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 500≤Y＜20000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14:paraId="2B224980">
            <w:pPr>
              <w:rPr>
                <w:rFonts w:ascii="宋体" w:hAnsi="宋体" w:eastAsia="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7BBBA35C">
            <w:pPr>
              <w:rPr>
                <w:rFonts w:ascii="宋体" w:hAnsi="宋体" w:eastAsia="宋体" w:cs="宋体"/>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bottom"/>
          </w:tcPr>
          <w:p w14:paraId="1AA85C6B">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 50≤Y＜500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14:paraId="4C839859">
            <w:pPr>
              <w:rPr>
                <w:rFonts w:ascii="宋体" w:hAnsi="宋体" w:eastAsia="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14:paraId="4B5775B9">
            <w:pPr>
              <w:rPr>
                <w:rFonts w:ascii="宋体" w:hAnsi="宋体" w:eastAsia="宋体" w:cs="宋体"/>
                <w:color w:val="auto"/>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bottom"/>
          </w:tcPr>
          <w:p w14:paraId="07316FBD">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Y＜50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14:paraId="3FA532A9">
            <w:pPr>
              <w:rPr>
                <w:rFonts w:ascii="宋体" w:hAnsi="宋体" w:eastAsia="宋体" w:cs="宋体"/>
                <w:color w:val="auto"/>
                <w:sz w:val="18"/>
                <w:szCs w:val="18"/>
                <w:highlight w:val="none"/>
              </w:rPr>
            </w:pPr>
          </w:p>
        </w:tc>
      </w:tr>
      <w:tr w14:paraId="5DABFF44">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14:paraId="3C6C158B">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 2、工业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73C01F07">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14:paraId="376A8D6D">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2000≤Y＜40000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14:paraId="02A3ACC3">
            <w:pPr>
              <w:rPr>
                <w:rFonts w:ascii="宋体" w:hAnsi="宋体" w:eastAsia="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6FE94C7D">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14:paraId="6EAD2A9F">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300≤Y＜2000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14:paraId="1F79CF44">
            <w:pPr>
              <w:rPr>
                <w:rFonts w:ascii="宋体" w:hAnsi="宋体" w:eastAsia="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14:paraId="08B30F7F">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14:paraId="2675BF02">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Y＜300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14:paraId="77F3426E">
            <w:pPr>
              <w:rPr>
                <w:rFonts w:ascii="宋体" w:hAnsi="宋体" w:eastAsia="宋体" w:cs="宋体"/>
                <w:color w:val="auto"/>
                <w:sz w:val="18"/>
                <w:szCs w:val="18"/>
                <w:highlight w:val="none"/>
              </w:rPr>
            </w:pPr>
          </w:p>
        </w:tc>
      </w:tr>
      <w:tr w14:paraId="24478271">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14:paraId="299730DC">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 3、建筑业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3B07E855">
            <w:pPr>
              <w:rPr>
                <w:rFonts w:ascii="宋体" w:hAnsi="宋体" w:eastAsia="宋体" w:cs="宋体"/>
                <w:color w:val="auto"/>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bottom"/>
          </w:tcPr>
          <w:p w14:paraId="3B7BCEF0">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6000≤Y＜80000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14:paraId="564A27FC">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5000≤Z＜80000</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70135CA7">
            <w:pPr>
              <w:rPr>
                <w:rFonts w:ascii="宋体" w:hAnsi="宋体" w:eastAsia="宋体" w:cs="宋体"/>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bottom"/>
          </w:tcPr>
          <w:p w14:paraId="30FDB0DD">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300≤Y＜6000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14:paraId="75A226E4">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 300≤Z＜5000</w:t>
            </w: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14:paraId="20ACC529">
            <w:pPr>
              <w:rPr>
                <w:rFonts w:ascii="宋体" w:hAnsi="宋体" w:eastAsia="宋体" w:cs="宋体"/>
                <w:color w:val="auto"/>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bottom"/>
          </w:tcPr>
          <w:p w14:paraId="30E00C1F">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Y＜300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14:paraId="56B28B16">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Z＜300</w:t>
            </w:r>
          </w:p>
        </w:tc>
      </w:tr>
      <w:tr w14:paraId="3BCD4119">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14:paraId="2C747D36">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 4、批发业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60E85054">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 20≤X＜200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14:paraId="5D4DAF6E">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5000≤Y＜40000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14:paraId="4CB65866">
            <w:pPr>
              <w:rPr>
                <w:rFonts w:ascii="宋体" w:hAnsi="宋体" w:eastAsia="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33FE8BB5">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 5≤X＜20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14:paraId="2A8EF764">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1000≤Y＜5000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14:paraId="18CCADA9">
            <w:pPr>
              <w:rPr>
                <w:rFonts w:ascii="宋体" w:hAnsi="宋体" w:eastAsia="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14:paraId="231A08A0">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X＜5</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14:paraId="7FD09BC3">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Y＜1000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14:paraId="1F818DAE">
            <w:pPr>
              <w:rPr>
                <w:rFonts w:ascii="宋体" w:hAnsi="宋体" w:eastAsia="宋体" w:cs="宋体"/>
                <w:color w:val="auto"/>
                <w:sz w:val="18"/>
                <w:szCs w:val="18"/>
                <w:highlight w:val="none"/>
              </w:rPr>
            </w:pPr>
          </w:p>
        </w:tc>
      </w:tr>
      <w:tr w14:paraId="2B75A994">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14:paraId="5F439992">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 5、零售业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0A71446E">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 50≤X＜300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14:paraId="2D879D51">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 500≤Y＜20000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14:paraId="0D98AF99">
            <w:pPr>
              <w:rPr>
                <w:rFonts w:ascii="宋体" w:hAnsi="宋体" w:eastAsia="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1EBF3180">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10≤X＜50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14:paraId="549D028D">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100≤Y＜500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14:paraId="0CF52BBE">
            <w:pPr>
              <w:rPr>
                <w:rFonts w:ascii="宋体" w:hAnsi="宋体" w:eastAsia="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14:paraId="144D8EB1">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14:paraId="0654D50B">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14:paraId="26DA5A58">
            <w:pPr>
              <w:rPr>
                <w:rFonts w:ascii="宋体" w:hAnsi="宋体" w:eastAsia="宋体" w:cs="宋体"/>
                <w:color w:val="auto"/>
                <w:sz w:val="18"/>
                <w:szCs w:val="18"/>
                <w:highlight w:val="none"/>
              </w:rPr>
            </w:pPr>
          </w:p>
        </w:tc>
      </w:tr>
      <w:tr w14:paraId="0A4CF179">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14:paraId="523DFD49">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 6、交通运输业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64D86247">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14:paraId="1CDDE5AB">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3000≤Y＜30000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14:paraId="331B1779">
            <w:pPr>
              <w:rPr>
                <w:rFonts w:ascii="宋体" w:hAnsi="宋体" w:eastAsia="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755F67F2">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14:paraId="73AE2996">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200≤Y＜3000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14:paraId="4E33E7D3">
            <w:pPr>
              <w:rPr>
                <w:rFonts w:ascii="宋体" w:hAnsi="宋体" w:eastAsia="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14:paraId="360A0F0C">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14:paraId="1C6A3A76">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V＜200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14:paraId="0FE1E864">
            <w:pPr>
              <w:rPr>
                <w:rFonts w:ascii="宋体" w:hAnsi="宋体" w:eastAsia="宋体" w:cs="宋体"/>
                <w:color w:val="auto"/>
                <w:sz w:val="18"/>
                <w:szCs w:val="18"/>
                <w:highlight w:val="none"/>
              </w:rPr>
            </w:pPr>
          </w:p>
        </w:tc>
      </w:tr>
      <w:tr w14:paraId="6701A598">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14:paraId="7023E99B">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 7、仓储业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579288A6">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100≤X＜200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14:paraId="7EBCA4A5">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1000≤Y＜30000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14:paraId="6B8617AF">
            <w:pPr>
              <w:rPr>
                <w:rFonts w:ascii="宋体" w:hAnsi="宋体" w:eastAsia="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40DF0CB2">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20≤X＜100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14:paraId="69F9F270">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14:paraId="6CC2584D">
            <w:pPr>
              <w:rPr>
                <w:rFonts w:ascii="宋体" w:hAnsi="宋体" w:eastAsia="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14:paraId="004A1B08">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14:paraId="07FECDB2">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14:paraId="15C0646A">
            <w:pPr>
              <w:rPr>
                <w:rFonts w:ascii="宋体" w:hAnsi="宋体" w:eastAsia="宋体" w:cs="宋体"/>
                <w:color w:val="auto"/>
                <w:sz w:val="18"/>
                <w:szCs w:val="18"/>
                <w:highlight w:val="none"/>
              </w:rPr>
            </w:pPr>
          </w:p>
        </w:tc>
      </w:tr>
      <w:tr w14:paraId="1E9F2F28">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14:paraId="2F57A776">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 8、邮政业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58F0D496">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14:paraId="22A2B93D">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2000≤Y＜30000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14:paraId="322EAB25">
            <w:pPr>
              <w:rPr>
                <w:rFonts w:ascii="宋体" w:hAnsi="宋体" w:eastAsia="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6F2E7453">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14:paraId="15606A7E">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14:paraId="310F6753">
            <w:pPr>
              <w:rPr>
                <w:rFonts w:ascii="宋体" w:hAnsi="宋体" w:eastAsia="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14:paraId="730C5628">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14:paraId="1D16D24C">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14:paraId="35FE1524">
            <w:pPr>
              <w:rPr>
                <w:rFonts w:ascii="宋体" w:hAnsi="宋体" w:eastAsia="宋体" w:cs="宋体"/>
                <w:color w:val="auto"/>
                <w:sz w:val="18"/>
                <w:szCs w:val="18"/>
                <w:highlight w:val="none"/>
              </w:rPr>
            </w:pPr>
          </w:p>
        </w:tc>
      </w:tr>
      <w:tr w14:paraId="3E245F66">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14:paraId="52102760">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 9、住宿业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522633BE">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14:paraId="64D4AB78">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2000≤Y＜10000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14:paraId="6CBB43F5">
            <w:pPr>
              <w:rPr>
                <w:rFonts w:ascii="宋体" w:hAnsi="宋体" w:eastAsia="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36AFAA07">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14:paraId="0FCF746E">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14:paraId="41DB17D9">
            <w:pPr>
              <w:rPr>
                <w:rFonts w:ascii="宋体" w:hAnsi="宋体" w:eastAsia="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14:paraId="35698A4C">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14:paraId="4860E6A0">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14:paraId="3EDF10C4">
            <w:pPr>
              <w:rPr>
                <w:rFonts w:ascii="宋体" w:hAnsi="宋体" w:eastAsia="宋体" w:cs="宋体"/>
                <w:color w:val="auto"/>
                <w:sz w:val="18"/>
                <w:szCs w:val="18"/>
                <w:highlight w:val="none"/>
              </w:rPr>
            </w:pPr>
          </w:p>
        </w:tc>
      </w:tr>
      <w:tr w14:paraId="287C50C9">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14:paraId="4FD8E9C6">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10、餐饮业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23479551">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14:paraId="0BA49A30">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2000≤Y＜10000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14:paraId="2B0FDF07">
            <w:pPr>
              <w:rPr>
                <w:rFonts w:ascii="宋体" w:hAnsi="宋体" w:eastAsia="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3E55B14C">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14:paraId="286B3EB9">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14:paraId="0DA50F65">
            <w:pPr>
              <w:rPr>
                <w:rFonts w:ascii="宋体" w:hAnsi="宋体" w:eastAsia="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14:paraId="07625E2D">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14:paraId="7ECA4F82">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V＜100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14:paraId="64F88C0C">
            <w:pPr>
              <w:rPr>
                <w:rFonts w:ascii="宋体" w:hAnsi="宋体" w:eastAsia="宋体" w:cs="宋体"/>
                <w:color w:val="auto"/>
                <w:sz w:val="18"/>
                <w:szCs w:val="18"/>
                <w:highlight w:val="none"/>
              </w:rPr>
            </w:pPr>
          </w:p>
        </w:tc>
      </w:tr>
      <w:tr w14:paraId="16A5A929">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14:paraId="579AF8D2">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11、信息传输业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7B43AB40">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100≤X＜2000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14:paraId="285992D2">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1000≤Y＜100000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14:paraId="19983C6E">
            <w:pPr>
              <w:rPr>
                <w:rFonts w:ascii="宋体" w:hAnsi="宋体" w:eastAsia="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2AE28EBC">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14:paraId="6B9B59D3">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14:paraId="47639EBB">
            <w:pPr>
              <w:rPr>
                <w:rFonts w:ascii="宋体" w:hAnsi="宋体" w:eastAsia="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14:paraId="7A7B701C">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14:paraId="38F99C6C">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14:paraId="05D08C85">
            <w:pPr>
              <w:rPr>
                <w:rFonts w:ascii="宋体" w:hAnsi="宋体" w:eastAsia="宋体" w:cs="宋体"/>
                <w:color w:val="auto"/>
                <w:sz w:val="18"/>
                <w:szCs w:val="18"/>
                <w:highlight w:val="none"/>
              </w:rPr>
            </w:pPr>
          </w:p>
        </w:tc>
      </w:tr>
      <w:tr w14:paraId="2C2DF5A7">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14:paraId="2B910A3F">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12、软件和信息技术服务业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154A83BA">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14:paraId="07B0F73B">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1000≤Y＜10000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14:paraId="6921712C">
            <w:pPr>
              <w:rPr>
                <w:rFonts w:ascii="宋体" w:hAnsi="宋体" w:eastAsia="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2A643A0D">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14:paraId="6E9A7287">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 50≤Y＜1000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14:paraId="4C9342A5">
            <w:pPr>
              <w:rPr>
                <w:rFonts w:ascii="宋体" w:hAnsi="宋体" w:eastAsia="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14:paraId="0D651540">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14:paraId="789FCDEB">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Y＜50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14:paraId="72F4F28B">
            <w:pPr>
              <w:rPr>
                <w:rFonts w:ascii="宋体" w:hAnsi="宋体" w:eastAsia="宋体" w:cs="宋体"/>
                <w:color w:val="auto"/>
                <w:sz w:val="18"/>
                <w:szCs w:val="18"/>
                <w:highlight w:val="none"/>
              </w:rPr>
            </w:pPr>
          </w:p>
        </w:tc>
      </w:tr>
      <w:tr w14:paraId="5877998E">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14:paraId="1637D4C3">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13、房地产开发经营</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3E09C5AB">
            <w:pPr>
              <w:rPr>
                <w:rFonts w:ascii="宋体" w:hAnsi="宋体" w:eastAsia="宋体" w:cs="宋体"/>
                <w:color w:val="auto"/>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bottom"/>
          </w:tcPr>
          <w:p w14:paraId="2745CC56">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1000≤Y＜200000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14:paraId="5276DF6D">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5000≤Z＜10000</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3F259B74">
            <w:pPr>
              <w:rPr>
                <w:rFonts w:ascii="宋体" w:hAnsi="宋体" w:eastAsia="宋体" w:cs="宋体"/>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bottom"/>
          </w:tcPr>
          <w:p w14:paraId="4058930A">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14:paraId="4ACD7198">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2000≤Z＜5000</w:t>
            </w: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14:paraId="0B2F6B63">
            <w:pPr>
              <w:rPr>
                <w:rFonts w:ascii="宋体" w:hAnsi="宋体" w:eastAsia="宋体" w:cs="宋体"/>
                <w:color w:val="auto"/>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bottom"/>
          </w:tcPr>
          <w:p w14:paraId="2728B10A">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14:paraId="00F49215">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Z＜2000</w:t>
            </w:r>
          </w:p>
        </w:tc>
      </w:tr>
      <w:tr w14:paraId="05601FA5">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14:paraId="77F509F2">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14、物业管理</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6EE71B2D">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14:paraId="36E8A01D">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1000≤Y＜5000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14:paraId="413A4C8F">
            <w:pPr>
              <w:rPr>
                <w:rFonts w:ascii="宋体" w:hAnsi="宋体" w:eastAsia="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372FA1BD">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100≤X＜300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14:paraId="01C2E258">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500≤Y＜1000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14:paraId="7A42CB7D">
            <w:pPr>
              <w:rPr>
                <w:rFonts w:ascii="宋体" w:hAnsi="宋体" w:eastAsia="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14:paraId="3EE934C2">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X＜100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14:paraId="6BCDAACB">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Y＜500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14:paraId="7697350A">
            <w:pPr>
              <w:rPr>
                <w:rFonts w:ascii="宋体" w:hAnsi="宋体" w:eastAsia="宋体" w:cs="宋体"/>
                <w:color w:val="auto"/>
                <w:sz w:val="18"/>
                <w:szCs w:val="18"/>
                <w:highlight w:val="none"/>
              </w:rPr>
            </w:pPr>
          </w:p>
        </w:tc>
      </w:tr>
      <w:tr w14:paraId="1F6F77D7">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14:paraId="07802F1C">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15、租赁和商务服务业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4FCC6A76">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14:paraId="4D90B2E9">
            <w:pPr>
              <w:rPr>
                <w:rFonts w:ascii="宋体" w:hAnsi="宋体" w:eastAsia="宋体" w:cs="宋体"/>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14:paraId="41329795">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8000≤Z＜120000</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674BFEC3">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14:paraId="308767D5">
            <w:pPr>
              <w:rPr>
                <w:rFonts w:ascii="宋体" w:hAnsi="宋体" w:eastAsia="宋体" w:cs="宋体"/>
                <w:color w:val="auto"/>
                <w:sz w:val="18"/>
                <w:szCs w:val="18"/>
                <w:highlight w:val="none"/>
              </w:rPr>
            </w:pP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14:paraId="45125EEC">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 xml:space="preserve"> 100≤Z＜8000</w:t>
            </w: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14:paraId="28D429EC">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14:paraId="78879147">
            <w:pPr>
              <w:rPr>
                <w:rFonts w:ascii="宋体" w:hAnsi="宋体" w:eastAsia="宋体" w:cs="宋体"/>
                <w:color w:val="auto"/>
                <w:sz w:val="18"/>
                <w:szCs w:val="18"/>
                <w:highlight w:val="none"/>
              </w:rPr>
            </w:pP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14:paraId="0A051D3D">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Z＜100</w:t>
            </w:r>
          </w:p>
        </w:tc>
      </w:tr>
      <w:tr w14:paraId="4AF21197">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12" w:space="0"/>
              <w:right w:val="single" w:color="000000" w:sz="12" w:space="0"/>
            </w:tcBorders>
            <w:noWrap w:val="0"/>
            <w:vAlign w:val="bottom"/>
          </w:tcPr>
          <w:p w14:paraId="2E380631">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16、其他未列明行业</w:t>
            </w:r>
          </w:p>
        </w:tc>
        <w:tc>
          <w:tcPr>
            <w:tcW w:w="1320" w:type="dxa"/>
            <w:tcBorders>
              <w:top w:val="single" w:color="000000" w:sz="4" w:space="0"/>
              <w:left w:val="single" w:color="000000" w:sz="12" w:space="0"/>
              <w:bottom w:val="single" w:color="000000" w:sz="12" w:space="0"/>
              <w:right w:val="single" w:color="000000" w:sz="4" w:space="0"/>
            </w:tcBorders>
            <w:noWrap w:val="0"/>
            <w:vAlign w:val="bottom"/>
          </w:tcPr>
          <w:p w14:paraId="398EECDC">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100≤X＜300</w:t>
            </w:r>
          </w:p>
        </w:tc>
        <w:tc>
          <w:tcPr>
            <w:tcW w:w="1560" w:type="dxa"/>
            <w:tcBorders>
              <w:top w:val="single" w:color="000000" w:sz="4" w:space="0"/>
              <w:left w:val="single" w:color="000000" w:sz="4" w:space="0"/>
              <w:bottom w:val="single" w:color="000000" w:sz="12" w:space="0"/>
              <w:right w:val="single" w:color="000000" w:sz="4" w:space="0"/>
            </w:tcBorders>
            <w:noWrap w:val="0"/>
            <w:vAlign w:val="bottom"/>
          </w:tcPr>
          <w:p w14:paraId="490CEAF6">
            <w:pPr>
              <w:rPr>
                <w:rFonts w:ascii="宋体" w:hAnsi="宋体" w:eastAsia="宋体" w:cs="宋体"/>
                <w:color w:val="auto"/>
                <w:sz w:val="18"/>
                <w:szCs w:val="18"/>
                <w:highlight w:val="none"/>
              </w:rPr>
            </w:pPr>
          </w:p>
        </w:tc>
        <w:tc>
          <w:tcPr>
            <w:tcW w:w="1500" w:type="dxa"/>
            <w:tcBorders>
              <w:top w:val="single" w:color="000000" w:sz="4" w:space="0"/>
              <w:left w:val="single" w:color="000000" w:sz="4" w:space="0"/>
              <w:bottom w:val="single" w:color="000000" w:sz="12" w:space="0"/>
              <w:right w:val="single" w:color="000000" w:sz="12" w:space="0"/>
            </w:tcBorders>
            <w:noWrap w:val="0"/>
            <w:vAlign w:val="bottom"/>
          </w:tcPr>
          <w:p w14:paraId="3D6781A0">
            <w:pPr>
              <w:rPr>
                <w:rFonts w:ascii="宋体" w:hAnsi="宋体" w:eastAsia="宋体" w:cs="宋体"/>
                <w:color w:val="auto"/>
                <w:sz w:val="18"/>
                <w:szCs w:val="18"/>
                <w:highlight w:val="none"/>
              </w:rPr>
            </w:pPr>
          </w:p>
        </w:tc>
        <w:tc>
          <w:tcPr>
            <w:tcW w:w="1320" w:type="dxa"/>
            <w:tcBorders>
              <w:top w:val="single" w:color="000000" w:sz="4" w:space="0"/>
              <w:left w:val="single" w:color="000000" w:sz="12" w:space="0"/>
              <w:bottom w:val="single" w:color="000000" w:sz="12" w:space="0"/>
              <w:right w:val="single" w:color="000000" w:sz="4" w:space="0"/>
            </w:tcBorders>
            <w:noWrap w:val="0"/>
            <w:vAlign w:val="bottom"/>
          </w:tcPr>
          <w:p w14:paraId="5BE2B3BD">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10≤X＜100</w:t>
            </w:r>
          </w:p>
        </w:tc>
        <w:tc>
          <w:tcPr>
            <w:tcW w:w="1500" w:type="dxa"/>
            <w:tcBorders>
              <w:top w:val="single" w:color="000000" w:sz="4" w:space="0"/>
              <w:left w:val="single" w:color="000000" w:sz="4" w:space="0"/>
              <w:bottom w:val="single" w:color="000000" w:sz="12" w:space="0"/>
              <w:right w:val="single" w:color="000000" w:sz="4" w:space="0"/>
            </w:tcBorders>
            <w:noWrap w:val="0"/>
            <w:vAlign w:val="bottom"/>
          </w:tcPr>
          <w:p w14:paraId="14B34684">
            <w:pPr>
              <w:rPr>
                <w:rFonts w:ascii="宋体" w:hAnsi="宋体" w:eastAsia="宋体" w:cs="宋体"/>
                <w:color w:val="auto"/>
                <w:sz w:val="18"/>
                <w:szCs w:val="18"/>
                <w:highlight w:val="none"/>
              </w:rPr>
            </w:pPr>
          </w:p>
        </w:tc>
        <w:tc>
          <w:tcPr>
            <w:tcW w:w="1406" w:type="dxa"/>
            <w:tcBorders>
              <w:top w:val="single" w:color="000000" w:sz="4" w:space="0"/>
              <w:left w:val="single" w:color="000000" w:sz="4" w:space="0"/>
              <w:bottom w:val="single" w:color="000000" w:sz="12" w:space="0"/>
              <w:right w:val="single" w:color="000000" w:sz="12" w:space="0"/>
            </w:tcBorders>
            <w:noWrap w:val="0"/>
            <w:vAlign w:val="bottom"/>
          </w:tcPr>
          <w:p w14:paraId="7D32B906">
            <w:pPr>
              <w:rPr>
                <w:rFonts w:ascii="宋体" w:hAnsi="宋体" w:eastAsia="宋体" w:cs="宋体"/>
                <w:color w:val="auto"/>
                <w:sz w:val="18"/>
                <w:szCs w:val="18"/>
                <w:highlight w:val="none"/>
              </w:rPr>
            </w:pPr>
          </w:p>
        </w:tc>
        <w:tc>
          <w:tcPr>
            <w:tcW w:w="1264" w:type="dxa"/>
            <w:tcBorders>
              <w:top w:val="single" w:color="000000" w:sz="4" w:space="0"/>
              <w:left w:val="single" w:color="000000" w:sz="12" w:space="0"/>
              <w:bottom w:val="single" w:color="000000" w:sz="12" w:space="0"/>
              <w:right w:val="single" w:color="000000" w:sz="4" w:space="0"/>
            </w:tcBorders>
            <w:noWrap w:val="0"/>
            <w:vAlign w:val="bottom"/>
          </w:tcPr>
          <w:p w14:paraId="2BA3B7EC">
            <w:pPr>
              <w:widowControl/>
              <w:jc w:val="left"/>
              <w:textAlignment w:val="bottom"/>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X＜10</w:t>
            </w:r>
          </w:p>
        </w:tc>
        <w:tc>
          <w:tcPr>
            <w:tcW w:w="1470" w:type="dxa"/>
            <w:tcBorders>
              <w:top w:val="single" w:color="000000" w:sz="4" w:space="0"/>
              <w:left w:val="single" w:color="000000" w:sz="4" w:space="0"/>
              <w:bottom w:val="single" w:color="000000" w:sz="12" w:space="0"/>
              <w:right w:val="single" w:color="000000" w:sz="4" w:space="0"/>
            </w:tcBorders>
            <w:noWrap w:val="0"/>
            <w:vAlign w:val="bottom"/>
          </w:tcPr>
          <w:p w14:paraId="6464884D">
            <w:pPr>
              <w:rPr>
                <w:rFonts w:ascii="宋体" w:hAnsi="宋体" w:eastAsia="宋体" w:cs="宋体"/>
                <w:color w:val="auto"/>
                <w:sz w:val="18"/>
                <w:szCs w:val="18"/>
                <w:highlight w:val="none"/>
              </w:rPr>
            </w:pPr>
          </w:p>
        </w:tc>
        <w:tc>
          <w:tcPr>
            <w:tcW w:w="1515" w:type="dxa"/>
            <w:tcBorders>
              <w:top w:val="single" w:color="000000" w:sz="4" w:space="0"/>
              <w:left w:val="single" w:color="000000" w:sz="4" w:space="0"/>
              <w:bottom w:val="single" w:color="000000" w:sz="12" w:space="0"/>
              <w:right w:val="single" w:color="000000" w:sz="12" w:space="0"/>
            </w:tcBorders>
            <w:noWrap w:val="0"/>
            <w:vAlign w:val="bottom"/>
          </w:tcPr>
          <w:p w14:paraId="39E3ED28">
            <w:pPr>
              <w:rPr>
                <w:rFonts w:ascii="宋体" w:hAnsi="宋体" w:eastAsia="宋体" w:cs="宋体"/>
                <w:color w:val="auto"/>
                <w:sz w:val="18"/>
                <w:szCs w:val="18"/>
                <w:highlight w:val="none"/>
              </w:rPr>
            </w:pPr>
          </w:p>
        </w:tc>
      </w:tr>
    </w:tbl>
    <w:p w14:paraId="3B1F3251">
      <w:pPr>
        <w:pStyle w:val="14"/>
        <w:rPr>
          <w:rFonts w:hint="eastAsia" w:ascii="宋体" w:hAnsi="宋体" w:eastAsia="宋体" w:cs="宋体"/>
          <w:b/>
          <w:color w:val="auto"/>
          <w:szCs w:val="21"/>
          <w:highlight w:val="none"/>
        </w:rPr>
      </w:pPr>
      <w:r>
        <w:rPr>
          <w:rFonts w:hint="eastAsia" w:ascii="宋体" w:hAnsi="宋体" w:eastAsia="宋体" w:cs="宋体"/>
          <w:color w:val="auto"/>
          <w:kern w:val="0"/>
          <w:sz w:val="18"/>
          <w:szCs w:val="18"/>
          <w:highlight w:val="none"/>
        </w:rPr>
        <w:t>说明　1、企业类型的划分以统计部门的统计数据为依据。2、个体工商户和本规定以外的行业，参照本规定进行划型。3、本规定的中型企业标准上限即为大型企业标准的下限。</w:t>
      </w:r>
    </w:p>
    <w:p w14:paraId="25AB7B30">
      <w:pPr>
        <w:spacing w:line="360" w:lineRule="auto"/>
        <w:jc w:val="both"/>
        <w:rPr>
          <w:rFonts w:ascii="宋体" w:hAnsi="宋体" w:cs="宋体"/>
          <w:b/>
          <w:color w:val="auto"/>
          <w:sz w:val="30"/>
          <w:szCs w:val="30"/>
          <w:highlight w:val="none"/>
        </w:rPr>
        <w:sectPr>
          <w:pgSz w:w="16838" w:h="11906" w:orient="landscape"/>
          <w:pgMar w:top="1247" w:right="1247" w:bottom="1247" w:left="1134" w:header="851" w:footer="851" w:gutter="0"/>
          <w:cols w:space="720" w:num="1"/>
          <w:docGrid w:linePitch="312" w:charSpace="0"/>
        </w:sectPr>
      </w:pPr>
    </w:p>
    <w:p w14:paraId="0F5EFD3E">
      <w:pPr>
        <w:spacing w:line="360" w:lineRule="auto"/>
        <w:rPr>
          <w:rFonts w:ascii="宋体" w:hAnsi="宋体"/>
          <w:color w:val="auto"/>
          <w:highlight w:val="none"/>
        </w:rPr>
      </w:pPr>
    </w:p>
    <w:p w14:paraId="121CA412">
      <w:pPr>
        <w:spacing w:line="360" w:lineRule="auto"/>
        <w:jc w:val="center"/>
        <w:rPr>
          <w:rFonts w:ascii="宋体" w:hAnsi="宋体" w:cs="宋体"/>
          <w:b/>
          <w:color w:val="auto"/>
          <w:spacing w:val="6"/>
          <w:szCs w:val="21"/>
          <w:highlight w:val="none"/>
        </w:rPr>
      </w:pPr>
      <w:r>
        <w:rPr>
          <w:rFonts w:hint="eastAsia" w:ascii="宋体" w:hAnsi="宋体" w:cs="宋体"/>
          <w:b/>
          <w:color w:val="auto"/>
          <w:sz w:val="30"/>
          <w:szCs w:val="30"/>
          <w:highlight w:val="none"/>
        </w:rPr>
        <w:t>残疾人福利性单位声明函</w:t>
      </w:r>
    </w:p>
    <w:p w14:paraId="62A23F65">
      <w:pPr>
        <w:widowControl/>
        <w:spacing w:line="360" w:lineRule="auto"/>
        <w:rPr>
          <w:rFonts w:hint="eastAsia"/>
          <w:color w:val="auto"/>
          <w:highlight w:val="none"/>
        </w:rPr>
      </w:pPr>
    </w:p>
    <w:p w14:paraId="0946E4D1">
      <w:pPr>
        <w:widowControl/>
        <w:spacing w:line="360" w:lineRule="auto"/>
        <w:ind w:firstLine="420" w:firstLineChars="200"/>
        <w:rPr>
          <w:rFonts w:hint="eastAsia"/>
          <w:color w:val="auto"/>
          <w:highlight w:val="none"/>
        </w:rPr>
      </w:pPr>
      <w:r>
        <w:rPr>
          <w:rFonts w:hint="eastAsia"/>
          <w:color w:val="auto"/>
          <w:highlight w:val="none"/>
        </w:rPr>
        <w:t>1.本单位郑重声明，根据《财政部 民政部 中国残疾人联合会关于促进残疾人就业政府采购政策的通知》（财库〔2017〕141号）的规定，本单位_____（填写：为符合或者不符合）条件的残疾人福利性单位，且本单位参加_____单位的_____项目采购活动提供本单位制造的货物（由本单位承担工程/提供服务），或者提供其他残疾人福利性单位制造的货物（不包括使用非残疾人福利性单位注册商标的货物）。</w:t>
      </w:r>
    </w:p>
    <w:p w14:paraId="6EA496AA">
      <w:pPr>
        <w:widowControl/>
        <w:spacing w:line="360" w:lineRule="auto"/>
        <w:ind w:firstLine="420" w:firstLineChars="200"/>
        <w:rPr>
          <w:rFonts w:hint="eastAsia"/>
          <w:color w:val="auto"/>
          <w:highlight w:val="none"/>
        </w:rPr>
      </w:pPr>
      <w:r>
        <w:rPr>
          <w:rFonts w:hint="eastAsia"/>
          <w:color w:val="auto"/>
          <w:highlight w:val="none"/>
        </w:rPr>
        <w:t>2.本单位对上述声明的真实性负责。如有虚假，将依法承担相应责任。</w:t>
      </w:r>
    </w:p>
    <w:p w14:paraId="0038830D">
      <w:pPr>
        <w:widowControl/>
        <w:spacing w:line="360" w:lineRule="auto"/>
        <w:rPr>
          <w:rFonts w:hint="eastAsia"/>
          <w:color w:val="auto"/>
          <w:highlight w:val="none"/>
        </w:rPr>
      </w:pPr>
    </w:p>
    <w:p w14:paraId="1AE4AEE5">
      <w:pPr>
        <w:widowControl/>
        <w:spacing w:line="360" w:lineRule="auto"/>
        <w:rPr>
          <w:rFonts w:hint="eastAsia"/>
          <w:color w:val="auto"/>
          <w:highlight w:val="none"/>
        </w:rPr>
      </w:pPr>
    </w:p>
    <w:p w14:paraId="05E09AB8">
      <w:pPr>
        <w:widowControl/>
        <w:tabs>
          <w:tab w:val="left" w:pos="4860"/>
        </w:tabs>
        <w:spacing w:line="360" w:lineRule="auto"/>
        <w:ind w:right="1560" w:firstLine="420" w:firstLineChars="200"/>
        <w:jc w:val="center"/>
        <w:rPr>
          <w:rFonts w:hint="eastAsia"/>
          <w:color w:val="auto"/>
          <w:spacing w:val="6"/>
          <w:highlight w:val="none"/>
        </w:rPr>
      </w:pPr>
      <w:r>
        <w:rPr>
          <w:rFonts w:hint="eastAsia"/>
          <w:color w:val="auto"/>
          <w:highlight w:val="none"/>
        </w:rPr>
        <w:t xml:space="preserve">                                       </w:t>
      </w:r>
      <w:r>
        <w:rPr>
          <w:rFonts w:hint="eastAsia"/>
          <w:color w:val="auto"/>
          <w:spacing w:val="6"/>
          <w:highlight w:val="none"/>
        </w:rPr>
        <w:t xml:space="preserve">企业名称（盖章）： </w:t>
      </w:r>
    </w:p>
    <w:p w14:paraId="02BF31FC">
      <w:pPr>
        <w:spacing w:line="360" w:lineRule="auto"/>
        <w:rPr>
          <w:rFonts w:hint="eastAsia"/>
          <w:color w:val="auto"/>
          <w:spacing w:val="6"/>
          <w:highlight w:val="none"/>
        </w:rPr>
      </w:pPr>
      <w:r>
        <w:rPr>
          <w:rFonts w:hint="eastAsia"/>
          <w:color w:val="auto"/>
          <w:spacing w:val="6"/>
          <w:highlight w:val="none"/>
        </w:rPr>
        <w:t xml:space="preserve">                                            日  期：</w:t>
      </w:r>
    </w:p>
    <w:p w14:paraId="21696A08">
      <w:pPr>
        <w:spacing w:line="360" w:lineRule="auto"/>
        <w:rPr>
          <w:rFonts w:hint="eastAsia"/>
          <w:color w:val="auto"/>
          <w:spacing w:val="6"/>
          <w:highlight w:val="none"/>
        </w:rPr>
      </w:pPr>
    </w:p>
    <w:p w14:paraId="67AF4E7A">
      <w:pPr>
        <w:spacing w:line="360" w:lineRule="auto"/>
        <w:rPr>
          <w:rFonts w:hint="eastAsia"/>
          <w:b/>
          <w:bCs/>
          <w:color w:val="auto"/>
          <w:highlight w:val="none"/>
        </w:rPr>
      </w:pPr>
      <w:r>
        <w:rPr>
          <w:rFonts w:hint="eastAsia"/>
          <w:b/>
          <w:bCs/>
          <w:color w:val="auto"/>
          <w:highlight w:val="none"/>
        </w:rPr>
        <w:t>投标人如为非残疾人福利性单位的，可不提供本声明函。</w:t>
      </w:r>
    </w:p>
    <w:p w14:paraId="7A371160">
      <w:pPr>
        <w:widowControl/>
        <w:adjustRightInd w:val="0"/>
        <w:snapToGrid w:val="0"/>
        <w:spacing w:line="360" w:lineRule="auto"/>
        <w:rPr>
          <w:rFonts w:hint="eastAsia"/>
          <w:color w:val="auto"/>
          <w:spacing w:val="6"/>
          <w:highlight w:val="none"/>
        </w:rPr>
      </w:pPr>
      <w:r>
        <w:rPr>
          <w:rFonts w:hint="eastAsia"/>
          <w:color w:val="auto"/>
          <w:spacing w:val="6"/>
          <w:highlight w:val="none"/>
        </w:rPr>
        <w:t>注：</w:t>
      </w:r>
    </w:p>
    <w:p w14:paraId="4FFA9629">
      <w:pPr>
        <w:widowControl/>
        <w:adjustRightInd w:val="0"/>
        <w:snapToGrid w:val="0"/>
        <w:spacing w:line="360" w:lineRule="auto"/>
        <w:rPr>
          <w:rFonts w:hint="eastAsia"/>
          <w:color w:val="auto"/>
          <w:spacing w:val="6"/>
          <w:highlight w:val="none"/>
        </w:rPr>
      </w:pPr>
      <w:r>
        <w:rPr>
          <w:rFonts w:hint="eastAsia"/>
          <w:color w:val="auto"/>
          <w:spacing w:val="6"/>
          <w:highlight w:val="none"/>
        </w:rPr>
        <w:t>1、如投标人为非残疾人福利性单位的可不提供本声明函。</w:t>
      </w:r>
    </w:p>
    <w:p w14:paraId="102D2046">
      <w:pPr>
        <w:widowControl/>
        <w:adjustRightInd w:val="0"/>
        <w:snapToGrid w:val="0"/>
        <w:spacing w:line="360" w:lineRule="auto"/>
        <w:rPr>
          <w:rFonts w:hint="eastAsia"/>
          <w:color w:val="auto"/>
          <w:spacing w:val="6"/>
          <w:highlight w:val="none"/>
        </w:rPr>
      </w:pPr>
      <w:r>
        <w:rPr>
          <w:rFonts w:hint="eastAsia"/>
          <w:color w:val="auto"/>
          <w:spacing w:val="6"/>
          <w:highlight w:val="none"/>
        </w:rPr>
        <w:t>2、享受政府采购支持政策的残疾人福利性单位应当同时满足以下条件：</w:t>
      </w:r>
    </w:p>
    <w:p w14:paraId="4D9CD6D2">
      <w:pPr>
        <w:widowControl/>
        <w:adjustRightInd w:val="0"/>
        <w:snapToGrid w:val="0"/>
        <w:spacing w:line="360" w:lineRule="auto"/>
        <w:rPr>
          <w:rFonts w:hint="eastAsia"/>
          <w:color w:val="auto"/>
          <w:spacing w:val="6"/>
          <w:highlight w:val="none"/>
        </w:rPr>
      </w:pPr>
      <w:r>
        <w:rPr>
          <w:rFonts w:hint="eastAsia"/>
          <w:color w:val="auto"/>
          <w:spacing w:val="6"/>
          <w:highlight w:val="none"/>
        </w:rPr>
        <w:t>（一）安置的残疾人占本单位在职职工人数的比例不低于25%（含25%），并且安置的残疾人人数不少于10人（含10人）；</w:t>
      </w:r>
    </w:p>
    <w:p w14:paraId="35C06DC1">
      <w:pPr>
        <w:widowControl/>
        <w:adjustRightInd w:val="0"/>
        <w:snapToGrid w:val="0"/>
        <w:spacing w:line="360" w:lineRule="auto"/>
        <w:rPr>
          <w:rFonts w:hint="eastAsia"/>
          <w:color w:val="auto"/>
          <w:spacing w:val="6"/>
          <w:highlight w:val="none"/>
        </w:rPr>
      </w:pPr>
      <w:r>
        <w:rPr>
          <w:rFonts w:hint="eastAsia"/>
          <w:color w:val="auto"/>
          <w:spacing w:val="6"/>
          <w:highlight w:val="none"/>
        </w:rPr>
        <w:t>（二）依法与安置的每位残疾人签订了一年以上（含一年）的劳动合同或服务协议；</w:t>
      </w:r>
    </w:p>
    <w:p w14:paraId="55A1F878">
      <w:pPr>
        <w:widowControl/>
        <w:adjustRightInd w:val="0"/>
        <w:snapToGrid w:val="0"/>
        <w:spacing w:line="360" w:lineRule="auto"/>
        <w:rPr>
          <w:rFonts w:hint="eastAsia"/>
          <w:color w:val="auto"/>
          <w:spacing w:val="6"/>
          <w:highlight w:val="none"/>
        </w:rPr>
      </w:pPr>
      <w:r>
        <w:rPr>
          <w:rFonts w:hint="eastAsia"/>
          <w:color w:val="auto"/>
          <w:spacing w:val="6"/>
          <w:highlight w:val="none"/>
        </w:rPr>
        <w:t>（三）为安置的每位残疾人按月足额缴纳了基本养老保险、基本医疗保险、失业保险、工伤保险和生育保险等社会保险费；</w:t>
      </w:r>
    </w:p>
    <w:p w14:paraId="679AB9BC">
      <w:pPr>
        <w:widowControl/>
        <w:adjustRightInd w:val="0"/>
        <w:snapToGrid w:val="0"/>
        <w:spacing w:line="360" w:lineRule="auto"/>
        <w:rPr>
          <w:rFonts w:hint="eastAsia"/>
          <w:color w:val="auto"/>
          <w:spacing w:val="6"/>
          <w:highlight w:val="none"/>
        </w:rPr>
      </w:pPr>
      <w:r>
        <w:rPr>
          <w:rFonts w:hint="eastAsia"/>
          <w:color w:val="auto"/>
          <w:spacing w:val="6"/>
          <w:highlight w:val="none"/>
        </w:rPr>
        <w:t>（四）通过银行等金融机构向安置的每位残疾人，按月支付了不低于单位所在区县适用的经省级人民政府批准的月最低工资标准的工资；</w:t>
      </w:r>
    </w:p>
    <w:p w14:paraId="49248F50">
      <w:pPr>
        <w:widowControl/>
        <w:adjustRightInd w:val="0"/>
        <w:snapToGrid w:val="0"/>
        <w:spacing w:line="360" w:lineRule="auto"/>
        <w:rPr>
          <w:rFonts w:hint="eastAsia"/>
          <w:color w:val="auto"/>
          <w:spacing w:val="6"/>
          <w:highlight w:val="none"/>
        </w:rPr>
      </w:pPr>
      <w:r>
        <w:rPr>
          <w:rFonts w:hint="eastAsia"/>
          <w:color w:val="auto"/>
          <w:spacing w:val="6"/>
          <w:highlight w:val="none"/>
        </w:rPr>
        <w:t>（五）提供本单位制造的货物、承担的工程或者服务（以下简称产品），或者提供其他残疾人福利性单位制造的货物（不包括使用非残疾人福利性单位注册商标的货物）。</w:t>
      </w:r>
    </w:p>
    <w:p w14:paraId="069C12EA">
      <w:pPr>
        <w:jc w:val="center"/>
        <w:rPr>
          <w:b/>
          <w:bCs/>
          <w:color w:val="auto"/>
          <w:sz w:val="32"/>
          <w:szCs w:val="32"/>
          <w:highlight w:val="none"/>
        </w:rPr>
      </w:pPr>
      <w:r>
        <w:rPr>
          <w:rFonts w:hint="eastAsia"/>
          <w:color w:val="auto"/>
          <w:spacing w:val="6"/>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hint="eastAsia" w:ascii="宋体" w:hAnsi="宋体" w:cs="宋体"/>
          <w:b/>
          <w:color w:val="auto"/>
          <w:sz w:val="30"/>
          <w:szCs w:val="30"/>
          <w:highlight w:val="none"/>
        </w:rPr>
        <w:br w:type="page"/>
      </w:r>
      <w:r>
        <w:rPr>
          <w:rFonts w:hint="eastAsia"/>
          <w:b/>
          <w:bCs/>
          <w:color w:val="auto"/>
          <w:sz w:val="32"/>
          <w:szCs w:val="32"/>
          <w:highlight w:val="none"/>
        </w:rPr>
        <w:t>监狱企业声明函</w:t>
      </w:r>
    </w:p>
    <w:p w14:paraId="746B6097">
      <w:pPr>
        <w:bidi w:val="0"/>
        <w:rPr>
          <w:rFonts w:hint="eastAsia"/>
          <w:color w:val="auto"/>
          <w:highlight w:val="none"/>
        </w:rPr>
      </w:pPr>
    </w:p>
    <w:p w14:paraId="420ACF47">
      <w:pPr>
        <w:autoSpaceDE w:val="0"/>
        <w:autoSpaceDN w:val="0"/>
        <w:adjustRightInd w:val="0"/>
        <w:spacing w:line="360" w:lineRule="auto"/>
        <w:jc w:val="center"/>
        <w:rPr>
          <w:rFonts w:hint="eastAsia" w:ascii="宋体" w:cs="宋体"/>
          <w:color w:val="auto"/>
          <w:szCs w:val="21"/>
          <w:highlight w:val="none"/>
        </w:rPr>
      </w:pPr>
      <w:r>
        <w:rPr>
          <w:rFonts w:hint="eastAsia" w:ascii="宋体" w:cs="宋体"/>
          <w:color w:val="auto"/>
          <w:szCs w:val="21"/>
          <w:highlight w:val="none"/>
        </w:rPr>
        <w:t>【非监狱企业不用提供】</w:t>
      </w:r>
    </w:p>
    <w:p w14:paraId="3D0DAD23">
      <w:pPr>
        <w:bidi w:val="0"/>
        <w:rPr>
          <w:color w:val="auto"/>
          <w:highlight w:val="none"/>
        </w:rPr>
      </w:pPr>
    </w:p>
    <w:p w14:paraId="40AFD8F6">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监狱企业参加政府采购活动时，应当提供由省级以上监狱管理本企业郑重声明，根据《关于政府采购支持监狱企业发展有关问题的通知》（财库[2014]68号）的规定，本企业为监狱企业。</w:t>
      </w:r>
    </w:p>
    <w:p w14:paraId="0092362A">
      <w:pPr>
        <w:spacing w:line="360" w:lineRule="auto"/>
        <w:ind w:firstLine="480"/>
        <w:rPr>
          <w:rFonts w:ascii="宋体" w:hAnsi="宋体"/>
          <w:color w:val="auto"/>
          <w:szCs w:val="21"/>
          <w:highlight w:val="none"/>
        </w:rPr>
      </w:pPr>
      <w:r>
        <w:rPr>
          <w:rFonts w:hint="eastAsia" w:ascii="宋体" w:hAnsi="宋体"/>
          <w:color w:val="auto"/>
          <w:szCs w:val="21"/>
          <w:highlight w:val="none"/>
        </w:rPr>
        <w:t>根据上述标准，我企业属于监狱企业的理由为：。</w:t>
      </w:r>
    </w:p>
    <w:p w14:paraId="444A19AA">
      <w:pPr>
        <w:spacing w:line="360" w:lineRule="auto"/>
        <w:ind w:firstLine="480"/>
        <w:rPr>
          <w:rFonts w:ascii="宋体" w:hAnsi="宋体"/>
          <w:color w:val="auto"/>
          <w:szCs w:val="21"/>
          <w:highlight w:val="none"/>
        </w:rPr>
      </w:pPr>
      <w:r>
        <w:rPr>
          <w:rFonts w:hint="eastAsia" w:ascii="宋体" w:hAnsi="宋体"/>
          <w:color w:val="auto"/>
          <w:szCs w:val="21"/>
          <w:highlight w:val="none"/>
        </w:rPr>
        <w:t>本企业为参加（项目名称： ）（项目编号： ）采购活动提供本企业的产品。</w:t>
      </w:r>
    </w:p>
    <w:p w14:paraId="4297F959">
      <w:pPr>
        <w:spacing w:line="360" w:lineRule="auto"/>
        <w:ind w:firstLine="480"/>
        <w:rPr>
          <w:rFonts w:ascii="宋体" w:hAnsi="宋体"/>
          <w:color w:val="auto"/>
          <w:szCs w:val="21"/>
          <w:highlight w:val="none"/>
        </w:rPr>
      </w:pPr>
      <w:r>
        <w:rPr>
          <w:rFonts w:hint="eastAsia" w:ascii="宋体" w:hAnsi="宋体"/>
          <w:color w:val="auto"/>
          <w:szCs w:val="21"/>
          <w:highlight w:val="none"/>
        </w:rPr>
        <w:t>本企业对上述声明的真实性负责。如有虚假，将依法承担相应责任。</w:t>
      </w:r>
    </w:p>
    <w:p w14:paraId="4105C311">
      <w:pPr>
        <w:spacing w:line="360" w:lineRule="auto"/>
        <w:ind w:firstLine="480"/>
        <w:rPr>
          <w:rFonts w:ascii="宋体" w:hAnsi="宋体"/>
          <w:color w:val="auto"/>
          <w:szCs w:val="21"/>
          <w:highlight w:val="none"/>
        </w:rPr>
      </w:pPr>
    </w:p>
    <w:p w14:paraId="219DDF76">
      <w:pPr>
        <w:spacing w:line="360" w:lineRule="auto"/>
        <w:ind w:firstLine="480"/>
        <w:rPr>
          <w:rFonts w:ascii="宋体" w:hAnsi="宋体"/>
          <w:color w:val="auto"/>
          <w:szCs w:val="21"/>
          <w:highlight w:val="none"/>
        </w:rPr>
      </w:pPr>
      <w:r>
        <w:rPr>
          <w:rFonts w:hint="eastAsia" w:ascii="宋体" w:hAnsi="宋体"/>
          <w:color w:val="auto"/>
          <w:szCs w:val="21"/>
          <w:highlight w:val="none"/>
        </w:rPr>
        <w:t>投标人名称（盖章）：</w:t>
      </w:r>
    </w:p>
    <w:p w14:paraId="55E03431">
      <w:pPr>
        <w:spacing w:line="360" w:lineRule="auto"/>
        <w:ind w:firstLine="480"/>
        <w:rPr>
          <w:rFonts w:ascii="宋体" w:hAnsi="宋体"/>
          <w:color w:val="auto"/>
          <w:szCs w:val="21"/>
          <w:highlight w:val="none"/>
        </w:rPr>
      </w:pPr>
      <w:r>
        <w:rPr>
          <w:rFonts w:hint="eastAsia" w:ascii="宋体" w:hAnsi="宋体"/>
          <w:color w:val="auto"/>
          <w:szCs w:val="21"/>
          <w:highlight w:val="none"/>
        </w:rPr>
        <w:t>日期： 年 月 日</w:t>
      </w:r>
    </w:p>
    <w:p w14:paraId="02759FB9">
      <w:pPr>
        <w:spacing w:after="240" w:afterLines="100" w:line="360" w:lineRule="auto"/>
        <w:jc w:val="center"/>
        <w:rPr>
          <w:rFonts w:ascii="宋体" w:hAnsi="宋体" w:cs="宋体"/>
          <w:b/>
          <w:color w:val="auto"/>
          <w:sz w:val="30"/>
          <w:szCs w:val="30"/>
          <w:highlight w:val="none"/>
        </w:rPr>
      </w:pPr>
      <w:r>
        <w:rPr>
          <w:rFonts w:ascii="宋体" w:hAnsi="宋体"/>
          <w:color w:val="auto"/>
          <w:highlight w:val="none"/>
        </w:rPr>
        <w:br w:type="page"/>
      </w:r>
      <w:r>
        <w:rPr>
          <w:rFonts w:hint="eastAsia" w:ascii="宋体" w:hAnsi="宋体" w:cs="宋体"/>
          <w:b/>
          <w:color w:val="auto"/>
          <w:sz w:val="30"/>
          <w:szCs w:val="30"/>
          <w:highlight w:val="none"/>
        </w:rPr>
        <w:t>法定代表人身份</w:t>
      </w:r>
      <w:r>
        <w:rPr>
          <w:rFonts w:ascii="宋体" w:hAnsi="宋体" w:cs="宋体"/>
          <w:b/>
          <w:color w:val="auto"/>
          <w:sz w:val="30"/>
          <w:szCs w:val="30"/>
          <w:highlight w:val="none"/>
        </w:rPr>
        <w:t>证</w:t>
      </w:r>
      <w:r>
        <w:rPr>
          <w:rFonts w:hint="eastAsia" w:ascii="宋体" w:hAnsi="宋体" w:cs="宋体"/>
          <w:b/>
          <w:color w:val="auto"/>
          <w:sz w:val="30"/>
          <w:szCs w:val="30"/>
          <w:highlight w:val="none"/>
        </w:rPr>
        <w:t>明</w:t>
      </w:r>
      <w:r>
        <w:rPr>
          <w:rFonts w:ascii="宋体" w:hAnsi="宋体" w:cs="宋体"/>
          <w:b/>
          <w:color w:val="auto"/>
          <w:sz w:val="30"/>
          <w:szCs w:val="30"/>
          <w:highlight w:val="none"/>
        </w:rPr>
        <w:t>书</w:t>
      </w:r>
    </w:p>
    <w:p w14:paraId="7E278FCC">
      <w:pPr>
        <w:spacing w:line="360" w:lineRule="auto"/>
        <w:ind w:firstLine="211" w:firstLineChars="100"/>
        <w:jc w:val="center"/>
        <w:rPr>
          <w:rFonts w:ascii="宋体" w:hAnsi="宋体"/>
          <w:b/>
          <w:color w:val="auto"/>
          <w:highlight w:val="none"/>
        </w:rPr>
      </w:pPr>
      <w:r>
        <w:rPr>
          <w:rFonts w:hint="eastAsia" w:ascii="宋体" w:hAnsi="宋体"/>
          <w:b/>
          <w:color w:val="auto"/>
          <w:highlight w:val="none"/>
        </w:rPr>
        <w:t>说明：法定代表人</w:t>
      </w:r>
      <w:r>
        <w:rPr>
          <w:rFonts w:ascii="宋体" w:hAnsi="宋体"/>
          <w:b/>
          <w:color w:val="auto"/>
          <w:highlight w:val="none"/>
        </w:rPr>
        <w:t>参</w:t>
      </w:r>
      <w:r>
        <w:rPr>
          <w:rFonts w:hint="eastAsia" w:ascii="宋体" w:hAnsi="宋体"/>
          <w:b/>
          <w:color w:val="auto"/>
          <w:highlight w:val="none"/>
        </w:rPr>
        <w:t>加本招</w:t>
      </w:r>
      <w:r>
        <w:rPr>
          <w:rFonts w:ascii="宋体" w:hAnsi="宋体"/>
          <w:b/>
          <w:color w:val="auto"/>
          <w:highlight w:val="none"/>
        </w:rPr>
        <w:t>标项目</w:t>
      </w:r>
      <w:r>
        <w:rPr>
          <w:rFonts w:hint="eastAsia" w:ascii="宋体" w:hAnsi="宋体"/>
          <w:b/>
          <w:color w:val="auto"/>
          <w:highlight w:val="none"/>
        </w:rPr>
        <w:t>投</w:t>
      </w:r>
      <w:r>
        <w:rPr>
          <w:rFonts w:ascii="宋体" w:hAnsi="宋体"/>
          <w:b/>
          <w:color w:val="auto"/>
          <w:highlight w:val="none"/>
        </w:rPr>
        <w:t>标</w:t>
      </w:r>
      <w:r>
        <w:rPr>
          <w:rFonts w:hint="eastAsia" w:ascii="宋体" w:hAnsi="宋体"/>
          <w:b/>
          <w:color w:val="auto"/>
          <w:highlight w:val="none"/>
        </w:rPr>
        <w:t>的，</w:t>
      </w:r>
      <w:r>
        <w:rPr>
          <w:rFonts w:ascii="宋体" w:hAnsi="宋体"/>
          <w:b/>
          <w:color w:val="auto"/>
          <w:highlight w:val="none"/>
        </w:rPr>
        <w:t>仅须</w:t>
      </w:r>
      <w:r>
        <w:rPr>
          <w:rFonts w:hint="eastAsia" w:ascii="宋体" w:hAnsi="宋体"/>
          <w:b/>
          <w:color w:val="auto"/>
          <w:highlight w:val="none"/>
        </w:rPr>
        <w:t>提供此</w:t>
      </w:r>
      <w:r>
        <w:rPr>
          <w:rFonts w:ascii="宋体" w:hAnsi="宋体"/>
          <w:b/>
          <w:color w:val="auto"/>
          <w:highlight w:val="none"/>
        </w:rPr>
        <w:t>证</w:t>
      </w:r>
      <w:r>
        <w:rPr>
          <w:rFonts w:hint="eastAsia" w:ascii="宋体" w:hAnsi="宋体"/>
          <w:b/>
          <w:color w:val="auto"/>
          <w:highlight w:val="none"/>
        </w:rPr>
        <w:t>明</w:t>
      </w:r>
      <w:r>
        <w:rPr>
          <w:rFonts w:ascii="宋体" w:hAnsi="宋体"/>
          <w:b/>
          <w:color w:val="auto"/>
          <w:highlight w:val="none"/>
        </w:rPr>
        <w:t>书</w:t>
      </w:r>
      <w:r>
        <w:rPr>
          <w:rFonts w:hint="eastAsia" w:ascii="宋体" w:hAnsi="宋体"/>
          <w:b/>
          <w:color w:val="auto"/>
          <w:highlight w:val="none"/>
        </w:rPr>
        <w:t>。</w:t>
      </w:r>
    </w:p>
    <w:p w14:paraId="0D4E049F">
      <w:pPr>
        <w:spacing w:line="360" w:lineRule="auto"/>
        <w:rPr>
          <w:rFonts w:ascii="宋体" w:hAnsi="宋体"/>
          <w:color w:val="auto"/>
          <w:highlight w:val="none"/>
        </w:rPr>
      </w:pPr>
    </w:p>
    <w:p w14:paraId="2A2B173D">
      <w:pPr>
        <w:pStyle w:val="13"/>
        <w:rPr>
          <w:color w:val="auto"/>
          <w:highlight w:val="none"/>
        </w:rPr>
      </w:pPr>
    </w:p>
    <w:p w14:paraId="751327F0">
      <w:pPr>
        <w:spacing w:line="480" w:lineRule="auto"/>
        <w:ind w:firstLine="420"/>
        <w:rPr>
          <w:rFonts w:ascii="宋体" w:hAnsi="宋体"/>
          <w:color w:val="auto"/>
          <w:szCs w:val="21"/>
          <w:highlight w:val="none"/>
        </w:rPr>
      </w:pPr>
      <w:r>
        <w:rPr>
          <w:rFonts w:hint="eastAsia" w:ascii="宋体" w:hAnsi="宋体"/>
          <w:color w:val="auto"/>
          <w:szCs w:val="21"/>
          <w:highlight w:val="none"/>
        </w:rPr>
        <w:t>投</w:t>
      </w:r>
      <w:r>
        <w:rPr>
          <w:rFonts w:ascii="宋体" w:hAnsi="宋体"/>
          <w:color w:val="auto"/>
          <w:szCs w:val="21"/>
          <w:highlight w:val="none"/>
        </w:rPr>
        <w:t>标</w:t>
      </w:r>
      <w:r>
        <w:rPr>
          <w:rFonts w:hint="eastAsia" w:ascii="宋体" w:hAnsi="宋体"/>
          <w:color w:val="auto"/>
          <w:szCs w:val="21"/>
          <w:highlight w:val="none"/>
        </w:rPr>
        <w:t>人名</w:t>
      </w:r>
      <w:r>
        <w:rPr>
          <w:rFonts w:ascii="宋体" w:hAnsi="宋体"/>
          <w:color w:val="auto"/>
          <w:szCs w:val="21"/>
          <w:highlight w:val="none"/>
        </w:rPr>
        <w:t>称</w:t>
      </w:r>
      <w:r>
        <w:rPr>
          <w:rFonts w:hint="eastAsia" w:ascii="宋体" w:hAnsi="宋体"/>
          <w:color w:val="auto"/>
          <w:szCs w:val="21"/>
          <w:highlight w:val="none"/>
        </w:rPr>
        <w:t>：</w:t>
      </w:r>
    </w:p>
    <w:p w14:paraId="474FE656">
      <w:pPr>
        <w:spacing w:line="480" w:lineRule="auto"/>
        <w:ind w:firstLine="420"/>
        <w:rPr>
          <w:rFonts w:ascii="宋体" w:hAnsi="宋体"/>
          <w:color w:val="auto"/>
          <w:szCs w:val="21"/>
          <w:highlight w:val="none"/>
        </w:rPr>
      </w:pPr>
      <w:r>
        <w:rPr>
          <w:rFonts w:hint="eastAsia" w:ascii="宋体" w:hAnsi="宋体"/>
          <w:color w:val="auto"/>
          <w:szCs w:val="21"/>
          <w:highlight w:val="none"/>
        </w:rPr>
        <w:t>地址：</w:t>
      </w:r>
    </w:p>
    <w:p w14:paraId="7E456FB1">
      <w:pPr>
        <w:spacing w:line="480" w:lineRule="auto"/>
        <w:ind w:firstLine="42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rPr>
        <w:t xml:space="preserve">          </w:t>
      </w:r>
      <w:r>
        <w:rPr>
          <w:rFonts w:hint="eastAsia" w:ascii="宋体" w:hAnsi="宋体"/>
          <w:color w:val="auto"/>
          <w:szCs w:val="21"/>
          <w:highlight w:val="none"/>
        </w:rPr>
        <w:t>性</w:t>
      </w:r>
      <w:r>
        <w:rPr>
          <w:rFonts w:ascii="宋体" w:hAnsi="宋体"/>
          <w:color w:val="auto"/>
          <w:szCs w:val="21"/>
          <w:highlight w:val="none"/>
        </w:rPr>
        <w:t>别</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龄</w:t>
      </w:r>
      <w:r>
        <w:rPr>
          <w:rFonts w:hint="eastAsia" w:ascii="宋体" w:hAnsi="宋体"/>
          <w:color w:val="auto"/>
          <w:szCs w:val="21"/>
          <w:highlight w:val="none"/>
        </w:rPr>
        <w:t>：</w:t>
      </w:r>
      <w:r>
        <w:rPr>
          <w:rFonts w:ascii="宋体" w:hAnsi="宋体"/>
          <w:color w:val="auto"/>
          <w:szCs w:val="21"/>
          <w:highlight w:val="none"/>
        </w:rPr>
        <w:t xml:space="preserve">            职务</w:t>
      </w:r>
      <w:r>
        <w:rPr>
          <w:rFonts w:hint="eastAsia" w:ascii="宋体" w:hAnsi="宋体"/>
          <w:color w:val="auto"/>
          <w:szCs w:val="21"/>
          <w:highlight w:val="none"/>
        </w:rPr>
        <w:t xml:space="preserve">： </w:t>
      </w:r>
    </w:p>
    <w:p w14:paraId="6A4195E9">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本人系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&lt; 投</w:t>
      </w:r>
      <w:r>
        <w:rPr>
          <w:rFonts w:ascii="宋体" w:hAnsi="宋体"/>
          <w:color w:val="auto"/>
          <w:szCs w:val="21"/>
          <w:highlight w:val="none"/>
          <w:u w:val="single"/>
        </w:rPr>
        <w:t>标</w:t>
      </w:r>
      <w:r>
        <w:rPr>
          <w:rFonts w:hint="eastAsia" w:ascii="宋体" w:hAnsi="宋体"/>
          <w:color w:val="auto"/>
          <w:szCs w:val="21"/>
          <w:highlight w:val="none"/>
          <w:u w:val="single"/>
        </w:rPr>
        <w:t>人名</w:t>
      </w:r>
      <w:r>
        <w:rPr>
          <w:rFonts w:ascii="宋体" w:hAnsi="宋体"/>
          <w:color w:val="auto"/>
          <w:szCs w:val="21"/>
          <w:highlight w:val="none"/>
          <w:u w:val="single"/>
        </w:rPr>
        <w:t>称</w:t>
      </w:r>
      <w:r>
        <w:rPr>
          <w:rFonts w:hint="eastAsia" w:ascii="宋体" w:hAnsi="宋体"/>
          <w:color w:val="auto"/>
          <w:szCs w:val="21"/>
          <w:highlight w:val="none"/>
          <w:u w:val="single"/>
        </w:rPr>
        <w:t xml:space="preserve"> &gt;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的法定代表人。</w:t>
      </w:r>
      <w:r>
        <w:rPr>
          <w:rFonts w:ascii="宋体" w:hAnsi="宋体"/>
          <w:color w:val="auto"/>
          <w:szCs w:val="21"/>
          <w:highlight w:val="none"/>
        </w:rPr>
        <w:t>为</w:t>
      </w:r>
      <w:r>
        <w:rPr>
          <w:rFonts w:hint="eastAsia" w:ascii="宋体" w:hAnsi="宋体"/>
          <w:color w:val="auto"/>
          <w:szCs w:val="21"/>
          <w:highlight w:val="none"/>
        </w:rPr>
        <w:t>你中心</w:t>
      </w:r>
      <w:r>
        <w:rPr>
          <w:rFonts w:ascii="宋体" w:hAnsi="宋体"/>
          <w:color w:val="auto"/>
          <w:szCs w:val="21"/>
          <w:highlight w:val="none"/>
        </w:rPr>
        <w:t>组织的</w:t>
      </w:r>
      <w:r>
        <w:rPr>
          <w:rFonts w:hint="eastAsia" w:ascii="宋体" w:hAnsi="宋体"/>
          <w:color w:val="auto"/>
          <w:szCs w:val="21"/>
          <w:highlight w:val="none"/>
        </w:rPr>
        <w:t>项目</w:t>
      </w:r>
      <w:r>
        <w:rPr>
          <w:rFonts w:ascii="宋体" w:hAnsi="宋体"/>
          <w:color w:val="auto"/>
          <w:szCs w:val="21"/>
          <w:highlight w:val="none"/>
        </w:rPr>
        <w:t>编号为</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 xml:space="preserve"> </w:t>
      </w:r>
      <w:r>
        <w:rPr>
          <w:rFonts w:hint="eastAsia" w:ascii="宋体" w:hAnsi="宋体"/>
          <w:b/>
          <w:color w:val="auto"/>
          <w:szCs w:val="21"/>
          <w:highlight w:val="none"/>
          <w:u w:val="single"/>
        </w:rPr>
        <w:t xml:space="preserve">  </w:t>
      </w:r>
      <w:r>
        <w:rPr>
          <w:rFonts w:hint="eastAsia" w:ascii="宋体" w:hAnsi="宋体"/>
          <w:color w:val="auto"/>
          <w:szCs w:val="21"/>
          <w:highlight w:val="none"/>
        </w:rPr>
        <w:t>的</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 xml:space="preserve"> </w:t>
      </w:r>
      <w:r>
        <w:rPr>
          <w:rFonts w:hint="eastAsia" w:ascii="宋体" w:hAnsi="宋体"/>
          <w:b/>
          <w:color w:val="auto"/>
          <w:szCs w:val="21"/>
          <w:highlight w:val="none"/>
          <w:u w:val="single"/>
        </w:rPr>
        <w:t xml:space="preserve">  </w:t>
      </w:r>
      <w:r>
        <w:rPr>
          <w:rFonts w:hint="eastAsia"/>
          <w:color w:val="auto"/>
          <w:szCs w:val="21"/>
          <w:highlight w:val="none"/>
          <w:u w:val="single"/>
        </w:rPr>
        <w:t xml:space="preserve"> </w:t>
      </w:r>
      <w:r>
        <w:rPr>
          <w:rFonts w:hint="eastAsia" w:ascii="宋体" w:hAnsi="宋体"/>
          <w:color w:val="auto"/>
          <w:szCs w:val="21"/>
          <w:highlight w:val="none"/>
          <w:u w:val="single"/>
        </w:rPr>
        <w:t>&lt;</w:t>
      </w:r>
      <w:r>
        <w:rPr>
          <w:rFonts w:hint="eastAsia"/>
          <w:color w:val="auto"/>
          <w:szCs w:val="21"/>
          <w:highlight w:val="none"/>
          <w:u w:val="single"/>
        </w:rPr>
        <w:t>项目名称</w:t>
      </w:r>
      <w:r>
        <w:rPr>
          <w:rFonts w:hint="eastAsia" w:ascii="宋体" w:hAnsi="宋体"/>
          <w:color w:val="auto"/>
          <w:szCs w:val="21"/>
          <w:highlight w:val="none"/>
          <w:u w:val="single"/>
        </w:rPr>
        <w:t>&gt;</w:t>
      </w:r>
      <w:r>
        <w:rPr>
          <w:rFonts w:ascii="宋体" w:hAnsi="宋体"/>
          <w:color w:val="auto"/>
          <w:szCs w:val="21"/>
          <w:highlight w:val="none"/>
          <w:u w:val="single"/>
        </w:rPr>
        <w:t xml:space="preserve"> </w:t>
      </w:r>
      <w:r>
        <w:rPr>
          <w:rFonts w:hint="eastAsia"/>
          <w:color w:val="auto"/>
          <w:szCs w:val="21"/>
          <w:highlight w:val="none"/>
          <w:u w:val="single"/>
        </w:rPr>
        <w:t xml:space="preserve">    </w:t>
      </w:r>
      <w:r>
        <w:rPr>
          <w:rFonts w:hint="eastAsia" w:ascii="宋体" w:hAnsi="宋体"/>
          <w:color w:val="auto"/>
          <w:szCs w:val="21"/>
          <w:highlight w:val="none"/>
        </w:rPr>
        <w:t>政府采购项目，</w:t>
      </w:r>
      <w:r>
        <w:rPr>
          <w:rFonts w:ascii="宋体" w:hAnsi="宋体"/>
          <w:color w:val="auto"/>
          <w:szCs w:val="21"/>
          <w:highlight w:val="none"/>
        </w:rPr>
        <w:t>签</w:t>
      </w:r>
      <w:r>
        <w:rPr>
          <w:rFonts w:hint="eastAsia" w:ascii="宋体" w:hAnsi="宋体"/>
          <w:color w:val="auto"/>
          <w:szCs w:val="21"/>
          <w:highlight w:val="none"/>
        </w:rPr>
        <w:t>署上</w:t>
      </w:r>
      <w:r>
        <w:rPr>
          <w:rFonts w:ascii="宋体" w:hAnsi="宋体"/>
          <w:color w:val="auto"/>
          <w:szCs w:val="21"/>
          <w:highlight w:val="none"/>
        </w:rPr>
        <w:t>述项目</w:t>
      </w:r>
      <w:r>
        <w:rPr>
          <w:rFonts w:hint="eastAsia" w:ascii="宋体" w:hAnsi="宋体"/>
          <w:color w:val="auto"/>
          <w:szCs w:val="21"/>
          <w:highlight w:val="none"/>
        </w:rPr>
        <w:t>的</w:t>
      </w:r>
      <w:r>
        <w:rPr>
          <w:rFonts w:ascii="宋体" w:hAnsi="宋体"/>
          <w:color w:val="auto"/>
          <w:szCs w:val="21"/>
          <w:highlight w:val="none"/>
        </w:rPr>
        <w:t>投标文件、进行合同谈判、签署合同和处理与之有关的一切事务</w:t>
      </w:r>
      <w:r>
        <w:rPr>
          <w:rFonts w:hint="eastAsia" w:ascii="宋体" w:hAnsi="宋体"/>
          <w:color w:val="auto"/>
          <w:szCs w:val="21"/>
          <w:highlight w:val="none"/>
        </w:rPr>
        <w:t>。</w:t>
      </w:r>
    </w:p>
    <w:p w14:paraId="545762F7">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特此</w:t>
      </w:r>
      <w:r>
        <w:rPr>
          <w:rFonts w:ascii="宋体" w:hAnsi="宋体"/>
          <w:color w:val="auto"/>
          <w:szCs w:val="21"/>
          <w:highlight w:val="none"/>
        </w:rPr>
        <w:t>证</w:t>
      </w:r>
      <w:r>
        <w:rPr>
          <w:rFonts w:hint="eastAsia" w:ascii="宋体" w:hAnsi="宋体"/>
          <w:color w:val="auto"/>
          <w:szCs w:val="21"/>
          <w:highlight w:val="none"/>
        </w:rPr>
        <w:t>明。</w:t>
      </w:r>
    </w:p>
    <w:p w14:paraId="15C6F788">
      <w:pPr>
        <w:spacing w:line="360" w:lineRule="auto"/>
        <w:ind w:firstLine="420"/>
        <w:rPr>
          <w:rFonts w:ascii="宋体" w:hAnsi="宋体"/>
          <w:color w:val="auto"/>
          <w:szCs w:val="21"/>
          <w:highlight w:val="none"/>
        </w:rPr>
      </w:pPr>
    </w:p>
    <w:p w14:paraId="476960DA">
      <w:pPr>
        <w:spacing w:line="360" w:lineRule="auto"/>
        <w:ind w:firstLine="420"/>
        <w:rPr>
          <w:rFonts w:ascii="宋体" w:hAnsi="宋体"/>
          <w:color w:val="auto"/>
          <w:szCs w:val="21"/>
          <w:highlight w:val="none"/>
        </w:rPr>
      </w:pPr>
    </w:p>
    <w:p w14:paraId="4BE06946">
      <w:pPr>
        <w:spacing w:line="360" w:lineRule="auto"/>
        <w:ind w:firstLine="420"/>
        <w:rPr>
          <w:rFonts w:ascii="宋体" w:hAnsi="宋体"/>
          <w:color w:val="auto"/>
          <w:szCs w:val="21"/>
          <w:highlight w:val="none"/>
        </w:rPr>
      </w:pPr>
    </w:p>
    <w:p w14:paraId="37DAF817">
      <w:pPr>
        <w:jc w:val="center"/>
        <w:rPr>
          <w:rFonts w:ascii="宋体" w:hAnsi="宋体"/>
          <w:b/>
          <w:color w:val="auto"/>
          <w:highlight w:val="none"/>
          <w:u w:val="single"/>
        </w:rPr>
      </w:pPr>
      <w:r>
        <w:rPr>
          <w:rFonts w:hint="eastAsia" w:ascii="宋体" w:hAnsi="宋体"/>
          <w:b/>
          <w:color w:val="auto"/>
          <w:highlight w:val="none"/>
          <w:u w:val="single"/>
        </w:rPr>
        <w:t>（</w:t>
      </w:r>
      <w:r>
        <w:rPr>
          <w:rFonts w:ascii="宋体" w:hAnsi="宋体"/>
          <w:b/>
          <w:color w:val="auto"/>
          <w:highlight w:val="none"/>
          <w:u w:val="single"/>
        </w:rPr>
        <w:t>※</w:t>
      </w:r>
      <w:r>
        <w:rPr>
          <w:rFonts w:hint="eastAsia" w:ascii="宋体" w:hAnsi="宋体"/>
          <w:b/>
          <w:color w:val="auto"/>
          <w:highlight w:val="none"/>
          <w:u w:val="single"/>
        </w:rPr>
        <w:t xml:space="preserve"> 此</w:t>
      </w:r>
      <w:r>
        <w:rPr>
          <w:rFonts w:ascii="宋体" w:hAnsi="宋体"/>
          <w:b/>
          <w:color w:val="auto"/>
          <w:highlight w:val="none"/>
          <w:u w:val="single"/>
        </w:rPr>
        <w:t>处</w:t>
      </w:r>
      <w:r>
        <w:rPr>
          <w:rFonts w:hint="eastAsia" w:ascii="宋体" w:hAnsi="宋体"/>
          <w:b/>
          <w:color w:val="auto"/>
          <w:highlight w:val="none"/>
          <w:u w:val="single"/>
        </w:rPr>
        <w:t>附法定代表人身份</w:t>
      </w:r>
      <w:r>
        <w:rPr>
          <w:rFonts w:ascii="宋体" w:hAnsi="宋体"/>
          <w:b/>
          <w:color w:val="auto"/>
          <w:highlight w:val="none"/>
          <w:u w:val="single"/>
        </w:rPr>
        <w:t>证复</w:t>
      </w:r>
      <w:r>
        <w:rPr>
          <w:rFonts w:hint="eastAsia" w:ascii="宋体" w:hAnsi="宋体"/>
          <w:b/>
          <w:color w:val="auto"/>
          <w:highlight w:val="none"/>
          <w:u w:val="single"/>
        </w:rPr>
        <w:t>印件（正反两面）</w:t>
      </w:r>
      <w:r>
        <w:rPr>
          <w:rFonts w:ascii="宋体" w:hAnsi="宋体"/>
          <w:b/>
          <w:color w:val="auto"/>
          <w:highlight w:val="none"/>
          <w:u w:val="single"/>
        </w:rPr>
        <w:t>※</w:t>
      </w:r>
      <w:r>
        <w:rPr>
          <w:rFonts w:hint="eastAsia" w:ascii="宋体" w:hAnsi="宋体"/>
          <w:b/>
          <w:color w:val="auto"/>
          <w:highlight w:val="none"/>
          <w:u w:val="single"/>
        </w:rPr>
        <w:t>）</w:t>
      </w:r>
    </w:p>
    <w:p w14:paraId="4117897E">
      <w:pPr>
        <w:spacing w:line="360" w:lineRule="auto"/>
        <w:ind w:firstLine="420"/>
        <w:rPr>
          <w:rFonts w:ascii="宋体" w:hAnsi="宋体"/>
          <w:color w:val="auto"/>
          <w:szCs w:val="21"/>
          <w:highlight w:val="none"/>
        </w:rPr>
      </w:pPr>
    </w:p>
    <w:p w14:paraId="198817B8">
      <w:pPr>
        <w:spacing w:line="360" w:lineRule="auto"/>
        <w:ind w:firstLine="420"/>
        <w:rPr>
          <w:rFonts w:ascii="宋体" w:hAnsi="宋体"/>
          <w:color w:val="auto"/>
          <w:szCs w:val="21"/>
          <w:highlight w:val="none"/>
        </w:rPr>
      </w:pPr>
    </w:p>
    <w:p w14:paraId="18673A26">
      <w:pPr>
        <w:spacing w:line="360" w:lineRule="auto"/>
        <w:ind w:firstLine="420"/>
        <w:rPr>
          <w:rFonts w:ascii="宋体" w:hAnsi="宋体"/>
          <w:color w:val="auto"/>
          <w:szCs w:val="21"/>
          <w:highlight w:val="none"/>
        </w:rPr>
      </w:pPr>
    </w:p>
    <w:p w14:paraId="3776F24E">
      <w:pPr>
        <w:spacing w:line="360" w:lineRule="auto"/>
        <w:ind w:firstLine="420"/>
        <w:rPr>
          <w:rFonts w:ascii="宋体" w:hAnsi="宋体"/>
          <w:color w:val="auto"/>
          <w:szCs w:val="21"/>
          <w:highlight w:val="none"/>
        </w:rPr>
      </w:pPr>
    </w:p>
    <w:p w14:paraId="1B9CBC28">
      <w:pPr>
        <w:spacing w:line="480" w:lineRule="auto"/>
        <w:ind w:firstLine="420"/>
        <w:rPr>
          <w:rFonts w:ascii="宋体" w:hAnsi="宋体"/>
          <w:color w:val="auto"/>
          <w:highlight w:val="none"/>
        </w:rPr>
      </w:pPr>
      <w:r>
        <w:rPr>
          <w:rFonts w:hint="eastAsia"/>
          <w:color w:val="auto"/>
          <w:highlight w:val="none"/>
        </w:rPr>
        <w:t>投标人名称（盖章）</w:t>
      </w:r>
      <w:r>
        <w:rPr>
          <w:rFonts w:hint="eastAsia" w:ascii="宋体" w:hAnsi="宋体"/>
          <w:color w:val="auto"/>
          <w:highlight w:val="none"/>
        </w:rPr>
        <w:t>：</w:t>
      </w:r>
      <w:r>
        <w:rPr>
          <w:rFonts w:hint="eastAsia" w:ascii="宋体" w:hAnsi="宋体"/>
          <w:color w:val="auto"/>
          <w:highlight w:val="none"/>
          <w:u w:val="single"/>
        </w:rPr>
        <w:t xml:space="preserve">                            </w:t>
      </w:r>
    </w:p>
    <w:p w14:paraId="0E2A189C">
      <w:pPr>
        <w:spacing w:line="480" w:lineRule="auto"/>
        <w:ind w:firstLine="420"/>
        <w:rPr>
          <w:rFonts w:ascii="宋体" w:hAnsi="宋体"/>
          <w:color w:val="auto"/>
          <w:highlight w:val="none"/>
        </w:rPr>
      </w:pPr>
      <w:r>
        <w:rPr>
          <w:rFonts w:hint="eastAsia" w:ascii="宋体" w:hAnsi="宋体"/>
          <w:color w:val="auto"/>
          <w:highlight w:val="none"/>
        </w:rPr>
        <w:t>法定代表人（签字或盖章）：</w:t>
      </w:r>
      <w:r>
        <w:rPr>
          <w:rFonts w:hint="eastAsia" w:ascii="宋体" w:hAnsi="宋体"/>
          <w:color w:val="auto"/>
          <w:highlight w:val="none"/>
          <w:u w:val="single"/>
        </w:rPr>
        <w:t xml:space="preserve">                      </w:t>
      </w:r>
    </w:p>
    <w:p w14:paraId="73167B6E">
      <w:pPr>
        <w:spacing w:line="480" w:lineRule="auto"/>
        <w:ind w:firstLine="42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2654FEC9">
      <w:pPr>
        <w:spacing w:line="480" w:lineRule="auto"/>
        <w:rPr>
          <w:rFonts w:ascii="宋体" w:hAnsi="宋体"/>
          <w:color w:val="auto"/>
          <w:szCs w:val="21"/>
          <w:highlight w:val="none"/>
        </w:rPr>
      </w:pPr>
    </w:p>
    <w:p w14:paraId="2EE3AB6A">
      <w:pPr>
        <w:spacing w:line="360" w:lineRule="auto"/>
        <w:rPr>
          <w:color w:val="auto"/>
          <w:highlight w:val="none"/>
        </w:rPr>
      </w:pPr>
      <w:r>
        <w:rPr>
          <w:rFonts w:ascii="宋体" w:hAnsi="宋体"/>
          <w:color w:val="auto"/>
          <w:highlight w:val="none"/>
        </w:rPr>
        <w:br w:type="page"/>
      </w:r>
    </w:p>
    <w:p w14:paraId="705B972A">
      <w:pPr>
        <w:spacing w:after="240" w:afterLines="100" w:line="360" w:lineRule="auto"/>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法定代表人授权书</w:t>
      </w:r>
    </w:p>
    <w:p w14:paraId="1FF74F71">
      <w:pPr>
        <w:pStyle w:val="13"/>
        <w:jc w:val="center"/>
        <w:rPr>
          <w:rFonts w:hint="eastAsia" w:ascii="宋体" w:hAnsi="宋体"/>
          <w:b/>
          <w:i w:val="0"/>
          <w:iCs/>
          <w:color w:val="auto"/>
          <w:highlight w:val="none"/>
        </w:rPr>
      </w:pPr>
      <w:r>
        <w:rPr>
          <w:rFonts w:hint="eastAsia" w:ascii="宋体" w:hAnsi="宋体"/>
          <w:b/>
          <w:i w:val="0"/>
          <w:iCs/>
          <w:color w:val="auto"/>
          <w:highlight w:val="none"/>
        </w:rPr>
        <w:t>说明：全权代表</w:t>
      </w:r>
      <w:r>
        <w:rPr>
          <w:rFonts w:ascii="宋体" w:hAnsi="宋体"/>
          <w:b/>
          <w:i w:val="0"/>
          <w:iCs/>
          <w:color w:val="auto"/>
          <w:highlight w:val="none"/>
        </w:rPr>
        <w:t>参</w:t>
      </w:r>
      <w:r>
        <w:rPr>
          <w:rFonts w:hint="eastAsia" w:ascii="宋体" w:hAnsi="宋体"/>
          <w:b/>
          <w:i w:val="0"/>
          <w:iCs/>
          <w:color w:val="auto"/>
          <w:highlight w:val="none"/>
        </w:rPr>
        <w:t>加本招</w:t>
      </w:r>
      <w:r>
        <w:rPr>
          <w:rFonts w:ascii="宋体" w:hAnsi="宋体"/>
          <w:b/>
          <w:i w:val="0"/>
          <w:iCs/>
          <w:color w:val="auto"/>
          <w:highlight w:val="none"/>
        </w:rPr>
        <w:t>标项目</w:t>
      </w:r>
      <w:r>
        <w:rPr>
          <w:rFonts w:hint="eastAsia" w:ascii="宋体" w:hAnsi="宋体"/>
          <w:b/>
          <w:i w:val="0"/>
          <w:iCs/>
          <w:color w:val="auto"/>
          <w:highlight w:val="none"/>
        </w:rPr>
        <w:t>投</w:t>
      </w:r>
      <w:r>
        <w:rPr>
          <w:rFonts w:ascii="宋体" w:hAnsi="宋体"/>
          <w:b/>
          <w:i w:val="0"/>
          <w:iCs/>
          <w:color w:val="auto"/>
          <w:highlight w:val="none"/>
        </w:rPr>
        <w:t>标</w:t>
      </w:r>
      <w:r>
        <w:rPr>
          <w:rFonts w:hint="eastAsia" w:ascii="宋体" w:hAnsi="宋体"/>
          <w:b/>
          <w:i w:val="0"/>
          <w:iCs/>
          <w:color w:val="auto"/>
          <w:highlight w:val="none"/>
        </w:rPr>
        <w:t>的，</w:t>
      </w:r>
      <w:r>
        <w:rPr>
          <w:rFonts w:ascii="宋体" w:hAnsi="宋体"/>
          <w:b/>
          <w:i w:val="0"/>
          <w:iCs/>
          <w:color w:val="auto"/>
          <w:highlight w:val="none"/>
        </w:rPr>
        <w:t>仅须</w:t>
      </w:r>
      <w:r>
        <w:rPr>
          <w:rFonts w:hint="eastAsia" w:ascii="宋体" w:hAnsi="宋体"/>
          <w:b/>
          <w:i w:val="0"/>
          <w:iCs/>
          <w:color w:val="auto"/>
          <w:highlight w:val="none"/>
        </w:rPr>
        <w:t>提供此</w:t>
      </w:r>
      <w:r>
        <w:rPr>
          <w:rFonts w:ascii="宋体" w:hAnsi="宋体"/>
          <w:b/>
          <w:i w:val="0"/>
          <w:iCs/>
          <w:color w:val="auto"/>
          <w:highlight w:val="none"/>
        </w:rPr>
        <w:t>证</w:t>
      </w:r>
      <w:r>
        <w:rPr>
          <w:rFonts w:hint="eastAsia" w:ascii="宋体" w:hAnsi="宋体"/>
          <w:b/>
          <w:i w:val="0"/>
          <w:iCs/>
          <w:color w:val="auto"/>
          <w:highlight w:val="none"/>
        </w:rPr>
        <w:t>明</w:t>
      </w:r>
      <w:r>
        <w:rPr>
          <w:rFonts w:ascii="宋体" w:hAnsi="宋体"/>
          <w:b/>
          <w:i w:val="0"/>
          <w:iCs/>
          <w:color w:val="auto"/>
          <w:highlight w:val="none"/>
        </w:rPr>
        <w:t>书</w:t>
      </w:r>
      <w:r>
        <w:rPr>
          <w:rFonts w:hint="eastAsia" w:ascii="宋体" w:hAnsi="宋体"/>
          <w:b/>
          <w:i w:val="0"/>
          <w:iCs/>
          <w:color w:val="auto"/>
          <w:highlight w:val="none"/>
        </w:rPr>
        <w:t>。</w:t>
      </w:r>
    </w:p>
    <w:p w14:paraId="4926A0C7">
      <w:pPr>
        <w:rPr>
          <w:rFonts w:hint="eastAsia"/>
          <w:color w:val="auto"/>
          <w:highlight w:val="none"/>
        </w:rPr>
      </w:pPr>
    </w:p>
    <w:p w14:paraId="4ACB8424">
      <w:pPr>
        <w:rPr>
          <w:color w:val="auto"/>
          <w:highlight w:val="none"/>
        </w:rPr>
      </w:pPr>
    </w:p>
    <w:p w14:paraId="51244459">
      <w:pPr>
        <w:spacing w:line="480" w:lineRule="auto"/>
        <w:rPr>
          <w:rFonts w:ascii="宋体" w:hAnsi="宋体"/>
          <w:color w:val="auto"/>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&lt; 投</w:t>
      </w:r>
      <w:r>
        <w:rPr>
          <w:rFonts w:ascii="宋体" w:hAnsi="宋体"/>
          <w:color w:val="auto"/>
          <w:highlight w:val="none"/>
          <w:u w:val="single"/>
        </w:rPr>
        <w:t>标</w:t>
      </w:r>
      <w:r>
        <w:rPr>
          <w:rFonts w:hint="eastAsia" w:ascii="宋体" w:hAnsi="宋体"/>
          <w:color w:val="auto"/>
          <w:highlight w:val="none"/>
          <w:u w:val="single"/>
        </w:rPr>
        <w:t>人名</w:t>
      </w:r>
      <w:r>
        <w:rPr>
          <w:rFonts w:ascii="宋体" w:hAnsi="宋体"/>
          <w:color w:val="auto"/>
          <w:highlight w:val="none"/>
          <w:u w:val="single"/>
        </w:rPr>
        <w:t>称</w:t>
      </w:r>
      <w:r>
        <w:rPr>
          <w:rFonts w:hint="eastAsia" w:ascii="宋体" w:hAnsi="宋体"/>
          <w:color w:val="auto"/>
          <w:highlight w:val="none"/>
          <w:u w:val="single"/>
        </w:rPr>
        <w:t xml:space="preserve"> &gt;</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法定代表人</w:t>
      </w:r>
      <w:r>
        <w:rPr>
          <w:rFonts w:hint="eastAsia" w:ascii="宋体" w:hAnsi="宋体"/>
          <w:color w:val="auto"/>
          <w:highlight w:val="none"/>
          <w:u w:val="single"/>
        </w:rPr>
        <w:t xml:space="preserve">   &lt; 法定代表人姓名 &gt;</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授权本单位</w:t>
      </w:r>
      <w:r>
        <w:rPr>
          <w:rFonts w:hint="eastAsia" w:ascii="宋体" w:hAnsi="宋体"/>
          <w:color w:val="auto"/>
          <w:highlight w:val="none"/>
          <w:u w:val="single"/>
        </w:rPr>
        <w:t xml:space="preserve">     &lt; 全权代表任职部门 &gt;   &lt;全权代表姓名&gt;      </w:t>
      </w:r>
      <w:r>
        <w:rPr>
          <w:rFonts w:hint="eastAsia" w:ascii="宋体" w:hAnsi="宋体"/>
          <w:color w:val="auto"/>
          <w:highlight w:val="none"/>
        </w:rPr>
        <w:t>为本公司的合法全权代表，参加你中心组织的</w:t>
      </w:r>
      <w:r>
        <w:rPr>
          <w:rFonts w:hint="eastAsia" w:ascii="宋体" w:hAnsi="宋体"/>
          <w:color w:val="auto"/>
          <w:highlight w:val="none"/>
          <w:u w:val="single"/>
        </w:rPr>
        <w:t xml:space="preserve">  </w:t>
      </w:r>
      <w:r>
        <w:rPr>
          <w:rFonts w:hint="eastAsia" w:ascii="宋体" w:hAnsi="宋体" w:eastAsia="宋体" w:cs="宋体"/>
          <w:color w:val="auto"/>
          <w:sz w:val="22"/>
          <w:szCs w:val="22"/>
          <w:highlight w:val="none"/>
          <w:u w:val="single"/>
        </w:rPr>
        <w:t>（项目编号</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eastAsia="zh-CN"/>
        </w:rPr>
        <w:t>）</w:t>
      </w:r>
      <w:r>
        <w:rPr>
          <w:rFonts w:hint="eastAsia"/>
          <w:color w:val="auto"/>
          <w:highlight w:val="none"/>
          <w:u w:val="single"/>
        </w:rPr>
        <w:t>（</w:t>
      </w:r>
      <w:r>
        <w:rPr>
          <w:rFonts w:hint="eastAsia" w:ascii="宋体" w:hAnsi="宋体" w:eastAsia="宋体" w:cs="宋体"/>
          <w:color w:val="auto"/>
          <w:sz w:val="22"/>
          <w:szCs w:val="22"/>
          <w:highlight w:val="none"/>
          <w:u w:val="single"/>
          <w:lang w:val="en-US" w:eastAsia="zh-CN"/>
        </w:rPr>
        <w:t>项目名称</w:t>
      </w:r>
      <w:r>
        <w:rPr>
          <w:rFonts w:hint="eastAsia"/>
          <w:color w:val="auto"/>
          <w:highlight w:val="none"/>
          <w:u w:val="single"/>
        </w:rPr>
        <w:t xml:space="preserve">       ）</w:t>
      </w:r>
      <w:r>
        <w:rPr>
          <w:rFonts w:hint="eastAsia" w:ascii="宋体" w:hAnsi="宋体"/>
          <w:color w:val="auto"/>
          <w:highlight w:val="none"/>
        </w:rPr>
        <w:t>公</w:t>
      </w:r>
      <w:r>
        <w:rPr>
          <w:rFonts w:ascii="宋体" w:hAnsi="宋体"/>
          <w:color w:val="auto"/>
          <w:highlight w:val="none"/>
        </w:rPr>
        <w:t>开</w:t>
      </w:r>
      <w:r>
        <w:rPr>
          <w:rFonts w:hint="eastAsia" w:ascii="宋体" w:hAnsi="宋体"/>
          <w:color w:val="auto"/>
          <w:highlight w:val="none"/>
        </w:rPr>
        <w:t>招</w:t>
      </w:r>
      <w:r>
        <w:rPr>
          <w:rFonts w:ascii="宋体" w:hAnsi="宋体"/>
          <w:color w:val="auto"/>
          <w:highlight w:val="none"/>
        </w:rPr>
        <w:t>标项</w:t>
      </w:r>
      <w:r>
        <w:rPr>
          <w:rFonts w:hint="eastAsia" w:ascii="宋体" w:hAnsi="宋体"/>
          <w:color w:val="auto"/>
          <w:highlight w:val="none"/>
        </w:rPr>
        <w:t>目的投</w:t>
      </w:r>
      <w:r>
        <w:rPr>
          <w:rFonts w:ascii="宋体" w:hAnsi="宋体"/>
          <w:color w:val="auto"/>
          <w:highlight w:val="none"/>
        </w:rPr>
        <w:t>标报价、签订</w:t>
      </w:r>
      <w:r>
        <w:rPr>
          <w:rFonts w:hint="eastAsia" w:ascii="宋体" w:hAnsi="宋体"/>
          <w:color w:val="auto"/>
          <w:highlight w:val="none"/>
        </w:rPr>
        <w:t>合同以及合同的</w:t>
      </w:r>
      <w:r>
        <w:rPr>
          <w:rFonts w:ascii="宋体" w:hAnsi="宋体"/>
          <w:color w:val="auto"/>
          <w:highlight w:val="none"/>
        </w:rPr>
        <w:t>执</w:t>
      </w:r>
      <w:r>
        <w:rPr>
          <w:rFonts w:hint="eastAsia" w:ascii="宋体" w:hAnsi="宋体"/>
          <w:color w:val="auto"/>
          <w:highlight w:val="none"/>
        </w:rPr>
        <w:t>行、完成、服</w:t>
      </w:r>
      <w:r>
        <w:rPr>
          <w:rFonts w:ascii="宋体" w:hAnsi="宋体"/>
          <w:color w:val="auto"/>
          <w:highlight w:val="none"/>
        </w:rPr>
        <w:t>务</w:t>
      </w:r>
      <w:r>
        <w:rPr>
          <w:rFonts w:hint="eastAsia" w:ascii="宋体" w:hAnsi="宋体"/>
          <w:color w:val="auto"/>
          <w:highlight w:val="none"/>
        </w:rPr>
        <w:t>和保修，以本公司名</w:t>
      </w:r>
      <w:r>
        <w:rPr>
          <w:rFonts w:ascii="宋体" w:hAnsi="宋体"/>
          <w:color w:val="auto"/>
          <w:highlight w:val="none"/>
        </w:rPr>
        <w:t>义处</w:t>
      </w:r>
      <w:r>
        <w:rPr>
          <w:rFonts w:hint="eastAsia" w:ascii="宋体" w:hAnsi="宋体"/>
          <w:color w:val="auto"/>
          <w:highlight w:val="none"/>
        </w:rPr>
        <w:t>理一切与之有</w:t>
      </w:r>
      <w:r>
        <w:rPr>
          <w:rFonts w:ascii="宋体" w:hAnsi="宋体"/>
          <w:color w:val="auto"/>
          <w:highlight w:val="none"/>
        </w:rPr>
        <w:t>关的</w:t>
      </w:r>
      <w:r>
        <w:rPr>
          <w:rFonts w:hint="eastAsia" w:ascii="宋体" w:hAnsi="宋体"/>
          <w:color w:val="auto"/>
          <w:highlight w:val="none"/>
        </w:rPr>
        <w:t>事</w:t>
      </w:r>
      <w:r>
        <w:rPr>
          <w:rFonts w:ascii="宋体" w:hAnsi="宋体"/>
          <w:color w:val="auto"/>
          <w:highlight w:val="none"/>
        </w:rPr>
        <w:t>务</w:t>
      </w:r>
      <w:r>
        <w:rPr>
          <w:rFonts w:hint="eastAsia" w:ascii="宋体" w:hAnsi="宋体"/>
          <w:color w:val="auto"/>
          <w:highlight w:val="none"/>
        </w:rPr>
        <w:t>。</w:t>
      </w:r>
    </w:p>
    <w:p w14:paraId="3C8F35B0">
      <w:pPr>
        <w:spacing w:line="480" w:lineRule="auto"/>
        <w:rPr>
          <w:rFonts w:ascii="宋体" w:hAnsi="宋体"/>
          <w:color w:val="auto"/>
          <w:highlight w:val="none"/>
        </w:rPr>
      </w:pPr>
      <w:r>
        <w:rPr>
          <w:rFonts w:hint="eastAsia" w:ascii="宋体" w:hAnsi="宋体"/>
          <w:color w:val="auto"/>
          <w:highlight w:val="none"/>
        </w:rPr>
        <w:t>本授</w:t>
      </w:r>
      <w:r>
        <w:rPr>
          <w:rFonts w:ascii="宋体" w:hAnsi="宋体"/>
          <w:color w:val="auto"/>
          <w:highlight w:val="none"/>
        </w:rPr>
        <w:t>权书</w:t>
      </w:r>
      <w:r>
        <w:rPr>
          <w:rFonts w:hint="eastAsia" w:ascii="宋体" w:hAnsi="宋体"/>
          <w:color w:val="auto"/>
          <w:highlight w:val="none"/>
        </w:rPr>
        <w:t>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ascii="宋体" w:hAnsi="宋体"/>
          <w:color w:val="auto"/>
          <w:highlight w:val="none"/>
        </w:rPr>
        <w:t>日签</w:t>
      </w:r>
      <w:r>
        <w:rPr>
          <w:rFonts w:hint="eastAsia" w:ascii="宋体" w:hAnsi="宋体"/>
          <w:color w:val="auto"/>
          <w:highlight w:val="none"/>
        </w:rPr>
        <w:t>字生效，</w:t>
      </w:r>
      <w:r>
        <w:rPr>
          <w:rFonts w:ascii="宋体" w:hAnsi="宋体"/>
          <w:color w:val="auto"/>
          <w:highlight w:val="none"/>
        </w:rPr>
        <w:t>无转</w:t>
      </w:r>
      <w:r>
        <w:rPr>
          <w:rFonts w:hint="eastAsia" w:ascii="宋体" w:hAnsi="宋体"/>
          <w:color w:val="auto"/>
          <w:highlight w:val="none"/>
        </w:rPr>
        <w:t>委</w:t>
      </w:r>
      <w:r>
        <w:rPr>
          <w:rFonts w:ascii="宋体" w:hAnsi="宋体"/>
          <w:color w:val="auto"/>
          <w:highlight w:val="none"/>
        </w:rPr>
        <w:t>权</w:t>
      </w:r>
      <w:r>
        <w:rPr>
          <w:rFonts w:hint="eastAsia" w:ascii="宋体" w:hAnsi="宋体"/>
          <w:color w:val="auto"/>
          <w:highlight w:val="none"/>
        </w:rPr>
        <w:t>，特此</w:t>
      </w:r>
      <w:r>
        <w:rPr>
          <w:rFonts w:ascii="宋体" w:hAnsi="宋体"/>
          <w:color w:val="auto"/>
          <w:highlight w:val="none"/>
        </w:rPr>
        <w:t>声</w:t>
      </w:r>
      <w:r>
        <w:rPr>
          <w:rFonts w:hint="eastAsia" w:ascii="宋体" w:hAnsi="宋体"/>
          <w:color w:val="auto"/>
          <w:highlight w:val="none"/>
        </w:rPr>
        <w:t>明。</w:t>
      </w:r>
    </w:p>
    <w:p w14:paraId="161312CF">
      <w:pPr>
        <w:spacing w:line="360" w:lineRule="auto"/>
        <w:rPr>
          <w:rFonts w:ascii="宋体" w:hAnsi="宋体"/>
          <w:color w:val="auto"/>
          <w:highlight w:val="none"/>
        </w:rPr>
      </w:pPr>
    </w:p>
    <w:p w14:paraId="044344EE">
      <w:pPr>
        <w:spacing w:line="360" w:lineRule="auto"/>
        <w:ind w:firstLine="420"/>
        <w:rPr>
          <w:rFonts w:ascii="宋体" w:hAnsi="宋体"/>
          <w:color w:val="auto"/>
          <w:szCs w:val="21"/>
          <w:highlight w:val="none"/>
        </w:rPr>
      </w:pPr>
      <w:r>
        <w:rPr>
          <w:rFonts w:hint="eastAsia"/>
          <w:color w:val="auto"/>
          <w:highlight w:val="none"/>
        </w:rPr>
        <w:t>投标人名称（盖章）</w:t>
      </w:r>
      <w:r>
        <w:rPr>
          <w:rFonts w:hint="eastAsia" w:ascii="宋体" w:hAnsi="宋体"/>
          <w:color w:val="auto"/>
          <w:szCs w:val="21"/>
          <w:highlight w:val="none"/>
          <w:u w:val="single"/>
        </w:rPr>
        <w:t xml:space="preserve">                                   </w:t>
      </w:r>
    </w:p>
    <w:p w14:paraId="793AC7FD">
      <w:pPr>
        <w:spacing w:line="360" w:lineRule="auto"/>
        <w:ind w:firstLine="420"/>
        <w:rPr>
          <w:rFonts w:ascii="宋体" w:hAnsi="宋体"/>
          <w:color w:val="auto"/>
          <w:szCs w:val="21"/>
          <w:highlight w:val="none"/>
        </w:rPr>
      </w:pPr>
      <w:r>
        <w:rPr>
          <w:rFonts w:hint="eastAsia" w:ascii="宋体" w:hAnsi="宋体"/>
          <w:color w:val="auto"/>
          <w:szCs w:val="21"/>
          <w:highlight w:val="none"/>
        </w:rPr>
        <w:t>法定代表人（签字或盖章）</w:t>
      </w:r>
      <w:r>
        <w:rPr>
          <w:rFonts w:hint="eastAsia" w:ascii="宋体" w:hAnsi="宋体"/>
          <w:color w:val="auto"/>
          <w:szCs w:val="21"/>
          <w:highlight w:val="none"/>
          <w:u w:val="single"/>
        </w:rPr>
        <w:t xml:space="preserve">                                 </w:t>
      </w:r>
    </w:p>
    <w:p w14:paraId="76B72B0E">
      <w:pPr>
        <w:spacing w:line="360" w:lineRule="auto"/>
        <w:ind w:firstLine="420"/>
        <w:rPr>
          <w:rFonts w:ascii="宋体" w:hAnsi="宋体"/>
          <w:color w:val="auto"/>
          <w:szCs w:val="21"/>
          <w:highlight w:val="none"/>
        </w:rPr>
      </w:pPr>
      <w:r>
        <w:rPr>
          <w:rFonts w:hint="eastAsia" w:ascii="宋体" w:hAnsi="宋体"/>
          <w:b/>
          <w:bCs/>
          <w:color w:val="auto"/>
          <w:szCs w:val="21"/>
          <w:highlight w:val="none"/>
        </w:rPr>
        <w:t>被授权人（签字）</w:t>
      </w:r>
      <w:r>
        <w:rPr>
          <w:rFonts w:hint="eastAsia" w:ascii="宋体" w:hAnsi="宋体"/>
          <w:color w:val="auto"/>
          <w:szCs w:val="21"/>
          <w:highlight w:val="none"/>
          <w:u w:val="single"/>
        </w:rPr>
        <w:t xml:space="preserve">                                         </w:t>
      </w:r>
    </w:p>
    <w:p w14:paraId="48781551">
      <w:pPr>
        <w:spacing w:line="360" w:lineRule="auto"/>
        <w:ind w:firstLine="420"/>
        <w:rPr>
          <w:rFonts w:ascii="宋体" w:hAnsi="宋体"/>
          <w:color w:val="auto"/>
          <w:szCs w:val="21"/>
          <w:highlight w:val="none"/>
        </w:r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p>
    <w:p w14:paraId="564D1C65">
      <w:pPr>
        <w:spacing w:line="360" w:lineRule="auto"/>
        <w:rPr>
          <w:rFonts w:ascii="宋体" w:hAnsi="宋体"/>
          <w:color w:val="auto"/>
          <w:highlight w:val="none"/>
        </w:rPr>
      </w:pPr>
    </w:p>
    <w:p w14:paraId="622C32A4">
      <w:pPr>
        <w:spacing w:line="360" w:lineRule="auto"/>
        <w:rPr>
          <w:rFonts w:ascii="宋体" w:hAnsi="宋体"/>
          <w:color w:val="auto"/>
          <w:highlight w:val="none"/>
        </w:rPr>
      </w:pPr>
      <w:r>
        <w:rPr>
          <w:rFonts w:hint="eastAsia" w:ascii="宋体" w:hAnsi="宋体"/>
          <w:color w:val="auto"/>
          <w:highlight w:val="none"/>
        </w:rPr>
        <w:t>附：</w:t>
      </w:r>
    </w:p>
    <w:p w14:paraId="6A5D8FD5">
      <w:pPr>
        <w:spacing w:line="360" w:lineRule="auto"/>
        <w:rPr>
          <w:rFonts w:ascii="宋体" w:hAnsi="宋体"/>
          <w:color w:val="auto"/>
          <w:szCs w:val="21"/>
          <w:highlight w:val="none"/>
        </w:rPr>
      </w:pPr>
      <w:r>
        <w:rPr>
          <w:rFonts w:hint="eastAsia" w:ascii="宋体" w:hAnsi="宋体"/>
          <w:color w:val="auto"/>
          <w:szCs w:val="21"/>
          <w:highlight w:val="none"/>
        </w:rPr>
        <w:t>全权代表姓名：</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性</w:t>
      </w:r>
      <w:r>
        <w:rPr>
          <w:rFonts w:ascii="宋体" w:hAnsi="宋体"/>
          <w:color w:val="auto"/>
          <w:szCs w:val="21"/>
          <w:highlight w:val="none"/>
        </w:rPr>
        <w:t>别</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w:t>
      </w:r>
      <w:r>
        <w:rPr>
          <w:rFonts w:ascii="宋体" w:hAnsi="宋体"/>
          <w:color w:val="auto"/>
          <w:szCs w:val="21"/>
          <w:highlight w:val="none"/>
        </w:rPr>
        <w:t>龄</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3613F199">
      <w:pPr>
        <w:spacing w:line="360" w:lineRule="auto"/>
        <w:rPr>
          <w:rFonts w:ascii="宋体" w:hAnsi="宋体"/>
          <w:color w:val="auto"/>
          <w:szCs w:val="21"/>
          <w:highlight w:val="none"/>
        </w:rPr>
      </w:pPr>
      <w:r>
        <w:rPr>
          <w:rFonts w:ascii="宋体" w:hAnsi="宋体"/>
          <w:color w:val="auto"/>
          <w:szCs w:val="21"/>
          <w:highlight w:val="none"/>
        </w:rPr>
        <w:t>部门</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职务</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联系电话：</w:t>
      </w:r>
      <w:r>
        <w:rPr>
          <w:rFonts w:hint="eastAsia" w:ascii="宋体" w:hAnsi="宋体"/>
          <w:color w:val="auto"/>
          <w:szCs w:val="21"/>
          <w:highlight w:val="none"/>
          <w:u w:val="single"/>
        </w:rPr>
        <w:t xml:space="preserve">               </w:t>
      </w:r>
    </w:p>
    <w:p w14:paraId="34915808">
      <w:pPr>
        <w:spacing w:line="360" w:lineRule="auto"/>
        <w:rPr>
          <w:rFonts w:ascii="宋体" w:hAnsi="宋体"/>
          <w:color w:val="auto"/>
          <w:highlight w:val="none"/>
        </w:rPr>
      </w:pPr>
    </w:p>
    <w:p w14:paraId="4D833D89">
      <w:pPr>
        <w:spacing w:line="360" w:lineRule="auto"/>
        <w:rPr>
          <w:rFonts w:ascii="宋体" w:hAnsi="宋体"/>
          <w:color w:val="auto"/>
          <w:highlight w:val="none"/>
        </w:rPr>
      </w:pPr>
    </w:p>
    <w:p w14:paraId="6C78933B">
      <w:pPr>
        <w:spacing w:line="360" w:lineRule="auto"/>
        <w:rPr>
          <w:rFonts w:ascii="宋体" w:hAnsi="宋体"/>
          <w:color w:val="auto"/>
          <w:highlight w:val="none"/>
        </w:rPr>
      </w:pPr>
    </w:p>
    <w:p w14:paraId="7230A78D">
      <w:pPr>
        <w:spacing w:line="360" w:lineRule="auto"/>
        <w:rPr>
          <w:rFonts w:ascii="宋体" w:hAnsi="宋体"/>
          <w:color w:val="auto"/>
          <w:highlight w:val="none"/>
        </w:rPr>
      </w:pPr>
    </w:p>
    <w:p w14:paraId="46F17A62">
      <w:pPr>
        <w:jc w:val="center"/>
        <w:rPr>
          <w:rFonts w:hint="eastAsia"/>
          <w:b/>
          <w:color w:val="auto"/>
          <w:highlight w:val="none"/>
          <w:u w:val="single"/>
        </w:rPr>
      </w:pPr>
      <w:r>
        <w:rPr>
          <w:rFonts w:hint="eastAsia"/>
          <w:b/>
          <w:color w:val="auto"/>
          <w:highlight w:val="none"/>
          <w:u w:val="single"/>
        </w:rPr>
        <w:t>（</w:t>
      </w:r>
      <w:r>
        <w:rPr>
          <w:rFonts w:hint="eastAsia" w:ascii="宋体" w:hAnsi="宋体" w:cs="宋体"/>
          <w:b/>
          <w:color w:val="auto"/>
          <w:highlight w:val="none"/>
          <w:u w:val="single"/>
        </w:rPr>
        <w:t>※</w:t>
      </w:r>
      <w:r>
        <w:rPr>
          <w:rFonts w:hint="eastAsia"/>
          <w:b/>
          <w:color w:val="auto"/>
          <w:highlight w:val="none"/>
          <w:u w:val="single"/>
        </w:rPr>
        <w:t xml:space="preserve"> 此</w:t>
      </w:r>
      <w:r>
        <w:rPr>
          <w:b/>
          <w:color w:val="auto"/>
          <w:highlight w:val="none"/>
          <w:u w:val="single"/>
        </w:rPr>
        <w:t>处</w:t>
      </w:r>
      <w:r>
        <w:rPr>
          <w:rFonts w:hint="eastAsia"/>
          <w:b/>
          <w:color w:val="auto"/>
          <w:highlight w:val="none"/>
          <w:u w:val="single"/>
        </w:rPr>
        <w:t>附全权代表身份</w:t>
      </w:r>
      <w:r>
        <w:rPr>
          <w:b/>
          <w:color w:val="auto"/>
          <w:highlight w:val="none"/>
          <w:u w:val="single"/>
        </w:rPr>
        <w:t>证复</w:t>
      </w:r>
      <w:r>
        <w:rPr>
          <w:rFonts w:hint="eastAsia"/>
          <w:b/>
          <w:color w:val="auto"/>
          <w:highlight w:val="none"/>
          <w:u w:val="single"/>
        </w:rPr>
        <w:t>印件（正反两面）</w:t>
      </w:r>
      <w:r>
        <w:rPr>
          <w:rFonts w:hint="eastAsia" w:ascii="宋体" w:hAnsi="宋体" w:cs="宋体"/>
          <w:b/>
          <w:color w:val="auto"/>
          <w:highlight w:val="none"/>
          <w:u w:val="single"/>
        </w:rPr>
        <w:t>※</w:t>
      </w:r>
      <w:r>
        <w:rPr>
          <w:rFonts w:hint="eastAsia"/>
          <w:b/>
          <w:color w:val="auto"/>
          <w:highlight w:val="none"/>
          <w:u w:val="single"/>
        </w:rPr>
        <w:t>）</w:t>
      </w:r>
    </w:p>
    <w:p w14:paraId="62C6C8C4">
      <w:pPr>
        <w:numPr>
          <w:ilvl w:val="0"/>
          <w:numId w:val="0"/>
        </w:numPr>
        <w:tabs>
          <w:tab w:val="left" w:pos="576"/>
        </w:tabs>
        <w:ind w:leftChars="0"/>
        <w:jc w:val="center"/>
        <w:outlineLvl w:val="9"/>
        <w:rPr>
          <w:rFonts w:hint="eastAsia" w:ascii="Times New Roman" w:hAnsi="Times New Roman" w:eastAsia="宋体" w:cs="Times New Roman"/>
          <w:b/>
          <w:bCs w:val="0"/>
          <w:color w:val="auto"/>
          <w:kern w:val="2"/>
          <w:sz w:val="21"/>
          <w:szCs w:val="22"/>
          <w:highlight w:val="none"/>
          <w:u w:val="single"/>
          <w:lang w:val="en-US" w:eastAsia="zh-CN" w:bidi="ar-SA"/>
        </w:rPr>
      </w:pPr>
      <w:r>
        <w:rPr>
          <w:rFonts w:hint="eastAsia" w:ascii="Times New Roman" w:hAnsi="Times New Roman" w:eastAsia="宋体" w:cs="Times New Roman"/>
          <w:b/>
          <w:bCs w:val="0"/>
          <w:color w:val="auto"/>
          <w:kern w:val="2"/>
          <w:sz w:val="21"/>
          <w:szCs w:val="22"/>
          <w:highlight w:val="none"/>
          <w:u w:val="single"/>
          <w:lang w:val="en-US" w:eastAsia="zh-CN" w:bidi="ar-SA"/>
        </w:rPr>
        <w:t>（※ 此处附法定代表人身份证复印件（正反两面）※）</w:t>
      </w:r>
    </w:p>
    <w:p w14:paraId="737DFB2D">
      <w:pPr>
        <w:spacing w:line="360" w:lineRule="auto"/>
        <w:rPr>
          <w:rFonts w:ascii="宋体" w:hAnsi="宋体"/>
          <w:color w:val="auto"/>
          <w:highlight w:val="none"/>
        </w:rPr>
      </w:pPr>
    </w:p>
    <w:p w14:paraId="1E4EBB0E">
      <w:pPr>
        <w:spacing w:line="360" w:lineRule="auto"/>
        <w:rPr>
          <w:rFonts w:ascii="宋体" w:hAnsi="宋体"/>
          <w:color w:val="auto"/>
          <w:highlight w:val="none"/>
        </w:rPr>
      </w:pPr>
    </w:p>
    <w:p w14:paraId="1E232040">
      <w:pPr>
        <w:spacing w:line="360" w:lineRule="auto"/>
        <w:rPr>
          <w:rFonts w:ascii="宋体" w:hAnsi="宋体"/>
          <w:color w:val="auto"/>
          <w:highlight w:val="none"/>
        </w:rPr>
      </w:pPr>
    </w:p>
    <w:p w14:paraId="519523C1">
      <w:pPr>
        <w:spacing w:line="360" w:lineRule="auto"/>
        <w:rPr>
          <w:rFonts w:ascii="宋体" w:hAnsi="宋体"/>
          <w:color w:val="auto"/>
          <w:highlight w:val="none"/>
        </w:rPr>
      </w:pPr>
      <w:r>
        <w:rPr>
          <w:rFonts w:ascii="宋体" w:hAnsi="宋体"/>
          <w:color w:val="auto"/>
          <w:highlight w:val="none"/>
        </w:rPr>
        <w:br w:type="page"/>
      </w:r>
    </w:p>
    <w:p w14:paraId="67484E03">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技术条款偏离表</w:t>
      </w:r>
    </w:p>
    <w:p w14:paraId="78401671">
      <w:pPr>
        <w:spacing w:before="120" w:beforeLines="50" w:after="240" w:afterLines="100"/>
        <w:rPr>
          <w:rFonts w:ascii="宋体" w:hAnsi="宋体"/>
          <w:b/>
          <w:bCs/>
          <w:color w:val="auto"/>
          <w:spacing w:val="20"/>
          <w:szCs w:val="21"/>
          <w:highlight w:val="none"/>
          <w:u w:val="single"/>
        </w:rPr>
      </w:pPr>
      <w:r>
        <w:rPr>
          <w:rFonts w:hint="eastAsia" w:ascii="宋体" w:hAnsi="宋体"/>
          <w:color w:val="auto"/>
          <w:szCs w:val="21"/>
          <w:highlight w:val="none"/>
        </w:rPr>
        <w:t>项目编号：</w:t>
      </w:r>
      <w:r>
        <w:rPr>
          <w:rFonts w:hint="eastAsia" w:ascii="宋体" w:hAnsi="宋体"/>
          <w:b/>
          <w:bCs/>
          <w:color w:val="auto"/>
          <w:spacing w:val="20"/>
          <w:szCs w:val="21"/>
          <w:highlight w:val="none"/>
          <w:u w:val="single"/>
        </w:rPr>
        <w:t xml:space="preserve">                      </w:t>
      </w:r>
    </w:p>
    <w:tbl>
      <w:tblPr>
        <w:tblStyle w:val="28"/>
        <w:tblW w:w="9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680"/>
        <w:gridCol w:w="2530"/>
        <w:gridCol w:w="1950"/>
        <w:gridCol w:w="1776"/>
      </w:tblGrid>
      <w:tr w14:paraId="5C2F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14:paraId="1E9A3E01">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680" w:type="dxa"/>
            <w:noWrap w:val="0"/>
            <w:vAlign w:val="center"/>
          </w:tcPr>
          <w:p w14:paraId="27EDA618">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招标文件技术要求</w:t>
            </w:r>
          </w:p>
        </w:tc>
        <w:tc>
          <w:tcPr>
            <w:tcW w:w="2530" w:type="dxa"/>
            <w:noWrap w:val="0"/>
            <w:vAlign w:val="center"/>
          </w:tcPr>
          <w:p w14:paraId="49742A32">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投标文件对应技术</w:t>
            </w:r>
          </w:p>
        </w:tc>
        <w:tc>
          <w:tcPr>
            <w:tcW w:w="1950" w:type="dxa"/>
            <w:noWrap w:val="0"/>
            <w:vAlign w:val="center"/>
          </w:tcPr>
          <w:p w14:paraId="165BA484">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偏离情况</w:t>
            </w:r>
          </w:p>
        </w:tc>
        <w:tc>
          <w:tcPr>
            <w:tcW w:w="1776" w:type="dxa"/>
            <w:noWrap w:val="0"/>
            <w:vAlign w:val="center"/>
          </w:tcPr>
          <w:p w14:paraId="1220F853">
            <w:pPr>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证明文件页码</w:t>
            </w:r>
          </w:p>
          <w:p w14:paraId="002DDE8D">
            <w:pPr>
              <w:jc w:val="center"/>
              <w:rPr>
                <w:rFonts w:hint="eastAsia" w:ascii="宋体" w:hAnsi="宋体" w:cs="宋体"/>
                <w:b/>
                <w:bCs/>
                <w:color w:val="auto"/>
                <w:kern w:val="0"/>
                <w:szCs w:val="21"/>
                <w:highlight w:val="none"/>
              </w:rPr>
            </w:pPr>
            <w:r>
              <w:rPr>
                <w:rFonts w:hint="eastAsia" w:ascii="宋体" w:hAnsi="宋体" w:eastAsia="宋体" w:cs="宋体"/>
                <w:b/>
                <w:bCs/>
                <w:color w:val="auto"/>
                <w:kern w:val="0"/>
                <w:szCs w:val="21"/>
                <w:highlight w:val="none"/>
              </w:rPr>
              <w:t>（如有）</w:t>
            </w:r>
          </w:p>
        </w:tc>
      </w:tr>
      <w:tr w14:paraId="7BD4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04A9DC81">
            <w:pPr>
              <w:jc w:val="center"/>
              <w:rPr>
                <w:rFonts w:ascii="宋体" w:hAnsi="宋体"/>
                <w:color w:val="auto"/>
                <w:szCs w:val="21"/>
                <w:highlight w:val="none"/>
              </w:rPr>
            </w:pPr>
          </w:p>
        </w:tc>
        <w:tc>
          <w:tcPr>
            <w:tcW w:w="2680" w:type="dxa"/>
            <w:noWrap w:val="0"/>
            <w:vAlign w:val="center"/>
          </w:tcPr>
          <w:p w14:paraId="32890A18">
            <w:pPr>
              <w:rPr>
                <w:rFonts w:ascii="宋体" w:hAnsi="宋体"/>
                <w:color w:val="auto"/>
                <w:sz w:val="18"/>
                <w:szCs w:val="18"/>
                <w:highlight w:val="none"/>
              </w:rPr>
            </w:pPr>
          </w:p>
        </w:tc>
        <w:tc>
          <w:tcPr>
            <w:tcW w:w="2530" w:type="dxa"/>
            <w:noWrap w:val="0"/>
            <w:vAlign w:val="center"/>
          </w:tcPr>
          <w:p w14:paraId="4FC4CB7C">
            <w:pPr>
              <w:rPr>
                <w:rFonts w:ascii="宋体" w:hAnsi="宋体"/>
                <w:color w:val="auto"/>
                <w:sz w:val="18"/>
                <w:szCs w:val="18"/>
                <w:highlight w:val="none"/>
              </w:rPr>
            </w:pPr>
          </w:p>
        </w:tc>
        <w:tc>
          <w:tcPr>
            <w:tcW w:w="1950" w:type="dxa"/>
            <w:noWrap w:val="0"/>
            <w:vAlign w:val="center"/>
          </w:tcPr>
          <w:p w14:paraId="2AAD2712">
            <w:pPr>
              <w:rPr>
                <w:rFonts w:ascii="宋体" w:hAnsi="宋体"/>
                <w:color w:val="auto"/>
                <w:sz w:val="18"/>
                <w:szCs w:val="18"/>
                <w:highlight w:val="none"/>
              </w:rPr>
            </w:pPr>
          </w:p>
        </w:tc>
        <w:tc>
          <w:tcPr>
            <w:tcW w:w="1776" w:type="dxa"/>
            <w:noWrap w:val="0"/>
            <w:vAlign w:val="center"/>
          </w:tcPr>
          <w:p w14:paraId="2D444846">
            <w:pPr>
              <w:rPr>
                <w:rFonts w:ascii="宋体" w:hAnsi="宋体"/>
                <w:color w:val="auto"/>
                <w:sz w:val="18"/>
                <w:szCs w:val="18"/>
                <w:highlight w:val="none"/>
              </w:rPr>
            </w:pPr>
          </w:p>
        </w:tc>
      </w:tr>
      <w:tr w14:paraId="184C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1B0B7479">
            <w:pPr>
              <w:jc w:val="center"/>
              <w:rPr>
                <w:rFonts w:ascii="宋体" w:hAnsi="宋体"/>
                <w:color w:val="auto"/>
                <w:szCs w:val="21"/>
                <w:highlight w:val="none"/>
              </w:rPr>
            </w:pPr>
          </w:p>
        </w:tc>
        <w:tc>
          <w:tcPr>
            <w:tcW w:w="2680" w:type="dxa"/>
            <w:noWrap w:val="0"/>
            <w:vAlign w:val="center"/>
          </w:tcPr>
          <w:p w14:paraId="4171D6AC">
            <w:pPr>
              <w:rPr>
                <w:rFonts w:ascii="宋体" w:hAnsi="宋体"/>
                <w:color w:val="auto"/>
                <w:sz w:val="18"/>
                <w:szCs w:val="18"/>
                <w:highlight w:val="none"/>
              </w:rPr>
            </w:pPr>
          </w:p>
        </w:tc>
        <w:tc>
          <w:tcPr>
            <w:tcW w:w="2530" w:type="dxa"/>
            <w:noWrap w:val="0"/>
            <w:vAlign w:val="center"/>
          </w:tcPr>
          <w:p w14:paraId="571A6BF5">
            <w:pPr>
              <w:rPr>
                <w:rFonts w:ascii="宋体" w:hAnsi="宋体"/>
                <w:color w:val="auto"/>
                <w:sz w:val="18"/>
                <w:szCs w:val="18"/>
                <w:highlight w:val="none"/>
              </w:rPr>
            </w:pPr>
          </w:p>
        </w:tc>
        <w:tc>
          <w:tcPr>
            <w:tcW w:w="1950" w:type="dxa"/>
            <w:noWrap w:val="0"/>
            <w:vAlign w:val="center"/>
          </w:tcPr>
          <w:p w14:paraId="6EB938F5">
            <w:pPr>
              <w:rPr>
                <w:rFonts w:ascii="宋体" w:hAnsi="宋体"/>
                <w:color w:val="auto"/>
                <w:sz w:val="18"/>
                <w:szCs w:val="18"/>
                <w:highlight w:val="none"/>
              </w:rPr>
            </w:pPr>
          </w:p>
        </w:tc>
        <w:tc>
          <w:tcPr>
            <w:tcW w:w="1776" w:type="dxa"/>
            <w:noWrap w:val="0"/>
            <w:vAlign w:val="center"/>
          </w:tcPr>
          <w:p w14:paraId="7BCBA948">
            <w:pPr>
              <w:rPr>
                <w:rFonts w:ascii="宋体" w:hAnsi="宋体"/>
                <w:color w:val="auto"/>
                <w:sz w:val="18"/>
                <w:szCs w:val="18"/>
                <w:highlight w:val="none"/>
              </w:rPr>
            </w:pPr>
          </w:p>
        </w:tc>
      </w:tr>
      <w:tr w14:paraId="1C74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2CFC995D">
            <w:pPr>
              <w:jc w:val="center"/>
              <w:rPr>
                <w:rFonts w:ascii="宋体" w:hAnsi="宋体"/>
                <w:color w:val="auto"/>
                <w:szCs w:val="21"/>
                <w:highlight w:val="none"/>
              </w:rPr>
            </w:pPr>
          </w:p>
        </w:tc>
        <w:tc>
          <w:tcPr>
            <w:tcW w:w="2680" w:type="dxa"/>
            <w:noWrap w:val="0"/>
            <w:vAlign w:val="center"/>
          </w:tcPr>
          <w:p w14:paraId="5D350E64">
            <w:pPr>
              <w:rPr>
                <w:rFonts w:ascii="宋体" w:hAnsi="宋体"/>
                <w:color w:val="auto"/>
                <w:sz w:val="18"/>
                <w:szCs w:val="18"/>
                <w:highlight w:val="none"/>
              </w:rPr>
            </w:pPr>
          </w:p>
        </w:tc>
        <w:tc>
          <w:tcPr>
            <w:tcW w:w="2530" w:type="dxa"/>
            <w:noWrap w:val="0"/>
            <w:vAlign w:val="center"/>
          </w:tcPr>
          <w:p w14:paraId="469BFF13">
            <w:pPr>
              <w:rPr>
                <w:rFonts w:ascii="宋体" w:hAnsi="宋体"/>
                <w:color w:val="auto"/>
                <w:sz w:val="18"/>
                <w:szCs w:val="18"/>
                <w:highlight w:val="none"/>
              </w:rPr>
            </w:pPr>
          </w:p>
        </w:tc>
        <w:tc>
          <w:tcPr>
            <w:tcW w:w="1950" w:type="dxa"/>
            <w:noWrap w:val="0"/>
            <w:vAlign w:val="center"/>
          </w:tcPr>
          <w:p w14:paraId="2F423462">
            <w:pPr>
              <w:rPr>
                <w:rFonts w:ascii="宋体" w:hAnsi="宋体"/>
                <w:color w:val="auto"/>
                <w:sz w:val="18"/>
                <w:szCs w:val="18"/>
                <w:highlight w:val="none"/>
              </w:rPr>
            </w:pPr>
          </w:p>
        </w:tc>
        <w:tc>
          <w:tcPr>
            <w:tcW w:w="1776" w:type="dxa"/>
            <w:noWrap w:val="0"/>
            <w:vAlign w:val="center"/>
          </w:tcPr>
          <w:p w14:paraId="43387F31">
            <w:pPr>
              <w:rPr>
                <w:rFonts w:ascii="宋体" w:hAnsi="宋体"/>
                <w:color w:val="auto"/>
                <w:sz w:val="18"/>
                <w:szCs w:val="18"/>
                <w:highlight w:val="none"/>
              </w:rPr>
            </w:pPr>
          </w:p>
        </w:tc>
      </w:tr>
      <w:tr w14:paraId="59B6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5F64A884">
            <w:pPr>
              <w:jc w:val="center"/>
              <w:rPr>
                <w:rFonts w:ascii="宋体" w:hAnsi="宋体"/>
                <w:color w:val="auto"/>
                <w:szCs w:val="21"/>
                <w:highlight w:val="none"/>
              </w:rPr>
            </w:pPr>
          </w:p>
        </w:tc>
        <w:tc>
          <w:tcPr>
            <w:tcW w:w="2680" w:type="dxa"/>
            <w:noWrap w:val="0"/>
            <w:vAlign w:val="center"/>
          </w:tcPr>
          <w:p w14:paraId="3BDDBE87">
            <w:pPr>
              <w:rPr>
                <w:rFonts w:ascii="宋体" w:hAnsi="宋体"/>
                <w:color w:val="auto"/>
                <w:sz w:val="18"/>
                <w:szCs w:val="18"/>
                <w:highlight w:val="none"/>
              </w:rPr>
            </w:pPr>
          </w:p>
        </w:tc>
        <w:tc>
          <w:tcPr>
            <w:tcW w:w="2530" w:type="dxa"/>
            <w:noWrap w:val="0"/>
            <w:vAlign w:val="center"/>
          </w:tcPr>
          <w:p w14:paraId="5AD1C1FC">
            <w:pPr>
              <w:rPr>
                <w:rFonts w:ascii="宋体" w:hAnsi="宋体"/>
                <w:color w:val="auto"/>
                <w:sz w:val="18"/>
                <w:szCs w:val="18"/>
                <w:highlight w:val="none"/>
              </w:rPr>
            </w:pPr>
          </w:p>
        </w:tc>
        <w:tc>
          <w:tcPr>
            <w:tcW w:w="1950" w:type="dxa"/>
            <w:noWrap w:val="0"/>
            <w:vAlign w:val="center"/>
          </w:tcPr>
          <w:p w14:paraId="67C57E13">
            <w:pPr>
              <w:rPr>
                <w:rFonts w:ascii="宋体" w:hAnsi="宋体"/>
                <w:color w:val="auto"/>
                <w:sz w:val="18"/>
                <w:szCs w:val="18"/>
                <w:highlight w:val="none"/>
              </w:rPr>
            </w:pPr>
          </w:p>
        </w:tc>
        <w:tc>
          <w:tcPr>
            <w:tcW w:w="1776" w:type="dxa"/>
            <w:noWrap w:val="0"/>
            <w:vAlign w:val="center"/>
          </w:tcPr>
          <w:p w14:paraId="7CA00607">
            <w:pPr>
              <w:rPr>
                <w:rFonts w:ascii="宋体" w:hAnsi="宋体"/>
                <w:color w:val="auto"/>
                <w:sz w:val="18"/>
                <w:szCs w:val="18"/>
                <w:highlight w:val="none"/>
              </w:rPr>
            </w:pPr>
          </w:p>
        </w:tc>
      </w:tr>
      <w:tr w14:paraId="3D9E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3A3B9424">
            <w:pPr>
              <w:jc w:val="center"/>
              <w:rPr>
                <w:rFonts w:ascii="宋体" w:hAnsi="宋体"/>
                <w:color w:val="auto"/>
                <w:szCs w:val="21"/>
                <w:highlight w:val="none"/>
              </w:rPr>
            </w:pPr>
          </w:p>
        </w:tc>
        <w:tc>
          <w:tcPr>
            <w:tcW w:w="2680" w:type="dxa"/>
            <w:noWrap w:val="0"/>
            <w:vAlign w:val="center"/>
          </w:tcPr>
          <w:p w14:paraId="2EA997E8">
            <w:pPr>
              <w:rPr>
                <w:rFonts w:ascii="宋体" w:hAnsi="宋体"/>
                <w:color w:val="auto"/>
                <w:sz w:val="18"/>
                <w:szCs w:val="18"/>
                <w:highlight w:val="none"/>
              </w:rPr>
            </w:pPr>
          </w:p>
        </w:tc>
        <w:tc>
          <w:tcPr>
            <w:tcW w:w="2530" w:type="dxa"/>
            <w:noWrap w:val="0"/>
            <w:vAlign w:val="center"/>
          </w:tcPr>
          <w:p w14:paraId="14349731">
            <w:pPr>
              <w:rPr>
                <w:rFonts w:ascii="宋体" w:hAnsi="宋体"/>
                <w:color w:val="auto"/>
                <w:sz w:val="18"/>
                <w:szCs w:val="18"/>
                <w:highlight w:val="none"/>
              </w:rPr>
            </w:pPr>
          </w:p>
        </w:tc>
        <w:tc>
          <w:tcPr>
            <w:tcW w:w="1950" w:type="dxa"/>
            <w:noWrap w:val="0"/>
            <w:vAlign w:val="center"/>
          </w:tcPr>
          <w:p w14:paraId="50404BB5">
            <w:pPr>
              <w:rPr>
                <w:rFonts w:ascii="宋体" w:hAnsi="宋体"/>
                <w:color w:val="auto"/>
                <w:sz w:val="18"/>
                <w:szCs w:val="18"/>
                <w:highlight w:val="none"/>
              </w:rPr>
            </w:pPr>
          </w:p>
        </w:tc>
        <w:tc>
          <w:tcPr>
            <w:tcW w:w="1776" w:type="dxa"/>
            <w:noWrap w:val="0"/>
            <w:vAlign w:val="center"/>
          </w:tcPr>
          <w:p w14:paraId="71FC092E">
            <w:pPr>
              <w:rPr>
                <w:rFonts w:ascii="宋体" w:hAnsi="宋体"/>
                <w:color w:val="auto"/>
                <w:sz w:val="18"/>
                <w:szCs w:val="18"/>
                <w:highlight w:val="none"/>
              </w:rPr>
            </w:pPr>
          </w:p>
        </w:tc>
      </w:tr>
      <w:tr w14:paraId="2B7B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10A7B4B7">
            <w:pPr>
              <w:jc w:val="center"/>
              <w:rPr>
                <w:rFonts w:ascii="宋体" w:hAnsi="宋体"/>
                <w:color w:val="auto"/>
                <w:szCs w:val="21"/>
                <w:highlight w:val="none"/>
              </w:rPr>
            </w:pPr>
          </w:p>
        </w:tc>
        <w:tc>
          <w:tcPr>
            <w:tcW w:w="2680" w:type="dxa"/>
            <w:noWrap w:val="0"/>
            <w:vAlign w:val="center"/>
          </w:tcPr>
          <w:p w14:paraId="24FA209B">
            <w:pPr>
              <w:rPr>
                <w:rFonts w:ascii="宋体" w:hAnsi="宋体"/>
                <w:color w:val="auto"/>
                <w:sz w:val="18"/>
                <w:szCs w:val="18"/>
                <w:highlight w:val="none"/>
              </w:rPr>
            </w:pPr>
          </w:p>
        </w:tc>
        <w:tc>
          <w:tcPr>
            <w:tcW w:w="2530" w:type="dxa"/>
            <w:noWrap w:val="0"/>
            <w:vAlign w:val="center"/>
          </w:tcPr>
          <w:p w14:paraId="414E021A">
            <w:pPr>
              <w:rPr>
                <w:rFonts w:ascii="宋体" w:hAnsi="宋体"/>
                <w:color w:val="auto"/>
                <w:sz w:val="18"/>
                <w:szCs w:val="18"/>
                <w:highlight w:val="none"/>
              </w:rPr>
            </w:pPr>
          </w:p>
        </w:tc>
        <w:tc>
          <w:tcPr>
            <w:tcW w:w="1950" w:type="dxa"/>
            <w:noWrap w:val="0"/>
            <w:vAlign w:val="center"/>
          </w:tcPr>
          <w:p w14:paraId="54BCBB40">
            <w:pPr>
              <w:rPr>
                <w:rFonts w:ascii="宋体" w:hAnsi="宋体"/>
                <w:color w:val="auto"/>
                <w:sz w:val="18"/>
                <w:szCs w:val="18"/>
                <w:highlight w:val="none"/>
              </w:rPr>
            </w:pPr>
          </w:p>
        </w:tc>
        <w:tc>
          <w:tcPr>
            <w:tcW w:w="1776" w:type="dxa"/>
            <w:noWrap w:val="0"/>
            <w:vAlign w:val="center"/>
          </w:tcPr>
          <w:p w14:paraId="11A7DCD7">
            <w:pPr>
              <w:rPr>
                <w:rFonts w:ascii="宋体" w:hAnsi="宋体"/>
                <w:color w:val="auto"/>
                <w:sz w:val="18"/>
                <w:szCs w:val="18"/>
                <w:highlight w:val="none"/>
              </w:rPr>
            </w:pPr>
          </w:p>
        </w:tc>
      </w:tr>
      <w:tr w14:paraId="754D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69CAA3AB">
            <w:pPr>
              <w:jc w:val="center"/>
              <w:rPr>
                <w:rFonts w:ascii="宋体" w:hAnsi="宋体"/>
                <w:color w:val="auto"/>
                <w:szCs w:val="21"/>
                <w:highlight w:val="none"/>
              </w:rPr>
            </w:pPr>
          </w:p>
        </w:tc>
        <w:tc>
          <w:tcPr>
            <w:tcW w:w="2680" w:type="dxa"/>
            <w:noWrap w:val="0"/>
            <w:vAlign w:val="center"/>
          </w:tcPr>
          <w:p w14:paraId="1FCECD9A">
            <w:pPr>
              <w:rPr>
                <w:rFonts w:ascii="宋体" w:hAnsi="宋体"/>
                <w:color w:val="auto"/>
                <w:sz w:val="18"/>
                <w:szCs w:val="18"/>
                <w:highlight w:val="none"/>
              </w:rPr>
            </w:pPr>
          </w:p>
        </w:tc>
        <w:tc>
          <w:tcPr>
            <w:tcW w:w="2530" w:type="dxa"/>
            <w:noWrap w:val="0"/>
            <w:vAlign w:val="center"/>
          </w:tcPr>
          <w:p w14:paraId="690B902E">
            <w:pPr>
              <w:rPr>
                <w:rFonts w:ascii="宋体" w:hAnsi="宋体"/>
                <w:color w:val="auto"/>
                <w:sz w:val="18"/>
                <w:szCs w:val="18"/>
                <w:highlight w:val="none"/>
              </w:rPr>
            </w:pPr>
          </w:p>
        </w:tc>
        <w:tc>
          <w:tcPr>
            <w:tcW w:w="1950" w:type="dxa"/>
            <w:noWrap w:val="0"/>
            <w:vAlign w:val="center"/>
          </w:tcPr>
          <w:p w14:paraId="6EAE7457">
            <w:pPr>
              <w:rPr>
                <w:rFonts w:ascii="宋体" w:hAnsi="宋体"/>
                <w:color w:val="auto"/>
                <w:sz w:val="18"/>
                <w:szCs w:val="18"/>
                <w:highlight w:val="none"/>
              </w:rPr>
            </w:pPr>
          </w:p>
        </w:tc>
        <w:tc>
          <w:tcPr>
            <w:tcW w:w="1776" w:type="dxa"/>
            <w:noWrap w:val="0"/>
            <w:vAlign w:val="center"/>
          </w:tcPr>
          <w:p w14:paraId="030C57A7">
            <w:pPr>
              <w:rPr>
                <w:rFonts w:ascii="宋体" w:hAnsi="宋体"/>
                <w:color w:val="auto"/>
                <w:sz w:val="18"/>
                <w:szCs w:val="18"/>
                <w:highlight w:val="none"/>
              </w:rPr>
            </w:pPr>
          </w:p>
        </w:tc>
      </w:tr>
    </w:tbl>
    <w:p w14:paraId="5E923202">
      <w:pPr>
        <w:spacing w:line="360" w:lineRule="auto"/>
        <w:rPr>
          <w:rFonts w:hint="eastAsia"/>
          <w:b/>
          <w:color w:val="auto"/>
          <w:highlight w:val="none"/>
        </w:rPr>
      </w:pPr>
    </w:p>
    <w:p w14:paraId="65EAA042">
      <w:pPr>
        <w:spacing w:line="360" w:lineRule="exact"/>
        <w:rPr>
          <w:rFonts w:ascii="宋体" w:hAnsi="宋体"/>
          <w:b/>
          <w:color w:val="auto"/>
          <w:szCs w:val="21"/>
          <w:highlight w:val="none"/>
        </w:rPr>
      </w:pPr>
      <w:r>
        <w:rPr>
          <w:rFonts w:hint="eastAsia" w:ascii="宋体" w:hAnsi="宋体"/>
          <w:b/>
          <w:color w:val="auto"/>
          <w:szCs w:val="21"/>
          <w:highlight w:val="none"/>
        </w:rPr>
        <w:t>说明：</w:t>
      </w:r>
    </w:p>
    <w:p w14:paraId="631D294B">
      <w:pPr>
        <w:pStyle w:val="10"/>
        <w:numPr>
          <w:ilvl w:val="0"/>
          <w:numId w:val="13"/>
        </w:numPr>
        <w:spacing w:line="360" w:lineRule="exact"/>
        <w:ind w:firstLine="0"/>
        <w:rPr>
          <w:rFonts w:hAnsi="宋体"/>
          <w:color w:val="auto"/>
          <w:szCs w:val="21"/>
          <w:highlight w:val="none"/>
        </w:rPr>
      </w:pPr>
      <w:r>
        <w:rPr>
          <w:rFonts w:hint="eastAsia"/>
          <w:color w:val="auto"/>
          <w:highlight w:val="none"/>
        </w:rPr>
        <w:t>招标文件要求提供承诺书或证明资料的，必须提供相关依据，否则不予认可</w:t>
      </w:r>
      <w:r>
        <w:rPr>
          <w:rFonts w:hint="eastAsia" w:hAnsi="宋体"/>
          <w:color w:val="auto"/>
          <w:szCs w:val="21"/>
          <w:highlight w:val="none"/>
        </w:rPr>
        <w:t>。</w:t>
      </w:r>
    </w:p>
    <w:p w14:paraId="45D8D1B0">
      <w:pPr>
        <w:textAlignment w:val="baseline"/>
        <w:rPr>
          <w:color w:val="auto"/>
          <w:sz w:val="20"/>
          <w:highlight w:val="none"/>
        </w:rPr>
      </w:pPr>
      <w:r>
        <w:rPr>
          <w:rFonts w:hint="eastAsia" w:hAnsi="宋体"/>
          <w:color w:val="auto"/>
          <w:szCs w:val="21"/>
          <w:highlight w:val="none"/>
          <w:lang w:val="en-US" w:eastAsia="zh-CN"/>
        </w:rPr>
        <w:t>2</w:t>
      </w:r>
      <w:r>
        <w:rPr>
          <w:rFonts w:hint="eastAsia" w:hAnsi="宋体"/>
          <w:color w:val="auto"/>
          <w:szCs w:val="21"/>
          <w:highlight w:val="none"/>
        </w:rPr>
        <w:t>、</w:t>
      </w:r>
      <w:r>
        <w:rPr>
          <w:rFonts w:hint="eastAsia"/>
          <w:color w:val="auto"/>
          <w:highlight w:val="none"/>
        </w:rPr>
        <w:t>请在“偏离情况”栏注明“正偏离”、“负偏离”或“无偏离”。</w:t>
      </w:r>
    </w:p>
    <w:p w14:paraId="2BAD0DFA">
      <w:pPr>
        <w:pStyle w:val="10"/>
        <w:spacing w:line="360" w:lineRule="auto"/>
        <w:ind w:firstLine="0"/>
        <w:rPr>
          <w:rFonts w:hint="eastAsia"/>
          <w:color w:val="auto"/>
          <w:highlight w:val="none"/>
        </w:rPr>
      </w:pPr>
    </w:p>
    <w:p w14:paraId="511BAD80">
      <w:pPr>
        <w:pStyle w:val="10"/>
        <w:spacing w:line="360" w:lineRule="auto"/>
        <w:ind w:firstLine="0"/>
        <w:rPr>
          <w:color w:val="auto"/>
          <w:highlight w:val="none"/>
        </w:rPr>
      </w:pPr>
      <w:r>
        <w:rPr>
          <w:rFonts w:hint="eastAsia"/>
          <w:color w:val="auto"/>
          <w:highlight w:val="none"/>
        </w:rPr>
        <w:t>投标人名称（盖章）</w:t>
      </w:r>
      <w:r>
        <w:rPr>
          <w:rFonts w:hint="eastAsia" w:ascii="宋体" w:hAnsi="宋体"/>
          <w:color w:val="auto"/>
          <w:szCs w:val="21"/>
          <w:highlight w:val="none"/>
          <w:u w:val="single"/>
        </w:rPr>
        <w:t xml:space="preserve">                                  </w:t>
      </w:r>
    </w:p>
    <w:p w14:paraId="3E0D3F0F">
      <w:pPr>
        <w:spacing w:line="360" w:lineRule="auto"/>
        <w:rPr>
          <w:rFonts w:hint="eastAsia" w:ascii="宋体" w:hAnsi="宋体"/>
          <w:color w:val="auto"/>
          <w:szCs w:val="21"/>
          <w:highlight w:val="none"/>
        </w:rPr>
      </w:pPr>
      <w:r>
        <w:rPr>
          <w:rFonts w:hint="eastAsia" w:ascii="宋体" w:hAnsi="宋体"/>
          <w:color w:val="auto"/>
          <w:szCs w:val="21"/>
          <w:highlight w:val="none"/>
        </w:rPr>
        <w:t>法定代表人(或全权代表)签字或盖章：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2846F4B3">
      <w:pPr>
        <w:spacing w:line="360" w:lineRule="auto"/>
        <w:rPr>
          <w:rFonts w:ascii="宋体" w:hAnsi="宋体"/>
          <w:b/>
          <w:color w:val="auto"/>
          <w:szCs w:val="21"/>
          <w:highlight w:val="none"/>
          <w:u w:val="singl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p>
    <w:p w14:paraId="73F550EF">
      <w:pPr>
        <w:spacing w:line="360" w:lineRule="auto"/>
        <w:rPr>
          <w:rFonts w:ascii="宋体" w:hAnsi="宋体"/>
          <w:color w:val="auto"/>
          <w:szCs w:val="21"/>
          <w:highlight w:val="none"/>
        </w:rPr>
      </w:pPr>
    </w:p>
    <w:p w14:paraId="5B3154C9">
      <w:pPr>
        <w:spacing w:line="360" w:lineRule="auto"/>
        <w:rPr>
          <w:rFonts w:ascii="宋体" w:hAnsi="宋体"/>
          <w:color w:val="auto"/>
          <w:highlight w:val="none"/>
        </w:rPr>
      </w:pPr>
      <w:r>
        <w:rPr>
          <w:rFonts w:ascii="宋体" w:hAnsi="宋体"/>
          <w:color w:val="auto"/>
          <w:highlight w:val="none"/>
        </w:rPr>
        <w:br w:type="page"/>
      </w:r>
    </w:p>
    <w:p w14:paraId="343F01A1">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商务条款偏离表</w:t>
      </w:r>
    </w:p>
    <w:p w14:paraId="7F95F185">
      <w:pPr>
        <w:spacing w:before="120" w:beforeLines="50" w:after="240" w:afterLines="100"/>
        <w:rPr>
          <w:rFonts w:ascii="宋体" w:hAnsi="宋体"/>
          <w:b/>
          <w:bCs/>
          <w:color w:val="auto"/>
          <w:spacing w:val="20"/>
          <w:szCs w:val="21"/>
          <w:highlight w:val="none"/>
          <w:u w:val="single"/>
        </w:rPr>
      </w:pPr>
      <w:r>
        <w:rPr>
          <w:rFonts w:hint="eastAsia" w:ascii="宋体" w:hAnsi="宋体"/>
          <w:color w:val="auto"/>
          <w:szCs w:val="21"/>
          <w:highlight w:val="none"/>
        </w:rPr>
        <w:t>项目编号：</w:t>
      </w:r>
      <w:r>
        <w:rPr>
          <w:rFonts w:hint="eastAsia" w:ascii="宋体" w:hAnsi="宋体"/>
          <w:b/>
          <w:bCs/>
          <w:color w:val="auto"/>
          <w:spacing w:val="20"/>
          <w:szCs w:val="21"/>
          <w:highlight w:val="none"/>
          <w:u w:val="single"/>
        </w:rPr>
        <w:t xml:space="preserve">                    </w:t>
      </w:r>
      <w:r>
        <w:rPr>
          <w:rFonts w:hint="eastAsia" w:ascii="宋体" w:hAnsi="宋体"/>
          <w:b/>
          <w:bCs/>
          <w:color w:val="auto"/>
          <w:spacing w:val="20"/>
          <w:szCs w:val="21"/>
          <w:highlight w:val="none"/>
        </w:rPr>
        <w:t xml:space="preserv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30"/>
        <w:gridCol w:w="2380"/>
        <w:gridCol w:w="1920"/>
        <w:gridCol w:w="1920"/>
      </w:tblGrid>
      <w:tr w14:paraId="29FF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14:paraId="60F39C03">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330" w:type="dxa"/>
            <w:noWrap w:val="0"/>
            <w:vAlign w:val="center"/>
          </w:tcPr>
          <w:p w14:paraId="240D12AA">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招标文件商务要求</w:t>
            </w:r>
          </w:p>
        </w:tc>
        <w:tc>
          <w:tcPr>
            <w:tcW w:w="2380" w:type="dxa"/>
            <w:noWrap w:val="0"/>
            <w:vAlign w:val="center"/>
          </w:tcPr>
          <w:p w14:paraId="3C86D37C">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投标文件响应情况</w:t>
            </w:r>
          </w:p>
        </w:tc>
        <w:tc>
          <w:tcPr>
            <w:tcW w:w="1920" w:type="dxa"/>
            <w:noWrap w:val="0"/>
            <w:vAlign w:val="center"/>
          </w:tcPr>
          <w:p w14:paraId="3EBE9BB9">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偏离情况</w:t>
            </w:r>
          </w:p>
        </w:tc>
        <w:tc>
          <w:tcPr>
            <w:tcW w:w="1920" w:type="dxa"/>
            <w:noWrap w:val="0"/>
            <w:vAlign w:val="center"/>
          </w:tcPr>
          <w:p w14:paraId="05F2D015">
            <w:pPr>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证明文件页码</w:t>
            </w:r>
          </w:p>
          <w:p w14:paraId="12B53FB3">
            <w:pPr>
              <w:jc w:val="center"/>
              <w:rPr>
                <w:rFonts w:hint="eastAsia" w:ascii="宋体" w:hAnsi="宋体" w:cs="宋体"/>
                <w:b/>
                <w:bCs/>
                <w:color w:val="auto"/>
                <w:kern w:val="0"/>
                <w:szCs w:val="21"/>
                <w:highlight w:val="none"/>
              </w:rPr>
            </w:pPr>
            <w:r>
              <w:rPr>
                <w:rFonts w:hint="eastAsia" w:ascii="宋体" w:hAnsi="宋体" w:eastAsia="宋体" w:cs="宋体"/>
                <w:b/>
                <w:bCs/>
                <w:color w:val="auto"/>
                <w:kern w:val="0"/>
                <w:szCs w:val="21"/>
                <w:highlight w:val="none"/>
              </w:rPr>
              <w:t>（如有）</w:t>
            </w:r>
          </w:p>
        </w:tc>
      </w:tr>
      <w:tr w14:paraId="2955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3F817DF1">
            <w:pPr>
              <w:jc w:val="center"/>
              <w:rPr>
                <w:rFonts w:ascii="宋体" w:hAnsi="宋体"/>
                <w:color w:val="auto"/>
                <w:szCs w:val="21"/>
                <w:highlight w:val="none"/>
              </w:rPr>
            </w:pPr>
          </w:p>
        </w:tc>
        <w:tc>
          <w:tcPr>
            <w:tcW w:w="2330" w:type="dxa"/>
            <w:noWrap w:val="0"/>
            <w:vAlign w:val="center"/>
          </w:tcPr>
          <w:p w14:paraId="5D782A61">
            <w:pPr>
              <w:rPr>
                <w:rFonts w:ascii="宋体" w:hAnsi="宋体"/>
                <w:color w:val="auto"/>
                <w:sz w:val="18"/>
                <w:szCs w:val="18"/>
                <w:highlight w:val="none"/>
              </w:rPr>
            </w:pPr>
          </w:p>
        </w:tc>
        <w:tc>
          <w:tcPr>
            <w:tcW w:w="2380" w:type="dxa"/>
            <w:noWrap w:val="0"/>
            <w:vAlign w:val="center"/>
          </w:tcPr>
          <w:p w14:paraId="169B5F84">
            <w:pPr>
              <w:rPr>
                <w:rFonts w:ascii="宋体" w:hAnsi="宋体"/>
                <w:color w:val="auto"/>
                <w:sz w:val="18"/>
                <w:szCs w:val="18"/>
                <w:highlight w:val="none"/>
              </w:rPr>
            </w:pPr>
          </w:p>
        </w:tc>
        <w:tc>
          <w:tcPr>
            <w:tcW w:w="1920" w:type="dxa"/>
            <w:noWrap w:val="0"/>
            <w:vAlign w:val="center"/>
          </w:tcPr>
          <w:p w14:paraId="43DEA01E">
            <w:pPr>
              <w:rPr>
                <w:rFonts w:ascii="宋体" w:hAnsi="宋体"/>
                <w:color w:val="auto"/>
                <w:sz w:val="18"/>
                <w:szCs w:val="18"/>
                <w:highlight w:val="none"/>
              </w:rPr>
            </w:pPr>
          </w:p>
        </w:tc>
        <w:tc>
          <w:tcPr>
            <w:tcW w:w="1920" w:type="dxa"/>
            <w:noWrap w:val="0"/>
            <w:vAlign w:val="center"/>
          </w:tcPr>
          <w:p w14:paraId="4A4F524A">
            <w:pPr>
              <w:rPr>
                <w:rFonts w:ascii="宋体" w:hAnsi="宋体"/>
                <w:color w:val="auto"/>
                <w:sz w:val="18"/>
                <w:szCs w:val="18"/>
                <w:highlight w:val="none"/>
              </w:rPr>
            </w:pPr>
          </w:p>
        </w:tc>
      </w:tr>
      <w:tr w14:paraId="1530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361EAA8C">
            <w:pPr>
              <w:jc w:val="center"/>
              <w:rPr>
                <w:rFonts w:ascii="宋体" w:hAnsi="宋体"/>
                <w:color w:val="auto"/>
                <w:szCs w:val="21"/>
                <w:highlight w:val="none"/>
              </w:rPr>
            </w:pPr>
          </w:p>
        </w:tc>
        <w:tc>
          <w:tcPr>
            <w:tcW w:w="2330" w:type="dxa"/>
            <w:noWrap w:val="0"/>
            <w:vAlign w:val="center"/>
          </w:tcPr>
          <w:p w14:paraId="0BE2D0A7">
            <w:pPr>
              <w:rPr>
                <w:rFonts w:ascii="宋体" w:hAnsi="宋体"/>
                <w:color w:val="auto"/>
                <w:sz w:val="18"/>
                <w:szCs w:val="18"/>
                <w:highlight w:val="none"/>
              </w:rPr>
            </w:pPr>
          </w:p>
        </w:tc>
        <w:tc>
          <w:tcPr>
            <w:tcW w:w="2380" w:type="dxa"/>
            <w:noWrap w:val="0"/>
            <w:vAlign w:val="center"/>
          </w:tcPr>
          <w:p w14:paraId="342254BF">
            <w:pPr>
              <w:rPr>
                <w:rFonts w:ascii="宋体" w:hAnsi="宋体"/>
                <w:color w:val="auto"/>
                <w:sz w:val="18"/>
                <w:szCs w:val="18"/>
                <w:highlight w:val="none"/>
              </w:rPr>
            </w:pPr>
          </w:p>
        </w:tc>
        <w:tc>
          <w:tcPr>
            <w:tcW w:w="1920" w:type="dxa"/>
            <w:noWrap w:val="0"/>
            <w:vAlign w:val="center"/>
          </w:tcPr>
          <w:p w14:paraId="726DDE54">
            <w:pPr>
              <w:rPr>
                <w:rFonts w:ascii="宋体" w:hAnsi="宋体"/>
                <w:color w:val="auto"/>
                <w:sz w:val="18"/>
                <w:szCs w:val="18"/>
                <w:highlight w:val="none"/>
              </w:rPr>
            </w:pPr>
          </w:p>
        </w:tc>
        <w:tc>
          <w:tcPr>
            <w:tcW w:w="1920" w:type="dxa"/>
            <w:noWrap w:val="0"/>
            <w:vAlign w:val="center"/>
          </w:tcPr>
          <w:p w14:paraId="1ED55742">
            <w:pPr>
              <w:rPr>
                <w:rFonts w:ascii="宋体" w:hAnsi="宋体"/>
                <w:color w:val="auto"/>
                <w:sz w:val="18"/>
                <w:szCs w:val="18"/>
                <w:highlight w:val="none"/>
              </w:rPr>
            </w:pPr>
          </w:p>
        </w:tc>
      </w:tr>
      <w:tr w14:paraId="11EF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780DF0E4">
            <w:pPr>
              <w:jc w:val="center"/>
              <w:rPr>
                <w:rFonts w:ascii="宋体" w:hAnsi="宋体"/>
                <w:color w:val="auto"/>
                <w:szCs w:val="21"/>
                <w:highlight w:val="none"/>
              </w:rPr>
            </w:pPr>
          </w:p>
        </w:tc>
        <w:tc>
          <w:tcPr>
            <w:tcW w:w="2330" w:type="dxa"/>
            <w:noWrap w:val="0"/>
            <w:vAlign w:val="center"/>
          </w:tcPr>
          <w:p w14:paraId="2A03375F">
            <w:pPr>
              <w:rPr>
                <w:rFonts w:ascii="宋体" w:hAnsi="宋体"/>
                <w:color w:val="auto"/>
                <w:sz w:val="18"/>
                <w:szCs w:val="18"/>
                <w:highlight w:val="none"/>
              </w:rPr>
            </w:pPr>
          </w:p>
        </w:tc>
        <w:tc>
          <w:tcPr>
            <w:tcW w:w="2380" w:type="dxa"/>
            <w:noWrap w:val="0"/>
            <w:vAlign w:val="center"/>
          </w:tcPr>
          <w:p w14:paraId="30CD7DE4">
            <w:pPr>
              <w:rPr>
                <w:rFonts w:ascii="宋体" w:hAnsi="宋体"/>
                <w:color w:val="auto"/>
                <w:sz w:val="18"/>
                <w:szCs w:val="18"/>
                <w:highlight w:val="none"/>
              </w:rPr>
            </w:pPr>
          </w:p>
        </w:tc>
        <w:tc>
          <w:tcPr>
            <w:tcW w:w="1920" w:type="dxa"/>
            <w:noWrap w:val="0"/>
            <w:vAlign w:val="center"/>
          </w:tcPr>
          <w:p w14:paraId="51C2496F">
            <w:pPr>
              <w:rPr>
                <w:rFonts w:ascii="宋体" w:hAnsi="宋体"/>
                <w:color w:val="auto"/>
                <w:sz w:val="18"/>
                <w:szCs w:val="18"/>
                <w:highlight w:val="none"/>
              </w:rPr>
            </w:pPr>
          </w:p>
        </w:tc>
        <w:tc>
          <w:tcPr>
            <w:tcW w:w="1920" w:type="dxa"/>
            <w:noWrap w:val="0"/>
            <w:vAlign w:val="center"/>
          </w:tcPr>
          <w:p w14:paraId="5F6F1C71">
            <w:pPr>
              <w:rPr>
                <w:rFonts w:ascii="宋体" w:hAnsi="宋体"/>
                <w:color w:val="auto"/>
                <w:sz w:val="18"/>
                <w:szCs w:val="18"/>
                <w:highlight w:val="none"/>
              </w:rPr>
            </w:pPr>
          </w:p>
        </w:tc>
      </w:tr>
      <w:tr w14:paraId="53EE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0FEA2A63">
            <w:pPr>
              <w:jc w:val="center"/>
              <w:rPr>
                <w:rFonts w:ascii="宋体" w:hAnsi="宋体"/>
                <w:color w:val="auto"/>
                <w:szCs w:val="21"/>
                <w:highlight w:val="none"/>
              </w:rPr>
            </w:pPr>
          </w:p>
        </w:tc>
        <w:tc>
          <w:tcPr>
            <w:tcW w:w="2330" w:type="dxa"/>
            <w:noWrap w:val="0"/>
            <w:vAlign w:val="center"/>
          </w:tcPr>
          <w:p w14:paraId="7AE9558E">
            <w:pPr>
              <w:rPr>
                <w:rFonts w:ascii="宋体" w:hAnsi="宋体"/>
                <w:color w:val="auto"/>
                <w:sz w:val="18"/>
                <w:szCs w:val="18"/>
                <w:highlight w:val="none"/>
              </w:rPr>
            </w:pPr>
          </w:p>
        </w:tc>
        <w:tc>
          <w:tcPr>
            <w:tcW w:w="2380" w:type="dxa"/>
            <w:noWrap w:val="0"/>
            <w:vAlign w:val="center"/>
          </w:tcPr>
          <w:p w14:paraId="19745DBB">
            <w:pPr>
              <w:rPr>
                <w:rFonts w:ascii="宋体" w:hAnsi="宋体"/>
                <w:color w:val="auto"/>
                <w:sz w:val="18"/>
                <w:szCs w:val="18"/>
                <w:highlight w:val="none"/>
              </w:rPr>
            </w:pPr>
          </w:p>
        </w:tc>
        <w:tc>
          <w:tcPr>
            <w:tcW w:w="1920" w:type="dxa"/>
            <w:noWrap w:val="0"/>
            <w:vAlign w:val="center"/>
          </w:tcPr>
          <w:p w14:paraId="45DFED9C">
            <w:pPr>
              <w:rPr>
                <w:rFonts w:ascii="宋体" w:hAnsi="宋体"/>
                <w:color w:val="auto"/>
                <w:sz w:val="18"/>
                <w:szCs w:val="18"/>
                <w:highlight w:val="none"/>
              </w:rPr>
            </w:pPr>
          </w:p>
        </w:tc>
        <w:tc>
          <w:tcPr>
            <w:tcW w:w="1920" w:type="dxa"/>
            <w:noWrap w:val="0"/>
            <w:vAlign w:val="center"/>
          </w:tcPr>
          <w:p w14:paraId="4ED99ED1">
            <w:pPr>
              <w:rPr>
                <w:rFonts w:ascii="宋体" w:hAnsi="宋体"/>
                <w:color w:val="auto"/>
                <w:sz w:val="18"/>
                <w:szCs w:val="18"/>
                <w:highlight w:val="none"/>
              </w:rPr>
            </w:pPr>
          </w:p>
        </w:tc>
      </w:tr>
      <w:tr w14:paraId="6C28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4EC0BA94">
            <w:pPr>
              <w:jc w:val="center"/>
              <w:rPr>
                <w:rFonts w:ascii="宋体" w:hAnsi="宋体"/>
                <w:color w:val="auto"/>
                <w:szCs w:val="21"/>
                <w:highlight w:val="none"/>
              </w:rPr>
            </w:pPr>
          </w:p>
        </w:tc>
        <w:tc>
          <w:tcPr>
            <w:tcW w:w="2330" w:type="dxa"/>
            <w:noWrap w:val="0"/>
            <w:vAlign w:val="center"/>
          </w:tcPr>
          <w:p w14:paraId="1780C311">
            <w:pPr>
              <w:rPr>
                <w:rFonts w:ascii="宋体" w:hAnsi="宋体"/>
                <w:color w:val="auto"/>
                <w:sz w:val="18"/>
                <w:szCs w:val="18"/>
                <w:highlight w:val="none"/>
              </w:rPr>
            </w:pPr>
          </w:p>
        </w:tc>
        <w:tc>
          <w:tcPr>
            <w:tcW w:w="2380" w:type="dxa"/>
            <w:noWrap w:val="0"/>
            <w:vAlign w:val="center"/>
          </w:tcPr>
          <w:p w14:paraId="6E0D8954">
            <w:pPr>
              <w:rPr>
                <w:rFonts w:ascii="宋体" w:hAnsi="宋体"/>
                <w:color w:val="auto"/>
                <w:sz w:val="18"/>
                <w:szCs w:val="18"/>
                <w:highlight w:val="none"/>
              </w:rPr>
            </w:pPr>
          </w:p>
        </w:tc>
        <w:tc>
          <w:tcPr>
            <w:tcW w:w="1920" w:type="dxa"/>
            <w:noWrap w:val="0"/>
            <w:vAlign w:val="center"/>
          </w:tcPr>
          <w:p w14:paraId="0E7EFF89">
            <w:pPr>
              <w:rPr>
                <w:rFonts w:ascii="宋体" w:hAnsi="宋体"/>
                <w:color w:val="auto"/>
                <w:sz w:val="18"/>
                <w:szCs w:val="18"/>
                <w:highlight w:val="none"/>
              </w:rPr>
            </w:pPr>
          </w:p>
        </w:tc>
        <w:tc>
          <w:tcPr>
            <w:tcW w:w="1920" w:type="dxa"/>
            <w:noWrap w:val="0"/>
            <w:vAlign w:val="center"/>
          </w:tcPr>
          <w:p w14:paraId="01F6724C">
            <w:pPr>
              <w:rPr>
                <w:rFonts w:ascii="宋体" w:hAnsi="宋体"/>
                <w:color w:val="auto"/>
                <w:sz w:val="18"/>
                <w:szCs w:val="18"/>
                <w:highlight w:val="none"/>
              </w:rPr>
            </w:pPr>
          </w:p>
        </w:tc>
      </w:tr>
      <w:tr w14:paraId="5E85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4A1F0661">
            <w:pPr>
              <w:jc w:val="center"/>
              <w:rPr>
                <w:rFonts w:ascii="宋体" w:hAnsi="宋体"/>
                <w:color w:val="auto"/>
                <w:szCs w:val="21"/>
                <w:highlight w:val="none"/>
              </w:rPr>
            </w:pPr>
          </w:p>
        </w:tc>
        <w:tc>
          <w:tcPr>
            <w:tcW w:w="2330" w:type="dxa"/>
            <w:noWrap w:val="0"/>
            <w:vAlign w:val="center"/>
          </w:tcPr>
          <w:p w14:paraId="121C67A2">
            <w:pPr>
              <w:rPr>
                <w:rFonts w:ascii="宋体" w:hAnsi="宋体"/>
                <w:color w:val="auto"/>
                <w:sz w:val="18"/>
                <w:szCs w:val="18"/>
                <w:highlight w:val="none"/>
              </w:rPr>
            </w:pPr>
          </w:p>
        </w:tc>
        <w:tc>
          <w:tcPr>
            <w:tcW w:w="2380" w:type="dxa"/>
            <w:noWrap w:val="0"/>
            <w:vAlign w:val="center"/>
          </w:tcPr>
          <w:p w14:paraId="03E80849">
            <w:pPr>
              <w:rPr>
                <w:rFonts w:ascii="宋体" w:hAnsi="宋体"/>
                <w:color w:val="auto"/>
                <w:sz w:val="18"/>
                <w:szCs w:val="18"/>
                <w:highlight w:val="none"/>
              </w:rPr>
            </w:pPr>
          </w:p>
        </w:tc>
        <w:tc>
          <w:tcPr>
            <w:tcW w:w="1920" w:type="dxa"/>
            <w:noWrap w:val="0"/>
            <w:vAlign w:val="center"/>
          </w:tcPr>
          <w:p w14:paraId="2E41ECDC">
            <w:pPr>
              <w:rPr>
                <w:rFonts w:ascii="宋体" w:hAnsi="宋体"/>
                <w:color w:val="auto"/>
                <w:sz w:val="18"/>
                <w:szCs w:val="18"/>
                <w:highlight w:val="none"/>
              </w:rPr>
            </w:pPr>
          </w:p>
        </w:tc>
        <w:tc>
          <w:tcPr>
            <w:tcW w:w="1920" w:type="dxa"/>
            <w:noWrap w:val="0"/>
            <w:vAlign w:val="center"/>
          </w:tcPr>
          <w:p w14:paraId="7BF35D6C">
            <w:pPr>
              <w:rPr>
                <w:rFonts w:ascii="宋体" w:hAnsi="宋体"/>
                <w:color w:val="auto"/>
                <w:sz w:val="18"/>
                <w:szCs w:val="18"/>
                <w:highlight w:val="none"/>
              </w:rPr>
            </w:pPr>
          </w:p>
        </w:tc>
      </w:tr>
      <w:tr w14:paraId="5DCC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16403385">
            <w:pPr>
              <w:jc w:val="center"/>
              <w:rPr>
                <w:rFonts w:ascii="宋体" w:hAnsi="宋体"/>
                <w:color w:val="auto"/>
                <w:szCs w:val="21"/>
                <w:highlight w:val="none"/>
              </w:rPr>
            </w:pPr>
          </w:p>
        </w:tc>
        <w:tc>
          <w:tcPr>
            <w:tcW w:w="2330" w:type="dxa"/>
            <w:noWrap w:val="0"/>
            <w:vAlign w:val="center"/>
          </w:tcPr>
          <w:p w14:paraId="36DC03D9">
            <w:pPr>
              <w:rPr>
                <w:rFonts w:ascii="宋体" w:hAnsi="宋体"/>
                <w:color w:val="auto"/>
                <w:sz w:val="18"/>
                <w:szCs w:val="18"/>
                <w:highlight w:val="none"/>
              </w:rPr>
            </w:pPr>
          </w:p>
        </w:tc>
        <w:tc>
          <w:tcPr>
            <w:tcW w:w="2380" w:type="dxa"/>
            <w:noWrap w:val="0"/>
            <w:vAlign w:val="center"/>
          </w:tcPr>
          <w:p w14:paraId="7210D34D">
            <w:pPr>
              <w:rPr>
                <w:rFonts w:ascii="宋体" w:hAnsi="宋体"/>
                <w:color w:val="auto"/>
                <w:sz w:val="18"/>
                <w:szCs w:val="18"/>
                <w:highlight w:val="none"/>
              </w:rPr>
            </w:pPr>
          </w:p>
        </w:tc>
        <w:tc>
          <w:tcPr>
            <w:tcW w:w="1920" w:type="dxa"/>
            <w:noWrap w:val="0"/>
            <w:vAlign w:val="center"/>
          </w:tcPr>
          <w:p w14:paraId="0469E9A7">
            <w:pPr>
              <w:rPr>
                <w:rFonts w:ascii="宋体" w:hAnsi="宋体"/>
                <w:color w:val="auto"/>
                <w:sz w:val="18"/>
                <w:szCs w:val="18"/>
                <w:highlight w:val="none"/>
              </w:rPr>
            </w:pPr>
          </w:p>
        </w:tc>
        <w:tc>
          <w:tcPr>
            <w:tcW w:w="1920" w:type="dxa"/>
            <w:noWrap w:val="0"/>
            <w:vAlign w:val="center"/>
          </w:tcPr>
          <w:p w14:paraId="09D179DE">
            <w:pPr>
              <w:rPr>
                <w:rFonts w:ascii="宋体" w:hAnsi="宋体"/>
                <w:color w:val="auto"/>
                <w:sz w:val="18"/>
                <w:szCs w:val="18"/>
                <w:highlight w:val="none"/>
              </w:rPr>
            </w:pPr>
          </w:p>
        </w:tc>
      </w:tr>
      <w:tr w14:paraId="28B7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14:paraId="5620622E">
            <w:pPr>
              <w:jc w:val="center"/>
              <w:rPr>
                <w:rFonts w:ascii="宋体" w:hAnsi="宋体"/>
                <w:color w:val="auto"/>
                <w:szCs w:val="21"/>
                <w:highlight w:val="none"/>
              </w:rPr>
            </w:pPr>
          </w:p>
        </w:tc>
        <w:tc>
          <w:tcPr>
            <w:tcW w:w="2330" w:type="dxa"/>
            <w:noWrap w:val="0"/>
            <w:vAlign w:val="center"/>
          </w:tcPr>
          <w:p w14:paraId="7629DC9E">
            <w:pPr>
              <w:rPr>
                <w:rFonts w:ascii="宋体" w:hAnsi="宋体"/>
                <w:color w:val="auto"/>
                <w:sz w:val="18"/>
                <w:szCs w:val="18"/>
                <w:highlight w:val="none"/>
              </w:rPr>
            </w:pPr>
          </w:p>
        </w:tc>
        <w:tc>
          <w:tcPr>
            <w:tcW w:w="2380" w:type="dxa"/>
            <w:noWrap w:val="0"/>
            <w:vAlign w:val="center"/>
          </w:tcPr>
          <w:p w14:paraId="2C83A803">
            <w:pPr>
              <w:rPr>
                <w:rFonts w:ascii="宋体" w:hAnsi="宋体"/>
                <w:color w:val="auto"/>
                <w:sz w:val="18"/>
                <w:szCs w:val="18"/>
                <w:highlight w:val="none"/>
              </w:rPr>
            </w:pPr>
          </w:p>
        </w:tc>
        <w:tc>
          <w:tcPr>
            <w:tcW w:w="1920" w:type="dxa"/>
            <w:noWrap w:val="0"/>
            <w:vAlign w:val="center"/>
          </w:tcPr>
          <w:p w14:paraId="39D2CA25">
            <w:pPr>
              <w:rPr>
                <w:rFonts w:ascii="宋体" w:hAnsi="宋体"/>
                <w:color w:val="auto"/>
                <w:sz w:val="18"/>
                <w:szCs w:val="18"/>
                <w:highlight w:val="none"/>
              </w:rPr>
            </w:pPr>
          </w:p>
        </w:tc>
        <w:tc>
          <w:tcPr>
            <w:tcW w:w="1920" w:type="dxa"/>
            <w:noWrap w:val="0"/>
            <w:vAlign w:val="center"/>
          </w:tcPr>
          <w:p w14:paraId="4C640576">
            <w:pPr>
              <w:rPr>
                <w:rFonts w:ascii="宋体" w:hAnsi="宋体"/>
                <w:color w:val="auto"/>
                <w:sz w:val="18"/>
                <w:szCs w:val="18"/>
                <w:highlight w:val="none"/>
              </w:rPr>
            </w:pPr>
          </w:p>
        </w:tc>
      </w:tr>
    </w:tbl>
    <w:p w14:paraId="33412F77">
      <w:pPr>
        <w:spacing w:line="360" w:lineRule="auto"/>
        <w:rPr>
          <w:rFonts w:hint="eastAsia"/>
          <w:b/>
          <w:color w:val="auto"/>
          <w:highlight w:val="none"/>
        </w:rPr>
      </w:pPr>
    </w:p>
    <w:p w14:paraId="026C28AA">
      <w:pPr>
        <w:spacing w:line="360" w:lineRule="exact"/>
        <w:rPr>
          <w:b/>
          <w:color w:val="auto"/>
          <w:highlight w:val="none"/>
        </w:rPr>
      </w:pPr>
      <w:r>
        <w:rPr>
          <w:rFonts w:hint="eastAsia"/>
          <w:b/>
          <w:color w:val="auto"/>
          <w:highlight w:val="none"/>
        </w:rPr>
        <w:t>说明：</w:t>
      </w:r>
    </w:p>
    <w:p w14:paraId="7067BFB2">
      <w:pPr>
        <w:textAlignment w:val="baseline"/>
        <w:rPr>
          <w:color w:val="auto"/>
          <w:highlight w:val="none"/>
        </w:rPr>
      </w:pPr>
      <w:r>
        <w:rPr>
          <w:rFonts w:hint="eastAsia"/>
          <w:color w:val="auto"/>
          <w:highlight w:val="none"/>
        </w:rPr>
        <w:t>1、按</w:t>
      </w:r>
      <w:r>
        <w:rPr>
          <w:rFonts w:hint="eastAsia" w:ascii="Times New Roman" w:hAnsi="Times New Roman" w:eastAsia="宋体" w:cs="Times New Roman"/>
          <w:color w:val="auto"/>
          <w:highlight w:val="none"/>
        </w:rPr>
        <w:t>实施</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商务</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要求要求逐</w:t>
      </w:r>
      <w:r>
        <w:rPr>
          <w:rFonts w:hint="eastAsia"/>
          <w:color w:val="auto"/>
          <w:highlight w:val="none"/>
        </w:rPr>
        <w:t>条响应。</w:t>
      </w:r>
    </w:p>
    <w:p w14:paraId="72AC99A5">
      <w:pPr>
        <w:textAlignment w:val="baseline"/>
        <w:rPr>
          <w:rFonts w:hint="eastAsia"/>
          <w:color w:val="auto"/>
          <w:highlight w:val="none"/>
        </w:rPr>
      </w:pPr>
      <w:r>
        <w:rPr>
          <w:rFonts w:hint="eastAsia" w:hAnsi="宋体"/>
          <w:color w:val="auto"/>
          <w:szCs w:val="21"/>
          <w:highlight w:val="none"/>
          <w:lang w:val="en-US" w:eastAsia="zh-CN"/>
        </w:rPr>
        <w:t>2</w:t>
      </w:r>
      <w:r>
        <w:rPr>
          <w:rFonts w:hint="eastAsia" w:hAnsi="宋体"/>
          <w:color w:val="auto"/>
          <w:szCs w:val="21"/>
          <w:highlight w:val="none"/>
        </w:rPr>
        <w:t>、</w:t>
      </w:r>
      <w:r>
        <w:rPr>
          <w:rFonts w:hint="eastAsia"/>
          <w:color w:val="auto"/>
          <w:highlight w:val="none"/>
        </w:rPr>
        <w:t>请在“偏离情况”栏注明“正偏离”、“负偏离”或“无偏离”。</w:t>
      </w:r>
    </w:p>
    <w:p w14:paraId="218E7C73">
      <w:pPr>
        <w:pStyle w:val="13"/>
        <w:rPr>
          <w:color w:val="auto"/>
          <w:highlight w:val="none"/>
        </w:rPr>
      </w:pPr>
    </w:p>
    <w:p w14:paraId="1E2243A9">
      <w:pPr>
        <w:pStyle w:val="10"/>
        <w:spacing w:line="360" w:lineRule="auto"/>
        <w:ind w:firstLine="0"/>
        <w:rPr>
          <w:color w:val="auto"/>
          <w:highlight w:val="none"/>
        </w:rPr>
      </w:pPr>
    </w:p>
    <w:p w14:paraId="31ECD268">
      <w:pPr>
        <w:pStyle w:val="10"/>
        <w:spacing w:line="360" w:lineRule="auto"/>
        <w:ind w:firstLine="0"/>
        <w:rPr>
          <w:color w:val="auto"/>
          <w:highlight w:val="none"/>
        </w:rPr>
      </w:pPr>
      <w:r>
        <w:rPr>
          <w:rFonts w:hint="eastAsia"/>
          <w:color w:val="auto"/>
          <w:highlight w:val="none"/>
        </w:rPr>
        <w:t>投标人名称（盖章）</w:t>
      </w:r>
      <w:r>
        <w:rPr>
          <w:rFonts w:hint="eastAsia" w:ascii="宋体" w:hAnsi="宋体"/>
          <w:color w:val="auto"/>
          <w:szCs w:val="21"/>
          <w:highlight w:val="none"/>
          <w:u w:val="single"/>
        </w:rPr>
        <w:t xml:space="preserve">                                  </w:t>
      </w:r>
    </w:p>
    <w:p w14:paraId="0AA2AD61">
      <w:pPr>
        <w:spacing w:line="360" w:lineRule="auto"/>
        <w:rPr>
          <w:rFonts w:hint="eastAsia" w:ascii="宋体" w:hAnsi="宋体"/>
          <w:color w:val="auto"/>
          <w:szCs w:val="21"/>
          <w:highlight w:val="none"/>
        </w:rPr>
      </w:pPr>
      <w:r>
        <w:rPr>
          <w:rFonts w:hint="eastAsia" w:ascii="宋体" w:hAnsi="宋体"/>
          <w:color w:val="auto"/>
          <w:szCs w:val="21"/>
          <w:highlight w:val="none"/>
        </w:rPr>
        <w:t>法定代表人(或全权代表)签字或盖章：</w:t>
      </w:r>
      <w:r>
        <w:rPr>
          <w:rFonts w:hint="eastAsia" w:ascii="宋体" w:hAnsi="宋体"/>
          <w:color w:val="auto"/>
          <w:szCs w:val="21"/>
          <w:highlight w:val="none"/>
          <w:u w:val="single"/>
        </w:rPr>
        <w:t xml:space="preserve">                         </w:t>
      </w:r>
    </w:p>
    <w:p w14:paraId="7095729D">
      <w:pPr>
        <w:spacing w:line="360" w:lineRule="auto"/>
        <w:rPr>
          <w:rFonts w:ascii="宋体" w:hAnsi="宋体"/>
          <w:b/>
          <w:color w:val="auto"/>
          <w:szCs w:val="21"/>
          <w:highlight w:val="none"/>
          <w:u w:val="singl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p>
    <w:p w14:paraId="10E7864F">
      <w:pPr>
        <w:spacing w:line="360" w:lineRule="auto"/>
        <w:rPr>
          <w:rFonts w:ascii="宋体" w:hAnsi="宋体"/>
          <w:color w:val="auto"/>
          <w:szCs w:val="21"/>
          <w:highlight w:val="none"/>
        </w:rPr>
      </w:pPr>
    </w:p>
    <w:p w14:paraId="608F353D">
      <w:pPr>
        <w:spacing w:line="360" w:lineRule="auto"/>
        <w:rPr>
          <w:rFonts w:ascii="宋体" w:hAnsi="宋体"/>
          <w:color w:val="auto"/>
          <w:highlight w:val="none"/>
        </w:rPr>
      </w:pPr>
      <w:r>
        <w:rPr>
          <w:rFonts w:ascii="宋体" w:hAnsi="宋体"/>
          <w:color w:val="auto"/>
          <w:highlight w:val="none"/>
        </w:rPr>
        <w:br w:type="page"/>
      </w:r>
    </w:p>
    <w:p w14:paraId="69152DC7">
      <w:pPr>
        <w:spacing w:after="240" w:afterLines="10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类似项目业绩表</w:t>
      </w:r>
    </w:p>
    <w:p w14:paraId="55196F69">
      <w:pPr>
        <w:spacing w:before="120" w:beforeLines="50" w:after="240" w:afterLines="100"/>
        <w:rPr>
          <w:rFonts w:ascii="宋体" w:hAnsi="宋体"/>
          <w:b/>
          <w:bCs/>
          <w:color w:val="auto"/>
          <w:spacing w:val="20"/>
          <w:szCs w:val="21"/>
          <w:highlight w:val="none"/>
          <w:u w:val="single"/>
        </w:rPr>
      </w:pPr>
      <w:r>
        <w:rPr>
          <w:rFonts w:hint="eastAsia" w:ascii="宋体" w:hAnsi="宋体"/>
          <w:color w:val="auto"/>
          <w:szCs w:val="21"/>
          <w:highlight w:val="none"/>
        </w:rPr>
        <w:t>项目编号：</w:t>
      </w:r>
      <w:r>
        <w:rPr>
          <w:rFonts w:hint="eastAsia" w:ascii="宋体" w:hAnsi="宋体"/>
          <w:b/>
          <w:bCs/>
          <w:color w:val="auto"/>
          <w:spacing w:val="20"/>
          <w:szCs w:val="21"/>
          <w:highlight w:val="none"/>
          <w:u w:val="single"/>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853"/>
        <w:gridCol w:w="1843"/>
        <w:gridCol w:w="1134"/>
        <w:gridCol w:w="1134"/>
        <w:gridCol w:w="1417"/>
      </w:tblGrid>
      <w:tr w14:paraId="634C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99" w:type="dxa"/>
            <w:noWrap w:val="0"/>
            <w:vAlign w:val="center"/>
          </w:tcPr>
          <w:p w14:paraId="71D62602">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853" w:type="dxa"/>
            <w:noWrap w:val="0"/>
            <w:vAlign w:val="center"/>
          </w:tcPr>
          <w:p w14:paraId="06F0CB62">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项目名称</w:t>
            </w:r>
          </w:p>
        </w:tc>
        <w:tc>
          <w:tcPr>
            <w:tcW w:w="1843" w:type="dxa"/>
            <w:noWrap w:val="0"/>
            <w:vAlign w:val="center"/>
          </w:tcPr>
          <w:p w14:paraId="471ADCFC">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业主名称</w:t>
            </w:r>
          </w:p>
        </w:tc>
        <w:tc>
          <w:tcPr>
            <w:tcW w:w="1134" w:type="dxa"/>
            <w:noWrap w:val="0"/>
            <w:vAlign w:val="center"/>
          </w:tcPr>
          <w:p w14:paraId="3DEEE27E">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合同金额</w:t>
            </w:r>
          </w:p>
        </w:tc>
        <w:tc>
          <w:tcPr>
            <w:tcW w:w="1134" w:type="dxa"/>
            <w:noWrap w:val="0"/>
            <w:vAlign w:val="center"/>
          </w:tcPr>
          <w:p w14:paraId="1E102327">
            <w:pPr>
              <w:widowControl/>
              <w:jc w:val="center"/>
              <w:rPr>
                <w:rFonts w:ascii="宋体" w:hAnsi="宋体" w:cs="宋体"/>
                <w:b/>
                <w:color w:val="auto"/>
                <w:kern w:val="0"/>
                <w:szCs w:val="21"/>
                <w:highlight w:val="none"/>
              </w:rPr>
            </w:pPr>
            <w:r>
              <w:rPr>
                <w:rFonts w:hint="eastAsia" w:ascii="宋体" w:hAnsi="宋体" w:eastAsia="宋体" w:cs="宋体"/>
                <w:b/>
                <w:color w:val="auto"/>
                <w:kern w:val="0"/>
                <w:szCs w:val="21"/>
                <w:highlight w:val="none"/>
                <w:lang w:val="en-US" w:eastAsia="zh-CN"/>
              </w:rPr>
              <w:t>合同</w:t>
            </w:r>
            <w:r>
              <w:rPr>
                <w:rFonts w:hint="eastAsia" w:ascii="宋体" w:hAnsi="宋体" w:eastAsia="宋体" w:cs="宋体"/>
                <w:b/>
                <w:color w:val="auto"/>
                <w:kern w:val="0"/>
                <w:szCs w:val="21"/>
                <w:highlight w:val="none"/>
              </w:rPr>
              <w:t>签订日期</w:t>
            </w:r>
          </w:p>
        </w:tc>
        <w:tc>
          <w:tcPr>
            <w:tcW w:w="1417" w:type="dxa"/>
            <w:noWrap w:val="0"/>
            <w:vAlign w:val="center"/>
          </w:tcPr>
          <w:p w14:paraId="348E2609">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业主联系人及电话</w:t>
            </w:r>
          </w:p>
        </w:tc>
      </w:tr>
      <w:tr w14:paraId="381F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99" w:type="dxa"/>
            <w:noWrap w:val="0"/>
            <w:vAlign w:val="center"/>
          </w:tcPr>
          <w:p w14:paraId="04C0CEF9">
            <w:pPr>
              <w:widowControl/>
              <w:jc w:val="center"/>
              <w:rPr>
                <w:rFonts w:ascii="宋体" w:hAnsi="宋体" w:cs="宋体"/>
                <w:color w:val="auto"/>
                <w:kern w:val="0"/>
                <w:szCs w:val="21"/>
                <w:highlight w:val="none"/>
              </w:rPr>
            </w:pPr>
          </w:p>
        </w:tc>
        <w:tc>
          <w:tcPr>
            <w:tcW w:w="2853" w:type="dxa"/>
            <w:noWrap w:val="0"/>
            <w:vAlign w:val="center"/>
          </w:tcPr>
          <w:p w14:paraId="0E5AE17D">
            <w:pPr>
              <w:widowControl/>
              <w:jc w:val="center"/>
              <w:rPr>
                <w:rFonts w:ascii="宋体" w:hAnsi="宋体" w:cs="宋体"/>
                <w:color w:val="auto"/>
                <w:kern w:val="0"/>
                <w:szCs w:val="21"/>
                <w:highlight w:val="none"/>
              </w:rPr>
            </w:pPr>
          </w:p>
        </w:tc>
        <w:tc>
          <w:tcPr>
            <w:tcW w:w="1843" w:type="dxa"/>
            <w:noWrap w:val="0"/>
            <w:vAlign w:val="center"/>
          </w:tcPr>
          <w:p w14:paraId="63673051">
            <w:pPr>
              <w:widowControl/>
              <w:jc w:val="center"/>
              <w:rPr>
                <w:rFonts w:ascii="宋体" w:hAnsi="宋体" w:cs="宋体"/>
                <w:color w:val="auto"/>
                <w:kern w:val="0"/>
                <w:szCs w:val="21"/>
                <w:highlight w:val="none"/>
              </w:rPr>
            </w:pPr>
          </w:p>
        </w:tc>
        <w:tc>
          <w:tcPr>
            <w:tcW w:w="1134" w:type="dxa"/>
            <w:noWrap w:val="0"/>
            <w:vAlign w:val="center"/>
          </w:tcPr>
          <w:p w14:paraId="793CBE6D">
            <w:pPr>
              <w:widowControl/>
              <w:jc w:val="center"/>
              <w:rPr>
                <w:rFonts w:ascii="宋体" w:hAnsi="宋体" w:cs="宋体"/>
                <w:color w:val="auto"/>
                <w:kern w:val="0"/>
                <w:szCs w:val="21"/>
                <w:highlight w:val="none"/>
              </w:rPr>
            </w:pPr>
          </w:p>
        </w:tc>
        <w:tc>
          <w:tcPr>
            <w:tcW w:w="1134" w:type="dxa"/>
            <w:noWrap w:val="0"/>
            <w:vAlign w:val="center"/>
          </w:tcPr>
          <w:p w14:paraId="35920572">
            <w:pPr>
              <w:widowControl/>
              <w:jc w:val="center"/>
              <w:rPr>
                <w:rFonts w:ascii="宋体" w:hAnsi="宋体" w:cs="宋体"/>
                <w:color w:val="auto"/>
                <w:kern w:val="0"/>
                <w:szCs w:val="21"/>
                <w:highlight w:val="none"/>
              </w:rPr>
            </w:pPr>
          </w:p>
        </w:tc>
        <w:tc>
          <w:tcPr>
            <w:tcW w:w="1417" w:type="dxa"/>
            <w:noWrap w:val="0"/>
            <w:vAlign w:val="center"/>
          </w:tcPr>
          <w:p w14:paraId="3C9220FB">
            <w:pPr>
              <w:widowControl/>
              <w:jc w:val="center"/>
              <w:rPr>
                <w:rFonts w:ascii="宋体" w:hAnsi="宋体" w:cs="宋体"/>
                <w:color w:val="auto"/>
                <w:kern w:val="0"/>
                <w:szCs w:val="21"/>
                <w:highlight w:val="none"/>
              </w:rPr>
            </w:pPr>
          </w:p>
        </w:tc>
      </w:tr>
      <w:tr w14:paraId="58E5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99" w:type="dxa"/>
            <w:noWrap w:val="0"/>
            <w:vAlign w:val="center"/>
          </w:tcPr>
          <w:p w14:paraId="59F5BC41">
            <w:pPr>
              <w:widowControl/>
              <w:jc w:val="center"/>
              <w:rPr>
                <w:rFonts w:ascii="宋体" w:hAnsi="宋体" w:cs="宋体"/>
                <w:color w:val="auto"/>
                <w:kern w:val="0"/>
                <w:szCs w:val="21"/>
                <w:highlight w:val="none"/>
              </w:rPr>
            </w:pPr>
          </w:p>
        </w:tc>
        <w:tc>
          <w:tcPr>
            <w:tcW w:w="2853" w:type="dxa"/>
            <w:noWrap w:val="0"/>
            <w:vAlign w:val="center"/>
          </w:tcPr>
          <w:p w14:paraId="0981663F">
            <w:pPr>
              <w:widowControl/>
              <w:jc w:val="center"/>
              <w:rPr>
                <w:rFonts w:ascii="宋体" w:hAnsi="宋体" w:cs="宋体"/>
                <w:color w:val="auto"/>
                <w:kern w:val="0"/>
                <w:szCs w:val="21"/>
                <w:highlight w:val="none"/>
              </w:rPr>
            </w:pPr>
          </w:p>
        </w:tc>
        <w:tc>
          <w:tcPr>
            <w:tcW w:w="1843" w:type="dxa"/>
            <w:noWrap w:val="0"/>
            <w:vAlign w:val="center"/>
          </w:tcPr>
          <w:p w14:paraId="30EF1F54">
            <w:pPr>
              <w:widowControl/>
              <w:jc w:val="center"/>
              <w:rPr>
                <w:rFonts w:ascii="宋体" w:hAnsi="宋体" w:cs="宋体"/>
                <w:color w:val="auto"/>
                <w:kern w:val="0"/>
                <w:szCs w:val="21"/>
                <w:highlight w:val="none"/>
              </w:rPr>
            </w:pPr>
          </w:p>
        </w:tc>
        <w:tc>
          <w:tcPr>
            <w:tcW w:w="1134" w:type="dxa"/>
            <w:noWrap w:val="0"/>
            <w:vAlign w:val="center"/>
          </w:tcPr>
          <w:p w14:paraId="0A378966">
            <w:pPr>
              <w:widowControl/>
              <w:jc w:val="center"/>
              <w:rPr>
                <w:rFonts w:ascii="宋体" w:hAnsi="宋体" w:cs="宋体"/>
                <w:color w:val="auto"/>
                <w:kern w:val="0"/>
                <w:szCs w:val="21"/>
                <w:highlight w:val="none"/>
              </w:rPr>
            </w:pPr>
          </w:p>
        </w:tc>
        <w:tc>
          <w:tcPr>
            <w:tcW w:w="1134" w:type="dxa"/>
            <w:noWrap w:val="0"/>
            <w:vAlign w:val="center"/>
          </w:tcPr>
          <w:p w14:paraId="74437588">
            <w:pPr>
              <w:widowControl/>
              <w:jc w:val="center"/>
              <w:rPr>
                <w:rFonts w:ascii="宋体" w:hAnsi="宋体" w:cs="宋体"/>
                <w:color w:val="auto"/>
                <w:kern w:val="0"/>
                <w:szCs w:val="21"/>
                <w:highlight w:val="none"/>
              </w:rPr>
            </w:pPr>
          </w:p>
        </w:tc>
        <w:tc>
          <w:tcPr>
            <w:tcW w:w="1417" w:type="dxa"/>
            <w:noWrap w:val="0"/>
            <w:vAlign w:val="center"/>
          </w:tcPr>
          <w:p w14:paraId="5DF7191D">
            <w:pPr>
              <w:widowControl/>
              <w:jc w:val="center"/>
              <w:rPr>
                <w:rFonts w:ascii="宋体" w:hAnsi="宋体" w:cs="宋体"/>
                <w:color w:val="auto"/>
                <w:kern w:val="0"/>
                <w:szCs w:val="21"/>
                <w:highlight w:val="none"/>
              </w:rPr>
            </w:pPr>
          </w:p>
        </w:tc>
      </w:tr>
      <w:tr w14:paraId="4033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99" w:type="dxa"/>
            <w:noWrap w:val="0"/>
            <w:vAlign w:val="center"/>
          </w:tcPr>
          <w:p w14:paraId="693C9DB2">
            <w:pPr>
              <w:widowControl/>
              <w:jc w:val="center"/>
              <w:rPr>
                <w:rFonts w:ascii="宋体" w:hAnsi="宋体" w:cs="宋体"/>
                <w:color w:val="auto"/>
                <w:kern w:val="0"/>
                <w:szCs w:val="21"/>
                <w:highlight w:val="none"/>
              </w:rPr>
            </w:pPr>
          </w:p>
        </w:tc>
        <w:tc>
          <w:tcPr>
            <w:tcW w:w="2853" w:type="dxa"/>
            <w:noWrap w:val="0"/>
            <w:vAlign w:val="center"/>
          </w:tcPr>
          <w:p w14:paraId="32157B9C">
            <w:pPr>
              <w:widowControl/>
              <w:jc w:val="center"/>
              <w:rPr>
                <w:rFonts w:ascii="宋体" w:hAnsi="宋体" w:cs="宋体"/>
                <w:color w:val="auto"/>
                <w:kern w:val="0"/>
                <w:szCs w:val="21"/>
                <w:highlight w:val="none"/>
              </w:rPr>
            </w:pPr>
          </w:p>
        </w:tc>
        <w:tc>
          <w:tcPr>
            <w:tcW w:w="1843" w:type="dxa"/>
            <w:noWrap w:val="0"/>
            <w:vAlign w:val="center"/>
          </w:tcPr>
          <w:p w14:paraId="4A47D905">
            <w:pPr>
              <w:widowControl/>
              <w:jc w:val="center"/>
              <w:rPr>
                <w:rFonts w:ascii="宋体" w:hAnsi="宋体" w:cs="宋体"/>
                <w:color w:val="auto"/>
                <w:kern w:val="0"/>
                <w:szCs w:val="21"/>
                <w:highlight w:val="none"/>
              </w:rPr>
            </w:pPr>
          </w:p>
        </w:tc>
        <w:tc>
          <w:tcPr>
            <w:tcW w:w="1134" w:type="dxa"/>
            <w:noWrap w:val="0"/>
            <w:vAlign w:val="center"/>
          </w:tcPr>
          <w:p w14:paraId="3CC5ACBE">
            <w:pPr>
              <w:widowControl/>
              <w:jc w:val="center"/>
              <w:rPr>
                <w:rFonts w:ascii="宋体" w:hAnsi="宋体" w:cs="宋体"/>
                <w:color w:val="auto"/>
                <w:kern w:val="0"/>
                <w:szCs w:val="21"/>
                <w:highlight w:val="none"/>
              </w:rPr>
            </w:pPr>
          </w:p>
        </w:tc>
        <w:tc>
          <w:tcPr>
            <w:tcW w:w="1134" w:type="dxa"/>
            <w:noWrap w:val="0"/>
            <w:vAlign w:val="center"/>
          </w:tcPr>
          <w:p w14:paraId="02333C93">
            <w:pPr>
              <w:widowControl/>
              <w:jc w:val="center"/>
              <w:rPr>
                <w:rFonts w:ascii="宋体" w:hAnsi="宋体" w:cs="宋体"/>
                <w:color w:val="auto"/>
                <w:kern w:val="0"/>
                <w:szCs w:val="21"/>
                <w:highlight w:val="none"/>
              </w:rPr>
            </w:pPr>
          </w:p>
        </w:tc>
        <w:tc>
          <w:tcPr>
            <w:tcW w:w="1417" w:type="dxa"/>
            <w:noWrap w:val="0"/>
            <w:vAlign w:val="center"/>
          </w:tcPr>
          <w:p w14:paraId="5EB90624">
            <w:pPr>
              <w:widowControl/>
              <w:jc w:val="center"/>
              <w:rPr>
                <w:rFonts w:ascii="宋体" w:hAnsi="宋体" w:cs="宋体"/>
                <w:color w:val="auto"/>
                <w:kern w:val="0"/>
                <w:szCs w:val="21"/>
                <w:highlight w:val="none"/>
              </w:rPr>
            </w:pPr>
          </w:p>
        </w:tc>
      </w:tr>
      <w:tr w14:paraId="731D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99" w:type="dxa"/>
            <w:noWrap w:val="0"/>
            <w:vAlign w:val="center"/>
          </w:tcPr>
          <w:p w14:paraId="79645A2E">
            <w:pPr>
              <w:widowControl/>
              <w:jc w:val="center"/>
              <w:rPr>
                <w:rFonts w:ascii="宋体" w:hAnsi="宋体" w:cs="宋体"/>
                <w:color w:val="auto"/>
                <w:kern w:val="0"/>
                <w:szCs w:val="21"/>
                <w:highlight w:val="none"/>
              </w:rPr>
            </w:pPr>
          </w:p>
        </w:tc>
        <w:tc>
          <w:tcPr>
            <w:tcW w:w="2853" w:type="dxa"/>
            <w:noWrap w:val="0"/>
            <w:vAlign w:val="center"/>
          </w:tcPr>
          <w:p w14:paraId="49F56F08">
            <w:pPr>
              <w:widowControl/>
              <w:jc w:val="center"/>
              <w:rPr>
                <w:rFonts w:ascii="宋体" w:hAnsi="宋体" w:cs="宋体"/>
                <w:color w:val="auto"/>
                <w:kern w:val="0"/>
                <w:szCs w:val="21"/>
                <w:highlight w:val="none"/>
              </w:rPr>
            </w:pPr>
          </w:p>
        </w:tc>
        <w:tc>
          <w:tcPr>
            <w:tcW w:w="1843" w:type="dxa"/>
            <w:noWrap w:val="0"/>
            <w:vAlign w:val="center"/>
          </w:tcPr>
          <w:p w14:paraId="47EB04D0">
            <w:pPr>
              <w:widowControl/>
              <w:jc w:val="center"/>
              <w:rPr>
                <w:rFonts w:ascii="宋体" w:hAnsi="宋体" w:cs="宋体"/>
                <w:color w:val="auto"/>
                <w:kern w:val="0"/>
                <w:szCs w:val="21"/>
                <w:highlight w:val="none"/>
              </w:rPr>
            </w:pPr>
          </w:p>
        </w:tc>
        <w:tc>
          <w:tcPr>
            <w:tcW w:w="1134" w:type="dxa"/>
            <w:noWrap w:val="0"/>
            <w:vAlign w:val="center"/>
          </w:tcPr>
          <w:p w14:paraId="5AF2F9A6">
            <w:pPr>
              <w:widowControl/>
              <w:jc w:val="center"/>
              <w:rPr>
                <w:rFonts w:ascii="宋体" w:hAnsi="宋体" w:cs="宋体"/>
                <w:color w:val="auto"/>
                <w:kern w:val="0"/>
                <w:szCs w:val="21"/>
                <w:highlight w:val="none"/>
              </w:rPr>
            </w:pPr>
          </w:p>
        </w:tc>
        <w:tc>
          <w:tcPr>
            <w:tcW w:w="1134" w:type="dxa"/>
            <w:noWrap w:val="0"/>
            <w:vAlign w:val="center"/>
          </w:tcPr>
          <w:p w14:paraId="56D40EB0">
            <w:pPr>
              <w:widowControl/>
              <w:jc w:val="center"/>
              <w:rPr>
                <w:rFonts w:ascii="宋体" w:hAnsi="宋体" w:cs="宋体"/>
                <w:color w:val="auto"/>
                <w:kern w:val="0"/>
                <w:szCs w:val="21"/>
                <w:highlight w:val="none"/>
              </w:rPr>
            </w:pPr>
          </w:p>
        </w:tc>
        <w:tc>
          <w:tcPr>
            <w:tcW w:w="1417" w:type="dxa"/>
            <w:noWrap w:val="0"/>
            <w:vAlign w:val="center"/>
          </w:tcPr>
          <w:p w14:paraId="397F24A4">
            <w:pPr>
              <w:widowControl/>
              <w:jc w:val="center"/>
              <w:rPr>
                <w:rFonts w:ascii="宋体" w:hAnsi="宋体" w:cs="宋体"/>
                <w:color w:val="auto"/>
                <w:kern w:val="0"/>
                <w:szCs w:val="21"/>
                <w:highlight w:val="none"/>
              </w:rPr>
            </w:pPr>
          </w:p>
        </w:tc>
      </w:tr>
      <w:tr w14:paraId="67F7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99" w:type="dxa"/>
            <w:noWrap w:val="0"/>
            <w:vAlign w:val="center"/>
          </w:tcPr>
          <w:p w14:paraId="261EC953">
            <w:pPr>
              <w:widowControl/>
              <w:jc w:val="center"/>
              <w:rPr>
                <w:rFonts w:ascii="宋体" w:hAnsi="宋体" w:cs="宋体"/>
                <w:color w:val="auto"/>
                <w:kern w:val="0"/>
                <w:szCs w:val="21"/>
                <w:highlight w:val="none"/>
              </w:rPr>
            </w:pPr>
          </w:p>
        </w:tc>
        <w:tc>
          <w:tcPr>
            <w:tcW w:w="2853" w:type="dxa"/>
            <w:noWrap w:val="0"/>
            <w:vAlign w:val="center"/>
          </w:tcPr>
          <w:p w14:paraId="17174E9C">
            <w:pPr>
              <w:widowControl/>
              <w:jc w:val="center"/>
              <w:rPr>
                <w:rFonts w:ascii="宋体" w:hAnsi="宋体" w:cs="宋体"/>
                <w:color w:val="auto"/>
                <w:kern w:val="0"/>
                <w:szCs w:val="21"/>
                <w:highlight w:val="none"/>
              </w:rPr>
            </w:pPr>
          </w:p>
        </w:tc>
        <w:tc>
          <w:tcPr>
            <w:tcW w:w="1843" w:type="dxa"/>
            <w:noWrap w:val="0"/>
            <w:vAlign w:val="center"/>
          </w:tcPr>
          <w:p w14:paraId="2C18ABD6">
            <w:pPr>
              <w:widowControl/>
              <w:jc w:val="center"/>
              <w:rPr>
                <w:rFonts w:ascii="宋体" w:hAnsi="宋体" w:cs="宋体"/>
                <w:color w:val="auto"/>
                <w:kern w:val="0"/>
                <w:szCs w:val="21"/>
                <w:highlight w:val="none"/>
              </w:rPr>
            </w:pPr>
          </w:p>
        </w:tc>
        <w:tc>
          <w:tcPr>
            <w:tcW w:w="1134" w:type="dxa"/>
            <w:noWrap w:val="0"/>
            <w:vAlign w:val="center"/>
          </w:tcPr>
          <w:p w14:paraId="40E0B07E">
            <w:pPr>
              <w:widowControl/>
              <w:jc w:val="center"/>
              <w:rPr>
                <w:rFonts w:ascii="宋体" w:hAnsi="宋体" w:cs="宋体"/>
                <w:color w:val="auto"/>
                <w:kern w:val="0"/>
                <w:szCs w:val="21"/>
                <w:highlight w:val="none"/>
              </w:rPr>
            </w:pPr>
          </w:p>
        </w:tc>
        <w:tc>
          <w:tcPr>
            <w:tcW w:w="1134" w:type="dxa"/>
            <w:noWrap w:val="0"/>
            <w:vAlign w:val="center"/>
          </w:tcPr>
          <w:p w14:paraId="3CCBB64D">
            <w:pPr>
              <w:widowControl/>
              <w:jc w:val="center"/>
              <w:rPr>
                <w:rFonts w:ascii="宋体" w:hAnsi="宋体" w:cs="宋体"/>
                <w:color w:val="auto"/>
                <w:kern w:val="0"/>
                <w:szCs w:val="21"/>
                <w:highlight w:val="none"/>
              </w:rPr>
            </w:pPr>
          </w:p>
        </w:tc>
        <w:tc>
          <w:tcPr>
            <w:tcW w:w="1417" w:type="dxa"/>
            <w:noWrap w:val="0"/>
            <w:vAlign w:val="center"/>
          </w:tcPr>
          <w:p w14:paraId="4D998FD9">
            <w:pPr>
              <w:widowControl/>
              <w:jc w:val="center"/>
              <w:rPr>
                <w:rFonts w:ascii="宋体" w:hAnsi="宋体" w:cs="宋体"/>
                <w:color w:val="auto"/>
                <w:kern w:val="0"/>
                <w:szCs w:val="21"/>
                <w:highlight w:val="none"/>
              </w:rPr>
            </w:pPr>
          </w:p>
        </w:tc>
      </w:tr>
      <w:tr w14:paraId="349E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99" w:type="dxa"/>
            <w:noWrap w:val="0"/>
            <w:vAlign w:val="center"/>
          </w:tcPr>
          <w:p w14:paraId="207A26E0">
            <w:pPr>
              <w:widowControl/>
              <w:jc w:val="center"/>
              <w:rPr>
                <w:rFonts w:ascii="宋体" w:hAnsi="宋体" w:cs="宋体"/>
                <w:color w:val="auto"/>
                <w:kern w:val="0"/>
                <w:szCs w:val="21"/>
                <w:highlight w:val="none"/>
              </w:rPr>
            </w:pPr>
          </w:p>
        </w:tc>
        <w:tc>
          <w:tcPr>
            <w:tcW w:w="2853" w:type="dxa"/>
            <w:noWrap w:val="0"/>
            <w:vAlign w:val="center"/>
          </w:tcPr>
          <w:p w14:paraId="01C4ADAF">
            <w:pPr>
              <w:widowControl/>
              <w:jc w:val="center"/>
              <w:rPr>
                <w:rFonts w:ascii="宋体" w:hAnsi="宋体" w:cs="宋体"/>
                <w:color w:val="auto"/>
                <w:kern w:val="0"/>
                <w:szCs w:val="21"/>
                <w:highlight w:val="none"/>
              </w:rPr>
            </w:pPr>
          </w:p>
        </w:tc>
        <w:tc>
          <w:tcPr>
            <w:tcW w:w="1843" w:type="dxa"/>
            <w:noWrap w:val="0"/>
            <w:vAlign w:val="center"/>
          </w:tcPr>
          <w:p w14:paraId="66AA35F4">
            <w:pPr>
              <w:widowControl/>
              <w:jc w:val="center"/>
              <w:rPr>
                <w:rFonts w:ascii="宋体" w:hAnsi="宋体" w:cs="宋体"/>
                <w:color w:val="auto"/>
                <w:kern w:val="0"/>
                <w:szCs w:val="21"/>
                <w:highlight w:val="none"/>
              </w:rPr>
            </w:pPr>
          </w:p>
        </w:tc>
        <w:tc>
          <w:tcPr>
            <w:tcW w:w="1134" w:type="dxa"/>
            <w:noWrap w:val="0"/>
            <w:vAlign w:val="center"/>
          </w:tcPr>
          <w:p w14:paraId="7FFFB10D">
            <w:pPr>
              <w:widowControl/>
              <w:jc w:val="center"/>
              <w:rPr>
                <w:rFonts w:ascii="宋体" w:hAnsi="宋体" w:cs="宋体"/>
                <w:color w:val="auto"/>
                <w:kern w:val="0"/>
                <w:szCs w:val="21"/>
                <w:highlight w:val="none"/>
              </w:rPr>
            </w:pPr>
          </w:p>
        </w:tc>
        <w:tc>
          <w:tcPr>
            <w:tcW w:w="1134" w:type="dxa"/>
            <w:noWrap w:val="0"/>
            <w:vAlign w:val="center"/>
          </w:tcPr>
          <w:p w14:paraId="53A4A5ED">
            <w:pPr>
              <w:widowControl/>
              <w:jc w:val="center"/>
              <w:rPr>
                <w:rFonts w:ascii="宋体" w:hAnsi="宋体" w:cs="宋体"/>
                <w:color w:val="auto"/>
                <w:kern w:val="0"/>
                <w:szCs w:val="21"/>
                <w:highlight w:val="none"/>
              </w:rPr>
            </w:pPr>
          </w:p>
        </w:tc>
        <w:tc>
          <w:tcPr>
            <w:tcW w:w="1417" w:type="dxa"/>
            <w:noWrap w:val="0"/>
            <w:vAlign w:val="center"/>
          </w:tcPr>
          <w:p w14:paraId="4EE8A8AD">
            <w:pPr>
              <w:widowControl/>
              <w:jc w:val="center"/>
              <w:rPr>
                <w:rFonts w:ascii="宋体" w:hAnsi="宋体" w:cs="宋体"/>
                <w:color w:val="auto"/>
                <w:kern w:val="0"/>
                <w:szCs w:val="21"/>
                <w:highlight w:val="none"/>
              </w:rPr>
            </w:pPr>
          </w:p>
        </w:tc>
      </w:tr>
      <w:tr w14:paraId="6A47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99" w:type="dxa"/>
            <w:noWrap w:val="0"/>
            <w:vAlign w:val="center"/>
          </w:tcPr>
          <w:p w14:paraId="079DADC0">
            <w:pPr>
              <w:widowControl/>
              <w:jc w:val="center"/>
              <w:rPr>
                <w:rFonts w:ascii="宋体" w:hAnsi="宋体" w:cs="宋体"/>
                <w:color w:val="auto"/>
                <w:kern w:val="0"/>
                <w:szCs w:val="21"/>
                <w:highlight w:val="none"/>
              </w:rPr>
            </w:pPr>
          </w:p>
        </w:tc>
        <w:tc>
          <w:tcPr>
            <w:tcW w:w="2853" w:type="dxa"/>
            <w:noWrap w:val="0"/>
            <w:vAlign w:val="center"/>
          </w:tcPr>
          <w:p w14:paraId="5FE1C59F">
            <w:pPr>
              <w:widowControl/>
              <w:jc w:val="center"/>
              <w:rPr>
                <w:rFonts w:ascii="宋体" w:hAnsi="宋体" w:cs="宋体"/>
                <w:color w:val="auto"/>
                <w:kern w:val="0"/>
                <w:szCs w:val="21"/>
                <w:highlight w:val="none"/>
              </w:rPr>
            </w:pPr>
          </w:p>
        </w:tc>
        <w:tc>
          <w:tcPr>
            <w:tcW w:w="1843" w:type="dxa"/>
            <w:noWrap w:val="0"/>
            <w:vAlign w:val="center"/>
          </w:tcPr>
          <w:p w14:paraId="1F11EE62">
            <w:pPr>
              <w:widowControl/>
              <w:jc w:val="center"/>
              <w:rPr>
                <w:rFonts w:ascii="宋体" w:hAnsi="宋体" w:cs="宋体"/>
                <w:color w:val="auto"/>
                <w:kern w:val="0"/>
                <w:szCs w:val="21"/>
                <w:highlight w:val="none"/>
              </w:rPr>
            </w:pPr>
          </w:p>
        </w:tc>
        <w:tc>
          <w:tcPr>
            <w:tcW w:w="1134" w:type="dxa"/>
            <w:noWrap w:val="0"/>
            <w:vAlign w:val="center"/>
          </w:tcPr>
          <w:p w14:paraId="573E40EC">
            <w:pPr>
              <w:widowControl/>
              <w:jc w:val="center"/>
              <w:rPr>
                <w:rFonts w:ascii="宋体" w:hAnsi="宋体" w:cs="宋体"/>
                <w:color w:val="auto"/>
                <w:kern w:val="0"/>
                <w:szCs w:val="21"/>
                <w:highlight w:val="none"/>
              </w:rPr>
            </w:pPr>
          </w:p>
        </w:tc>
        <w:tc>
          <w:tcPr>
            <w:tcW w:w="1134" w:type="dxa"/>
            <w:noWrap w:val="0"/>
            <w:vAlign w:val="center"/>
          </w:tcPr>
          <w:p w14:paraId="7E1B5324">
            <w:pPr>
              <w:widowControl/>
              <w:jc w:val="center"/>
              <w:rPr>
                <w:rFonts w:ascii="宋体" w:hAnsi="宋体" w:cs="宋体"/>
                <w:color w:val="auto"/>
                <w:kern w:val="0"/>
                <w:szCs w:val="21"/>
                <w:highlight w:val="none"/>
              </w:rPr>
            </w:pPr>
          </w:p>
        </w:tc>
        <w:tc>
          <w:tcPr>
            <w:tcW w:w="1417" w:type="dxa"/>
            <w:noWrap w:val="0"/>
            <w:vAlign w:val="center"/>
          </w:tcPr>
          <w:p w14:paraId="4E2E1378">
            <w:pPr>
              <w:widowControl/>
              <w:jc w:val="center"/>
              <w:rPr>
                <w:rFonts w:ascii="宋体" w:hAnsi="宋体" w:cs="宋体"/>
                <w:color w:val="auto"/>
                <w:kern w:val="0"/>
                <w:szCs w:val="21"/>
                <w:highlight w:val="none"/>
              </w:rPr>
            </w:pPr>
          </w:p>
        </w:tc>
      </w:tr>
    </w:tbl>
    <w:p w14:paraId="49D7689D">
      <w:pPr>
        <w:tabs>
          <w:tab w:val="left" w:pos="7740"/>
        </w:tabs>
        <w:spacing w:line="360" w:lineRule="auto"/>
        <w:rPr>
          <w:rFonts w:hint="eastAsia" w:ascii="宋体" w:hAnsi="宋体"/>
          <w:b/>
          <w:color w:val="auto"/>
          <w:szCs w:val="21"/>
          <w:highlight w:val="none"/>
        </w:rPr>
      </w:pPr>
    </w:p>
    <w:p w14:paraId="29A06D0E">
      <w:pPr>
        <w:tabs>
          <w:tab w:val="left" w:pos="7740"/>
        </w:tabs>
        <w:spacing w:line="360" w:lineRule="exact"/>
        <w:rPr>
          <w:color w:val="auto"/>
          <w:highlight w:val="none"/>
        </w:rPr>
      </w:pPr>
      <w:r>
        <w:rPr>
          <w:rFonts w:hint="eastAsia" w:ascii="宋体" w:hAnsi="宋体"/>
          <w:b/>
          <w:color w:val="auto"/>
          <w:szCs w:val="21"/>
          <w:highlight w:val="none"/>
        </w:rPr>
        <w:t>说明：</w:t>
      </w:r>
    </w:p>
    <w:p w14:paraId="4D973401">
      <w:pPr>
        <w:pStyle w:val="10"/>
        <w:spacing w:line="360" w:lineRule="auto"/>
        <w:ind w:firstLine="0"/>
        <w:rPr>
          <w:color w:val="auto"/>
          <w:highlight w:val="none"/>
        </w:rPr>
      </w:pPr>
      <w:r>
        <w:rPr>
          <w:rFonts w:hint="eastAsia"/>
          <w:color w:val="auto"/>
          <w:highlight w:val="none"/>
        </w:rPr>
        <w:t>1、提供符合本招标文件要求的类似项目业绩，表后附合同复印件（加盖投标人公章），否则相关评分项目不得分。</w:t>
      </w:r>
    </w:p>
    <w:p w14:paraId="779F289C">
      <w:pPr>
        <w:pStyle w:val="10"/>
        <w:spacing w:line="360" w:lineRule="auto"/>
        <w:ind w:firstLine="0"/>
        <w:rPr>
          <w:color w:val="auto"/>
          <w:highlight w:val="none"/>
        </w:rPr>
      </w:pPr>
      <w:r>
        <w:rPr>
          <w:rFonts w:hint="eastAsia"/>
          <w:color w:val="auto"/>
          <w:highlight w:val="none"/>
        </w:rPr>
        <w:t>2、投标人所提供合同须是真实有效的。在合同签订前，如采购人经核实后发现与实际情况不符，取消其中标资格，并按有关规定处理。</w:t>
      </w:r>
    </w:p>
    <w:p w14:paraId="6274BBDC">
      <w:pPr>
        <w:pStyle w:val="10"/>
        <w:spacing w:line="360" w:lineRule="auto"/>
        <w:ind w:firstLine="0"/>
        <w:rPr>
          <w:color w:val="auto"/>
          <w:highlight w:val="none"/>
        </w:rPr>
      </w:pPr>
      <w:r>
        <w:rPr>
          <w:rFonts w:hint="eastAsia"/>
          <w:color w:val="auto"/>
          <w:highlight w:val="none"/>
        </w:rPr>
        <w:t>3、此表在不改变表式的情况下，可自行制作。</w:t>
      </w:r>
    </w:p>
    <w:p w14:paraId="1ABED9DC">
      <w:pPr>
        <w:rPr>
          <w:color w:val="auto"/>
          <w:highlight w:val="none"/>
        </w:rPr>
      </w:pPr>
    </w:p>
    <w:p w14:paraId="3B8E79B4">
      <w:pPr>
        <w:pStyle w:val="13"/>
        <w:rPr>
          <w:color w:val="auto"/>
          <w:highlight w:val="none"/>
        </w:rPr>
      </w:pPr>
    </w:p>
    <w:p w14:paraId="2BCA2098">
      <w:pPr>
        <w:pStyle w:val="10"/>
        <w:spacing w:line="360" w:lineRule="auto"/>
        <w:ind w:firstLine="0"/>
        <w:rPr>
          <w:color w:val="auto"/>
          <w:highlight w:val="none"/>
        </w:rPr>
      </w:pPr>
      <w:r>
        <w:rPr>
          <w:rFonts w:hint="eastAsia"/>
          <w:color w:val="auto"/>
          <w:highlight w:val="none"/>
        </w:rPr>
        <w:t>投标人名称（盖章）</w:t>
      </w:r>
      <w:r>
        <w:rPr>
          <w:rFonts w:hint="eastAsia" w:ascii="宋体" w:hAnsi="宋体"/>
          <w:color w:val="auto"/>
          <w:szCs w:val="21"/>
          <w:highlight w:val="none"/>
          <w:u w:val="single"/>
        </w:rPr>
        <w:t xml:space="preserve">                                  </w:t>
      </w:r>
    </w:p>
    <w:p w14:paraId="6CECE12F">
      <w:pPr>
        <w:spacing w:line="360" w:lineRule="auto"/>
        <w:rPr>
          <w:rFonts w:hint="eastAsia" w:ascii="宋体" w:hAnsi="宋体"/>
          <w:color w:val="auto"/>
          <w:szCs w:val="21"/>
          <w:highlight w:val="none"/>
        </w:rPr>
      </w:pPr>
      <w:r>
        <w:rPr>
          <w:rFonts w:hint="eastAsia" w:ascii="宋体" w:hAnsi="宋体"/>
          <w:color w:val="auto"/>
          <w:szCs w:val="21"/>
          <w:highlight w:val="none"/>
        </w:rPr>
        <w:t>法定代表人(或全权代表)签字或盖章：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1EB5D1D5">
      <w:pPr>
        <w:spacing w:line="360" w:lineRule="auto"/>
        <w:rPr>
          <w:rFonts w:ascii="宋体" w:hAnsi="宋体"/>
          <w:b/>
          <w:color w:val="auto"/>
          <w:szCs w:val="21"/>
          <w:highlight w:val="none"/>
          <w:u w:val="single"/>
        </w:rPr>
      </w:pP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p>
    <w:p w14:paraId="019411B9">
      <w:pPr>
        <w:spacing w:line="360" w:lineRule="auto"/>
        <w:rPr>
          <w:rFonts w:ascii="宋体" w:hAnsi="宋体"/>
          <w:color w:val="auto"/>
          <w:szCs w:val="21"/>
          <w:highlight w:val="none"/>
        </w:rPr>
      </w:pPr>
    </w:p>
    <w:p w14:paraId="39707623">
      <w:pPr>
        <w:pStyle w:val="2"/>
        <w:outlineLvl w:val="9"/>
        <w:rPr>
          <w:rFonts w:ascii="宋体" w:hAnsi="宋体"/>
          <w:color w:val="auto"/>
          <w:highlight w:val="none"/>
        </w:rPr>
      </w:pPr>
      <w:r>
        <w:rPr>
          <w:rFonts w:hint="eastAsia" w:ascii="宋体" w:hAnsi="宋体"/>
          <w:color w:val="auto"/>
          <w:highlight w:val="none"/>
        </w:rPr>
        <w:t xml:space="preserve"> </w:t>
      </w:r>
    </w:p>
    <w:p w14:paraId="3B396362">
      <w:pPr>
        <w:rPr>
          <w:color w:val="auto"/>
          <w:highlight w:val="none"/>
        </w:rPr>
      </w:pPr>
    </w:p>
    <w:p w14:paraId="282F6E3A">
      <w:pPr>
        <w:spacing w:line="360" w:lineRule="auto"/>
        <w:rPr>
          <w:rFonts w:hint="eastAsia" w:ascii="宋体" w:hAnsi="宋体"/>
          <w:color w:val="auto"/>
          <w:szCs w:val="21"/>
          <w:highlight w:val="none"/>
          <w:u w:val="single"/>
        </w:rPr>
      </w:pPr>
      <w:r>
        <w:rPr>
          <w:rFonts w:hint="eastAsia" w:ascii="宋体" w:hAnsi="宋体" w:cs="宋体"/>
          <w:b/>
          <w:color w:val="auto"/>
          <w:sz w:val="30"/>
          <w:szCs w:val="30"/>
          <w:highlight w:val="none"/>
        </w:rPr>
        <w:br w:type="page"/>
      </w:r>
    </w:p>
    <w:p w14:paraId="16322730">
      <w:pPr>
        <w:jc w:val="center"/>
        <w:outlineLvl w:val="0"/>
        <w:rPr>
          <w:rFonts w:hint="eastAsia" w:ascii="宋体" w:hAnsi="宋体" w:eastAsia="宋体" w:cs="宋体"/>
          <w:b/>
          <w:color w:val="auto"/>
          <w:sz w:val="30"/>
          <w:szCs w:val="30"/>
          <w:highlight w:val="none"/>
        </w:rPr>
      </w:pPr>
      <w:bookmarkStart w:id="115" w:name="_Toc2518"/>
      <w:r>
        <w:rPr>
          <w:rFonts w:hint="eastAsia" w:ascii="宋体" w:hAnsi="宋体" w:eastAsia="宋体" w:cs="宋体"/>
          <w:b/>
          <w:color w:val="auto"/>
          <w:sz w:val="30"/>
          <w:szCs w:val="30"/>
          <w:highlight w:val="none"/>
        </w:rPr>
        <w:t>评分标准或采购文件需要提供的证明材料及文字说明</w:t>
      </w:r>
      <w:r>
        <w:rPr>
          <w:rFonts w:hint="eastAsia" w:ascii="宋体" w:hAnsi="宋体" w:eastAsia="宋体" w:cs="宋体"/>
          <w:b/>
          <w:color w:val="auto"/>
          <w:sz w:val="30"/>
          <w:szCs w:val="30"/>
          <w:highlight w:val="none"/>
          <w:lang w:val="en-US" w:eastAsia="zh-CN"/>
        </w:rPr>
        <w:t>(格式自拟)</w:t>
      </w:r>
      <w:bookmarkEnd w:id="115"/>
    </w:p>
    <w:p w14:paraId="72B37DCC">
      <w:pPr>
        <w:pStyle w:val="59"/>
        <w:ind w:firstLine="0" w:firstLineChars="0"/>
        <w:rPr>
          <w:rFonts w:hint="eastAsia"/>
          <w:color w:val="auto"/>
          <w:highlight w:val="none"/>
        </w:rPr>
      </w:pPr>
    </w:p>
    <w:p w14:paraId="0C9DFDDE">
      <w:pPr>
        <w:pStyle w:val="59"/>
        <w:ind w:firstLine="0" w:firstLineChars="0"/>
        <w:rPr>
          <w:rFonts w:hint="eastAsia"/>
          <w:color w:val="auto"/>
          <w:highlight w:val="none"/>
        </w:rPr>
      </w:pPr>
    </w:p>
    <w:p w14:paraId="6CFF0228">
      <w:pPr>
        <w:pStyle w:val="59"/>
        <w:ind w:firstLine="0" w:firstLineChars="0"/>
        <w:rPr>
          <w:rFonts w:hint="eastAsia"/>
          <w:color w:val="auto"/>
          <w:highlight w:val="none"/>
        </w:rPr>
      </w:pPr>
    </w:p>
    <w:p w14:paraId="3F93288D">
      <w:pPr>
        <w:rPr>
          <w:color w:val="auto"/>
          <w:highlight w:val="none"/>
        </w:rPr>
      </w:pPr>
    </w:p>
    <w:sectPr>
      <w:pgSz w:w="11906" w:h="16838"/>
      <w:pgMar w:top="1247" w:right="1247" w:bottom="1134" w:left="124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方正书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5B1D7">
    <w:pPr>
      <w:pStyle w:val="20"/>
      <w:tabs>
        <w:tab w:val="left" w:pos="4305"/>
        <w:tab w:val="center" w:pos="4535"/>
      </w:tabs>
      <w:jc w:val="center"/>
    </w:pPr>
    <w:r>
      <w:fldChar w:fldCharType="begin"/>
    </w:r>
    <w:r>
      <w:instrText xml:space="preserve"> PAGE   \* MERGEFORMAT </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F7724">
    <w:pPr>
      <w:pStyle w:val="20"/>
      <w:tabs>
        <w:tab w:val="left" w:pos="4305"/>
        <w:tab w:val="center" w:pos="4535"/>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7059C4">
                          <w:pPr>
                            <w:pStyle w:val="20"/>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5C7059C4">
                    <w:pPr>
                      <w:pStyle w:val="2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753E4">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0DCAA4"/>
    <w:multiLevelType w:val="singleLevel"/>
    <w:tmpl w:val="C20DCAA4"/>
    <w:lvl w:ilvl="0" w:tentative="0">
      <w:start w:val="9"/>
      <w:numFmt w:val="chineseCounting"/>
      <w:suff w:val="nothing"/>
      <w:lvlText w:val="%1、"/>
      <w:lvlJc w:val="left"/>
      <w:rPr>
        <w:rFonts w:hint="eastAsia"/>
      </w:rPr>
    </w:lvl>
  </w:abstractNum>
  <w:abstractNum w:abstractNumId="1">
    <w:nsid w:val="C925AF14"/>
    <w:multiLevelType w:val="singleLevel"/>
    <w:tmpl w:val="C925AF14"/>
    <w:lvl w:ilvl="0" w:tentative="0">
      <w:start w:val="1"/>
      <w:numFmt w:val="decimal"/>
      <w:suff w:val="nothing"/>
      <w:lvlText w:val="%1、"/>
      <w:lvlJc w:val="left"/>
    </w:lvl>
  </w:abstractNum>
  <w:abstractNum w:abstractNumId="2">
    <w:nsid w:val="C9307F20"/>
    <w:multiLevelType w:val="singleLevel"/>
    <w:tmpl w:val="C9307F20"/>
    <w:lvl w:ilvl="0" w:tentative="0">
      <w:start w:val="1"/>
      <w:numFmt w:val="bullet"/>
      <w:lvlText w:val=""/>
      <w:lvlJc w:val="left"/>
      <w:pPr>
        <w:ind w:left="840" w:hanging="420"/>
      </w:pPr>
      <w:rPr>
        <w:rFonts w:hint="default" w:ascii="Wingdings" w:hAnsi="Wingdings"/>
      </w:rPr>
    </w:lvl>
  </w:abstractNum>
  <w:abstractNum w:abstractNumId="3">
    <w:nsid w:val="E0ABF47C"/>
    <w:multiLevelType w:val="singleLevel"/>
    <w:tmpl w:val="E0ABF47C"/>
    <w:lvl w:ilvl="0" w:tentative="0">
      <w:start w:val="2"/>
      <w:numFmt w:val="chineseCounting"/>
      <w:suff w:val="nothing"/>
      <w:lvlText w:val="%1、"/>
      <w:lvlJc w:val="left"/>
      <w:rPr>
        <w:rFonts w:hint="eastAsia"/>
      </w:rPr>
    </w:lvl>
  </w:abstractNum>
  <w:abstractNum w:abstractNumId="4">
    <w:nsid w:val="FBDF4561"/>
    <w:multiLevelType w:val="singleLevel"/>
    <w:tmpl w:val="FBDF4561"/>
    <w:lvl w:ilvl="0" w:tentative="0">
      <w:start w:val="1"/>
      <w:numFmt w:val="decimal"/>
      <w:suff w:val="nothing"/>
      <w:lvlText w:val="%1、"/>
      <w:lvlJc w:val="left"/>
    </w:lvl>
  </w:abstractNum>
  <w:abstractNum w:abstractNumId="5">
    <w:nsid w:val="0728E0A6"/>
    <w:multiLevelType w:val="singleLevel"/>
    <w:tmpl w:val="0728E0A6"/>
    <w:lvl w:ilvl="0" w:tentative="0">
      <w:start w:val="1"/>
      <w:numFmt w:val="decimal"/>
      <w:lvlText w:val="%1."/>
      <w:lvlJc w:val="left"/>
      <w:pPr>
        <w:tabs>
          <w:tab w:val="left" w:pos="312"/>
        </w:tabs>
      </w:pPr>
    </w:lvl>
  </w:abstractNum>
  <w:abstractNum w:abstractNumId="6">
    <w:nsid w:val="4C2A2008"/>
    <w:multiLevelType w:val="multilevel"/>
    <w:tmpl w:val="4C2A2008"/>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4C3375B5"/>
    <w:multiLevelType w:val="multilevel"/>
    <w:tmpl w:val="4C3375B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56DA950D"/>
    <w:multiLevelType w:val="singleLevel"/>
    <w:tmpl w:val="56DA950D"/>
    <w:lvl w:ilvl="0" w:tentative="0">
      <w:start w:val="1"/>
      <w:numFmt w:val="decimal"/>
      <w:lvlText w:val="%1."/>
      <w:lvlJc w:val="left"/>
      <w:pPr>
        <w:tabs>
          <w:tab w:val="left" w:pos="312"/>
        </w:tabs>
      </w:pPr>
    </w:lvl>
  </w:abstractNum>
  <w:abstractNum w:abstractNumId="10">
    <w:nsid w:val="68F01F09"/>
    <w:multiLevelType w:val="multilevel"/>
    <w:tmpl w:val="68F01F09"/>
    <w:lvl w:ilvl="0" w:tentative="0">
      <w:start w:val="1"/>
      <w:numFmt w:val="chineseCountingThousand"/>
      <w:lvlText w:val="%1、"/>
      <w:lvlJc w:val="left"/>
      <w:pPr>
        <w:ind w:left="574" w:hanging="432"/>
      </w:pPr>
      <w:rPr>
        <w:rFonts w:hint="eastAsia"/>
      </w:rPr>
    </w:lvl>
    <w:lvl w:ilvl="1" w:tentative="0">
      <w:start w:val="1"/>
      <w:numFmt w:val="decimal"/>
      <w:isLgl/>
      <w:lvlText w:val="%1.%2"/>
      <w:lvlJc w:val="left"/>
      <w:pPr>
        <w:ind w:left="576" w:hanging="576"/>
      </w:pPr>
      <w:rPr>
        <w:rFonts w:hint="eastAsia"/>
      </w:rPr>
    </w:lvl>
    <w:lvl w:ilvl="2" w:tentative="0">
      <w:start w:val="1"/>
      <w:numFmt w:val="decimal"/>
      <w:pStyle w:val="4"/>
      <w:isLgl/>
      <w:lvlText w:val="%1.%2.%3"/>
      <w:lvlJc w:val="left"/>
      <w:pPr>
        <w:ind w:left="720" w:hanging="720"/>
      </w:pPr>
      <w:rPr>
        <w:rFonts w:hint="default" w:ascii="Times New Roman" w:hAnsi="Times New Roman" w:eastAsia="仿宋_GB2312" w:cs="Times New Roman"/>
        <w:b/>
        <w:bCs w:val="0"/>
        <w:i w:val="0"/>
        <w:sz w:val="24"/>
        <w:szCs w:val="28"/>
      </w:rPr>
    </w:lvl>
    <w:lvl w:ilvl="3" w:tentative="0">
      <w:start w:val="1"/>
      <w:numFmt w:val="decimal"/>
      <w:pStyle w:val="6"/>
      <w:isLgl/>
      <w:lvlText w:val="%1.%2.%3.%4"/>
      <w:lvlJc w:val="left"/>
      <w:pPr>
        <w:ind w:left="1716" w:hanging="864"/>
      </w:pPr>
      <w:rPr>
        <w:rFonts w:hint="default" w:ascii="Times New Roman" w:hAnsi="Times New Roman" w:eastAsia="仿宋_GB2312" w:cs="Times New Roman"/>
        <w:b/>
        <w:bCs w:val="0"/>
        <w:i w:val="0"/>
        <w:sz w:val="24"/>
        <w:szCs w:val="24"/>
      </w:rPr>
    </w:lvl>
    <w:lvl w:ilvl="4" w:tentative="0">
      <w:start w:val="1"/>
      <w:numFmt w:val="decimal"/>
      <w:pStyle w:val="7"/>
      <w:isLgl/>
      <w:lvlText w:val="%1.%2.%3.%4.%5"/>
      <w:lvlJc w:val="left"/>
      <w:pPr>
        <w:ind w:left="2427" w:hanging="1008"/>
      </w:pPr>
      <w:rPr>
        <w:rFonts w:hint="default" w:ascii="Times New Roman" w:hAnsi="Times New Roman" w:eastAsia="仿宋_GB2312" w:cs="Times New Roman"/>
        <w:b/>
        <w:bCs w:val="0"/>
        <w:i w:val="0"/>
        <w:sz w:val="24"/>
        <w:szCs w:val="24"/>
      </w:rPr>
    </w:lvl>
    <w:lvl w:ilvl="5" w:tentative="0">
      <w:start w:val="1"/>
      <w:numFmt w:val="decimal"/>
      <w:pStyle w:val="8"/>
      <w:isLgl/>
      <w:lvlText w:val="%1.%2.%3.%4.%5.%6"/>
      <w:lvlJc w:val="left"/>
      <w:pPr>
        <w:ind w:left="1294" w:hanging="1152"/>
      </w:pPr>
      <w:rPr>
        <w:rFonts w:hint="default" w:ascii="Times New Roman" w:hAnsi="Times New Roman" w:eastAsia="仿宋_GB2312" w:cs="Times New Roman"/>
        <w:b/>
        <w:bCs w:val="0"/>
        <w:i w:val="0"/>
        <w:sz w:val="24"/>
        <w:szCs w:val="22"/>
      </w:rPr>
    </w:lvl>
    <w:lvl w:ilvl="6" w:tentative="0">
      <w:start w:val="1"/>
      <w:numFmt w:val="decimal"/>
      <w:pStyle w:val="9"/>
      <w:isLgl/>
      <w:lvlText w:val="%1.%2.%3.%4.%5.%6.%7"/>
      <w:lvlJc w:val="left"/>
      <w:pPr>
        <w:ind w:left="1296" w:hanging="1296"/>
      </w:pPr>
      <w:rPr>
        <w:rFonts w:hint="eastAsia"/>
      </w:rPr>
    </w:lvl>
    <w:lvl w:ilvl="7" w:tentative="0">
      <w:start w:val="1"/>
      <w:numFmt w:val="decimal"/>
      <w:isLgl/>
      <w:lvlText w:val="%1.%2.%3.%4.%5.%6.%7.%8"/>
      <w:lvlJc w:val="left"/>
      <w:pPr>
        <w:ind w:left="1440" w:hanging="1440"/>
      </w:pPr>
      <w:rPr>
        <w:rFonts w:hint="default" w:ascii="Times New Roman" w:hAnsi="Times New Roman" w:eastAsia="仿宋_GB2312"/>
        <w:b w:val="0"/>
        <w:i w:val="0"/>
        <w:sz w:val="24"/>
        <w:szCs w:val="24"/>
      </w:rPr>
    </w:lvl>
    <w:lvl w:ilvl="8" w:tentative="0">
      <w:start w:val="1"/>
      <w:numFmt w:val="decimal"/>
      <w:isLgl/>
      <w:lvlText w:val="%1.%2.%3.%4.%5.%6.%7.%8.%9"/>
      <w:lvlJc w:val="left"/>
      <w:pPr>
        <w:ind w:left="1584" w:hanging="1584"/>
      </w:pPr>
      <w:rPr>
        <w:rFonts w:hint="default" w:ascii="Times New Roman" w:hAnsi="Times New Roman" w:eastAsia="仿宋_GB2312"/>
        <w:b w:val="0"/>
        <w:i w:val="0"/>
        <w:sz w:val="28"/>
      </w:rPr>
    </w:lvl>
  </w:abstractNum>
  <w:abstractNum w:abstractNumId="11">
    <w:nsid w:val="6E2B3E55"/>
    <w:multiLevelType w:val="multilevel"/>
    <w:tmpl w:val="6E2B3E5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B0426D2"/>
    <w:multiLevelType w:val="multilevel"/>
    <w:tmpl w:val="7B0426D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8"/>
  </w:num>
  <w:num w:numId="2">
    <w:abstractNumId w:val="10"/>
  </w:num>
  <w:num w:numId="3">
    <w:abstractNumId w:val="0"/>
  </w:num>
  <w:num w:numId="4">
    <w:abstractNumId w:val="3"/>
  </w:num>
  <w:num w:numId="5">
    <w:abstractNumId w:val="2"/>
  </w:num>
  <w:num w:numId="6">
    <w:abstractNumId w:val="5"/>
  </w:num>
  <w:num w:numId="7">
    <w:abstractNumId w:val="9"/>
  </w:num>
  <w:num w:numId="8">
    <w:abstractNumId w:val="4"/>
  </w:num>
  <w:num w:numId="9">
    <w:abstractNumId w:val="6"/>
  </w:num>
  <w:num w:numId="10">
    <w:abstractNumId w:val="7"/>
  </w:num>
  <w:num w:numId="11">
    <w:abstractNumId w:val="11"/>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YTVmYzZhNzNmOGEzMThlMzZjZDhjYTQ5YWMwMzAifQ=="/>
    <w:docVar w:name="KGWebUrl" w:val="http://183.134.232.69:8090/infrastructure/handlers/weboffice-data.ashx?relId=/upload/IWebOffice/huiqian28745.doc"/>
  </w:docVars>
  <w:rsids>
    <w:rsidRoot w:val="02204A34"/>
    <w:rsid w:val="0000108F"/>
    <w:rsid w:val="00003827"/>
    <w:rsid w:val="000062DA"/>
    <w:rsid w:val="00007FF0"/>
    <w:rsid w:val="0001692B"/>
    <w:rsid w:val="00026C44"/>
    <w:rsid w:val="00033F7A"/>
    <w:rsid w:val="000511A6"/>
    <w:rsid w:val="00053215"/>
    <w:rsid w:val="00060C50"/>
    <w:rsid w:val="00067B0C"/>
    <w:rsid w:val="000703B3"/>
    <w:rsid w:val="00076E8E"/>
    <w:rsid w:val="00093EDB"/>
    <w:rsid w:val="00096472"/>
    <w:rsid w:val="000C388A"/>
    <w:rsid w:val="000E1B34"/>
    <w:rsid w:val="000E5D7C"/>
    <w:rsid w:val="001040F0"/>
    <w:rsid w:val="00121C10"/>
    <w:rsid w:val="001258B4"/>
    <w:rsid w:val="00133202"/>
    <w:rsid w:val="001428CA"/>
    <w:rsid w:val="00146016"/>
    <w:rsid w:val="001526F6"/>
    <w:rsid w:val="00153750"/>
    <w:rsid w:val="001549FB"/>
    <w:rsid w:val="00160BEC"/>
    <w:rsid w:val="00164EC1"/>
    <w:rsid w:val="00170E09"/>
    <w:rsid w:val="00184785"/>
    <w:rsid w:val="001A25E4"/>
    <w:rsid w:val="001A4144"/>
    <w:rsid w:val="001A66CC"/>
    <w:rsid w:val="001B48E4"/>
    <w:rsid w:val="001C5194"/>
    <w:rsid w:val="001C6E73"/>
    <w:rsid w:val="001D08D9"/>
    <w:rsid w:val="001D6F75"/>
    <w:rsid w:val="001E01EC"/>
    <w:rsid w:val="001F2DDC"/>
    <w:rsid w:val="001F3ADA"/>
    <w:rsid w:val="002002BB"/>
    <w:rsid w:val="002020F8"/>
    <w:rsid w:val="0020479D"/>
    <w:rsid w:val="00207CDF"/>
    <w:rsid w:val="00215D04"/>
    <w:rsid w:val="00222ACC"/>
    <w:rsid w:val="0023386D"/>
    <w:rsid w:val="00241319"/>
    <w:rsid w:val="00243713"/>
    <w:rsid w:val="00247630"/>
    <w:rsid w:val="002647E9"/>
    <w:rsid w:val="00266489"/>
    <w:rsid w:val="002742DA"/>
    <w:rsid w:val="002744B5"/>
    <w:rsid w:val="00292F51"/>
    <w:rsid w:val="002A0CEA"/>
    <w:rsid w:val="002B3C0C"/>
    <w:rsid w:val="002C0877"/>
    <w:rsid w:val="002D7A95"/>
    <w:rsid w:val="002D7CE7"/>
    <w:rsid w:val="002E5DDB"/>
    <w:rsid w:val="00304C1B"/>
    <w:rsid w:val="00312E62"/>
    <w:rsid w:val="0031555A"/>
    <w:rsid w:val="003245CB"/>
    <w:rsid w:val="00335495"/>
    <w:rsid w:val="0033679C"/>
    <w:rsid w:val="00337008"/>
    <w:rsid w:val="00337A56"/>
    <w:rsid w:val="0034069A"/>
    <w:rsid w:val="003624B1"/>
    <w:rsid w:val="003702D2"/>
    <w:rsid w:val="00381E58"/>
    <w:rsid w:val="00397899"/>
    <w:rsid w:val="003C1158"/>
    <w:rsid w:val="003D4B23"/>
    <w:rsid w:val="003D5A17"/>
    <w:rsid w:val="003E31E0"/>
    <w:rsid w:val="003E4AFC"/>
    <w:rsid w:val="003F65B5"/>
    <w:rsid w:val="00407AD5"/>
    <w:rsid w:val="00410004"/>
    <w:rsid w:val="00413B34"/>
    <w:rsid w:val="0041645D"/>
    <w:rsid w:val="004420DB"/>
    <w:rsid w:val="0045662A"/>
    <w:rsid w:val="00456E5D"/>
    <w:rsid w:val="004620C3"/>
    <w:rsid w:val="0047453F"/>
    <w:rsid w:val="00477659"/>
    <w:rsid w:val="00480D26"/>
    <w:rsid w:val="00481C2A"/>
    <w:rsid w:val="004874D5"/>
    <w:rsid w:val="00492146"/>
    <w:rsid w:val="004B139D"/>
    <w:rsid w:val="004B7977"/>
    <w:rsid w:val="004D69BA"/>
    <w:rsid w:val="004E3454"/>
    <w:rsid w:val="004E36A5"/>
    <w:rsid w:val="004E4B70"/>
    <w:rsid w:val="004E616A"/>
    <w:rsid w:val="004F47D8"/>
    <w:rsid w:val="004F656F"/>
    <w:rsid w:val="004F6DD2"/>
    <w:rsid w:val="00503E51"/>
    <w:rsid w:val="0051346E"/>
    <w:rsid w:val="00531D9C"/>
    <w:rsid w:val="00532145"/>
    <w:rsid w:val="00535475"/>
    <w:rsid w:val="00541977"/>
    <w:rsid w:val="0054237B"/>
    <w:rsid w:val="005445C4"/>
    <w:rsid w:val="005478F7"/>
    <w:rsid w:val="00547F1A"/>
    <w:rsid w:val="00567AB0"/>
    <w:rsid w:val="00575D4B"/>
    <w:rsid w:val="0058051D"/>
    <w:rsid w:val="00594AC5"/>
    <w:rsid w:val="0059753B"/>
    <w:rsid w:val="005C0654"/>
    <w:rsid w:val="005D484D"/>
    <w:rsid w:val="005D6AC3"/>
    <w:rsid w:val="005E1421"/>
    <w:rsid w:val="005E2170"/>
    <w:rsid w:val="005E4306"/>
    <w:rsid w:val="00601118"/>
    <w:rsid w:val="00607524"/>
    <w:rsid w:val="00615184"/>
    <w:rsid w:val="00642BE9"/>
    <w:rsid w:val="00653C0A"/>
    <w:rsid w:val="00663103"/>
    <w:rsid w:val="00671852"/>
    <w:rsid w:val="00674E9B"/>
    <w:rsid w:val="006836D3"/>
    <w:rsid w:val="00694AA9"/>
    <w:rsid w:val="006A6C4D"/>
    <w:rsid w:val="006D465E"/>
    <w:rsid w:val="006D6216"/>
    <w:rsid w:val="006E0D39"/>
    <w:rsid w:val="006E6720"/>
    <w:rsid w:val="006E7CE8"/>
    <w:rsid w:val="0070098E"/>
    <w:rsid w:val="007031AB"/>
    <w:rsid w:val="007108CD"/>
    <w:rsid w:val="007365A0"/>
    <w:rsid w:val="00743E94"/>
    <w:rsid w:val="00743EA2"/>
    <w:rsid w:val="00750E92"/>
    <w:rsid w:val="00763BDB"/>
    <w:rsid w:val="00776B72"/>
    <w:rsid w:val="00794299"/>
    <w:rsid w:val="007A1634"/>
    <w:rsid w:val="007A6166"/>
    <w:rsid w:val="007B037F"/>
    <w:rsid w:val="007B0C52"/>
    <w:rsid w:val="007B1BB0"/>
    <w:rsid w:val="007B27D5"/>
    <w:rsid w:val="007C389E"/>
    <w:rsid w:val="007C6E27"/>
    <w:rsid w:val="007D13EC"/>
    <w:rsid w:val="007D3244"/>
    <w:rsid w:val="007F36D0"/>
    <w:rsid w:val="007F666D"/>
    <w:rsid w:val="00807CC5"/>
    <w:rsid w:val="0081005B"/>
    <w:rsid w:val="0082023C"/>
    <w:rsid w:val="00826D8A"/>
    <w:rsid w:val="008334C3"/>
    <w:rsid w:val="008377FB"/>
    <w:rsid w:val="00840F30"/>
    <w:rsid w:val="00842419"/>
    <w:rsid w:val="008524BA"/>
    <w:rsid w:val="0085428C"/>
    <w:rsid w:val="00862497"/>
    <w:rsid w:val="00862589"/>
    <w:rsid w:val="00864257"/>
    <w:rsid w:val="00874DB1"/>
    <w:rsid w:val="0089688F"/>
    <w:rsid w:val="008B08A5"/>
    <w:rsid w:val="008B0C65"/>
    <w:rsid w:val="008B56B7"/>
    <w:rsid w:val="008C47CA"/>
    <w:rsid w:val="008E10FA"/>
    <w:rsid w:val="008E561A"/>
    <w:rsid w:val="008E6BF7"/>
    <w:rsid w:val="008F3849"/>
    <w:rsid w:val="008F5D54"/>
    <w:rsid w:val="00917753"/>
    <w:rsid w:val="00925409"/>
    <w:rsid w:val="009269A2"/>
    <w:rsid w:val="0092760D"/>
    <w:rsid w:val="00943703"/>
    <w:rsid w:val="00964847"/>
    <w:rsid w:val="00971F62"/>
    <w:rsid w:val="009804BD"/>
    <w:rsid w:val="0098363F"/>
    <w:rsid w:val="009902F5"/>
    <w:rsid w:val="00992304"/>
    <w:rsid w:val="00992C18"/>
    <w:rsid w:val="00994471"/>
    <w:rsid w:val="009A1971"/>
    <w:rsid w:val="009A752A"/>
    <w:rsid w:val="009B2D82"/>
    <w:rsid w:val="009B31A4"/>
    <w:rsid w:val="009C3AAC"/>
    <w:rsid w:val="009C79E6"/>
    <w:rsid w:val="009D07B2"/>
    <w:rsid w:val="009D5E35"/>
    <w:rsid w:val="009D781D"/>
    <w:rsid w:val="009E2B78"/>
    <w:rsid w:val="009F5C27"/>
    <w:rsid w:val="009F7A7E"/>
    <w:rsid w:val="00A02360"/>
    <w:rsid w:val="00A028DD"/>
    <w:rsid w:val="00A10643"/>
    <w:rsid w:val="00A27D83"/>
    <w:rsid w:val="00A35DC0"/>
    <w:rsid w:val="00A50005"/>
    <w:rsid w:val="00A538CB"/>
    <w:rsid w:val="00A55C31"/>
    <w:rsid w:val="00A83F66"/>
    <w:rsid w:val="00A85ED2"/>
    <w:rsid w:val="00A93A80"/>
    <w:rsid w:val="00A967AD"/>
    <w:rsid w:val="00AA0CA1"/>
    <w:rsid w:val="00AC4CDB"/>
    <w:rsid w:val="00B0391E"/>
    <w:rsid w:val="00B0599A"/>
    <w:rsid w:val="00B1185A"/>
    <w:rsid w:val="00B120D0"/>
    <w:rsid w:val="00B13534"/>
    <w:rsid w:val="00B3197E"/>
    <w:rsid w:val="00B31EDE"/>
    <w:rsid w:val="00B61618"/>
    <w:rsid w:val="00B63156"/>
    <w:rsid w:val="00B6677A"/>
    <w:rsid w:val="00B7307E"/>
    <w:rsid w:val="00B74268"/>
    <w:rsid w:val="00B77AC7"/>
    <w:rsid w:val="00B81C3C"/>
    <w:rsid w:val="00B86C77"/>
    <w:rsid w:val="00BA658F"/>
    <w:rsid w:val="00BA7D5F"/>
    <w:rsid w:val="00BB1B46"/>
    <w:rsid w:val="00BB2492"/>
    <w:rsid w:val="00BB335B"/>
    <w:rsid w:val="00BB49D5"/>
    <w:rsid w:val="00BD5324"/>
    <w:rsid w:val="00BE52E7"/>
    <w:rsid w:val="00BE62B2"/>
    <w:rsid w:val="00BF303B"/>
    <w:rsid w:val="00BF3C34"/>
    <w:rsid w:val="00BF7593"/>
    <w:rsid w:val="00C04C86"/>
    <w:rsid w:val="00C13649"/>
    <w:rsid w:val="00C16EC9"/>
    <w:rsid w:val="00C37A3E"/>
    <w:rsid w:val="00C4347B"/>
    <w:rsid w:val="00C43E3E"/>
    <w:rsid w:val="00C475E6"/>
    <w:rsid w:val="00C50B26"/>
    <w:rsid w:val="00C55E57"/>
    <w:rsid w:val="00C57F45"/>
    <w:rsid w:val="00C630B1"/>
    <w:rsid w:val="00C67BF3"/>
    <w:rsid w:val="00C72926"/>
    <w:rsid w:val="00C765DC"/>
    <w:rsid w:val="00CA6C32"/>
    <w:rsid w:val="00CA7029"/>
    <w:rsid w:val="00CA730E"/>
    <w:rsid w:val="00CB0B54"/>
    <w:rsid w:val="00CC019D"/>
    <w:rsid w:val="00CC111A"/>
    <w:rsid w:val="00CC2B76"/>
    <w:rsid w:val="00CD38FF"/>
    <w:rsid w:val="00CD3E29"/>
    <w:rsid w:val="00CD66A1"/>
    <w:rsid w:val="00CE22FF"/>
    <w:rsid w:val="00CF7A9F"/>
    <w:rsid w:val="00D02951"/>
    <w:rsid w:val="00D04E70"/>
    <w:rsid w:val="00D14BB0"/>
    <w:rsid w:val="00D1561A"/>
    <w:rsid w:val="00D24EB1"/>
    <w:rsid w:val="00D328D6"/>
    <w:rsid w:val="00D50D0A"/>
    <w:rsid w:val="00D53B5A"/>
    <w:rsid w:val="00D56076"/>
    <w:rsid w:val="00D57D09"/>
    <w:rsid w:val="00D80F50"/>
    <w:rsid w:val="00D85E38"/>
    <w:rsid w:val="00DA5FDC"/>
    <w:rsid w:val="00DB058B"/>
    <w:rsid w:val="00DB35E6"/>
    <w:rsid w:val="00DC6911"/>
    <w:rsid w:val="00DC73CF"/>
    <w:rsid w:val="00DD0167"/>
    <w:rsid w:val="00DE2A61"/>
    <w:rsid w:val="00DE62D3"/>
    <w:rsid w:val="00DF44D7"/>
    <w:rsid w:val="00DF6EE4"/>
    <w:rsid w:val="00E111AD"/>
    <w:rsid w:val="00E1171B"/>
    <w:rsid w:val="00E23019"/>
    <w:rsid w:val="00E33CAC"/>
    <w:rsid w:val="00E34D9A"/>
    <w:rsid w:val="00E436B4"/>
    <w:rsid w:val="00E44F64"/>
    <w:rsid w:val="00E501F4"/>
    <w:rsid w:val="00E542BD"/>
    <w:rsid w:val="00E65C8B"/>
    <w:rsid w:val="00E67A85"/>
    <w:rsid w:val="00E76240"/>
    <w:rsid w:val="00E9365F"/>
    <w:rsid w:val="00EA6D50"/>
    <w:rsid w:val="00EA73B2"/>
    <w:rsid w:val="00EB0EBD"/>
    <w:rsid w:val="00EB3E84"/>
    <w:rsid w:val="00EC02E6"/>
    <w:rsid w:val="00EC15E7"/>
    <w:rsid w:val="00EC430B"/>
    <w:rsid w:val="00ED2821"/>
    <w:rsid w:val="00ED7C53"/>
    <w:rsid w:val="00EF0EFC"/>
    <w:rsid w:val="00EF45CE"/>
    <w:rsid w:val="00EF7647"/>
    <w:rsid w:val="00EF76B8"/>
    <w:rsid w:val="00F15910"/>
    <w:rsid w:val="00F27441"/>
    <w:rsid w:val="00F37484"/>
    <w:rsid w:val="00F43313"/>
    <w:rsid w:val="00F46A9C"/>
    <w:rsid w:val="00F50405"/>
    <w:rsid w:val="00F562A0"/>
    <w:rsid w:val="00F60C1F"/>
    <w:rsid w:val="00F65AFB"/>
    <w:rsid w:val="00F67122"/>
    <w:rsid w:val="00F67E21"/>
    <w:rsid w:val="00F76280"/>
    <w:rsid w:val="00F86ADE"/>
    <w:rsid w:val="00F92619"/>
    <w:rsid w:val="00FA78F4"/>
    <w:rsid w:val="00FC794A"/>
    <w:rsid w:val="00FE6397"/>
    <w:rsid w:val="00FF04E0"/>
    <w:rsid w:val="010411BC"/>
    <w:rsid w:val="010C5220"/>
    <w:rsid w:val="0136404B"/>
    <w:rsid w:val="01417A87"/>
    <w:rsid w:val="014A2DD9"/>
    <w:rsid w:val="01553765"/>
    <w:rsid w:val="016F0A91"/>
    <w:rsid w:val="018067FB"/>
    <w:rsid w:val="01826A17"/>
    <w:rsid w:val="01A4698D"/>
    <w:rsid w:val="01CD1671"/>
    <w:rsid w:val="01D86637"/>
    <w:rsid w:val="020F52FD"/>
    <w:rsid w:val="02204A34"/>
    <w:rsid w:val="02353B97"/>
    <w:rsid w:val="02457A2C"/>
    <w:rsid w:val="025C03D4"/>
    <w:rsid w:val="025F0E69"/>
    <w:rsid w:val="02726080"/>
    <w:rsid w:val="02785724"/>
    <w:rsid w:val="027C3382"/>
    <w:rsid w:val="028406FC"/>
    <w:rsid w:val="02881E0B"/>
    <w:rsid w:val="028B18FB"/>
    <w:rsid w:val="02B506AA"/>
    <w:rsid w:val="02FA6225"/>
    <w:rsid w:val="03012F94"/>
    <w:rsid w:val="03025470"/>
    <w:rsid w:val="03123DCA"/>
    <w:rsid w:val="03381F6B"/>
    <w:rsid w:val="034A5D6F"/>
    <w:rsid w:val="0350044F"/>
    <w:rsid w:val="0351321A"/>
    <w:rsid w:val="03546191"/>
    <w:rsid w:val="03583181"/>
    <w:rsid w:val="03606F33"/>
    <w:rsid w:val="03710AF1"/>
    <w:rsid w:val="03A76597"/>
    <w:rsid w:val="03EC461B"/>
    <w:rsid w:val="03F51722"/>
    <w:rsid w:val="03F90AE6"/>
    <w:rsid w:val="04583A5F"/>
    <w:rsid w:val="045F4DED"/>
    <w:rsid w:val="0460122A"/>
    <w:rsid w:val="04750575"/>
    <w:rsid w:val="049251C3"/>
    <w:rsid w:val="04A51C15"/>
    <w:rsid w:val="04AC5B58"/>
    <w:rsid w:val="04AD3DAA"/>
    <w:rsid w:val="04B34E3B"/>
    <w:rsid w:val="04C156E9"/>
    <w:rsid w:val="04CE1F73"/>
    <w:rsid w:val="04D96EE6"/>
    <w:rsid w:val="04DC3392"/>
    <w:rsid w:val="05476D0D"/>
    <w:rsid w:val="055E6118"/>
    <w:rsid w:val="056703FD"/>
    <w:rsid w:val="05741A55"/>
    <w:rsid w:val="059A3C03"/>
    <w:rsid w:val="05A530B2"/>
    <w:rsid w:val="05B52FCA"/>
    <w:rsid w:val="05BE1FE7"/>
    <w:rsid w:val="05BE58A2"/>
    <w:rsid w:val="05EB4C61"/>
    <w:rsid w:val="05F257ED"/>
    <w:rsid w:val="0606627E"/>
    <w:rsid w:val="06220762"/>
    <w:rsid w:val="063B7194"/>
    <w:rsid w:val="06942F05"/>
    <w:rsid w:val="069F3BC7"/>
    <w:rsid w:val="06A06A88"/>
    <w:rsid w:val="06B8457A"/>
    <w:rsid w:val="06C26F7A"/>
    <w:rsid w:val="06C453DB"/>
    <w:rsid w:val="06CD24E2"/>
    <w:rsid w:val="06D05B2E"/>
    <w:rsid w:val="07253098"/>
    <w:rsid w:val="073A3F15"/>
    <w:rsid w:val="07684D8A"/>
    <w:rsid w:val="076F484D"/>
    <w:rsid w:val="0775005F"/>
    <w:rsid w:val="0797664C"/>
    <w:rsid w:val="07A5520D"/>
    <w:rsid w:val="07C93954"/>
    <w:rsid w:val="07F015F5"/>
    <w:rsid w:val="07FB7FBB"/>
    <w:rsid w:val="080F2686"/>
    <w:rsid w:val="082F50A2"/>
    <w:rsid w:val="08395955"/>
    <w:rsid w:val="08572528"/>
    <w:rsid w:val="08591285"/>
    <w:rsid w:val="086504F8"/>
    <w:rsid w:val="08687FE8"/>
    <w:rsid w:val="086A463B"/>
    <w:rsid w:val="087336CC"/>
    <w:rsid w:val="088E2730"/>
    <w:rsid w:val="089D09EE"/>
    <w:rsid w:val="089F1C5F"/>
    <w:rsid w:val="08B82D1E"/>
    <w:rsid w:val="08BF22FE"/>
    <w:rsid w:val="08C94F2B"/>
    <w:rsid w:val="08D24F24"/>
    <w:rsid w:val="09012917"/>
    <w:rsid w:val="091012E5"/>
    <w:rsid w:val="09134439"/>
    <w:rsid w:val="091D507C"/>
    <w:rsid w:val="0939227F"/>
    <w:rsid w:val="09411048"/>
    <w:rsid w:val="09526E32"/>
    <w:rsid w:val="096A1760"/>
    <w:rsid w:val="098976B2"/>
    <w:rsid w:val="09A20A24"/>
    <w:rsid w:val="09A32000"/>
    <w:rsid w:val="09AB7313"/>
    <w:rsid w:val="09D431B8"/>
    <w:rsid w:val="09E06C48"/>
    <w:rsid w:val="09EF276F"/>
    <w:rsid w:val="09FC30DE"/>
    <w:rsid w:val="0A107CDF"/>
    <w:rsid w:val="0A3F3941"/>
    <w:rsid w:val="0A55775A"/>
    <w:rsid w:val="0A5B662E"/>
    <w:rsid w:val="0A5C7676"/>
    <w:rsid w:val="0A6906D1"/>
    <w:rsid w:val="0A6C0C3C"/>
    <w:rsid w:val="0A71587A"/>
    <w:rsid w:val="0AA867C8"/>
    <w:rsid w:val="0AAA5C57"/>
    <w:rsid w:val="0ABA1CA5"/>
    <w:rsid w:val="0AD41965"/>
    <w:rsid w:val="0AD83951"/>
    <w:rsid w:val="0AEE6EE4"/>
    <w:rsid w:val="0AF049F1"/>
    <w:rsid w:val="0B2138E2"/>
    <w:rsid w:val="0B275F39"/>
    <w:rsid w:val="0B291CB1"/>
    <w:rsid w:val="0B3F5F9C"/>
    <w:rsid w:val="0B5045CB"/>
    <w:rsid w:val="0B677BBE"/>
    <w:rsid w:val="0B6B0327"/>
    <w:rsid w:val="0B6F1C37"/>
    <w:rsid w:val="0B7600B2"/>
    <w:rsid w:val="0B8970C7"/>
    <w:rsid w:val="0B8C3FEE"/>
    <w:rsid w:val="0B9B2C8A"/>
    <w:rsid w:val="0BA57158"/>
    <w:rsid w:val="0BC823B9"/>
    <w:rsid w:val="0BD5582F"/>
    <w:rsid w:val="0BD936D7"/>
    <w:rsid w:val="0BF1475F"/>
    <w:rsid w:val="0BFB1F78"/>
    <w:rsid w:val="0C315CF4"/>
    <w:rsid w:val="0C530EC2"/>
    <w:rsid w:val="0C8837DE"/>
    <w:rsid w:val="0C8F7F2C"/>
    <w:rsid w:val="0C917B0E"/>
    <w:rsid w:val="0CB33AA5"/>
    <w:rsid w:val="0D226F90"/>
    <w:rsid w:val="0D374B59"/>
    <w:rsid w:val="0D5E38BE"/>
    <w:rsid w:val="0D744E26"/>
    <w:rsid w:val="0D7F02AE"/>
    <w:rsid w:val="0D8E04F1"/>
    <w:rsid w:val="0DAF2AF6"/>
    <w:rsid w:val="0DC46FCB"/>
    <w:rsid w:val="0DFE11D3"/>
    <w:rsid w:val="0E0302B6"/>
    <w:rsid w:val="0E075FEE"/>
    <w:rsid w:val="0E0F454B"/>
    <w:rsid w:val="0E197DBB"/>
    <w:rsid w:val="0E271873"/>
    <w:rsid w:val="0E2D3866"/>
    <w:rsid w:val="0E3177FA"/>
    <w:rsid w:val="0E325320"/>
    <w:rsid w:val="0E372AAD"/>
    <w:rsid w:val="0E3A5F83"/>
    <w:rsid w:val="0E552D3A"/>
    <w:rsid w:val="0E87566C"/>
    <w:rsid w:val="0E9D6C3E"/>
    <w:rsid w:val="0E9E6512"/>
    <w:rsid w:val="0F4C0664"/>
    <w:rsid w:val="0F554DE3"/>
    <w:rsid w:val="0F5C0DF6"/>
    <w:rsid w:val="0F672DA8"/>
    <w:rsid w:val="0F76748F"/>
    <w:rsid w:val="0F7C2CF7"/>
    <w:rsid w:val="0F890F70"/>
    <w:rsid w:val="0F900551"/>
    <w:rsid w:val="0F927A63"/>
    <w:rsid w:val="0FC65186"/>
    <w:rsid w:val="0FC86277"/>
    <w:rsid w:val="0FD04DF1"/>
    <w:rsid w:val="0FDD7EF9"/>
    <w:rsid w:val="0FDE23D0"/>
    <w:rsid w:val="0FEB46B2"/>
    <w:rsid w:val="0FF45701"/>
    <w:rsid w:val="0FFD4D70"/>
    <w:rsid w:val="10137DC8"/>
    <w:rsid w:val="103C5FE2"/>
    <w:rsid w:val="103F6F2F"/>
    <w:rsid w:val="104F4F39"/>
    <w:rsid w:val="10501E23"/>
    <w:rsid w:val="106C1504"/>
    <w:rsid w:val="1076546B"/>
    <w:rsid w:val="10876659"/>
    <w:rsid w:val="108D4A90"/>
    <w:rsid w:val="10A83678"/>
    <w:rsid w:val="10AC297C"/>
    <w:rsid w:val="10B8461B"/>
    <w:rsid w:val="10B95B3E"/>
    <w:rsid w:val="10B97633"/>
    <w:rsid w:val="10BB33AB"/>
    <w:rsid w:val="10C41C83"/>
    <w:rsid w:val="10C819F7"/>
    <w:rsid w:val="10D23DAB"/>
    <w:rsid w:val="10D75D0B"/>
    <w:rsid w:val="10E36DA6"/>
    <w:rsid w:val="10F16DCD"/>
    <w:rsid w:val="111873B6"/>
    <w:rsid w:val="114052D2"/>
    <w:rsid w:val="114563A5"/>
    <w:rsid w:val="114E4F4B"/>
    <w:rsid w:val="115860B3"/>
    <w:rsid w:val="11747EE4"/>
    <w:rsid w:val="118B7221"/>
    <w:rsid w:val="118E286E"/>
    <w:rsid w:val="1196222A"/>
    <w:rsid w:val="119A56B6"/>
    <w:rsid w:val="119E3805"/>
    <w:rsid w:val="11AC0F46"/>
    <w:rsid w:val="11CA1092"/>
    <w:rsid w:val="12137217"/>
    <w:rsid w:val="12282CC2"/>
    <w:rsid w:val="125A2CCF"/>
    <w:rsid w:val="126207A8"/>
    <w:rsid w:val="128A40EC"/>
    <w:rsid w:val="128D20A2"/>
    <w:rsid w:val="12955E7E"/>
    <w:rsid w:val="12A50278"/>
    <w:rsid w:val="12B10F0A"/>
    <w:rsid w:val="12BB3B36"/>
    <w:rsid w:val="12C0739F"/>
    <w:rsid w:val="12F266AF"/>
    <w:rsid w:val="13024A4A"/>
    <w:rsid w:val="130F5C30"/>
    <w:rsid w:val="1319328A"/>
    <w:rsid w:val="13217712"/>
    <w:rsid w:val="133D09EF"/>
    <w:rsid w:val="1347361C"/>
    <w:rsid w:val="13501546"/>
    <w:rsid w:val="13691706"/>
    <w:rsid w:val="136A730B"/>
    <w:rsid w:val="1397164D"/>
    <w:rsid w:val="13B16CE7"/>
    <w:rsid w:val="13B520DD"/>
    <w:rsid w:val="13C22CA3"/>
    <w:rsid w:val="13C95DDF"/>
    <w:rsid w:val="13DA1D59"/>
    <w:rsid w:val="13F511FB"/>
    <w:rsid w:val="13F95AC5"/>
    <w:rsid w:val="140A216F"/>
    <w:rsid w:val="144357A0"/>
    <w:rsid w:val="144B6285"/>
    <w:rsid w:val="14B42E87"/>
    <w:rsid w:val="14C21A71"/>
    <w:rsid w:val="14D64C8A"/>
    <w:rsid w:val="150F7F02"/>
    <w:rsid w:val="15416DE1"/>
    <w:rsid w:val="156C1118"/>
    <w:rsid w:val="156C55BC"/>
    <w:rsid w:val="159B19FD"/>
    <w:rsid w:val="159C2891"/>
    <w:rsid w:val="16026D3D"/>
    <w:rsid w:val="161E7505"/>
    <w:rsid w:val="16274DB6"/>
    <w:rsid w:val="16297D48"/>
    <w:rsid w:val="163A34D9"/>
    <w:rsid w:val="165B023F"/>
    <w:rsid w:val="16897AA8"/>
    <w:rsid w:val="169923E1"/>
    <w:rsid w:val="16B72867"/>
    <w:rsid w:val="16BB6BF3"/>
    <w:rsid w:val="16D036BD"/>
    <w:rsid w:val="16DF3B6C"/>
    <w:rsid w:val="16F50CA4"/>
    <w:rsid w:val="17005F83"/>
    <w:rsid w:val="1706734A"/>
    <w:rsid w:val="1734581B"/>
    <w:rsid w:val="173E0892"/>
    <w:rsid w:val="17562F3A"/>
    <w:rsid w:val="178B40C7"/>
    <w:rsid w:val="17992D66"/>
    <w:rsid w:val="17BE19D3"/>
    <w:rsid w:val="17D905BB"/>
    <w:rsid w:val="17E557D8"/>
    <w:rsid w:val="17F44118"/>
    <w:rsid w:val="180513B0"/>
    <w:rsid w:val="1820443C"/>
    <w:rsid w:val="182317BE"/>
    <w:rsid w:val="182B32AB"/>
    <w:rsid w:val="184F510C"/>
    <w:rsid w:val="186366A3"/>
    <w:rsid w:val="186A0B0B"/>
    <w:rsid w:val="187609AF"/>
    <w:rsid w:val="18793EAC"/>
    <w:rsid w:val="18856299"/>
    <w:rsid w:val="18A31973"/>
    <w:rsid w:val="18AB16F5"/>
    <w:rsid w:val="18B101C5"/>
    <w:rsid w:val="18BA03EC"/>
    <w:rsid w:val="18F01260"/>
    <w:rsid w:val="19125B0A"/>
    <w:rsid w:val="1933774F"/>
    <w:rsid w:val="193B2A13"/>
    <w:rsid w:val="19592514"/>
    <w:rsid w:val="196640D0"/>
    <w:rsid w:val="19710C72"/>
    <w:rsid w:val="197D279B"/>
    <w:rsid w:val="199B469D"/>
    <w:rsid w:val="19A02D1A"/>
    <w:rsid w:val="19DF7DBF"/>
    <w:rsid w:val="19E576EB"/>
    <w:rsid w:val="1A1143AD"/>
    <w:rsid w:val="1A156DF2"/>
    <w:rsid w:val="1A1B2776"/>
    <w:rsid w:val="1A206975"/>
    <w:rsid w:val="1A3146DE"/>
    <w:rsid w:val="1A47266F"/>
    <w:rsid w:val="1AC07A5A"/>
    <w:rsid w:val="1AE80F5D"/>
    <w:rsid w:val="1AED7F38"/>
    <w:rsid w:val="1B010554"/>
    <w:rsid w:val="1B09565B"/>
    <w:rsid w:val="1B2A2C2C"/>
    <w:rsid w:val="1B3B4020"/>
    <w:rsid w:val="1B4337E7"/>
    <w:rsid w:val="1B476E3B"/>
    <w:rsid w:val="1B483955"/>
    <w:rsid w:val="1B622296"/>
    <w:rsid w:val="1B656D35"/>
    <w:rsid w:val="1B6D06D4"/>
    <w:rsid w:val="1B797376"/>
    <w:rsid w:val="1BB76CF6"/>
    <w:rsid w:val="1BB863AC"/>
    <w:rsid w:val="1C44694B"/>
    <w:rsid w:val="1C6B037B"/>
    <w:rsid w:val="1C733042"/>
    <w:rsid w:val="1C8C4BAC"/>
    <w:rsid w:val="1C915908"/>
    <w:rsid w:val="1CE53A9F"/>
    <w:rsid w:val="1CEC2B3E"/>
    <w:rsid w:val="1CF34407"/>
    <w:rsid w:val="1D083E1C"/>
    <w:rsid w:val="1D2D5BF7"/>
    <w:rsid w:val="1D5605C5"/>
    <w:rsid w:val="1D934327"/>
    <w:rsid w:val="1DAB47A7"/>
    <w:rsid w:val="1DD63CE8"/>
    <w:rsid w:val="1DEC54EC"/>
    <w:rsid w:val="1DF63A52"/>
    <w:rsid w:val="1DFE521F"/>
    <w:rsid w:val="1E0C793C"/>
    <w:rsid w:val="1E335935"/>
    <w:rsid w:val="1E403142"/>
    <w:rsid w:val="1E522E75"/>
    <w:rsid w:val="1E560BB7"/>
    <w:rsid w:val="1E5C24B4"/>
    <w:rsid w:val="1E5C34F6"/>
    <w:rsid w:val="1E603CC5"/>
    <w:rsid w:val="1E8C391B"/>
    <w:rsid w:val="1E8F48A6"/>
    <w:rsid w:val="1EAB6F14"/>
    <w:rsid w:val="1EBF2B94"/>
    <w:rsid w:val="1ECA30ED"/>
    <w:rsid w:val="1ECE699F"/>
    <w:rsid w:val="1ECF0C2B"/>
    <w:rsid w:val="1ED03467"/>
    <w:rsid w:val="1ED105CE"/>
    <w:rsid w:val="1ED63AA6"/>
    <w:rsid w:val="1EF32C98"/>
    <w:rsid w:val="1F556C99"/>
    <w:rsid w:val="1F6C10DE"/>
    <w:rsid w:val="1F7C63FB"/>
    <w:rsid w:val="1F7C7122"/>
    <w:rsid w:val="1FB302F2"/>
    <w:rsid w:val="1FBD3239"/>
    <w:rsid w:val="1FC21D1C"/>
    <w:rsid w:val="1FF6149C"/>
    <w:rsid w:val="201D20C4"/>
    <w:rsid w:val="2036023E"/>
    <w:rsid w:val="20530E97"/>
    <w:rsid w:val="20931C4F"/>
    <w:rsid w:val="209D706A"/>
    <w:rsid w:val="20A0788B"/>
    <w:rsid w:val="20AA51EA"/>
    <w:rsid w:val="20AC4ABE"/>
    <w:rsid w:val="20B61DE1"/>
    <w:rsid w:val="20B63B8F"/>
    <w:rsid w:val="20CF6685"/>
    <w:rsid w:val="20D9162C"/>
    <w:rsid w:val="210B528F"/>
    <w:rsid w:val="21134B3E"/>
    <w:rsid w:val="212E73A1"/>
    <w:rsid w:val="21621621"/>
    <w:rsid w:val="21742B65"/>
    <w:rsid w:val="2195103F"/>
    <w:rsid w:val="219A0DBB"/>
    <w:rsid w:val="219C3421"/>
    <w:rsid w:val="21BE719F"/>
    <w:rsid w:val="21D70261"/>
    <w:rsid w:val="21EF407C"/>
    <w:rsid w:val="22230DB0"/>
    <w:rsid w:val="224F1CA3"/>
    <w:rsid w:val="22617B2B"/>
    <w:rsid w:val="2271218A"/>
    <w:rsid w:val="227A211B"/>
    <w:rsid w:val="22861367"/>
    <w:rsid w:val="229B45FF"/>
    <w:rsid w:val="22C5455D"/>
    <w:rsid w:val="22CC64E9"/>
    <w:rsid w:val="22CF7B56"/>
    <w:rsid w:val="22D336EA"/>
    <w:rsid w:val="22E644DC"/>
    <w:rsid w:val="22FF6650"/>
    <w:rsid w:val="23124B2B"/>
    <w:rsid w:val="23405992"/>
    <w:rsid w:val="23655315"/>
    <w:rsid w:val="23840B7E"/>
    <w:rsid w:val="238E25F2"/>
    <w:rsid w:val="239857CE"/>
    <w:rsid w:val="23A44173"/>
    <w:rsid w:val="23BE7F98"/>
    <w:rsid w:val="23CD191B"/>
    <w:rsid w:val="23D34A58"/>
    <w:rsid w:val="23E8420E"/>
    <w:rsid w:val="24006179"/>
    <w:rsid w:val="241C141D"/>
    <w:rsid w:val="2422138C"/>
    <w:rsid w:val="242B4894"/>
    <w:rsid w:val="24315017"/>
    <w:rsid w:val="243D0CB8"/>
    <w:rsid w:val="243E0133"/>
    <w:rsid w:val="244F2331"/>
    <w:rsid w:val="24501A2C"/>
    <w:rsid w:val="245D0CF6"/>
    <w:rsid w:val="245E3FCF"/>
    <w:rsid w:val="24603096"/>
    <w:rsid w:val="24613E12"/>
    <w:rsid w:val="246E08F9"/>
    <w:rsid w:val="2479115B"/>
    <w:rsid w:val="24845875"/>
    <w:rsid w:val="248F1707"/>
    <w:rsid w:val="249D2461"/>
    <w:rsid w:val="24B21496"/>
    <w:rsid w:val="24D740D4"/>
    <w:rsid w:val="24E20B8F"/>
    <w:rsid w:val="24EA2059"/>
    <w:rsid w:val="25010A53"/>
    <w:rsid w:val="250A6B98"/>
    <w:rsid w:val="2513557B"/>
    <w:rsid w:val="251F7F55"/>
    <w:rsid w:val="252E63EA"/>
    <w:rsid w:val="252F5CBE"/>
    <w:rsid w:val="253250AA"/>
    <w:rsid w:val="25456366"/>
    <w:rsid w:val="255045B2"/>
    <w:rsid w:val="255A1A4F"/>
    <w:rsid w:val="256C5006"/>
    <w:rsid w:val="25707940"/>
    <w:rsid w:val="25A55F80"/>
    <w:rsid w:val="25B52667"/>
    <w:rsid w:val="25F23D1A"/>
    <w:rsid w:val="261C26E6"/>
    <w:rsid w:val="263111DA"/>
    <w:rsid w:val="264A4D01"/>
    <w:rsid w:val="26705BD1"/>
    <w:rsid w:val="267B565F"/>
    <w:rsid w:val="26892977"/>
    <w:rsid w:val="26993DD5"/>
    <w:rsid w:val="269C5F46"/>
    <w:rsid w:val="26D70649"/>
    <w:rsid w:val="26D7485F"/>
    <w:rsid w:val="26FF02C7"/>
    <w:rsid w:val="27076EF2"/>
    <w:rsid w:val="27113AFF"/>
    <w:rsid w:val="272222EF"/>
    <w:rsid w:val="276E0D20"/>
    <w:rsid w:val="277C0B1C"/>
    <w:rsid w:val="27867C30"/>
    <w:rsid w:val="27F154AD"/>
    <w:rsid w:val="28133675"/>
    <w:rsid w:val="28291CBC"/>
    <w:rsid w:val="285223EF"/>
    <w:rsid w:val="28694D6F"/>
    <w:rsid w:val="288E5EB8"/>
    <w:rsid w:val="289E5635"/>
    <w:rsid w:val="28BE114C"/>
    <w:rsid w:val="28D844D3"/>
    <w:rsid w:val="28EC2844"/>
    <w:rsid w:val="291A315C"/>
    <w:rsid w:val="296B0AF4"/>
    <w:rsid w:val="2976035F"/>
    <w:rsid w:val="29782E67"/>
    <w:rsid w:val="2987431B"/>
    <w:rsid w:val="29901415"/>
    <w:rsid w:val="29A50150"/>
    <w:rsid w:val="29C279C5"/>
    <w:rsid w:val="2A0E6445"/>
    <w:rsid w:val="2A104310"/>
    <w:rsid w:val="2A364290"/>
    <w:rsid w:val="2A3A64E4"/>
    <w:rsid w:val="2A4F753B"/>
    <w:rsid w:val="2A5A52E7"/>
    <w:rsid w:val="2A5C3D32"/>
    <w:rsid w:val="2A5F7045"/>
    <w:rsid w:val="2A6308E4"/>
    <w:rsid w:val="2A6872E3"/>
    <w:rsid w:val="2A7C3754"/>
    <w:rsid w:val="2A83359C"/>
    <w:rsid w:val="2A8E0F53"/>
    <w:rsid w:val="2A951FB1"/>
    <w:rsid w:val="2A996615"/>
    <w:rsid w:val="2A9E1858"/>
    <w:rsid w:val="2A9F5694"/>
    <w:rsid w:val="2AAF63FE"/>
    <w:rsid w:val="2AB16AA2"/>
    <w:rsid w:val="2AC46EA9"/>
    <w:rsid w:val="2ACC06D1"/>
    <w:rsid w:val="2B3A4335"/>
    <w:rsid w:val="2B441A26"/>
    <w:rsid w:val="2B4C6CAB"/>
    <w:rsid w:val="2B65068C"/>
    <w:rsid w:val="2B65243A"/>
    <w:rsid w:val="2B7E174D"/>
    <w:rsid w:val="2B8A0465"/>
    <w:rsid w:val="2B8C79C6"/>
    <w:rsid w:val="2B8D7A0A"/>
    <w:rsid w:val="2BA666A3"/>
    <w:rsid w:val="2BA9559E"/>
    <w:rsid w:val="2BEC015A"/>
    <w:rsid w:val="2BF93917"/>
    <w:rsid w:val="2BFA51DD"/>
    <w:rsid w:val="2BFA7026"/>
    <w:rsid w:val="2C0D16DE"/>
    <w:rsid w:val="2C1563CF"/>
    <w:rsid w:val="2C1A1476"/>
    <w:rsid w:val="2C2C11A9"/>
    <w:rsid w:val="2C4402A1"/>
    <w:rsid w:val="2C4A79E8"/>
    <w:rsid w:val="2C523D8C"/>
    <w:rsid w:val="2C694617"/>
    <w:rsid w:val="2C9364BE"/>
    <w:rsid w:val="2CC33F92"/>
    <w:rsid w:val="2CE675AA"/>
    <w:rsid w:val="2CEA3520"/>
    <w:rsid w:val="2CF57D7C"/>
    <w:rsid w:val="2D194191"/>
    <w:rsid w:val="2D26209C"/>
    <w:rsid w:val="2D307187"/>
    <w:rsid w:val="2D656721"/>
    <w:rsid w:val="2D713318"/>
    <w:rsid w:val="2D800808"/>
    <w:rsid w:val="2D914CD1"/>
    <w:rsid w:val="2DAC25A0"/>
    <w:rsid w:val="2DCC2C44"/>
    <w:rsid w:val="2DDF4370"/>
    <w:rsid w:val="2DF61A6F"/>
    <w:rsid w:val="2DF81EB0"/>
    <w:rsid w:val="2E0C2DF8"/>
    <w:rsid w:val="2E425C73"/>
    <w:rsid w:val="2E591508"/>
    <w:rsid w:val="2E60513A"/>
    <w:rsid w:val="2E7115BB"/>
    <w:rsid w:val="2E724D6F"/>
    <w:rsid w:val="2E777FD1"/>
    <w:rsid w:val="2E951044"/>
    <w:rsid w:val="2E972C57"/>
    <w:rsid w:val="2EA74B17"/>
    <w:rsid w:val="2EA80FBB"/>
    <w:rsid w:val="2EB01E44"/>
    <w:rsid w:val="2EB15996"/>
    <w:rsid w:val="2EB167DC"/>
    <w:rsid w:val="2EB60132"/>
    <w:rsid w:val="2ECC16D6"/>
    <w:rsid w:val="2ED94B18"/>
    <w:rsid w:val="2EDC0AE6"/>
    <w:rsid w:val="2EE71587"/>
    <w:rsid w:val="2F027B00"/>
    <w:rsid w:val="2F3517DE"/>
    <w:rsid w:val="2F5A7DDB"/>
    <w:rsid w:val="2F6A0E1E"/>
    <w:rsid w:val="2F793A1F"/>
    <w:rsid w:val="2F8F33C5"/>
    <w:rsid w:val="2F967065"/>
    <w:rsid w:val="2FCD1C26"/>
    <w:rsid w:val="2FD24EBD"/>
    <w:rsid w:val="2FD7268A"/>
    <w:rsid w:val="2FDF2E68"/>
    <w:rsid w:val="2FE778D9"/>
    <w:rsid w:val="2FEB0240"/>
    <w:rsid w:val="2FF3270A"/>
    <w:rsid w:val="2FF6024A"/>
    <w:rsid w:val="2FFD70E5"/>
    <w:rsid w:val="30022673"/>
    <w:rsid w:val="30044B27"/>
    <w:rsid w:val="30187A4B"/>
    <w:rsid w:val="301D1535"/>
    <w:rsid w:val="30430644"/>
    <w:rsid w:val="30444D13"/>
    <w:rsid w:val="30556F21"/>
    <w:rsid w:val="30654C8A"/>
    <w:rsid w:val="30A4161F"/>
    <w:rsid w:val="30A6152A"/>
    <w:rsid w:val="30A75C75"/>
    <w:rsid w:val="30BD1F4D"/>
    <w:rsid w:val="30DF2C8E"/>
    <w:rsid w:val="30EE5583"/>
    <w:rsid w:val="30F229C1"/>
    <w:rsid w:val="30F2476F"/>
    <w:rsid w:val="30F81091"/>
    <w:rsid w:val="30FE5850"/>
    <w:rsid w:val="311A3CC6"/>
    <w:rsid w:val="313E1763"/>
    <w:rsid w:val="314B0324"/>
    <w:rsid w:val="316867E0"/>
    <w:rsid w:val="316A10B5"/>
    <w:rsid w:val="316B62D0"/>
    <w:rsid w:val="31800C17"/>
    <w:rsid w:val="31A33CBC"/>
    <w:rsid w:val="31E139B7"/>
    <w:rsid w:val="31FD4667"/>
    <w:rsid w:val="32081D71"/>
    <w:rsid w:val="320A7897"/>
    <w:rsid w:val="323903EE"/>
    <w:rsid w:val="323C7F64"/>
    <w:rsid w:val="323D383E"/>
    <w:rsid w:val="324829A3"/>
    <w:rsid w:val="326F2F00"/>
    <w:rsid w:val="32876964"/>
    <w:rsid w:val="32C30168"/>
    <w:rsid w:val="32C97752"/>
    <w:rsid w:val="32D163B3"/>
    <w:rsid w:val="32E03BF1"/>
    <w:rsid w:val="33225519"/>
    <w:rsid w:val="332457B9"/>
    <w:rsid w:val="332973B1"/>
    <w:rsid w:val="3341378C"/>
    <w:rsid w:val="336320CF"/>
    <w:rsid w:val="33650BF3"/>
    <w:rsid w:val="336B7FBC"/>
    <w:rsid w:val="3371423F"/>
    <w:rsid w:val="337B6D0E"/>
    <w:rsid w:val="337E053C"/>
    <w:rsid w:val="33837901"/>
    <w:rsid w:val="339935C8"/>
    <w:rsid w:val="33B64797"/>
    <w:rsid w:val="33C85C5B"/>
    <w:rsid w:val="33D34D2D"/>
    <w:rsid w:val="33FD2DFE"/>
    <w:rsid w:val="342310E4"/>
    <w:rsid w:val="34313801"/>
    <w:rsid w:val="3436308C"/>
    <w:rsid w:val="34401C96"/>
    <w:rsid w:val="34532925"/>
    <w:rsid w:val="345C0152"/>
    <w:rsid w:val="346E05B1"/>
    <w:rsid w:val="34BF2D30"/>
    <w:rsid w:val="34DC18EE"/>
    <w:rsid w:val="34DD5737"/>
    <w:rsid w:val="34E41A8A"/>
    <w:rsid w:val="34EE2535"/>
    <w:rsid w:val="34FA724E"/>
    <w:rsid w:val="351A22C3"/>
    <w:rsid w:val="3527199E"/>
    <w:rsid w:val="352C3FC8"/>
    <w:rsid w:val="352D21EF"/>
    <w:rsid w:val="353C7A6B"/>
    <w:rsid w:val="35523A2F"/>
    <w:rsid w:val="355668C6"/>
    <w:rsid w:val="356C7586"/>
    <w:rsid w:val="35750677"/>
    <w:rsid w:val="35780FBB"/>
    <w:rsid w:val="358C402D"/>
    <w:rsid w:val="35A3072E"/>
    <w:rsid w:val="35A63D7A"/>
    <w:rsid w:val="35AD335B"/>
    <w:rsid w:val="35C16E06"/>
    <w:rsid w:val="35C506A4"/>
    <w:rsid w:val="35C96A03"/>
    <w:rsid w:val="35D73F34"/>
    <w:rsid w:val="360F36CE"/>
    <w:rsid w:val="361164F9"/>
    <w:rsid w:val="36211A9B"/>
    <w:rsid w:val="36417E54"/>
    <w:rsid w:val="364955D1"/>
    <w:rsid w:val="364B3816"/>
    <w:rsid w:val="364F4412"/>
    <w:rsid w:val="366575DD"/>
    <w:rsid w:val="367906F8"/>
    <w:rsid w:val="367B0D63"/>
    <w:rsid w:val="36820344"/>
    <w:rsid w:val="368E012F"/>
    <w:rsid w:val="36B10C29"/>
    <w:rsid w:val="36BE5E46"/>
    <w:rsid w:val="36C75568"/>
    <w:rsid w:val="36C962B6"/>
    <w:rsid w:val="36CF4F04"/>
    <w:rsid w:val="36DD0A74"/>
    <w:rsid w:val="36DF5796"/>
    <w:rsid w:val="36E07F7D"/>
    <w:rsid w:val="36F32FEF"/>
    <w:rsid w:val="37014501"/>
    <w:rsid w:val="37021484"/>
    <w:rsid w:val="373A32B1"/>
    <w:rsid w:val="37433545"/>
    <w:rsid w:val="374A334F"/>
    <w:rsid w:val="37735EDE"/>
    <w:rsid w:val="37971DFC"/>
    <w:rsid w:val="379B25D0"/>
    <w:rsid w:val="37A96FF5"/>
    <w:rsid w:val="37AD5C33"/>
    <w:rsid w:val="37C40AFE"/>
    <w:rsid w:val="37C60E98"/>
    <w:rsid w:val="37F9283D"/>
    <w:rsid w:val="38170F5F"/>
    <w:rsid w:val="384F24A7"/>
    <w:rsid w:val="38543F62"/>
    <w:rsid w:val="38726196"/>
    <w:rsid w:val="387463B2"/>
    <w:rsid w:val="387C6290"/>
    <w:rsid w:val="38B062EE"/>
    <w:rsid w:val="38CE1D20"/>
    <w:rsid w:val="38D46E50"/>
    <w:rsid w:val="38D91F53"/>
    <w:rsid w:val="390544C3"/>
    <w:rsid w:val="3916629D"/>
    <w:rsid w:val="391C1CD3"/>
    <w:rsid w:val="394F0285"/>
    <w:rsid w:val="39592215"/>
    <w:rsid w:val="397F5AEF"/>
    <w:rsid w:val="39A607ED"/>
    <w:rsid w:val="39CD7B28"/>
    <w:rsid w:val="39D02EAB"/>
    <w:rsid w:val="39D54C2E"/>
    <w:rsid w:val="39D76DB9"/>
    <w:rsid w:val="39ED226F"/>
    <w:rsid w:val="3A00614F"/>
    <w:rsid w:val="3A14701E"/>
    <w:rsid w:val="3A267238"/>
    <w:rsid w:val="3A2E78B5"/>
    <w:rsid w:val="3A31429B"/>
    <w:rsid w:val="3A3C4CAD"/>
    <w:rsid w:val="3A437DEA"/>
    <w:rsid w:val="3A4D13FB"/>
    <w:rsid w:val="3A4E2C2C"/>
    <w:rsid w:val="3A4F2C33"/>
    <w:rsid w:val="3A5C42F2"/>
    <w:rsid w:val="3A62691B"/>
    <w:rsid w:val="3A824DB6"/>
    <w:rsid w:val="3A884F96"/>
    <w:rsid w:val="3A993EAE"/>
    <w:rsid w:val="3A9B7C26"/>
    <w:rsid w:val="3AD54E40"/>
    <w:rsid w:val="3AE27603"/>
    <w:rsid w:val="3AF85078"/>
    <w:rsid w:val="3B3C4A20"/>
    <w:rsid w:val="3B5358EC"/>
    <w:rsid w:val="3B5B65F9"/>
    <w:rsid w:val="3B5F6EA5"/>
    <w:rsid w:val="3B691AD2"/>
    <w:rsid w:val="3B6C37AB"/>
    <w:rsid w:val="3B8E3F09"/>
    <w:rsid w:val="3B9A1C8B"/>
    <w:rsid w:val="3BAB39F2"/>
    <w:rsid w:val="3BB04227"/>
    <w:rsid w:val="3BB6061B"/>
    <w:rsid w:val="3BBA40DC"/>
    <w:rsid w:val="3BC761FC"/>
    <w:rsid w:val="3BD31641"/>
    <w:rsid w:val="3BDB714C"/>
    <w:rsid w:val="3C28750D"/>
    <w:rsid w:val="3C2D6FA3"/>
    <w:rsid w:val="3C3469E4"/>
    <w:rsid w:val="3C6D6654"/>
    <w:rsid w:val="3C706E90"/>
    <w:rsid w:val="3CBE5E4E"/>
    <w:rsid w:val="3CC63F16"/>
    <w:rsid w:val="3CE27D8E"/>
    <w:rsid w:val="3D004862"/>
    <w:rsid w:val="3D115F7D"/>
    <w:rsid w:val="3D144026"/>
    <w:rsid w:val="3D1F4715"/>
    <w:rsid w:val="3D2959BD"/>
    <w:rsid w:val="3D3879AE"/>
    <w:rsid w:val="3D3E2AEA"/>
    <w:rsid w:val="3D580050"/>
    <w:rsid w:val="3D5F13DF"/>
    <w:rsid w:val="3D6140A3"/>
    <w:rsid w:val="3D6430D4"/>
    <w:rsid w:val="3D66752E"/>
    <w:rsid w:val="3D781745"/>
    <w:rsid w:val="3D850719"/>
    <w:rsid w:val="3DA64F6F"/>
    <w:rsid w:val="3DC2371B"/>
    <w:rsid w:val="3DD15C25"/>
    <w:rsid w:val="3DDB6C68"/>
    <w:rsid w:val="3E0C54D1"/>
    <w:rsid w:val="3E3B65C0"/>
    <w:rsid w:val="3E5D22D6"/>
    <w:rsid w:val="3E680921"/>
    <w:rsid w:val="3E845132"/>
    <w:rsid w:val="3E8C3350"/>
    <w:rsid w:val="3E927592"/>
    <w:rsid w:val="3EAE5A4E"/>
    <w:rsid w:val="3EB21A66"/>
    <w:rsid w:val="3EE31B9B"/>
    <w:rsid w:val="3EE64BCB"/>
    <w:rsid w:val="3EE651E8"/>
    <w:rsid w:val="3F10106C"/>
    <w:rsid w:val="3F1735F3"/>
    <w:rsid w:val="3F270321"/>
    <w:rsid w:val="3F352E6C"/>
    <w:rsid w:val="3F7E18C4"/>
    <w:rsid w:val="3FC5363C"/>
    <w:rsid w:val="3FE07E6C"/>
    <w:rsid w:val="3FE1257F"/>
    <w:rsid w:val="3FE335D7"/>
    <w:rsid w:val="3FF81676"/>
    <w:rsid w:val="400675C3"/>
    <w:rsid w:val="400E49F6"/>
    <w:rsid w:val="402B246B"/>
    <w:rsid w:val="4037219F"/>
    <w:rsid w:val="4041301D"/>
    <w:rsid w:val="406D3E12"/>
    <w:rsid w:val="406D5997"/>
    <w:rsid w:val="40876F85"/>
    <w:rsid w:val="409F644B"/>
    <w:rsid w:val="40A84193"/>
    <w:rsid w:val="40C117F9"/>
    <w:rsid w:val="40E63113"/>
    <w:rsid w:val="41223B78"/>
    <w:rsid w:val="41230295"/>
    <w:rsid w:val="41326E0A"/>
    <w:rsid w:val="413B57D4"/>
    <w:rsid w:val="413C4558"/>
    <w:rsid w:val="41436434"/>
    <w:rsid w:val="41503DA4"/>
    <w:rsid w:val="416830A7"/>
    <w:rsid w:val="41685D9E"/>
    <w:rsid w:val="418D4040"/>
    <w:rsid w:val="41A557E4"/>
    <w:rsid w:val="424961B9"/>
    <w:rsid w:val="424B094E"/>
    <w:rsid w:val="426C4CF0"/>
    <w:rsid w:val="427F7E2D"/>
    <w:rsid w:val="42864EB0"/>
    <w:rsid w:val="429C2612"/>
    <w:rsid w:val="42B45D29"/>
    <w:rsid w:val="42B87836"/>
    <w:rsid w:val="42F25A21"/>
    <w:rsid w:val="431A1904"/>
    <w:rsid w:val="431A7856"/>
    <w:rsid w:val="431C38CE"/>
    <w:rsid w:val="43251414"/>
    <w:rsid w:val="433173D5"/>
    <w:rsid w:val="4339671E"/>
    <w:rsid w:val="433D3813"/>
    <w:rsid w:val="43576CF7"/>
    <w:rsid w:val="43AC4C93"/>
    <w:rsid w:val="43B129F8"/>
    <w:rsid w:val="43B61F95"/>
    <w:rsid w:val="43CA50D8"/>
    <w:rsid w:val="43D63A7D"/>
    <w:rsid w:val="43E73EDC"/>
    <w:rsid w:val="43FE0ABE"/>
    <w:rsid w:val="440700DA"/>
    <w:rsid w:val="440C2AF7"/>
    <w:rsid w:val="440F51E1"/>
    <w:rsid w:val="44434FB6"/>
    <w:rsid w:val="444E5D09"/>
    <w:rsid w:val="4455528C"/>
    <w:rsid w:val="445D28B8"/>
    <w:rsid w:val="44745668"/>
    <w:rsid w:val="44782D86"/>
    <w:rsid w:val="44974BC1"/>
    <w:rsid w:val="449F47B6"/>
    <w:rsid w:val="44A616A1"/>
    <w:rsid w:val="44B4325F"/>
    <w:rsid w:val="44C42F27"/>
    <w:rsid w:val="44D73F50"/>
    <w:rsid w:val="44DC3A8E"/>
    <w:rsid w:val="44EE3DA5"/>
    <w:rsid w:val="450F51C8"/>
    <w:rsid w:val="45101DC1"/>
    <w:rsid w:val="451627E9"/>
    <w:rsid w:val="451900C5"/>
    <w:rsid w:val="451F3572"/>
    <w:rsid w:val="45430A7E"/>
    <w:rsid w:val="454F3EC8"/>
    <w:rsid w:val="4567331B"/>
    <w:rsid w:val="456C0104"/>
    <w:rsid w:val="458B41A3"/>
    <w:rsid w:val="45967968"/>
    <w:rsid w:val="45BB06E5"/>
    <w:rsid w:val="45C7444D"/>
    <w:rsid w:val="45EE1AFF"/>
    <w:rsid w:val="45F374B0"/>
    <w:rsid w:val="45FD79E7"/>
    <w:rsid w:val="46033555"/>
    <w:rsid w:val="460F0C6D"/>
    <w:rsid w:val="46115240"/>
    <w:rsid w:val="46144D30"/>
    <w:rsid w:val="46284338"/>
    <w:rsid w:val="463E6C7A"/>
    <w:rsid w:val="467F0277"/>
    <w:rsid w:val="4685435B"/>
    <w:rsid w:val="4689127A"/>
    <w:rsid w:val="468C48C7"/>
    <w:rsid w:val="468E063F"/>
    <w:rsid w:val="4698326B"/>
    <w:rsid w:val="46D14DB6"/>
    <w:rsid w:val="46DC75FC"/>
    <w:rsid w:val="46E82445"/>
    <w:rsid w:val="46F377D4"/>
    <w:rsid w:val="47113743"/>
    <w:rsid w:val="47121802"/>
    <w:rsid w:val="47324843"/>
    <w:rsid w:val="475C7312"/>
    <w:rsid w:val="477E30E1"/>
    <w:rsid w:val="478B4B7E"/>
    <w:rsid w:val="47936658"/>
    <w:rsid w:val="47A42060"/>
    <w:rsid w:val="47CB0F98"/>
    <w:rsid w:val="47D97FDF"/>
    <w:rsid w:val="47FE17F4"/>
    <w:rsid w:val="480D1132"/>
    <w:rsid w:val="480D1A37"/>
    <w:rsid w:val="486F4BCD"/>
    <w:rsid w:val="4887486C"/>
    <w:rsid w:val="48A203D1"/>
    <w:rsid w:val="48B3438D"/>
    <w:rsid w:val="48B47899"/>
    <w:rsid w:val="48E754F2"/>
    <w:rsid w:val="48F906FA"/>
    <w:rsid w:val="48FF7F8E"/>
    <w:rsid w:val="490A3A59"/>
    <w:rsid w:val="4928680D"/>
    <w:rsid w:val="49396F88"/>
    <w:rsid w:val="49492630"/>
    <w:rsid w:val="494B0A69"/>
    <w:rsid w:val="4950607F"/>
    <w:rsid w:val="496164DE"/>
    <w:rsid w:val="496248E4"/>
    <w:rsid w:val="49836455"/>
    <w:rsid w:val="499E328F"/>
    <w:rsid w:val="499F2B63"/>
    <w:rsid w:val="49C12AD9"/>
    <w:rsid w:val="49DE7B2F"/>
    <w:rsid w:val="49E14B04"/>
    <w:rsid w:val="49E40DEC"/>
    <w:rsid w:val="49E65D98"/>
    <w:rsid w:val="49EB7B56"/>
    <w:rsid w:val="4A114C6A"/>
    <w:rsid w:val="4A35453B"/>
    <w:rsid w:val="4A3D6AED"/>
    <w:rsid w:val="4A4307F4"/>
    <w:rsid w:val="4A5B3369"/>
    <w:rsid w:val="4A9973CA"/>
    <w:rsid w:val="4AAD4D99"/>
    <w:rsid w:val="4AB01A71"/>
    <w:rsid w:val="4AD9025C"/>
    <w:rsid w:val="4AE56CE5"/>
    <w:rsid w:val="4AF12CDE"/>
    <w:rsid w:val="4B076C12"/>
    <w:rsid w:val="4B101F6A"/>
    <w:rsid w:val="4B125CE2"/>
    <w:rsid w:val="4B221C9D"/>
    <w:rsid w:val="4B3B5C13"/>
    <w:rsid w:val="4B3B5DC9"/>
    <w:rsid w:val="4B8C7E59"/>
    <w:rsid w:val="4B987142"/>
    <w:rsid w:val="4BCC2AE8"/>
    <w:rsid w:val="4BED4059"/>
    <w:rsid w:val="4C0C0625"/>
    <w:rsid w:val="4C0D24EE"/>
    <w:rsid w:val="4C562613"/>
    <w:rsid w:val="4C673E0C"/>
    <w:rsid w:val="4C6B4A07"/>
    <w:rsid w:val="4C7168AD"/>
    <w:rsid w:val="4C914495"/>
    <w:rsid w:val="4CA566E2"/>
    <w:rsid w:val="4CC72AFC"/>
    <w:rsid w:val="4CD12186"/>
    <w:rsid w:val="4CE90CC5"/>
    <w:rsid w:val="4D004D66"/>
    <w:rsid w:val="4D1179A3"/>
    <w:rsid w:val="4D2A6BE7"/>
    <w:rsid w:val="4D3D26A2"/>
    <w:rsid w:val="4D4B0A94"/>
    <w:rsid w:val="4D522188"/>
    <w:rsid w:val="4D7B3101"/>
    <w:rsid w:val="4DA7221A"/>
    <w:rsid w:val="4DB27202"/>
    <w:rsid w:val="4DC43D19"/>
    <w:rsid w:val="4DCF7E09"/>
    <w:rsid w:val="4DDE1EAC"/>
    <w:rsid w:val="4DF739FA"/>
    <w:rsid w:val="4E3416D3"/>
    <w:rsid w:val="4EBB1FE2"/>
    <w:rsid w:val="4EC92B5C"/>
    <w:rsid w:val="4ECE54C0"/>
    <w:rsid w:val="4F082F58"/>
    <w:rsid w:val="4F23499F"/>
    <w:rsid w:val="4F334479"/>
    <w:rsid w:val="4F39154A"/>
    <w:rsid w:val="4F4A5C7A"/>
    <w:rsid w:val="4F4F3136"/>
    <w:rsid w:val="4F5C0F91"/>
    <w:rsid w:val="4F632CF6"/>
    <w:rsid w:val="4F652837"/>
    <w:rsid w:val="4F74460B"/>
    <w:rsid w:val="4F9273F2"/>
    <w:rsid w:val="4F934F18"/>
    <w:rsid w:val="4F974A08"/>
    <w:rsid w:val="4F985BAF"/>
    <w:rsid w:val="4F9C79A6"/>
    <w:rsid w:val="4FAA24EE"/>
    <w:rsid w:val="4FB53FA9"/>
    <w:rsid w:val="4FC9093A"/>
    <w:rsid w:val="4FEC63D6"/>
    <w:rsid w:val="4FF544EF"/>
    <w:rsid w:val="4FF8549C"/>
    <w:rsid w:val="50020E3F"/>
    <w:rsid w:val="500677DB"/>
    <w:rsid w:val="50153B7F"/>
    <w:rsid w:val="50282188"/>
    <w:rsid w:val="503A2CAD"/>
    <w:rsid w:val="5052742F"/>
    <w:rsid w:val="506B044E"/>
    <w:rsid w:val="506F328F"/>
    <w:rsid w:val="50776734"/>
    <w:rsid w:val="5097289B"/>
    <w:rsid w:val="50A32F39"/>
    <w:rsid w:val="50B10B41"/>
    <w:rsid w:val="50B43930"/>
    <w:rsid w:val="50BE6DE5"/>
    <w:rsid w:val="50CC466B"/>
    <w:rsid w:val="50D650BC"/>
    <w:rsid w:val="50DF429E"/>
    <w:rsid w:val="50FF78E3"/>
    <w:rsid w:val="511E3B2D"/>
    <w:rsid w:val="5132515F"/>
    <w:rsid w:val="513F7105"/>
    <w:rsid w:val="51532BB1"/>
    <w:rsid w:val="51553374"/>
    <w:rsid w:val="51632194"/>
    <w:rsid w:val="51695F30"/>
    <w:rsid w:val="5176064D"/>
    <w:rsid w:val="517E6CB7"/>
    <w:rsid w:val="518B234A"/>
    <w:rsid w:val="519F4235"/>
    <w:rsid w:val="51AC22C1"/>
    <w:rsid w:val="51B93E6A"/>
    <w:rsid w:val="51C31CB4"/>
    <w:rsid w:val="51DB6702"/>
    <w:rsid w:val="52037D07"/>
    <w:rsid w:val="525766D1"/>
    <w:rsid w:val="526C13E6"/>
    <w:rsid w:val="528706B1"/>
    <w:rsid w:val="529D2540"/>
    <w:rsid w:val="52A336C4"/>
    <w:rsid w:val="52AA6081"/>
    <w:rsid w:val="52AB2578"/>
    <w:rsid w:val="52B155A9"/>
    <w:rsid w:val="52CF5EA1"/>
    <w:rsid w:val="52F31189"/>
    <w:rsid w:val="531445C2"/>
    <w:rsid w:val="531B5950"/>
    <w:rsid w:val="53255C33"/>
    <w:rsid w:val="533E519B"/>
    <w:rsid w:val="53486019"/>
    <w:rsid w:val="534A1D91"/>
    <w:rsid w:val="5358625C"/>
    <w:rsid w:val="53884308"/>
    <w:rsid w:val="539C4661"/>
    <w:rsid w:val="53BD2563"/>
    <w:rsid w:val="53F7370A"/>
    <w:rsid w:val="53FA5F80"/>
    <w:rsid w:val="53FF2AF0"/>
    <w:rsid w:val="5418634C"/>
    <w:rsid w:val="5425116C"/>
    <w:rsid w:val="542A0AA0"/>
    <w:rsid w:val="543A249E"/>
    <w:rsid w:val="54686973"/>
    <w:rsid w:val="547036DB"/>
    <w:rsid w:val="547215A0"/>
    <w:rsid w:val="54A55C18"/>
    <w:rsid w:val="54A77FFB"/>
    <w:rsid w:val="54A95769"/>
    <w:rsid w:val="54D538DD"/>
    <w:rsid w:val="54E53F0A"/>
    <w:rsid w:val="550419A3"/>
    <w:rsid w:val="551A0F57"/>
    <w:rsid w:val="552B272E"/>
    <w:rsid w:val="55592415"/>
    <w:rsid w:val="5565332A"/>
    <w:rsid w:val="55765352"/>
    <w:rsid w:val="55823A64"/>
    <w:rsid w:val="558C48E3"/>
    <w:rsid w:val="55915A56"/>
    <w:rsid w:val="55AD6E28"/>
    <w:rsid w:val="55DA5D20"/>
    <w:rsid w:val="55E21B6F"/>
    <w:rsid w:val="560A5808"/>
    <w:rsid w:val="560B0C52"/>
    <w:rsid w:val="56101070"/>
    <w:rsid w:val="56402CAA"/>
    <w:rsid w:val="56446F6C"/>
    <w:rsid w:val="56484E7D"/>
    <w:rsid w:val="564B02FA"/>
    <w:rsid w:val="565020BD"/>
    <w:rsid w:val="565C0A5B"/>
    <w:rsid w:val="5671286D"/>
    <w:rsid w:val="56725887"/>
    <w:rsid w:val="56772050"/>
    <w:rsid w:val="56786C15"/>
    <w:rsid w:val="56812A9B"/>
    <w:rsid w:val="568B2E34"/>
    <w:rsid w:val="569752EE"/>
    <w:rsid w:val="56A03015"/>
    <w:rsid w:val="56D75748"/>
    <w:rsid w:val="56F00EA2"/>
    <w:rsid w:val="57111C1B"/>
    <w:rsid w:val="5726041F"/>
    <w:rsid w:val="572F0FEC"/>
    <w:rsid w:val="572F7335"/>
    <w:rsid w:val="574B7E86"/>
    <w:rsid w:val="575E55BE"/>
    <w:rsid w:val="578539C8"/>
    <w:rsid w:val="57882E88"/>
    <w:rsid w:val="57A00167"/>
    <w:rsid w:val="57C31D08"/>
    <w:rsid w:val="57CF6D09"/>
    <w:rsid w:val="57D57BDC"/>
    <w:rsid w:val="57E94255"/>
    <w:rsid w:val="57EA769F"/>
    <w:rsid w:val="58026EE1"/>
    <w:rsid w:val="580D7DD9"/>
    <w:rsid w:val="581B1F4E"/>
    <w:rsid w:val="582E57DE"/>
    <w:rsid w:val="58643B01"/>
    <w:rsid w:val="586673FC"/>
    <w:rsid w:val="587A07F0"/>
    <w:rsid w:val="58AE0DA4"/>
    <w:rsid w:val="58B65D91"/>
    <w:rsid w:val="58D02D39"/>
    <w:rsid w:val="58DF4D2A"/>
    <w:rsid w:val="58E25C4F"/>
    <w:rsid w:val="58E424EC"/>
    <w:rsid w:val="58E855D7"/>
    <w:rsid w:val="58F30A0C"/>
    <w:rsid w:val="58FC1D80"/>
    <w:rsid w:val="590E7AA7"/>
    <w:rsid w:val="59302177"/>
    <w:rsid w:val="5981778C"/>
    <w:rsid w:val="598B6C60"/>
    <w:rsid w:val="599B50F5"/>
    <w:rsid w:val="59A3044D"/>
    <w:rsid w:val="59B80E95"/>
    <w:rsid w:val="59BD1978"/>
    <w:rsid w:val="59E03098"/>
    <w:rsid w:val="59EC5950"/>
    <w:rsid w:val="5A052976"/>
    <w:rsid w:val="5A0C7DA1"/>
    <w:rsid w:val="5A126632"/>
    <w:rsid w:val="5A1947B1"/>
    <w:rsid w:val="5A1A2448"/>
    <w:rsid w:val="5A250E62"/>
    <w:rsid w:val="5A407A4A"/>
    <w:rsid w:val="5A486232"/>
    <w:rsid w:val="5A496932"/>
    <w:rsid w:val="5A745081"/>
    <w:rsid w:val="5ABA77FD"/>
    <w:rsid w:val="5ABC5332"/>
    <w:rsid w:val="5ABE7E1B"/>
    <w:rsid w:val="5ABF12B7"/>
    <w:rsid w:val="5AD3266C"/>
    <w:rsid w:val="5B173D6D"/>
    <w:rsid w:val="5B2B4412"/>
    <w:rsid w:val="5B463AED"/>
    <w:rsid w:val="5B5432D2"/>
    <w:rsid w:val="5B813446"/>
    <w:rsid w:val="5BAB7E35"/>
    <w:rsid w:val="5BB124AC"/>
    <w:rsid w:val="5BB25F33"/>
    <w:rsid w:val="5BD52424"/>
    <w:rsid w:val="5BE2700B"/>
    <w:rsid w:val="5C0B1CEE"/>
    <w:rsid w:val="5C1442C8"/>
    <w:rsid w:val="5C2338E3"/>
    <w:rsid w:val="5C2B198F"/>
    <w:rsid w:val="5C2E2250"/>
    <w:rsid w:val="5C2F7D76"/>
    <w:rsid w:val="5C384E7D"/>
    <w:rsid w:val="5C4F0418"/>
    <w:rsid w:val="5C4F5ACC"/>
    <w:rsid w:val="5C664D64"/>
    <w:rsid w:val="5CA8777A"/>
    <w:rsid w:val="5CAE15E3"/>
    <w:rsid w:val="5CB31A8B"/>
    <w:rsid w:val="5CB44396"/>
    <w:rsid w:val="5CB564CD"/>
    <w:rsid w:val="5CD103C3"/>
    <w:rsid w:val="5CD32DF8"/>
    <w:rsid w:val="5CDE3FD4"/>
    <w:rsid w:val="5CEC7EF0"/>
    <w:rsid w:val="5D0C5416"/>
    <w:rsid w:val="5D167471"/>
    <w:rsid w:val="5D2C4BE3"/>
    <w:rsid w:val="5D476DAC"/>
    <w:rsid w:val="5D4B5084"/>
    <w:rsid w:val="5D541341"/>
    <w:rsid w:val="5D645D31"/>
    <w:rsid w:val="5D6A46F2"/>
    <w:rsid w:val="5D720862"/>
    <w:rsid w:val="5DAD4581"/>
    <w:rsid w:val="5DAF0D3C"/>
    <w:rsid w:val="5DC310BE"/>
    <w:rsid w:val="5DF41277"/>
    <w:rsid w:val="5E005A13"/>
    <w:rsid w:val="5E0314BA"/>
    <w:rsid w:val="5E096E10"/>
    <w:rsid w:val="5E174F66"/>
    <w:rsid w:val="5E203E1A"/>
    <w:rsid w:val="5E2F405E"/>
    <w:rsid w:val="5E35156E"/>
    <w:rsid w:val="5E3B5244"/>
    <w:rsid w:val="5E5806FA"/>
    <w:rsid w:val="5EB50A07"/>
    <w:rsid w:val="5EBA3F6F"/>
    <w:rsid w:val="5EBD1A1C"/>
    <w:rsid w:val="5EBD5B0D"/>
    <w:rsid w:val="5ED370DF"/>
    <w:rsid w:val="5EDA03DC"/>
    <w:rsid w:val="5EFC580F"/>
    <w:rsid w:val="5F180EE5"/>
    <w:rsid w:val="5F2E106A"/>
    <w:rsid w:val="5F304531"/>
    <w:rsid w:val="5F4916B0"/>
    <w:rsid w:val="5F531FCE"/>
    <w:rsid w:val="5F56421A"/>
    <w:rsid w:val="5F5B4ECE"/>
    <w:rsid w:val="5F6B5569"/>
    <w:rsid w:val="5F6B6A7E"/>
    <w:rsid w:val="5F7E7925"/>
    <w:rsid w:val="5F926F9A"/>
    <w:rsid w:val="5FA045EF"/>
    <w:rsid w:val="5FAE5456"/>
    <w:rsid w:val="5FF40044"/>
    <w:rsid w:val="600C5E12"/>
    <w:rsid w:val="6014175D"/>
    <w:rsid w:val="60551884"/>
    <w:rsid w:val="60730B79"/>
    <w:rsid w:val="607B7A2E"/>
    <w:rsid w:val="60806FCC"/>
    <w:rsid w:val="60856987"/>
    <w:rsid w:val="60D22A7E"/>
    <w:rsid w:val="60FB0B6F"/>
    <w:rsid w:val="61256D2B"/>
    <w:rsid w:val="613042A1"/>
    <w:rsid w:val="615A7643"/>
    <w:rsid w:val="6160789C"/>
    <w:rsid w:val="61952D71"/>
    <w:rsid w:val="61B70F80"/>
    <w:rsid w:val="61C60374"/>
    <w:rsid w:val="61C8523E"/>
    <w:rsid w:val="62195750"/>
    <w:rsid w:val="6226313A"/>
    <w:rsid w:val="622639C9"/>
    <w:rsid w:val="622C569B"/>
    <w:rsid w:val="622F7502"/>
    <w:rsid w:val="62652744"/>
    <w:rsid w:val="62675D57"/>
    <w:rsid w:val="628C1A7E"/>
    <w:rsid w:val="62A25199"/>
    <w:rsid w:val="62DE30E7"/>
    <w:rsid w:val="62EF4117"/>
    <w:rsid w:val="63161031"/>
    <w:rsid w:val="632379EE"/>
    <w:rsid w:val="633477FE"/>
    <w:rsid w:val="633F2F95"/>
    <w:rsid w:val="634560D1"/>
    <w:rsid w:val="634C4FC7"/>
    <w:rsid w:val="635C0B3B"/>
    <w:rsid w:val="63612DFB"/>
    <w:rsid w:val="63612F0B"/>
    <w:rsid w:val="638E1023"/>
    <w:rsid w:val="638E6922"/>
    <w:rsid w:val="63967BFA"/>
    <w:rsid w:val="63AB3474"/>
    <w:rsid w:val="63C42EF5"/>
    <w:rsid w:val="63FD73EE"/>
    <w:rsid w:val="641736F4"/>
    <w:rsid w:val="641E3A29"/>
    <w:rsid w:val="642F61AF"/>
    <w:rsid w:val="648F1CFA"/>
    <w:rsid w:val="64C00105"/>
    <w:rsid w:val="64C80D68"/>
    <w:rsid w:val="64E8140A"/>
    <w:rsid w:val="651D2CC4"/>
    <w:rsid w:val="651D2E62"/>
    <w:rsid w:val="65250642"/>
    <w:rsid w:val="65314B5F"/>
    <w:rsid w:val="6531690D"/>
    <w:rsid w:val="65384778"/>
    <w:rsid w:val="65396954"/>
    <w:rsid w:val="65706459"/>
    <w:rsid w:val="657F7C60"/>
    <w:rsid w:val="65E15F24"/>
    <w:rsid w:val="65E70DA3"/>
    <w:rsid w:val="65EF241E"/>
    <w:rsid w:val="65F31990"/>
    <w:rsid w:val="660C5642"/>
    <w:rsid w:val="661275CF"/>
    <w:rsid w:val="663C1A0D"/>
    <w:rsid w:val="66635058"/>
    <w:rsid w:val="668138C4"/>
    <w:rsid w:val="6686712D"/>
    <w:rsid w:val="66943D9A"/>
    <w:rsid w:val="66B52F4C"/>
    <w:rsid w:val="66CB7797"/>
    <w:rsid w:val="66CC0FE3"/>
    <w:rsid w:val="66CC7E00"/>
    <w:rsid w:val="66DC42DF"/>
    <w:rsid w:val="66F25116"/>
    <w:rsid w:val="66FE23E5"/>
    <w:rsid w:val="671A1903"/>
    <w:rsid w:val="67387BB0"/>
    <w:rsid w:val="67787F05"/>
    <w:rsid w:val="678F4E88"/>
    <w:rsid w:val="678F6EA4"/>
    <w:rsid w:val="67902011"/>
    <w:rsid w:val="679F04A6"/>
    <w:rsid w:val="67C27CF0"/>
    <w:rsid w:val="67CA2747"/>
    <w:rsid w:val="67E6716F"/>
    <w:rsid w:val="68070EF2"/>
    <w:rsid w:val="68150768"/>
    <w:rsid w:val="68177EB4"/>
    <w:rsid w:val="6829711D"/>
    <w:rsid w:val="68595272"/>
    <w:rsid w:val="688E4077"/>
    <w:rsid w:val="68BF5714"/>
    <w:rsid w:val="68D0643D"/>
    <w:rsid w:val="68EA4C86"/>
    <w:rsid w:val="68EF2D67"/>
    <w:rsid w:val="69004F74"/>
    <w:rsid w:val="690125A8"/>
    <w:rsid w:val="69025709"/>
    <w:rsid w:val="691602F4"/>
    <w:rsid w:val="6918477B"/>
    <w:rsid w:val="691F1FEC"/>
    <w:rsid w:val="692E7D33"/>
    <w:rsid w:val="69470DF5"/>
    <w:rsid w:val="694806C9"/>
    <w:rsid w:val="697D65C5"/>
    <w:rsid w:val="69DC4826"/>
    <w:rsid w:val="69EA5036"/>
    <w:rsid w:val="69F64208"/>
    <w:rsid w:val="69F97043"/>
    <w:rsid w:val="6A2C70EA"/>
    <w:rsid w:val="6A460CA7"/>
    <w:rsid w:val="6A4C3158"/>
    <w:rsid w:val="6A5212B8"/>
    <w:rsid w:val="6A5A61D7"/>
    <w:rsid w:val="6A5E63F6"/>
    <w:rsid w:val="6A6A79DD"/>
    <w:rsid w:val="6A75786C"/>
    <w:rsid w:val="6A9223BE"/>
    <w:rsid w:val="6AD20B92"/>
    <w:rsid w:val="6ADD5CCB"/>
    <w:rsid w:val="6B2961F8"/>
    <w:rsid w:val="6B52429B"/>
    <w:rsid w:val="6B530E09"/>
    <w:rsid w:val="6B633389"/>
    <w:rsid w:val="6B696546"/>
    <w:rsid w:val="6B84387D"/>
    <w:rsid w:val="6BA07176"/>
    <w:rsid w:val="6BAC4F3F"/>
    <w:rsid w:val="6BBB33D4"/>
    <w:rsid w:val="6BC06C3D"/>
    <w:rsid w:val="6BC7702A"/>
    <w:rsid w:val="6BFF0467"/>
    <w:rsid w:val="6C097FAA"/>
    <w:rsid w:val="6C0E5BFA"/>
    <w:rsid w:val="6C446F00"/>
    <w:rsid w:val="6C5623DD"/>
    <w:rsid w:val="6C580C23"/>
    <w:rsid w:val="6C621AA2"/>
    <w:rsid w:val="6C624736"/>
    <w:rsid w:val="6C936196"/>
    <w:rsid w:val="6CA65E33"/>
    <w:rsid w:val="6CC00D01"/>
    <w:rsid w:val="6CC426C6"/>
    <w:rsid w:val="6CDE55CC"/>
    <w:rsid w:val="6CF57E43"/>
    <w:rsid w:val="6D015A2E"/>
    <w:rsid w:val="6D192AA9"/>
    <w:rsid w:val="6D1B53E4"/>
    <w:rsid w:val="6D205BE5"/>
    <w:rsid w:val="6D2106D8"/>
    <w:rsid w:val="6D297EFB"/>
    <w:rsid w:val="6D527D69"/>
    <w:rsid w:val="6D616AB2"/>
    <w:rsid w:val="6D620CE3"/>
    <w:rsid w:val="6D634B3D"/>
    <w:rsid w:val="6D6F091A"/>
    <w:rsid w:val="6D7F47C0"/>
    <w:rsid w:val="6DA265FA"/>
    <w:rsid w:val="6DC30415"/>
    <w:rsid w:val="6DCE1342"/>
    <w:rsid w:val="6DDA42CD"/>
    <w:rsid w:val="6DE24C48"/>
    <w:rsid w:val="6DFA4688"/>
    <w:rsid w:val="6E104701"/>
    <w:rsid w:val="6E1A6AD8"/>
    <w:rsid w:val="6E3B25AB"/>
    <w:rsid w:val="6E443B55"/>
    <w:rsid w:val="6E4A0A40"/>
    <w:rsid w:val="6E580BA8"/>
    <w:rsid w:val="6E634D44"/>
    <w:rsid w:val="6E64578C"/>
    <w:rsid w:val="6E731D44"/>
    <w:rsid w:val="6E7458D3"/>
    <w:rsid w:val="6EA145F3"/>
    <w:rsid w:val="6EDF562C"/>
    <w:rsid w:val="6EF27CB6"/>
    <w:rsid w:val="6EFF7D6A"/>
    <w:rsid w:val="6F2319BD"/>
    <w:rsid w:val="6F280D81"/>
    <w:rsid w:val="6F32557C"/>
    <w:rsid w:val="6F5B7FAD"/>
    <w:rsid w:val="6F7A7B91"/>
    <w:rsid w:val="6F945C9E"/>
    <w:rsid w:val="70081277"/>
    <w:rsid w:val="70150C23"/>
    <w:rsid w:val="701C12D5"/>
    <w:rsid w:val="701E6FAF"/>
    <w:rsid w:val="7047792D"/>
    <w:rsid w:val="70497B9A"/>
    <w:rsid w:val="704F6C54"/>
    <w:rsid w:val="705B5186"/>
    <w:rsid w:val="705E3501"/>
    <w:rsid w:val="70632E9A"/>
    <w:rsid w:val="70C0289D"/>
    <w:rsid w:val="70CB5E68"/>
    <w:rsid w:val="70D63686"/>
    <w:rsid w:val="70FB587A"/>
    <w:rsid w:val="71186BD3"/>
    <w:rsid w:val="71236B99"/>
    <w:rsid w:val="7129460A"/>
    <w:rsid w:val="71312680"/>
    <w:rsid w:val="716D608D"/>
    <w:rsid w:val="717007BD"/>
    <w:rsid w:val="71940003"/>
    <w:rsid w:val="71A2716A"/>
    <w:rsid w:val="71D04CD8"/>
    <w:rsid w:val="71D76A8E"/>
    <w:rsid w:val="71EB4E7C"/>
    <w:rsid w:val="71F9118B"/>
    <w:rsid w:val="72033642"/>
    <w:rsid w:val="72035AD5"/>
    <w:rsid w:val="72304797"/>
    <w:rsid w:val="723F41A6"/>
    <w:rsid w:val="72454D3E"/>
    <w:rsid w:val="7265409A"/>
    <w:rsid w:val="727566AD"/>
    <w:rsid w:val="7278201F"/>
    <w:rsid w:val="72A6583A"/>
    <w:rsid w:val="72AE3C93"/>
    <w:rsid w:val="72B87946"/>
    <w:rsid w:val="72BF37AA"/>
    <w:rsid w:val="72DB1704"/>
    <w:rsid w:val="73027042"/>
    <w:rsid w:val="73050A77"/>
    <w:rsid w:val="732F740C"/>
    <w:rsid w:val="7332039C"/>
    <w:rsid w:val="734D7008"/>
    <w:rsid w:val="735D3985"/>
    <w:rsid w:val="735F415F"/>
    <w:rsid w:val="73852C46"/>
    <w:rsid w:val="73903399"/>
    <w:rsid w:val="73993FFB"/>
    <w:rsid w:val="73AD3F4B"/>
    <w:rsid w:val="73BF5809"/>
    <w:rsid w:val="73CB43D1"/>
    <w:rsid w:val="73D414D7"/>
    <w:rsid w:val="73E55492"/>
    <w:rsid w:val="74037C02"/>
    <w:rsid w:val="741D3D69"/>
    <w:rsid w:val="741D4CFE"/>
    <w:rsid w:val="741E6204"/>
    <w:rsid w:val="742E508B"/>
    <w:rsid w:val="744A36B8"/>
    <w:rsid w:val="745B7503"/>
    <w:rsid w:val="7460720F"/>
    <w:rsid w:val="74893BA8"/>
    <w:rsid w:val="748A603A"/>
    <w:rsid w:val="749F7D37"/>
    <w:rsid w:val="74BA7B5E"/>
    <w:rsid w:val="74C9647D"/>
    <w:rsid w:val="74D3178F"/>
    <w:rsid w:val="74E90FB2"/>
    <w:rsid w:val="7521593E"/>
    <w:rsid w:val="755D3013"/>
    <w:rsid w:val="75610B49"/>
    <w:rsid w:val="7577679D"/>
    <w:rsid w:val="758C4A3D"/>
    <w:rsid w:val="759430E3"/>
    <w:rsid w:val="759F5B15"/>
    <w:rsid w:val="75E43DCE"/>
    <w:rsid w:val="76053BD8"/>
    <w:rsid w:val="761D2820"/>
    <w:rsid w:val="763B3A90"/>
    <w:rsid w:val="764010A6"/>
    <w:rsid w:val="76674885"/>
    <w:rsid w:val="766C2A4D"/>
    <w:rsid w:val="766F6AFD"/>
    <w:rsid w:val="76883A7E"/>
    <w:rsid w:val="768B7C8B"/>
    <w:rsid w:val="76921BD6"/>
    <w:rsid w:val="76982C90"/>
    <w:rsid w:val="76B92F15"/>
    <w:rsid w:val="76EB4739"/>
    <w:rsid w:val="76FF375D"/>
    <w:rsid w:val="7709593C"/>
    <w:rsid w:val="7725204A"/>
    <w:rsid w:val="77334767"/>
    <w:rsid w:val="773B6A7E"/>
    <w:rsid w:val="77444BC6"/>
    <w:rsid w:val="77974CF6"/>
    <w:rsid w:val="779C14E3"/>
    <w:rsid w:val="77A967D7"/>
    <w:rsid w:val="77B70EF4"/>
    <w:rsid w:val="77BA4E88"/>
    <w:rsid w:val="77D94823"/>
    <w:rsid w:val="77F35CA4"/>
    <w:rsid w:val="77FE6B23"/>
    <w:rsid w:val="78252301"/>
    <w:rsid w:val="784F5DCB"/>
    <w:rsid w:val="788A2AAC"/>
    <w:rsid w:val="78AF7BEC"/>
    <w:rsid w:val="78BA2E15"/>
    <w:rsid w:val="78D3607A"/>
    <w:rsid w:val="78DC1B4A"/>
    <w:rsid w:val="78EE71F4"/>
    <w:rsid w:val="790D1A26"/>
    <w:rsid w:val="79313734"/>
    <w:rsid w:val="793D1A19"/>
    <w:rsid w:val="7961380D"/>
    <w:rsid w:val="797E7831"/>
    <w:rsid w:val="79A27982"/>
    <w:rsid w:val="79D20267"/>
    <w:rsid w:val="79D833A4"/>
    <w:rsid w:val="79F36149"/>
    <w:rsid w:val="7A0043BD"/>
    <w:rsid w:val="7A3C10ED"/>
    <w:rsid w:val="7ACA02D2"/>
    <w:rsid w:val="7ACF3CFE"/>
    <w:rsid w:val="7AD91300"/>
    <w:rsid w:val="7AED2E7F"/>
    <w:rsid w:val="7AF1431C"/>
    <w:rsid w:val="7B0100A3"/>
    <w:rsid w:val="7B0F54EB"/>
    <w:rsid w:val="7B1D62C4"/>
    <w:rsid w:val="7B1F4D4B"/>
    <w:rsid w:val="7B566C76"/>
    <w:rsid w:val="7B5C2B16"/>
    <w:rsid w:val="7B922090"/>
    <w:rsid w:val="7B9559F0"/>
    <w:rsid w:val="7BA21EBB"/>
    <w:rsid w:val="7BA552BA"/>
    <w:rsid w:val="7BDE504F"/>
    <w:rsid w:val="7C0A05F5"/>
    <w:rsid w:val="7C1E6331"/>
    <w:rsid w:val="7C2D3E7B"/>
    <w:rsid w:val="7C417926"/>
    <w:rsid w:val="7C6C56BD"/>
    <w:rsid w:val="7C6D2A55"/>
    <w:rsid w:val="7C71553E"/>
    <w:rsid w:val="7C745605"/>
    <w:rsid w:val="7C7C7AEA"/>
    <w:rsid w:val="7C8072AF"/>
    <w:rsid w:val="7C833A9B"/>
    <w:rsid w:val="7C9C690A"/>
    <w:rsid w:val="7C9E2A2E"/>
    <w:rsid w:val="7D047E21"/>
    <w:rsid w:val="7D1E298A"/>
    <w:rsid w:val="7D6609C0"/>
    <w:rsid w:val="7D771DF3"/>
    <w:rsid w:val="7D851A91"/>
    <w:rsid w:val="7DA75CB5"/>
    <w:rsid w:val="7DCA43BE"/>
    <w:rsid w:val="7DDD367E"/>
    <w:rsid w:val="7E1565F1"/>
    <w:rsid w:val="7E156974"/>
    <w:rsid w:val="7E1D1694"/>
    <w:rsid w:val="7E23563C"/>
    <w:rsid w:val="7E362C7D"/>
    <w:rsid w:val="7E431EBE"/>
    <w:rsid w:val="7E5D031B"/>
    <w:rsid w:val="7E6F077A"/>
    <w:rsid w:val="7E7202C2"/>
    <w:rsid w:val="7E745766"/>
    <w:rsid w:val="7E887045"/>
    <w:rsid w:val="7E8F4A4E"/>
    <w:rsid w:val="7E924469"/>
    <w:rsid w:val="7EA77F8B"/>
    <w:rsid w:val="7EBB717C"/>
    <w:rsid w:val="7EC4658F"/>
    <w:rsid w:val="7ECD127F"/>
    <w:rsid w:val="7ED1262C"/>
    <w:rsid w:val="7EF626E2"/>
    <w:rsid w:val="7EFC3EB8"/>
    <w:rsid w:val="7F08472B"/>
    <w:rsid w:val="7F127358"/>
    <w:rsid w:val="7F1D66D7"/>
    <w:rsid w:val="7F201A75"/>
    <w:rsid w:val="7F275383"/>
    <w:rsid w:val="7F5C75A6"/>
    <w:rsid w:val="7F711E69"/>
    <w:rsid w:val="7F88381C"/>
    <w:rsid w:val="7F9F4DEF"/>
    <w:rsid w:val="7FC46C1E"/>
    <w:rsid w:val="7FFA22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line="720" w:lineRule="exact"/>
      <w:jc w:val="center"/>
      <w:outlineLvl w:val="0"/>
    </w:pPr>
    <w:rPr>
      <w:b/>
      <w:bCs/>
      <w:kern w:val="44"/>
      <w:sz w:val="32"/>
      <w:szCs w:val="44"/>
    </w:rPr>
  </w:style>
  <w:style w:type="paragraph" w:styleId="3">
    <w:name w:val="heading 2"/>
    <w:basedOn w:val="1"/>
    <w:next w:val="1"/>
    <w:link w:val="34"/>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paragraph" w:styleId="4">
    <w:name w:val="heading 3"/>
    <w:basedOn w:val="1"/>
    <w:next w:val="5"/>
    <w:qFormat/>
    <w:uiPriority w:val="0"/>
    <w:pPr>
      <w:keepNext/>
      <w:keepLines/>
      <w:numPr>
        <w:ilvl w:val="2"/>
        <w:numId w:val="2"/>
      </w:numPr>
      <w:spacing w:before="156" w:after="120"/>
      <w:ind w:left="0" w:firstLine="0" w:firstLineChars="0"/>
      <w:outlineLvl w:val="2"/>
    </w:pPr>
    <w:rPr>
      <w:rFonts w:ascii="黑体" w:hAnsi="黑体" w:eastAsia="黑体" w:cs="Times New Roman"/>
      <w:b/>
      <w:bCs/>
      <w:sz w:val="24"/>
      <w:szCs w:val="32"/>
    </w:rPr>
  </w:style>
  <w:style w:type="paragraph" w:styleId="6">
    <w:name w:val="heading 4"/>
    <w:basedOn w:val="1"/>
    <w:next w:val="5"/>
    <w:qFormat/>
    <w:uiPriority w:val="0"/>
    <w:pPr>
      <w:keepNext/>
      <w:keepLines/>
      <w:numPr>
        <w:ilvl w:val="3"/>
        <w:numId w:val="2"/>
      </w:numPr>
      <w:spacing w:before="50" w:beforeLines="50" w:after="120"/>
      <w:ind w:left="0" w:firstLine="0" w:firstLineChars="0"/>
      <w:outlineLvl w:val="3"/>
    </w:pPr>
    <w:rPr>
      <w:rFonts w:ascii="黑体" w:hAnsi="黑体" w:eastAsia="黑体" w:cs="Times New Roman"/>
      <w:b/>
      <w:bCs/>
      <w:sz w:val="24"/>
      <w:szCs w:val="28"/>
    </w:rPr>
  </w:style>
  <w:style w:type="paragraph" w:styleId="7">
    <w:name w:val="heading 5"/>
    <w:basedOn w:val="1"/>
    <w:next w:val="1"/>
    <w:qFormat/>
    <w:uiPriority w:val="0"/>
    <w:pPr>
      <w:keepNext/>
      <w:keepLines/>
      <w:numPr>
        <w:ilvl w:val="4"/>
        <w:numId w:val="2"/>
      </w:numPr>
      <w:spacing w:before="50" w:beforeLines="50"/>
      <w:ind w:left="0" w:firstLine="0" w:firstLineChars="0"/>
      <w:outlineLvl w:val="4"/>
    </w:pPr>
    <w:rPr>
      <w:rFonts w:ascii="宋体" w:hAnsi="宋体" w:eastAsia="黑体"/>
      <w:b/>
      <w:bCs/>
      <w:color w:val="000000"/>
      <w:szCs w:val="24"/>
    </w:rPr>
  </w:style>
  <w:style w:type="paragraph" w:styleId="8">
    <w:name w:val="heading 6"/>
    <w:basedOn w:val="1"/>
    <w:next w:val="1"/>
    <w:qFormat/>
    <w:uiPriority w:val="0"/>
    <w:pPr>
      <w:keepNext/>
      <w:keepLines/>
      <w:numPr>
        <w:ilvl w:val="5"/>
        <w:numId w:val="2"/>
      </w:numPr>
      <w:spacing w:before="50" w:beforeLines="50" w:after="50" w:afterLines="50"/>
      <w:ind w:left="0" w:firstLine="0" w:firstLineChars="0"/>
      <w:jc w:val="left"/>
      <w:outlineLvl w:val="5"/>
    </w:pPr>
    <w:rPr>
      <w:rFonts w:ascii="Times New Roman" w:hAnsi="Times New Roman" w:eastAsia="黑体" w:cs="Times New Roman"/>
      <w:b/>
      <w:bCs/>
      <w:sz w:val="24"/>
      <w:szCs w:val="24"/>
    </w:rPr>
  </w:style>
  <w:style w:type="paragraph" w:styleId="9">
    <w:name w:val="heading 7"/>
    <w:next w:val="1"/>
    <w:unhideWhenUsed/>
    <w:qFormat/>
    <w:uiPriority w:val="9"/>
    <w:pPr>
      <w:keepNext/>
      <w:keepLines/>
      <w:numPr>
        <w:ilvl w:val="6"/>
        <w:numId w:val="2"/>
      </w:numPr>
      <w:bidi w:val="0"/>
      <w:spacing w:before="50" w:beforeLines="50" w:after="50" w:afterLines="50" w:line="360" w:lineRule="auto"/>
      <w:ind w:left="1298" w:leftChars="0" w:hanging="1298" w:firstLineChars="0"/>
      <w:outlineLvl w:val="6"/>
    </w:pPr>
    <w:rPr>
      <w:rFonts w:ascii="Times New Roman" w:hAnsi="Times New Roman" w:eastAsia="黑体" w:cs="Times New Roman"/>
      <w:b/>
      <w:bCs/>
      <w:kern w:val="2"/>
      <w:sz w:val="24"/>
      <w:szCs w:val="24"/>
      <w:lang w:val="en-US" w:eastAsia="zh-CN" w:bidi="ar-SA"/>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customStyle="1" w:styleId="5">
    <w:name w:val="段落文字"/>
    <w:basedOn w:val="1"/>
    <w:qFormat/>
    <w:uiPriority w:val="0"/>
    <w:pPr>
      <w:widowControl/>
      <w:jc w:val="left"/>
    </w:pPr>
    <w:rPr>
      <w:rFonts w:ascii="Times New Roman" w:hAnsi="Times New Roman" w:eastAsia="宋体" w:cs="宋体"/>
      <w:kern w:val="0"/>
      <w:sz w:val="24"/>
      <w:szCs w:val="24"/>
    </w:rPr>
  </w:style>
  <w:style w:type="paragraph" w:styleId="10">
    <w:name w:val="Normal Indent"/>
    <w:basedOn w:val="1"/>
    <w:next w:val="1"/>
    <w:qFormat/>
    <w:uiPriority w:val="0"/>
    <w:pPr>
      <w:adjustRightInd w:val="0"/>
      <w:spacing w:line="315" w:lineRule="atLeast"/>
      <w:ind w:firstLine="420"/>
      <w:jc w:val="left"/>
      <w:textAlignment w:val="baseline"/>
    </w:pPr>
    <w:rPr>
      <w:rFonts w:ascii="宋体"/>
      <w:kern w:val="0"/>
      <w:szCs w:val="20"/>
    </w:rPr>
  </w:style>
  <w:style w:type="paragraph" w:styleId="11">
    <w:name w:val="annotation text"/>
    <w:basedOn w:val="1"/>
    <w:qFormat/>
    <w:uiPriority w:val="0"/>
    <w:pPr>
      <w:jc w:val="left"/>
    </w:pPr>
  </w:style>
  <w:style w:type="paragraph" w:styleId="12">
    <w:name w:val="Body Text"/>
    <w:basedOn w:val="1"/>
    <w:next w:val="13"/>
    <w:qFormat/>
    <w:uiPriority w:val="0"/>
    <w:rPr>
      <w:i/>
      <w:sz w:val="18"/>
    </w:rPr>
  </w:style>
  <w:style w:type="paragraph" w:styleId="13">
    <w:name w:val="Body Text First Indent"/>
    <w:basedOn w:val="12"/>
    <w:next w:val="1"/>
    <w:qFormat/>
    <w:uiPriority w:val="0"/>
    <w:pPr>
      <w:ind w:firstLine="420" w:firstLineChars="100"/>
    </w:pPr>
    <w:rPr>
      <w:rFonts w:ascii="Calibri" w:hAnsi="Calibri"/>
      <w:sz w:val="21"/>
      <w:szCs w:val="22"/>
    </w:rPr>
  </w:style>
  <w:style w:type="paragraph" w:styleId="14">
    <w:name w:val="Body Text Indent"/>
    <w:basedOn w:val="1"/>
    <w:next w:val="15"/>
    <w:qFormat/>
    <w:uiPriority w:val="0"/>
    <w:pPr>
      <w:spacing w:after="120"/>
      <w:ind w:left="420" w:leftChars="200"/>
    </w:pPr>
    <w:rPr>
      <w:szCs w:val="24"/>
    </w:rPr>
  </w:style>
  <w:style w:type="paragraph" w:styleId="15">
    <w:name w:val="envelope return"/>
    <w:basedOn w:val="1"/>
    <w:qFormat/>
    <w:uiPriority w:val="99"/>
    <w:pPr>
      <w:snapToGrid w:val="0"/>
    </w:pPr>
    <w:rPr>
      <w:rFonts w:ascii="Arial" w:hAnsi="Arial"/>
    </w:rPr>
  </w:style>
  <w:style w:type="paragraph" w:styleId="16">
    <w:name w:val="toc 3"/>
    <w:basedOn w:val="1"/>
    <w:next w:val="1"/>
    <w:qFormat/>
    <w:uiPriority w:val="0"/>
    <w:pPr>
      <w:ind w:left="840" w:leftChars="400"/>
    </w:pPr>
  </w:style>
  <w:style w:type="paragraph" w:styleId="17">
    <w:name w:val="Plain Text"/>
    <w:basedOn w:val="1"/>
    <w:next w:val="1"/>
    <w:qFormat/>
    <w:uiPriority w:val="0"/>
    <w:rPr>
      <w:rFonts w:ascii="宋体" w:hAnsi="Courier New"/>
      <w:szCs w:val="20"/>
    </w:rPr>
  </w:style>
  <w:style w:type="paragraph" w:styleId="18">
    <w:name w:val="Body Text Indent 2"/>
    <w:basedOn w:val="1"/>
    <w:qFormat/>
    <w:uiPriority w:val="0"/>
    <w:pPr>
      <w:spacing w:line="360" w:lineRule="auto"/>
      <w:ind w:left="420" w:firstLine="482"/>
    </w:pPr>
    <w:rPr>
      <w:rFonts w:ascii="宋体" w:hAnsi="宋体"/>
      <w:b/>
      <w:sz w:val="24"/>
      <w:szCs w:val="24"/>
    </w:rPr>
  </w:style>
  <w:style w:type="paragraph" w:styleId="19">
    <w:name w:val="Balloon Text"/>
    <w:basedOn w:val="1"/>
    <w:link w:val="35"/>
    <w:qFormat/>
    <w:uiPriority w:val="0"/>
    <w:rPr>
      <w:sz w:val="18"/>
      <w:szCs w:val="18"/>
    </w:rPr>
  </w:style>
  <w:style w:type="paragraph" w:styleId="20">
    <w:name w:val="footer"/>
    <w:basedOn w:val="1"/>
    <w:unhideWhenUsed/>
    <w:qFormat/>
    <w:uiPriority w:val="99"/>
    <w:pPr>
      <w:tabs>
        <w:tab w:val="center" w:pos="4153"/>
        <w:tab w:val="right" w:pos="8306"/>
      </w:tabs>
      <w:snapToGrid w:val="0"/>
      <w:jc w:val="left"/>
    </w:pPr>
    <w:rPr>
      <w:rFonts w:ascii="Times New Roman" w:hAnsi="Times New Roman"/>
      <w:sz w:val="18"/>
      <w:szCs w:val="18"/>
    </w:rPr>
  </w:style>
  <w:style w:type="paragraph" w:styleId="21">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2">
    <w:name w:val="toc 1"/>
    <w:basedOn w:val="1"/>
    <w:next w:val="1"/>
    <w:unhideWhenUsed/>
    <w:qFormat/>
    <w:uiPriority w:val="39"/>
  </w:style>
  <w:style w:type="paragraph" w:styleId="23">
    <w:name w:val="toc 6"/>
    <w:basedOn w:val="1"/>
    <w:next w:val="1"/>
    <w:qFormat/>
    <w:uiPriority w:val="0"/>
    <w:pPr>
      <w:ind w:left="1400"/>
    </w:pPr>
    <w:rPr>
      <w:rFonts w:ascii="Calibri"/>
      <w:sz w:val="18"/>
      <w:szCs w:val="18"/>
    </w:rPr>
  </w:style>
  <w:style w:type="paragraph" w:styleId="24">
    <w:name w:val="toc 2"/>
    <w:basedOn w:val="1"/>
    <w:next w:val="1"/>
    <w:qFormat/>
    <w:uiPriority w:val="0"/>
    <w:pPr>
      <w:ind w:left="420" w:leftChars="200"/>
    </w:pPr>
  </w:style>
  <w:style w:type="paragraph" w:styleId="25">
    <w:name w:val="Normal (Web)"/>
    <w:basedOn w:val="1"/>
    <w:qFormat/>
    <w:uiPriority w:val="0"/>
    <w:rPr>
      <w:sz w:val="24"/>
    </w:rPr>
  </w:style>
  <w:style w:type="paragraph" w:styleId="26">
    <w:name w:val="Title"/>
    <w:basedOn w:val="1"/>
    <w:next w:val="1"/>
    <w:qFormat/>
    <w:uiPriority w:val="0"/>
    <w:pPr>
      <w:spacing w:before="360" w:after="180" w:line="360" w:lineRule="auto"/>
      <w:jc w:val="center"/>
      <w:outlineLvl w:val="0"/>
    </w:pPr>
    <w:rPr>
      <w:rFonts w:ascii="Calibri Light" w:hAnsi="Calibri Light"/>
      <w:b/>
      <w:bCs/>
      <w:sz w:val="32"/>
      <w:szCs w:val="32"/>
    </w:rPr>
  </w:style>
  <w:style w:type="paragraph" w:styleId="27">
    <w:name w:val="Body Text First Indent 2"/>
    <w:basedOn w:val="14"/>
    <w:next w:val="1"/>
    <w:qFormat/>
    <w:uiPriority w:val="0"/>
    <w:pPr>
      <w:adjustRightInd/>
      <w:spacing w:after="120" w:line="240" w:lineRule="auto"/>
      <w:ind w:left="420" w:leftChars="200" w:firstLine="210"/>
    </w:pPr>
    <w:rPr>
      <w:sz w:val="21"/>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qFormat/>
    <w:uiPriority w:val="0"/>
    <w:rPr>
      <w:rFonts w:cs="Times New Roman"/>
    </w:rPr>
  </w:style>
  <w:style w:type="character" w:styleId="33">
    <w:name w:val="Hyperlink"/>
    <w:basedOn w:val="30"/>
    <w:unhideWhenUsed/>
    <w:qFormat/>
    <w:uiPriority w:val="99"/>
    <w:rPr>
      <w:color w:val="0000FF"/>
      <w:u w:val="single"/>
    </w:rPr>
  </w:style>
  <w:style w:type="character" w:customStyle="1" w:styleId="34">
    <w:name w:val="标题 2 字符"/>
    <w:basedOn w:val="30"/>
    <w:link w:val="3"/>
    <w:qFormat/>
    <w:uiPriority w:val="0"/>
    <w:rPr>
      <w:rFonts w:ascii="Arial" w:hAnsi="Arial" w:eastAsia="黑体"/>
      <w:b/>
      <w:bCs/>
      <w:kern w:val="0"/>
      <w:sz w:val="32"/>
      <w:szCs w:val="32"/>
    </w:rPr>
  </w:style>
  <w:style w:type="character" w:customStyle="1" w:styleId="35">
    <w:name w:val="批注框文本 Char"/>
    <w:basedOn w:val="30"/>
    <w:link w:val="19"/>
    <w:qFormat/>
    <w:uiPriority w:val="0"/>
    <w:rPr>
      <w:kern w:val="2"/>
      <w:sz w:val="18"/>
      <w:szCs w:val="18"/>
    </w:rPr>
  </w:style>
  <w:style w:type="paragraph" w:customStyle="1" w:styleId="36">
    <w:name w:val="表格文字"/>
    <w:basedOn w:val="17"/>
    <w:next w:val="12"/>
    <w:qFormat/>
    <w:uiPriority w:val="0"/>
    <w:pPr>
      <w:jc w:val="center"/>
    </w:pPr>
    <w:rPr>
      <w:sz w:val="24"/>
    </w:rPr>
  </w:style>
  <w:style w:type="paragraph" w:customStyle="1" w:styleId="37">
    <w:name w:val="样式3"/>
    <w:basedOn w:val="17"/>
    <w:next w:val="1"/>
    <w:qFormat/>
    <w:uiPriority w:val="0"/>
    <w:pPr>
      <w:tabs>
        <w:tab w:val="left" w:pos="2790"/>
        <w:tab w:val="left" w:pos="4230"/>
      </w:tabs>
      <w:spacing w:before="312" w:beforeLines="100"/>
      <w:jc w:val="left"/>
    </w:pPr>
  </w:style>
  <w:style w:type="paragraph" w:styleId="38">
    <w:name w:val="List Paragraph"/>
    <w:basedOn w:val="1"/>
    <w:qFormat/>
    <w:uiPriority w:val="99"/>
    <w:pPr>
      <w:ind w:firstLine="420" w:firstLineChars="200"/>
    </w:pPr>
  </w:style>
  <w:style w:type="paragraph" w:customStyle="1" w:styleId="39">
    <w:name w:val="首行缩进"/>
    <w:basedOn w:val="1"/>
    <w:qFormat/>
    <w:uiPriority w:val="0"/>
    <w:pPr>
      <w:spacing w:line="360" w:lineRule="auto"/>
      <w:ind w:firstLine="480" w:firstLineChars="200"/>
      <w:jc w:val="left"/>
    </w:pPr>
    <w:rPr>
      <w:rFonts w:ascii="宋体" w:hAnsi="宋体"/>
      <w:sz w:val="24"/>
    </w:rPr>
  </w:style>
  <w:style w:type="paragraph" w:customStyle="1" w:styleId="40">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列出段落1"/>
    <w:basedOn w:val="1"/>
    <w:qFormat/>
    <w:uiPriority w:val="0"/>
    <w:pPr>
      <w:ind w:firstLine="420" w:firstLineChars="200"/>
    </w:pPr>
    <w:rPr>
      <w:szCs w:val="21"/>
    </w:rPr>
  </w:style>
  <w:style w:type="character" w:customStyle="1" w:styleId="42">
    <w:name w:val="NormalCharacter"/>
    <w:semiHidden/>
    <w:qFormat/>
    <w:uiPriority w:val="0"/>
  </w:style>
  <w:style w:type="character" w:customStyle="1" w:styleId="43">
    <w:name w:val="font11"/>
    <w:basedOn w:val="30"/>
    <w:qFormat/>
    <w:uiPriority w:val="0"/>
    <w:rPr>
      <w:rFonts w:hint="default" w:ascii="Times New Roman" w:hAnsi="Times New Roman" w:cs="Times New Roman"/>
      <w:color w:val="000000"/>
      <w:sz w:val="21"/>
      <w:szCs w:val="21"/>
      <w:u w:val="none"/>
    </w:rPr>
  </w:style>
  <w:style w:type="character" w:customStyle="1" w:styleId="44">
    <w:name w:val="font61"/>
    <w:basedOn w:val="30"/>
    <w:qFormat/>
    <w:uiPriority w:val="0"/>
    <w:rPr>
      <w:rFonts w:hint="default" w:ascii="Times New Roman" w:hAnsi="Times New Roman" w:cs="Times New Roman"/>
      <w:color w:val="000000"/>
      <w:sz w:val="21"/>
      <w:szCs w:val="21"/>
      <w:u w:val="none"/>
    </w:rPr>
  </w:style>
  <w:style w:type="character" w:customStyle="1" w:styleId="45">
    <w:name w:val="font01"/>
    <w:basedOn w:val="30"/>
    <w:qFormat/>
    <w:uiPriority w:val="0"/>
    <w:rPr>
      <w:rFonts w:hint="eastAsia" w:ascii="宋体" w:hAnsi="宋体" w:eastAsia="宋体" w:cs="宋体"/>
      <w:color w:val="000000"/>
      <w:sz w:val="20"/>
      <w:szCs w:val="20"/>
      <w:u w:val="none"/>
    </w:rPr>
  </w:style>
  <w:style w:type="character" w:customStyle="1" w:styleId="46">
    <w:name w:val="font31"/>
    <w:basedOn w:val="30"/>
    <w:qFormat/>
    <w:uiPriority w:val="0"/>
    <w:rPr>
      <w:rFonts w:hint="eastAsia" w:ascii="宋体" w:hAnsi="宋体" w:eastAsia="宋体" w:cs="宋体"/>
      <w:color w:val="000000"/>
      <w:sz w:val="22"/>
      <w:szCs w:val="22"/>
      <w:u w:val="none"/>
    </w:rPr>
  </w:style>
  <w:style w:type="character" w:customStyle="1" w:styleId="47">
    <w:name w:val="font71"/>
    <w:basedOn w:val="30"/>
    <w:qFormat/>
    <w:uiPriority w:val="0"/>
    <w:rPr>
      <w:rFonts w:hint="eastAsia" w:ascii="宋体" w:hAnsi="宋体" w:eastAsia="宋体" w:cs="宋体"/>
      <w:b/>
      <w:color w:val="000000"/>
      <w:sz w:val="24"/>
      <w:szCs w:val="24"/>
      <w:u w:val="none"/>
    </w:rPr>
  </w:style>
  <w:style w:type="character" w:customStyle="1" w:styleId="48">
    <w:name w:val="font21"/>
    <w:basedOn w:val="30"/>
    <w:qFormat/>
    <w:uiPriority w:val="0"/>
    <w:rPr>
      <w:rFonts w:hint="eastAsia" w:ascii="宋体" w:hAnsi="宋体" w:eastAsia="宋体" w:cs="宋体"/>
      <w:color w:val="000000"/>
      <w:sz w:val="24"/>
      <w:szCs w:val="24"/>
      <w:u w:val="none"/>
    </w:rPr>
  </w:style>
  <w:style w:type="character" w:customStyle="1" w:styleId="49">
    <w:name w:val="bookmark-item"/>
    <w:basedOn w:val="30"/>
    <w:qFormat/>
    <w:uiPriority w:val="0"/>
  </w:style>
  <w:style w:type="character" w:customStyle="1" w:styleId="50">
    <w:name w:val="font51"/>
    <w:basedOn w:val="30"/>
    <w:qFormat/>
    <w:uiPriority w:val="0"/>
    <w:rPr>
      <w:rFonts w:hint="eastAsia" w:ascii="宋体" w:hAnsi="宋体" w:eastAsia="宋体" w:cs="宋体"/>
      <w:color w:val="000000"/>
      <w:sz w:val="21"/>
      <w:szCs w:val="21"/>
      <w:u w:val="none"/>
    </w:rPr>
  </w:style>
  <w:style w:type="paragraph" w:customStyle="1" w:styleId="51">
    <w:name w:val="默认段落字体 Para Char Char Char Char Char Char Char Char Char1 Char Char Char Char"/>
    <w:basedOn w:val="1"/>
    <w:qFormat/>
    <w:uiPriority w:val="0"/>
    <w:rPr>
      <w:rFonts w:ascii="Tahoma" w:hAnsi="Tahoma"/>
      <w:sz w:val="24"/>
      <w:szCs w:val="20"/>
    </w:rPr>
  </w:style>
  <w:style w:type="paragraph" w:customStyle="1" w:styleId="52">
    <w:name w:val="正文1"/>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53">
    <w:name w:val="p0"/>
    <w:basedOn w:val="1"/>
    <w:qFormat/>
    <w:uiPriority w:val="99"/>
    <w:pPr>
      <w:widowControl/>
    </w:pPr>
    <w:rPr>
      <w:kern w:val="0"/>
      <w:szCs w:val="21"/>
    </w:rPr>
  </w:style>
  <w:style w:type="paragraph" w:customStyle="1" w:styleId="54">
    <w:name w:val="纯文本1"/>
    <w:basedOn w:val="1"/>
    <w:qFormat/>
    <w:uiPriority w:val="0"/>
    <w:pPr>
      <w:spacing w:beforeLines="50" w:afterLines="50" w:line="400" w:lineRule="exact"/>
    </w:pPr>
    <w:rPr>
      <w:rFonts w:ascii="宋体" w:hAnsi="Courier New"/>
      <w:sz w:val="24"/>
      <w:szCs w:val="24"/>
    </w:rPr>
  </w:style>
  <w:style w:type="paragraph" w:customStyle="1" w:styleId="55">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6">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List Paragraph1"/>
    <w:basedOn w:val="1"/>
    <w:link w:val="58"/>
    <w:qFormat/>
    <w:uiPriority w:val="0"/>
    <w:pPr>
      <w:ind w:firstLine="420" w:firstLineChars="200"/>
    </w:pPr>
    <w:rPr>
      <w:rFonts w:ascii="Calibri" w:hAnsi="Calibri"/>
    </w:rPr>
  </w:style>
  <w:style w:type="character" w:customStyle="1" w:styleId="58">
    <w:name w:val="列出段落 Char"/>
    <w:link w:val="57"/>
    <w:qFormat/>
    <w:uiPriority w:val="0"/>
    <w:rPr>
      <w:rFonts w:ascii="Calibri" w:hAnsi="Calibri" w:cs="黑体"/>
      <w:kern w:val="2"/>
      <w:sz w:val="21"/>
      <w:szCs w:val="22"/>
    </w:rPr>
  </w:style>
  <w:style w:type="paragraph" w:customStyle="1" w:styleId="59">
    <w:name w:val="列出段落11"/>
    <w:basedOn w:val="1"/>
    <w:qFormat/>
    <w:uiPriority w:val="0"/>
    <w:pPr>
      <w:ind w:firstLine="420" w:firstLineChars="200"/>
    </w:pPr>
    <w:rPr>
      <w:szCs w:val="21"/>
    </w:rPr>
  </w:style>
  <w:style w:type="character" w:customStyle="1" w:styleId="60">
    <w:name w:val="font41"/>
    <w:basedOn w:val="30"/>
    <w:qFormat/>
    <w:uiPriority w:val="0"/>
    <w:rPr>
      <w:rFonts w:hint="eastAsia" w:ascii="宋体" w:hAnsi="宋体" w:eastAsia="宋体" w:cs="宋体"/>
      <w:color w:val="FF0000"/>
      <w:sz w:val="22"/>
      <w:szCs w:val="22"/>
      <w:u w:val="none"/>
    </w:rPr>
  </w:style>
  <w:style w:type="paragraph" w:customStyle="1" w:styleId="61">
    <w:name w:val="列表段落1"/>
    <w:basedOn w:val="1"/>
    <w:qFormat/>
    <w:uiPriority w:val="34"/>
    <w:pPr>
      <w:spacing w:line="360" w:lineRule="auto"/>
      <w:ind w:firstLine="200" w:firstLineChars="200"/>
    </w:pPr>
    <w:rPr>
      <w:rFonts w:ascii="宋体" w:hAnsi="宋体"/>
      <w:color w:val="333333"/>
      <w:sz w:val="24"/>
      <w:shd w:val="clear" w:color="auto" w:fill="FFFFFF"/>
    </w:rPr>
  </w:style>
  <w:style w:type="table" w:customStyle="1" w:styleId="62">
    <w:name w:val="Table Normal"/>
    <w:unhideWhenUsed/>
    <w:qFormat/>
    <w:uiPriority w:val="2"/>
    <w:pPr>
      <w:widowControl w:val="0"/>
      <w:autoSpaceDE w:val="0"/>
      <w:autoSpaceDN w:val="0"/>
    </w:pPr>
    <w:rPr>
      <w:sz w:val="22"/>
      <w:lang w:val="en-US" w:eastAsia="en-US" w:bidi="ar-SA"/>
    </w:rPr>
    <w:tblPr>
      <w:tblCellMar>
        <w:top w:w="0" w:type="dxa"/>
        <w:left w:w="0" w:type="dxa"/>
        <w:bottom w:w="0" w:type="dxa"/>
        <w:right w:w="0" w:type="dxa"/>
      </w:tblCellMar>
    </w:tblPr>
  </w:style>
  <w:style w:type="paragraph" w:customStyle="1" w:styleId="63">
    <w:name w:val="Table Text"/>
    <w:basedOn w:val="1"/>
    <w:semiHidden/>
    <w:qFormat/>
    <w:uiPriority w:val="0"/>
    <w:rPr>
      <w:rFonts w:ascii="宋体" w:hAnsi="宋体" w:eastAsia="宋体" w:cs="宋体"/>
      <w:sz w:val="20"/>
      <w:szCs w:val="20"/>
      <w:lang w:val="en-US" w:eastAsia="en-US" w:bidi="ar-SA"/>
    </w:rPr>
  </w:style>
  <w:style w:type="character" w:customStyle="1" w:styleId="64">
    <w:name w:val="font201"/>
    <w:basedOn w:val="30"/>
    <w:qFormat/>
    <w:uiPriority w:val="0"/>
    <w:rPr>
      <w:rFonts w:ascii="Calibri" w:hAnsi="Calibri" w:cs="Calibri"/>
      <w:color w:val="000000"/>
      <w:sz w:val="18"/>
      <w:szCs w:val="18"/>
      <w:u w:val="none"/>
    </w:rPr>
  </w:style>
  <w:style w:type="character" w:customStyle="1" w:styleId="65">
    <w:name w:val="font91"/>
    <w:basedOn w:val="30"/>
    <w:qFormat/>
    <w:uiPriority w:val="0"/>
    <w:rPr>
      <w:rFonts w:hint="eastAsia" w:ascii="宋体" w:hAnsi="宋体" w:eastAsia="宋体" w:cs="宋体"/>
      <w:color w:val="000000"/>
      <w:sz w:val="18"/>
      <w:szCs w:val="18"/>
      <w:u w:val="none"/>
    </w:rPr>
  </w:style>
  <w:style w:type="character" w:customStyle="1" w:styleId="66">
    <w:name w:val="font211"/>
    <w:basedOn w:val="30"/>
    <w:qFormat/>
    <w:uiPriority w:val="0"/>
    <w:rPr>
      <w:rFonts w:ascii="Segoe UI" w:hAnsi="Segoe UI" w:eastAsia="Segoe UI" w:cs="Segoe UI"/>
      <w:color w:val="000000"/>
      <w:sz w:val="18"/>
      <w:szCs w:val="18"/>
      <w:u w:val="none"/>
    </w:rPr>
  </w:style>
  <w:style w:type="character" w:customStyle="1" w:styleId="67">
    <w:name w:val="font221"/>
    <w:basedOn w:val="30"/>
    <w:qFormat/>
    <w:uiPriority w:val="0"/>
    <w:rPr>
      <w:rFonts w:ascii="Arial" w:hAnsi="Arial" w:cs="Arial"/>
      <w:color w:val="000000"/>
      <w:sz w:val="20"/>
      <w:szCs w:val="20"/>
      <w:u w:val="none"/>
    </w:rPr>
  </w:style>
  <w:style w:type="character" w:customStyle="1" w:styleId="68">
    <w:name w:val="font161"/>
    <w:basedOn w:val="30"/>
    <w:qFormat/>
    <w:uiPriority w:val="0"/>
    <w:rPr>
      <w:rFonts w:ascii="Calibri" w:hAnsi="Calibri" w:cs="Calibri"/>
      <w:color w:val="000000"/>
      <w:sz w:val="18"/>
      <w:szCs w:val="18"/>
      <w:u w:val="none"/>
    </w:rPr>
  </w:style>
  <w:style w:type="character" w:customStyle="1" w:styleId="69">
    <w:name w:val="font171"/>
    <w:basedOn w:val="30"/>
    <w:qFormat/>
    <w:uiPriority w:val="0"/>
    <w:rPr>
      <w:rFonts w:ascii="Segoe UI" w:hAnsi="Segoe UI" w:eastAsia="Segoe UI" w:cs="Segoe UI"/>
      <w:color w:val="000000"/>
      <w:sz w:val="18"/>
      <w:szCs w:val="18"/>
      <w:u w:val="none"/>
    </w:rPr>
  </w:style>
  <w:style w:type="character" w:customStyle="1" w:styleId="70">
    <w:name w:val="font181"/>
    <w:basedOn w:val="30"/>
    <w:qFormat/>
    <w:uiPriority w:val="0"/>
    <w:rPr>
      <w:rFonts w:ascii="Arial" w:hAnsi="Arial" w:cs="Arial"/>
      <w:color w:val="000000"/>
      <w:sz w:val="20"/>
      <w:szCs w:val="20"/>
      <w:u w:val="none"/>
    </w:rPr>
  </w:style>
  <w:style w:type="character" w:customStyle="1" w:styleId="71">
    <w:name w:val="font81"/>
    <w:basedOn w:val="30"/>
    <w:qFormat/>
    <w:uiPriority w:val="0"/>
    <w:rPr>
      <w:rFonts w:hint="eastAsia" w:ascii="宋体" w:hAnsi="宋体" w:eastAsia="宋体" w:cs="宋体"/>
      <w:color w:val="000000"/>
      <w:sz w:val="18"/>
      <w:szCs w:val="18"/>
      <w:u w:val="none"/>
    </w:rPr>
  </w:style>
  <w:style w:type="character" w:customStyle="1" w:styleId="72">
    <w:name w:val="标题 1 字符1"/>
    <w:qFormat/>
    <w:uiPriority w:val="0"/>
    <w:rPr>
      <w:rFonts w:ascii="Calibri" w:hAnsi="Calibri" w:eastAsia="宋体" w:cs="Times New Roman"/>
      <w:b/>
      <w:kern w:val="44"/>
      <w:sz w:val="44"/>
    </w:rPr>
  </w:style>
  <w:style w:type="paragraph" w:customStyle="1" w:styleId="7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WPSOffice手动目录 1"/>
    <w:qFormat/>
    <w:uiPriority w:val="0"/>
    <w:pPr>
      <w:ind w:leftChars="0"/>
    </w:pPr>
    <w:rPr>
      <w:rFonts w:ascii="Times New Roman" w:hAnsi="Times New Roman" w:eastAsia="宋体" w:cs="Times New Roman"/>
      <w:sz w:val="20"/>
      <w:szCs w:val="20"/>
    </w:rPr>
  </w:style>
  <w:style w:type="paragraph" w:customStyle="1" w:styleId="75">
    <w:name w:val="正文2"/>
    <w:basedOn w:val="1"/>
    <w:qFormat/>
    <w:uiPriority w:val="0"/>
    <w:pPr>
      <w:spacing w:before="156" w:line="360" w:lineRule="auto"/>
      <w:ind w:firstLine="510" w:firstLineChars="200"/>
    </w:pPr>
    <w:rPr>
      <w:sz w:val="24"/>
      <w:szCs w:val="20"/>
    </w:rPr>
  </w:style>
  <w:style w:type="paragraph" w:customStyle="1" w:styleId="7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15576</Words>
  <Characters>16452</Characters>
  <DocSecurity>0</DocSecurity>
  <Lines>392</Lines>
  <Paragraphs>110</Paragraphs>
  <ScaleCrop>false</ScaleCrop>
  <LinksUpToDate>false</LinksUpToDate>
  <CharactersWithSpaces>16675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2025-02-07T06:51:00Z</cp:lastPrinted>
  <dcterms:created xsi:type="dcterms:W3CDTF">2023-11-24T09:07:00Z</dcterms:created>
  <dcterms:modified xsi:type="dcterms:W3CDTF">2025-02-07T09:58:26Z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0FB2243DEE4E4C408BEEDB74D50004AA_13</vt:lpwstr>
  </property>
  <property fmtid="{D5CDD505-2E9C-101B-9397-08002B2CF9AE}" pid="4" name="KSOTemplateDocerSaveRecord">
    <vt:lpwstr>eyJoZGlkIjoiMTRmYTVmYzZhNzNmOGEzMThlMzZjZDhjYTQ5YWMwMzAifQ==</vt:lpwstr>
  </property>
</Properties>
</file>