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C40ED">
      <w:pPr>
        <w:kinsoku/>
        <w:wordWrap/>
        <w:overflowPunct/>
        <w:topLinePunct w:val="0"/>
        <w:bidi w:val="0"/>
        <w:spacing w:line="360" w:lineRule="auto"/>
        <w:jc w:val="center"/>
        <w:outlineLvl w:val="9"/>
        <w:rPr>
          <w:rFonts w:ascii="宋体" w:hAnsi="宋体" w:cs="宋体"/>
          <w:b/>
          <w:color w:val="auto"/>
          <w:sz w:val="24"/>
          <w:highlight w:val="none"/>
        </w:rPr>
      </w:pPr>
    </w:p>
    <w:p w14:paraId="6A2E3F23">
      <w:pPr>
        <w:kinsoku/>
        <w:wordWrap/>
        <w:overflowPunct/>
        <w:topLinePunct w:val="0"/>
        <w:bidi w:val="0"/>
        <w:adjustRightInd/>
        <w:spacing w:line="360" w:lineRule="auto"/>
        <w:jc w:val="center"/>
        <w:outlineLvl w:val="9"/>
        <w:rPr>
          <w:rFonts w:ascii="宋体" w:hAnsi="宋体" w:cs="宋体"/>
          <w:b/>
          <w:color w:val="auto"/>
          <w:sz w:val="48"/>
          <w:szCs w:val="48"/>
          <w:highlight w:val="none"/>
        </w:rPr>
      </w:pPr>
    </w:p>
    <w:p w14:paraId="290F9DC2">
      <w:pPr>
        <w:kinsoku/>
        <w:wordWrap/>
        <w:overflowPunct/>
        <w:topLinePunct w:val="0"/>
        <w:bidi w:val="0"/>
        <w:outlineLvl w:val="9"/>
        <w:rPr>
          <w:color w:val="auto"/>
          <w:highlight w:val="none"/>
        </w:rPr>
      </w:pPr>
    </w:p>
    <w:p w14:paraId="72E9A6FE">
      <w:pPr>
        <w:kinsoku/>
        <w:wordWrap/>
        <w:overflowPunct/>
        <w:topLinePunct w:val="0"/>
        <w:bidi w:val="0"/>
        <w:adjustRightInd/>
        <w:spacing w:line="360" w:lineRule="auto"/>
        <w:jc w:val="center"/>
        <w:outlineLvl w:val="9"/>
        <w:rPr>
          <w:rFonts w:hint="default"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r>
        <w:rPr>
          <w:rFonts w:hint="eastAsia" w:ascii="宋体" w:hAnsi="宋体" w:cs="宋体"/>
          <w:color w:val="auto"/>
          <w:sz w:val="48"/>
          <w:szCs w:val="48"/>
          <w:highlight w:val="none"/>
          <w:lang w:eastAsia="zh-CN"/>
        </w:rPr>
        <w:t>（</w:t>
      </w:r>
      <w:r>
        <w:rPr>
          <w:rFonts w:hint="eastAsia" w:ascii="宋体" w:hAnsi="宋体" w:cs="宋体"/>
          <w:color w:val="auto"/>
          <w:sz w:val="48"/>
          <w:szCs w:val="48"/>
          <w:highlight w:val="none"/>
          <w:lang w:val="en-US" w:eastAsia="zh-CN"/>
        </w:rPr>
        <w:t>货物）</w:t>
      </w:r>
    </w:p>
    <w:p w14:paraId="6EA9EB53">
      <w:pPr>
        <w:kinsoku/>
        <w:wordWrap/>
        <w:overflowPunct/>
        <w:topLinePunct w:val="0"/>
        <w:bidi w:val="0"/>
        <w:adjustRightInd/>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A72DE56">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0942B4F6">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2D1D193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auto"/>
          <w:sz w:val="30"/>
          <w:szCs w:val="30"/>
          <w:highlight w:val="none"/>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：CBZJ-20246219G-2</w:t>
      </w:r>
      <w:r>
        <w:rPr>
          <w:rFonts w:hint="eastAsia" w:ascii="宋体" w:hAnsi="宋体" w:cs="宋体"/>
          <w:color w:val="auto"/>
          <w:sz w:val="30"/>
          <w:szCs w:val="30"/>
          <w:highlight w:val="none"/>
        </w:rPr>
        <w:t xml:space="preserve">   </w:t>
      </w:r>
    </w:p>
    <w:p w14:paraId="1047D55B">
      <w:pPr>
        <w:kinsoku/>
        <w:wordWrap/>
        <w:overflowPunct/>
        <w:topLinePunct w:val="0"/>
        <w:bidi w:val="0"/>
        <w:snapToGrid w:val="0"/>
        <w:spacing w:line="360" w:lineRule="auto"/>
        <w:jc w:val="left"/>
        <w:outlineLvl w:val="9"/>
        <w:rPr>
          <w:rFonts w:ascii="宋体" w:hAnsi="宋体" w:cs="宋体"/>
          <w:color w:val="auto"/>
          <w:sz w:val="30"/>
          <w:szCs w:val="30"/>
          <w:highlight w:val="none"/>
        </w:rPr>
      </w:pPr>
      <w:r>
        <w:rPr>
          <w:rFonts w:hint="eastAsia" w:ascii="宋体" w:hAnsi="宋体" w:cs="宋体"/>
          <w:color w:val="auto"/>
          <w:sz w:val="30"/>
          <w:szCs w:val="30"/>
          <w:highlight w:val="none"/>
        </w:rPr>
        <w:t>项目名称：</w:t>
      </w:r>
      <w:r>
        <w:rPr>
          <w:rFonts w:hint="eastAsia" w:ascii="宋体" w:hAnsi="宋体" w:cs="宋体"/>
          <w:color w:val="auto"/>
          <w:sz w:val="30"/>
          <w:szCs w:val="30"/>
          <w:highlight w:val="none"/>
          <w:lang w:eastAsia="zh-CN"/>
        </w:rPr>
        <w:t>宁海县中医医院CT球管采购项目</w:t>
      </w:r>
    </w:p>
    <w:p w14:paraId="58FF5EDB">
      <w:pPr>
        <w:kinsoku/>
        <w:wordWrap/>
        <w:overflowPunct/>
        <w:topLinePunct w:val="0"/>
        <w:bidi w:val="0"/>
        <w:adjustRightInd/>
        <w:spacing w:line="360" w:lineRule="auto"/>
        <w:outlineLvl w:val="9"/>
        <w:rPr>
          <w:rFonts w:ascii="宋体" w:hAnsi="宋体" w:cs="宋体"/>
          <w:color w:val="auto"/>
          <w:sz w:val="28"/>
          <w:szCs w:val="20"/>
          <w:highlight w:val="none"/>
        </w:rPr>
      </w:pPr>
    </w:p>
    <w:p w14:paraId="5765C2CF">
      <w:pPr>
        <w:kinsoku/>
        <w:wordWrap/>
        <w:overflowPunct/>
        <w:topLinePunct w:val="0"/>
        <w:bidi w:val="0"/>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26FBA6C">
      <w:pPr>
        <w:kinsoku/>
        <w:wordWrap/>
        <w:overflowPunct/>
        <w:topLinePunct w:val="0"/>
        <w:bidi w:val="0"/>
        <w:spacing w:line="360" w:lineRule="auto"/>
        <w:jc w:val="center"/>
        <w:outlineLvl w:val="9"/>
        <w:rPr>
          <w:rFonts w:ascii="宋体" w:hAnsi="宋体" w:cs="宋体"/>
          <w:b/>
          <w:color w:val="auto"/>
          <w:sz w:val="44"/>
          <w:szCs w:val="44"/>
          <w:highlight w:val="none"/>
        </w:rPr>
      </w:pPr>
    </w:p>
    <w:p w14:paraId="53AD9D01">
      <w:pPr>
        <w:kinsoku/>
        <w:wordWrap/>
        <w:overflowPunct/>
        <w:topLinePunct w:val="0"/>
        <w:bidi w:val="0"/>
        <w:spacing w:line="360" w:lineRule="auto"/>
        <w:jc w:val="center"/>
        <w:outlineLvl w:val="9"/>
        <w:rPr>
          <w:rFonts w:ascii="宋体" w:hAnsi="宋体" w:cs="宋体"/>
          <w:color w:val="auto"/>
          <w:sz w:val="24"/>
          <w:highlight w:val="none"/>
        </w:rPr>
      </w:pPr>
    </w:p>
    <w:p w14:paraId="62D50C6E">
      <w:pPr>
        <w:kinsoku/>
        <w:wordWrap/>
        <w:overflowPunct/>
        <w:topLinePunct w:val="0"/>
        <w:bidi w:val="0"/>
        <w:spacing w:line="360" w:lineRule="auto"/>
        <w:outlineLvl w:val="9"/>
        <w:rPr>
          <w:rFonts w:ascii="宋体" w:hAnsi="宋体" w:cs="宋体"/>
          <w:color w:val="auto"/>
          <w:sz w:val="32"/>
          <w:szCs w:val="32"/>
          <w:highlight w:val="none"/>
        </w:rPr>
      </w:pPr>
    </w:p>
    <w:p w14:paraId="6CECEB4C">
      <w:pPr>
        <w:kinsoku/>
        <w:wordWrap/>
        <w:overflowPunct/>
        <w:topLinePunct w:val="0"/>
        <w:bidi w:val="0"/>
        <w:spacing w:line="360" w:lineRule="auto"/>
        <w:jc w:val="center"/>
        <w:outlineLvl w:val="9"/>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宁海县中医医院</w:t>
      </w:r>
    </w:p>
    <w:p w14:paraId="676283C4">
      <w:pPr>
        <w:kinsoku/>
        <w:wordWrap/>
        <w:overflowPunct/>
        <w:topLinePunct w:val="0"/>
        <w:bidi w:val="0"/>
        <w:spacing w:line="360" w:lineRule="auto"/>
        <w:jc w:val="center"/>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浙江中基正采管理咨询有限公司</w:t>
      </w:r>
    </w:p>
    <w:p w14:paraId="1AA35494">
      <w:pPr>
        <w:kinsoku/>
        <w:wordWrap/>
        <w:overflowPunct/>
        <w:topLinePunct w:val="0"/>
        <w:bidi w:val="0"/>
        <w:snapToGrid w:val="0"/>
        <w:spacing w:line="360" w:lineRule="auto"/>
        <w:jc w:val="center"/>
        <w:outlineLvl w:val="9"/>
        <w:rPr>
          <w:rFonts w:hint="eastAsia" w:ascii="宋体" w:hAnsi="宋体" w:cs="宋体"/>
          <w:bCs/>
          <w:color w:val="auto"/>
          <w:sz w:val="32"/>
          <w:szCs w:val="32"/>
          <w:highlight w:val="none"/>
        </w:rPr>
      </w:pPr>
    </w:p>
    <w:p w14:paraId="20617C0A">
      <w:pPr>
        <w:kinsoku/>
        <w:wordWrap/>
        <w:overflowPunct/>
        <w:topLinePunct w:val="0"/>
        <w:bidi w:val="0"/>
        <w:snapToGrid w:val="0"/>
        <w:spacing w:line="360" w:lineRule="auto"/>
        <w:jc w:val="center"/>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月</w:t>
      </w:r>
    </w:p>
    <w:p w14:paraId="707A2C6C">
      <w:pPr>
        <w:rPr>
          <w:rFonts w:hint="eastAsia" w:ascii="宋体" w:hAnsi="宋体" w:cs="宋体"/>
          <w:color w:val="auto"/>
          <w:sz w:val="24"/>
          <w:highlight w:val="none"/>
        </w:rPr>
      </w:pPr>
      <w:r>
        <w:rPr>
          <w:rFonts w:hint="eastAsia" w:ascii="宋体" w:hAnsi="宋体" w:cs="宋体"/>
          <w:color w:val="auto"/>
          <w:sz w:val="24"/>
          <w:highlight w:val="none"/>
        </w:rPr>
        <w:br w:type="page"/>
      </w:r>
    </w:p>
    <w:p w14:paraId="5F0FD2DF">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9B73A4C">
      <w:pPr>
        <w:kinsoku/>
        <w:wordWrap/>
        <w:overflowPunct/>
        <w:topLinePunct w:val="0"/>
        <w:bidi w:val="0"/>
        <w:spacing w:line="360" w:lineRule="auto"/>
        <w:jc w:val="center"/>
        <w:outlineLvl w:val="9"/>
        <w:rPr>
          <w:rFonts w:ascii="宋体" w:hAnsi="宋体" w:cs="宋体"/>
          <w:color w:val="auto"/>
          <w:sz w:val="24"/>
          <w:highlight w:val="none"/>
        </w:rPr>
      </w:pPr>
    </w:p>
    <w:p w14:paraId="3BEB4CAE">
      <w:pPr>
        <w:kinsoku/>
        <w:wordWrap/>
        <w:overflowPunct/>
        <w:topLinePunct w:val="0"/>
        <w:bidi w:val="0"/>
        <w:spacing w:line="360" w:lineRule="auto"/>
        <w:jc w:val="center"/>
        <w:outlineLvl w:val="9"/>
        <w:rPr>
          <w:rFonts w:hint="eastAsia" w:ascii="宋体" w:hAnsi="宋体" w:cs="宋体"/>
          <w:b/>
          <w:color w:val="auto"/>
          <w:sz w:val="48"/>
          <w:szCs w:val="48"/>
          <w:highlight w:val="none"/>
        </w:rPr>
      </w:pPr>
    </w:p>
    <w:p w14:paraId="17E43B2F">
      <w:pPr>
        <w:kinsoku/>
        <w:wordWrap/>
        <w:overflowPunct/>
        <w:topLinePunct w:val="0"/>
        <w:bidi w:val="0"/>
        <w:spacing w:line="360" w:lineRule="auto"/>
        <w:jc w:val="center"/>
        <w:outlineLvl w:val="9"/>
        <w:rPr>
          <w:rFonts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eastAsia="宋体" w:cs="Times New Roman"/>
          <w:color w:val="auto"/>
          <w:kern w:val="2"/>
          <w:sz w:val="21"/>
          <w:szCs w:val="24"/>
          <w:highlight w:val="none"/>
          <w:lang w:val="en-US" w:eastAsia="zh-CN" w:bidi="ar-SA"/>
        </w:rPr>
        <w:id w:val="147454320"/>
        <w15:color w:val="DBDBDB"/>
        <w:docPartObj>
          <w:docPartGallery w:val="Table of Contents"/>
          <w:docPartUnique/>
        </w:docPartObj>
      </w:sdtPr>
      <w:sdtEndPr>
        <w:rPr>
          <w:rFonts w:ascii="宋体" w:hAnsi="宋体" w:eastAsia="宋体" w:cs="宋体"/>
          <w:color w:val="auto"/>
          <w:kern w:val="2"/>
          <w:sz w:val="21"/>
          <w:szCs w:val="32"/>
          <w:highlight w:val="none"/>
          <w:lang w:val="en-US" w:eastAsia="zh-CN" w:bidi="ar-SA"/>
        </w:rPr>
      </w:sdtEndPr>
      <w:sdtContent>
        <w:p w14:paraId="2B63B62C">
          <w:pPr>
            <w:spacing w:before="0" w:beforeLines="0" w:after="0" w:afterLines="0" w:line="240" w:lineRule="auto"/>
            <w:ind w:left="0" w:leftChars="0" w:right="0" w:rightChars="0" w:firstLine="0" w:firstLineChars="0"/>
            <w:jc w:val="center"/>
            <w:rPr>
              <w:color w:val="auto"/>
              <w:highlight w:val="none"/>
            </w:rPr>
          </w:pPr>
        </w:p>
        <w:p w14:paraId="718E158F">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_Toc9238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第一部分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_Toc9238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901C95B">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_Toc29691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第二部分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lang w:eastAsia="zh-CN"/>
            </w:rPr>
            <w:t>供应商</w:t>
          </w:r>
          <w:r>
            <w:rPr>
              <w:rFonts w:hint="eastAsia" w:ascii="宋体" w:hAnsi="宋体" w:eastAsia="宋体" w:cs="宋体"/>
              <w:color w:val="auto"/>
              <w:sz w:val="32"/>
              <w:szCs w:val="32"/>
              <w:highlight w:val="none"/>
            </w:rPr>
            <w:t>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_Toc29691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6A50992">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_Toc26044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_Toc26044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3BCD214">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_Toc18651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_Toc18651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B440CE7">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_Toc8264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第五部分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_Toc8264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34</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DB155B2">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_Toc22993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 xml:space="preserve">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_Toc22993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44</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5BAD815">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cs="宋体"/>
              <w:color w:val="auto"/>
              <w:sz w:val="32"/>
              <w:szCs w:val="32"/>
              <w:highlight w:val="none"/>
            </w:rPr>
          </w:pPr>
          <w:r>
            <w:rPr>
              <w:rFonts w:hint="eastAsia" w:ascii="宋体" w:hAnsi="宋体" w:eastAsia="宋体" w:cs="宋体"/>
              <w:color w:val="auto"/>
              <w:sz w:val="32"/>
              <w:szCs w:val="32"/>
              <w:highlight w:val="none"/>
            </w:rPr>
            <w:fldChar w:fldCharType="end"/>
          </w:r>
        </w:p>
      </w:sdtContent>
    </w:sdt>
    <w:p w14:paraId="5A446027">
      <w:pPr>
        <w:kinsoku/>
        <w:wordWrap/>
        <w:overflowPunct/>
        <w:topLinePunct w:val="0"/>
        <w:bidi w:val="0"/>
        <w:spacing w:line="360" w:lineRule="auto"/>
        <w:outlineLvl w:val="9"/>
        <w:rPr>
          <w:rFonts w:ascii="宋体" w:hAnsi="宋体" w:cs="宋体"/>
          <w:color w:val="auto"/>
          <w:sz w:val="32"/>
          <w:szCs w:val="32"/>
          <w:highlight w:val="none"/>
        </w:rPr>
      </w:pPr>
    </w:p>
    <w:p w14:paraId="1DF553A2">
      <w:pPr>
        <w:kinsoku/>
        <w:wordWrap/>
        <w:overflowPunct/>
        <w:topLinePunct w:val="0"/>
        <w:bidi w:val="0"/>
        <w:spacing w:line="360" w:lineRule="auto"/>
        <w:outlineLvl w:val="9"/>
        <w:rPr>
          <w:rFonts w:ascii="宋体" w:hAnsi="宋体" w:cs="宋体"/>
          <w:color w:val="auto"/>
          <w:sz w:val="32"/>
          <w:szCs w:val="32"/>
          <w:highlight w:val="none"/>
        </w:rPr>
      </w:pPr>
    </w:p>
    <w:p w14:paraId="07379088">
      <w:pPr>
        <w:kinsoku/>
        <w:wordWrap/>
        <w:overflowPunct/>
        <w:topLinePunct w:val="0"/>
        <w:bidi w:val="0"/>
        <w:spacing w:line="360" w:lineRule="auto"/>
        <w:ind w:firstLine="549" w:firstLineChars="229"/>
        <w:outlineLvl w:val="9"/>
        <w:rPr>
          <w:rFonts w:ascii="宋体" w:hAnsi="宋体" w:cs="宋体"/>
          <w:color w:val="auto"/>
          <w:sz w:val="24"/>
          <w:highlight w:val="none"/>
        </w:rPr>
      </w:pPr>
      <w:bookmarkStart w:id="1" w:name="_Hlt91233176"/>
      <w:bookmarkEnd w:id="1"/>
      <w:bookmarkStart w:id="2" w:name="_Toc91899869"/>
    </w:p>
    <w:p w14:paraId="09C6278F">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0D2EF6D0">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2BAEC0A8">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22B686E3">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F6D9E75">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158B51A7">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1EC617B9">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76AAFF16">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17CA0422">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789FB1AB">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579B463">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29CD6A50">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0F7F1B54">
      <w:pPr>
        <w:kinsoku/>
        <w:wordWrap/>
        <w:overflowPunct/>
        <w:topLinePunct w:val="0"/>
        <w:bidi w:val="0"/>
        <w:spacing w:line="360" w:lineRule="auto"/>
        <w:outlineLvl w:val="9"/>
        <w:rPr>
          <w:rFonts w:ascii="宋体" w:hAnsi="宋体" w:cs="宋体"/>
          <w:color w:val="auto"/>
          <w:sz w:val="24"/>
          <w:highlight w:val="none"/>
        </w:rPr>
      </w:pPr>
    </w:p>
    <w:bookmarkEnd w:id="2"/>
    <w:p w14:paraId="164615E2">
      <w:pPr>
        <w:rPr>
          <w:rFonts w:hint="eastAsia" w:ascii="宋体" w:hAnsi="宋体" w:cs="宋体"/>
          <w:b/>
          <w:color w:val="auto"/>
          <w:sz w:val="36"/>
          <w:szCs w:val="20"/>
          <w:highlight w:val="none"/>
        </w:rPr>
      </w:pPr>
      <w:bookmarkStart w:id="3" w:name="_Hlt74728647"/>
      <w:bookmarkEnd w:id="3"/>
      <w:bookmarkStart w:id="4" w:name="_Hlt74649545"/>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宋体" w:hAnsi="宋体" w:cs="宋体"/>
          <w:b/>
          <w:color w:val="auto"/>
          <w:sz w:val="36"/>
          <w:szCs w:val="20"/>
          <w:highlight w:val="none"/>
        </w:rPr>
        <w:br w:type="page"/>
      </w:r>
    </w:p>
    <w:p w14:paraId="2000EE8C">
      <w:pPr>
        <w:rPr>
          <w:rFonts w:hint="eastAsia"/>
          <w:color w:val="auto"/>
          <w:highlight w:val="none"/>
        </w:rPr>
      </w:pPr>
      <w:r>
        <w:rPr>
          <w:rFonts w:hint="eastAsia"/>
          <w:color w:val="auto"/>
          <w:highlight w:val="none"/>
        </w:rPr>
        <w:br w:type="page"/>
      </w:r>
    </w:p>
    <w:p w14:paraId="3032ED39">
      <w:pPr>
        <w:rPr>
          <w:rFonts w:hint="eastAsia"/>
          <w:color w:val="auto"/>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3ECC8DE8">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0" w:name="_Toc9238"/>
      <w:r>
        <w:rPr>
          <w:rFonts w:hint="eastAsia" w:ascii="宋体" w:hAnsi="宋体" w:cs="宋体"/>
          <w:b/>
          <w:color w:val="auto"/>
          <w:sz w:val="36"/>
          <w:szCs w:val="20"/>
          <w:highlight w:val="none"/>
        </w:rPr>
        <w:t>第一部分 招标公告</w:t>
      </w:r>
      <w:bookmarkEnd w:id="10"/>
    </w:p>
    <w:p w14:paraId="335CF7C8">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2BB51CD5">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宁海县中医医院CT球管采购项目</w:t>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招标项目的潜在</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rPr>
        <w:t>202</w:t>
      </w:r>
      <w:r>
        <w:rPr>
          <w:rStyle w:val="77"/>
          <w:rFonts w:hint="eastAsia" w:cs="Times New Roman" w:asciiTheme="minorEastAsia" w:hAnsiTheme="minorEastAsia" w:eastAsiaTheme="minorEastAsia"/>
          <w:snapToGrid/>
          <w:color w:val="auto"/>
          <w:kern w:val="2"/>
          <w:sz w:val="24"/>
          <w:szCs w:val="24"/>
          <w:highlight w:val="none"/>
          <w:lang w:val="en-US" w:eastAsia="zh-CN"/>
        </w:rPr>
        <w:t>5</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03</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04</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13</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30</w:t>
      </w:r>
      <w:r>
        <w:rPr>
          <w:rStyle w:val="77"/>
          <w:rFonts w:hint="eastAsia" w:cs="Times New Roman" w:asciiTheme="minorEastAsia" w:hAnsiTheme="minorEastAsia" w:eastAsiaTheme="minorEastAsia"/>
          <w:snapToGrid/>
          <w:color w:val="auto"/>
          <w:kern w:val="2"/>
          <w:sz w:val="24"/>
          <w:szCs w:val="24"/>
          <w:highlight w:val="none"/>
        </w:rPr>
        <w:t>分</w:t>
      </w:r>
      <w:r>
        <w:rPr>
          <w:rStyle w:val="77"/>
          <w:rFonts w:hint="eastAsia" w:cs="Times New Roman" w:asciiTheme="minorEastAsia" w:hAnsiTheme="minorEastAsia" w:eastAsiaTheme="minorEastAsia"/>
          <w:bCs/>
          <w:snapToGrid/>
          <w:color w:val="auto"/>
          <w:kern w:val="2"/>
          <w:sz w:val="24"/>
          <w:szCs w:val="24"/>
          <w:highlight w:val="non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38CEE3D0">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7DE48D1">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CBZJ-20246219G-2</w:t>
      </w:r>
    </w:p>
    <w:p w14:paraId="675769A5">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宁海县中医医院CT球管采购项目</w:t>
      </w:r>
    </w:p>
    <w:p w14:paraId="6FCF938F">
      <w:pPr>
        <w:keepNext w:val="0"/>
        <w:keepLines w:val="0"/>
        <w:pageBreakBefore w:val="0"/>
        <w:kinsoku/>
        <w:wordWrap/>
        <w:overflowPunct/>
        <w:topLinePunct w:val="0"/>
        <w:autoSpaceDE/>
        <w:autoSpaceDN/>
        <w:bidi w:val="0"/>
        <w:spacing w:line="336" w:lineRule="auto"/>
        <w:textAlignment w:val="auto"/>
        <w:outlineLvl w:val="9"/>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900000.00</w:t>
      </w:r>
    </w:p>
    <w:p w14:paraId="1A7EE944">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900000.00</w:t>
      </w:r>
    </w:p>
    <w:p w14:paraId="21703F8C">
      <w:pPr>
        <w:pStyle w:val="5"/>
        <w:keepNext w:val="0"/>
        <w:keepLines w:val="0"/>
        <w:pageBreakBefore w:val="0"/>
        <w:kinsoku/>
        <w:wordWrap/>
        <w:overflowPunct/>
        <w:topLinePunct w:val="0"/>
        <w:autoSpaceDE/>
        <w:autoSpaceDN/>
        <w:bidi w:val="0"/>
        <w:spacing w:line="336" w:lineRule="auto"/>
        <w:ind w:firstLine="480"/>
        <w:textAlignment w:val="auto"/>
        <w:outlineLvl w:val="9"/>
        <w:rPr>
          <w:rFonts w:hint="eastAsia" w:hAnsi="宋体" w:cs="宋体"/>
          <w:b/>
          <w:color w:val="auto"/>
          <w:sz w:val="24"/>
          <w:highlight w:val="none"/>
        </w:rPr>
      </w:pPr>
      <w:r>
        <w:rPr>
          <w:rFonts w:hint="eastAsia" w:hAnsi="宋体" w:cs="宋体"/>
          <w:b/>
          <w:color w:val="auto"/>
          <w:sz w:val="24"/>
          <w:highlight w:val="none"/>
        </w:rPr>
        <w:t>采购需求：</w:t>
      </w:r>
    </w:p>
    <w:p w14:paraId="7F3ABD4E">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标项名称</w:t>
      </w:r>
      <w:r>
        <w:rPr>
          <w:rFonts w:hint="eastAsia" w:ascii="宋体" w:hAnsi="宋体" w:eastAsia="宋体" w:cs="宋体"/>
          <w:color w:val="auto"/>
          <w:kern w:val="0"/>
          <w:sz w:val="24"/>
          <w:szCs w:val="24"/>
          <w:highlight w:val="none"/>
          <w:lang w:eastAsia="zh-CN"/>
        </w:rPr>
        <w:t>：</w:t>
      </w:r>
      <w:r>
        <w:rPr>
          <w:rFonts w:hint="eastAsia" w:ascii="宋体" w:hAnsi="宋体" w:cs="宋体"/>
          <w:color w:val="auto"/>
          <w:sz w:val="24"/>
          <w:szCs w:val="24"/>
          <w:highlight w:val="none"/>
          <w:lang w:eastAsia="zh-CN"/>
        </w:rPr>
        <w:t>CT球管</w:t>
      </w:r>
    </w:p>
    <w:p w14:paraId="1DA3408A">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数量</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1个</w:t>
      </w:r>
    </w:p>
    <w:p w14:paraId="31E83518">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预算金额（元）</w:t>
      </w:r>
      <w:r>
        <w:rPr>
          <w:rFonts w:hint="eastAsia" w:ascii="宋体" w:hAnsi="宋体" w:eastAsia="宋体" w:cs="宋体"/>
          <w:color w:val="auto"/>
          <w:kern w:val="0"/>
          <w:sz w:val="24"/>
          <w:szCs w:val="24"/>
          <w:highlight w:val="none"/>
          <w:lang w:eastAsia="zh-CN"/>
        </w:rPr>
        <w:t>：</w:t>
      </w:r>
      <w:r>
        <w:rPr>
          <w:rFonts w:hint="eastAsia" w:ascii="宋体" w:hAnsi="宋体" w:cs="宋体"/>
          <w:color w:val="auto"/>
          <w:sz w:val="24"/>
          <w:highlight w:val="none"/>
          <w:lang w:val="en-US" w:eastAsia="zh-CN"/>
        </w:rPr>
        <w:t>900000.00</w:t>
      </w:r>
    </w:p>
    <w:p w14:paraId="46AD22DF">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简要规格描述或项目基本概况介绍、用途：适用于东芝CT，型号</w:t>
      </w:r>
      <w:r>
        <w:rPr>
          <w:rFonts w:hint="eastAsia" w:ascii="宋体" w:hAnsi="宋体" w:cs="宋体"/>
          <w:color w:val="auto"/>
          <w:kern w:val="0"/>
          <w:sz w:val="24"/>
          <w:szCs w:val="24"/>
          <w:highlight w:val="none"/>
          <w:lang w:val="en-US" w:eastAsia="zh-CN"/>
        </w:rPr>
        <w:t>为</w:t>
      </w:r>
      <w:r>
        <w:rPr>
          <w:rFonts w:hint="eastAsia" w:ascii="宋体" w:hAnsi="宋体" w:eastAsia="宋体" w:cs="宋体"/>
          <w:color w:val="auto"/>
          <w:kern w:val="0"/>
          <w:sz w:val="24"/>
          <w:szCs w:val="24"/>
          <w:highlight w:val="none"/>
        </w:rPr>
        <w:t>Aquilion</w:t>
      </w:r>
      <w:r>
        <w:rPr>
          <w:rFonts w:hint="eastAsia" w:ascii="宋体" w:hAnsi="宋体" w:cs="宋体"/>
          <w:color w:val="auto"/>
          <w:kern w:val="0"/>
          <w:sz w:val="24"/>
          <w:szCs w:val="24"/>
          <w:highlight w:val="none"/>
          <w:lang w:val="en-US" w:eastAsia="zh-CN"/>
        </w:rPr>
        <w:t>系列</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具体以招标文件第三部分采购需求为准，供应商可点击本公告下方“浏览采购文件”查看采购需求。</w:t>
      </w:r>
    </w:p>
    <w:p w14:paraId="793016C4">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备注：</w:t>
      </w:r>
      <w:r>
        <w:rPr>
          <w:rFonts w:hint="eastAsia" w:ascii="宋体" w:hAnsi="宋体" w:cs="宋体"/>
          <w:color w:val="auto"/>
          <w:kern w:val="0"/>
          <w:sz w:val="24"/>
          <w:szCs w:val="24"/>
          <w:highlight w:val="none"/>
          <w:lang w:val="en-US" w:eastAsia="zh-CN"/>
        </w:rPr>
        <w:t>1）可</w:t>
      </w:r>
      <w:r>
        <w:rPr>
          <w:rFonts w:hint="eastAsia" w:ascii="宋体" w:hAnsi="宋体" w:eastAsia="宋体" w:cs="宋体"/>
          <w:color w:val="auto"/>
          <w:kern w:val="0"/>
          <w:sz w:val="24"/>
          <w:szCs w:val="24"/>
          <w:highlight w:val="none"/>
          <w:lang w:val="en-US" w:eastAsia="zh-CN"/>
        </w:rPr>
        <w:t>接受进口产品</w:t>
      </w:r>
      <w:r>
        <w:rPr>
          <w:rFonts w:hint="eastAsia" w:ascii="宋体" w:hAnsi="宋体" w:cs="宋体"/>
          <w:color w:val="auto"/>
          <w:kern w:val="0"/>
          <w:sz w:val="24"/>
          <w:szCs w:val="24"/>
          <w:highlight w:val="none"/>
          <w:lang w:val="en-US" w:eastAsia="zh-CN"/>
        </w:rPr>
        <w:t>；2）组成联合体的成员数量不超过2个</w:t>
      </w:r>
      <w:r>
        <w:rPr>
          <w:rFonts w:hint="eastAsia" w:ascii="宋体" w:hAnsi="宋体" w:eastAsia="宋体" w:cs="宋体"/>
          <w:color w:val="auto"/>
          <w:kern w:val="0"/>
          <w:sz w:val="24"/>
          <w:szCs w:val="24"/>
          <w:highlight w:val="none"/>
        </w:rPr>
        <w:t>。</w:t>
      </w:r>
    </w:p>
    <w:p w14:paraId="3A63EF87">
      <w:pPr>
        <w:pStyle w:val="132"/>
        <w:keepNext w:val="0"/>
        <w:keepLines w:val="0"/>
        <w:pageBreakBefore w:val="0"/>
        <w:kinsoku/>
        <w:wordWrap/>
        <w:overflowPunct/>
        <w:topLinePunct w:val="0"/>
        <w:autoSpaceDE/>
        <w:autoSpaceDN/>
        <w:bidi w:val="0"/>
        <w:spacing w:before="0" w:line="336" w:lineRule="auto"/>
        <w:textAlignment w:val="auto"/>
        <w:outlineLvl w:val="9"/>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szCs w:val="21"/>
          <w:highlight w:val="none"/>
          <w:lang w:val="en-US" w:eastAsia="zh-CN"/>
        </w:rPr>
        <w:t>合同签订后30天内完成交货</w:t>
      </w:r>
      <w:r>
        <w:rPr>
          <w:rFonts w:hint="eastAsia" w:ascii="宋体" w:hAnsi="宋体" w:eastAsia="宋体" w:cs="宋体"/>
          <w:b w:val="0"/>
          <w:bCs/>
          <w:snapToGrid w:val="0"/>
          <w:color w:val="auto"/>
          <w:kern w:val="28"/>
          <w:sz w:val="24"/>
          <w:szCs w:val="20"/>
          <w:highlight w:val="none"/>
          <w:lang w:val="en-US" w:eastAsia="zh-CN" w:bidi="ar-SA"/>
        </w:rPr>
        <w:t>。</w:t>
      </w:r>
    </w:p>
    <w:p w14:paraId="2A33F8B9">
      <w:pPr>
        <w:pStyle w:val="5"/>
        <w:keepNext w:val="0"/>
        <w:keepLines w:val="0"/>
        <w:pageBreakBefore w:val="0"/>
        <w:kinsoku/>
        <w:wordWrap/>
        <w:overflowPunct/>
        <w:topLinePunct w:val="0"/>
        <w:autoSpaceDE/>
        <w:autoSpaceDN/>
        <w:bidi w:val="0"/>
        <w:spacing w:line="336" w:lineRule="auto"/>
        <w:ind w:firstLine="480"/>
        <w:textAlignment w:val="auto"/>
        <w:outlineLvl w:val="9"/>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1512949">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17A4AF9E">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51629F56">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w:t>
      </w:r>
      <w:r>
        <w:rPr>
          <w:rFonts w:hint="eastAsia" w:ascii="宋体" w:hAnsi="宋体" w:eastAsia="宋体" w:cs="宋体"/>
          <w:snapToGrid w:val="0"/>
          <w:color w:val="auto"/>
          <w:kern w:val="28"/>
          <w:sz w:val="24"/>
          <w:szCs w:val="20"/>
          <w:highlight w:val="none"/>
        </w:rPr>
        <w:t>形式</w:t>
      </w:r>
      <w:r>
        <w:rPr>
          <w:rFonts w:hint="eastAsia" w:ascii="宋体" w:hAnsi="宋体" w:cs="宋体"/>
          <w:snapToGrid w:val="0"/>
          <w:color w:val="auto"/>
          <w:kern w:val="28"/>
          <w:sz w:val="24"/>
          <w:szCs w:val="20"/>
          <w:highlight w:val="none"/>
        </w:rPr>
        <w:t>投标的，提供联合协议；</w:t>
      </w:r>
    </w:p>
    <w:p w14:paraId="0ADB671A">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 xml:space="preserve"> </w:t>
      </w:r>
      <w:r>
        <w:rPr>
          <w:rFonts w:hint="eastAsia" w:ascii="宋体" w:hAnsi="宋体" w:cs="宋体"/>
          <w:snapToGrid w:val="0"/>
          <w:color w:val="auto"/>
          <w:kern w:val="28"/>
          <w:sz w:val="24"/>
          <w:szCs w:val="20"/>
          <w:highlight w:val="none"/>
        </w:rPr>
        <w:t>落实政府采购政策需满足的资格要求：</w:t>
      </w:r>
    </w:p>
    <w:p w14:paraId="39AEB748">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3AF96F29">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85E0A6D">
      <w:pPr>
        <w:keepNext w:val="0"/>
        <w:keepLines w:val="0"/>
        <w:pageBreakBefore w:val="0"/>
        <w:kinsoku/>
        <w:wordWrap/>
        <w:overflowPunct/>
        <w:topLinePunct w:val="0"/>
        <w:autoSpaceDE/>
        <w:autoSpaceDN/>
        <w:bidi w:val="0"/>
        <w:spacing w:line="336" w:lineRule="auto"/>
        <w:ind w:firstLine="897" w:firstLineChars="374"/>
        <w:textAlignment w:val="auto"/>
        <w:outlineLvl w:val="9"/>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货物全部由符合政策要求的中小企业制造，提供中小企业声明函；</w:t>
      </w:r>
    </w:p>
    <w:p w14:paraId="5ED9499B">
      <w:pPr>
        <w:keepNext w:val="0"/>
        <w:keepLines w:val="0"/>
        <w:pageBreakBefore w:val="0"/>
        <w:kinsoku/>
        <w:wordWrap/>
        <w:overflowPunct/>
        <w:topLinePunct w:val="0"/>
        <w:autoSpaceDE/>
        <w:autoSpaceDN/>
        <w:bidi w:val="0"/>
        <w:spacing w:line="336" w:lineRule="auto"/>
        <w:ind w:firstLine="897" w:firstLineChars="374"/>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0BBE16AD">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2709B393">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B9A52EB">
      <w:pPr>
        <w:keepNext w:val="0"/>
        <w:keepLines w:val="0"/>
        <w:pageBreakBefore w:val="0"/>
        <w:widowControl/>
        <w:numPr>
          <w:ilvl w:val="0"/>
          <w:numId w:val="1"/>
        </w:numPr>
        <w:kinsoku/>
        <w:wordWrap/>
        <w:overflowPunct/>
        <w:topLinePunct w:val="0"/>
        <w:autoSpaceDE/>
        <w:autoSpaceDN/>
        <w:bidi w:val="0"/>
        <w:adjustRightInd/>
        <w:snapToGrid/>
        <w:spacing w:line="336" w:lineRule="auto"/>
        <w:ind w:left="0" w:leftChars="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0AE3DD0C">
      <w:pPr>
        <w:keepNext w:val="0"/>
        <w:keepLines w:val="0"/>
        <w:pageBreakBefore w:val="0"/>
        <w:widowControl/>
        <w:numPr>
          <w:ilvl w:val="0"/>
          <w:numId w:val="1"/>
        </w:numPr>
        <w:kinsoku/>
        <w:wordWrap/>
        <w:overflowPunct/>
        <w:topLinePunct w:val="0"/>
        <w:autoSpaceDE/>
        <w:autoSpaceDN/>
        <w:bidi w:val="0"/>
        <w:adjustRightInd/>
        <w:snapToGrid/>
        <w:spacing w:line="336" w:lineRule="auto"/>
        <w:ind w:left="0" w:leftChars="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未在中国裁判文书网有行贿犯罪相关记录。（以投标截止日当天中国裁判文书网查询结果为准，如相关记录已失效</w:t>
      </w:r>
      <w:bookmarkStart w:id="565" w:name="_GoBack"/>
      <w:bookmarkEnd w:id="565"/>
      <w:r>
        <w:rPr>
          <w:rFonts w:hint="eastAsia" w:ascii="宋体" w:hAnsi="宋体" w:cs="宋体"/>
          <w:color w:val="auto"/>
          <w:sz w:val="24"/>
          <w:highlight w:val="none"/>
        </w:rPr>
        <w:t>，供应商需提供相关证明资料；若在开标当天因不可抗力事件导致无法查询且一时无法恢复查询的，可在中标公示期间对中标候选人进行事后查询。中标候选人在中国裁判文书网有行贿犯罪相关记录，采购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将依法取消其中标资格）。</w:t>
      </w:r>
    </w:p>
    <w:p w14:paraId="373218E9">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315FEB3">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时间：</w:t>
      </w:r>
      <w:r>
        <w:rPr>
          <w:rFonts w:hint="eastAsia" w:cs="宋体" w:asciiTheme="minorEastAsia" w:hAnsiTheme="minorEastAsia" w:eastAsiaTheme="minorEastAsia"/>
          <w:b w:val="0"/>
          <w:bCs/>
          <w:color w:val="auto"/>
          <w:sz w:val="24"/>
          <w:highlight w:val="none"/>
        </w:rPr>
        <w:t>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02</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12</w:t>
      </w:r>
      <w:r>
        <w:rPr>
          <w:rFonts w:hint="eastAsia" w:cs="宋体" w:asciiTheme="minorEastAsia" w:hAnsiTheme="minorEastAsia" w:eastAsiaTheme="minorEastAsia"/>
          <w:b w:val="0"/>
          <w:bCs/>
          <w:color w:val="auto"/>
          <w:sz w:val="24"/>
          <w:highlight w:val="none"/>
        </w:rPr>
        <w:t>日至202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02</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20</w:t>
      </w:r>
      <w:r>
        <w:rPr>
          <w:rFonts w:hint="eastAsia" w:cs="宋体" w:asciiTheme="minorEastAsia" w:hAnsiTheme="minorEastAsia" w:eastAsiaTheme="minorEastAsia"/>
          <w:b w:val="0"/>
          <w:bCs/>
          <w:color w:val="auto"/>
          <w:sz w:val="24"/>
          <w:highlight w:val="none"/>
        </w:rPr>
        <w:t>日</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rPr>
        <w:t>每天上午00:00至12:00 ，下午12:00至23:59（北京时间，线上获取法定节假日均可，线下获取文件法定节假日除外）</w:t>
      </w:r>
    </w:p>
    <w:p w14:paraId="465C8884">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5B2C46D">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 xml:space="preserve">）。 </w:t>
      </w:r>
    </w:p>
    <w:p w14:paraId="33F3CB91">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0FCFBF61">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D5AA81B">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62615515">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Theme="minorEastAsia" w:hAnsiTheme="minorEastAsia" w:eastAsiaTheme="minorEastAsia"/>
          <w:color w:val="auto"/>
          <w:sz w:val="24"/>
          <w:highlight w:val="none"/>
        </w:rPr>
        <w:t>政府采购云平台（http://www.zcygov.cn/）。</w:t>
      </w:r>
    </w:p>
    <w:p w14:paraId="13843B8D">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5031C97E">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Theme="minorEastAsia" w:hAnsiTheme="minorEastAsia" w:eastAsiaTheme="minorEastAsia"/>
          <w:color w:val="auto"/>
          <w:sz w:val="24"/>
          <w:highlight w:val="none"/>
        </w:rPr>
        <w:t>政府采购云平台（http://www.zcygov.cn/）。</w:t>
      </w:r>
    </w:p>
    <w:p w14:paraId="60453BAA">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16DE73B">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6BB0B34">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六、其他补充事宜</w:t>
      </w:r>
    </w:p>
    <w:p w14:paraId="5511C780">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90D2A6D">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DC7998">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F79B05">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4.其他事项：</w:t>
      </w:r>
    </w:p>
    <w:p w14:paraId="552B484D">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778429E6">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菜单中选择项目，获取招标文件；④投标文件的制作</w:t>
      </w:r>
      <w:r>
        <w:rPr>
          <w:rFonts w:hint="eastAsia" w:cs="仿宋_GB2312" w:asciiTheme="minorEastAsia" w:hAnsiTheme="minorEastAsia" w:eastAsiaTheme="minorEastAsia"/>
          <w:color w:val="auto"/>
          <w:sz w:val="24"/>
          <w:highlight w:val="none"/>
        </w:rPr>
        <w:t>（文件后缀为：jmbs）</w:t>
      </w:r>
      <w:r>
        <w:rPr>
          <w:rFonts w:hint="eastAsia" w:ascii="宋体" w:hAnsi="宋体" w:cs="宋体"/>
          <w:color w:val="auto"/>
          <w:sz w:val="24"/>
          <w:highlight w:val="none"/>
        </w:rPr>
        <w:t>：在“政采云电子交易客户端”中完成“填写基本信息”、“导入投标文件”、“标书关联”、“标书检查”、“电子签名”、“生成电子标书”等操作；⑤采购人、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w:t>
      </w:r>
      <w:r>
        <w:rPr>
          <w:rFonts w:hint="eastAsia" w:ascii="宋体" w:hAnsi="宋体" w:cs="宋体"/>
          <w:color w:val="auto"/>
          <w:sz w:val="24"/>
          <w:highlight w:val="none"/>
          <w:lang w:eastAsia="zh-CN"/>
        </w:rPr>
        <w:t>（文件后缀为：bfbs）</w:t>
      </w:r>
      <w:r>
        <w:rPr>
          <w:rFonts w:hint="eastAsia" w:ascii="宋体" w:hAnsi="宋体" w:cs="宋体"/>
          <w:color w:val="auto"/>
          <w:sz w:val="24"/>
          <w:highlight w:val="none"/>
        </w:rPr>
        <w:t>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242A8F28">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01F28494">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《第一部分  招标公告》中二、申请人的资格要求：第一条中的“重大税收违法案件当事人名单”即为“重大税收违法失信主体”。</w:t>
      </w:r>
      <w:r>
        <w:rPr>
          <w:rFonts w:hint="eastAsia" w:cs="宋体" w:asciiTheme="minorEastAsia" w:hAnsiTheme="minorEastAsia" w:eastAsiaTheme="minorEastAsia"/>
          <w:color w:val="auto"/>
          <w:sz w:val="24"/>
          <w:highlight w:val="none"/>
          <w:lang w:val="en-US" w:eastAsia="zh-CN"/>
        </w:rPr>
        <w:br w:type="textWrapping"/>
      </w:r>
      <w:r>
        <w:rPr>
          <w:rFonts w:hint="eastAsia" w:cs="宋体" w:asciiTheme="minorEastAsia" w:hAnsiTheme="minorEastAsia" w:eastAsiaTheme="minorEastAsia"/>
          <w:color w:val="auto"/>
          <w:sz w:val="24"/>
          <w:highlight w:val="none"/>
          <w:lang w:val="en-US" w:eastAsia="zh-CN"/>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73E836B">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2F6FB3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1.采购人信息</w:t>
      </w:r>
    </w:p>
    <w:p w14:paraId="1125E665">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称：宁海县中医医院</w:t>
      </w:r>
    </w:p>
    <w:p w14:paraId="76033FE8">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址：宁海县桃源北路1299号</w:t>
      </w:r>
    </w:p>
    <w:p w14:paraId="5F6BC11B">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    真：/</w:t>
      </w:r>
    </w:p>
    <w:p w14:paraId="476E4C66">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项目联系人（询问）：张老师</w:t>
      </w:r>
    </w:p>
    <w:p w14:paraId="3D621A46">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项目联系方式（询问）：0574-55686045</w:t>
      </w:r>
    </w:p>
    <w:p w14:paraId="7F472B88">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质疑联系人：张主任</w:t>
      </w:r>
    </w:p>
    <w:p w14:paraId="35453416">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质疑联系方式：0574-55686045</w:t>
      </w:r>
    </w:p>
    <w:p w14:paraId="4B03CD81">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p>
    <w:p w14:paraId="5A6CC19E">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2.采购代理机构信息</w:t>
      </w:r>
    </w:p>
    <w:p w14:paraId="471DBE99">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名    称：浙江中基正采管理咨询有限公司</w:t>
      </w:r>
    </w:p>
    <w:p w14:paraId="6EE4C503">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地    址：宁波市鄞州区天童南路666号中基大厦19楼</w:t>
      </w:r>
    </w:p>
    <w:p w14:paraId="7E409FDD">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传    真：0574-87425373</w:t>
      </w:r>
    </w:p>
    <w:p w14:paraId="61A7895C">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项目联系人（询问）：朱贤东</w:t>
      </w:r>
    </w:p>
    <w:p w14:paraId="675C6B0B">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项目联系方式（询问）：0574-87425380</w:t>
      </w:r>
    </w:p>
    <w:p w14:paraId="09B18BE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质疑联系人：王近娜</w:t>
      </w:r>
    </w:p>
    <w:p w14:paraId="3B49672E">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质疑联系方式：0574-87425570</w:t>
      </w:r>
    </w:p>
    <w:p w14:paraId="01C667E4">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p>
    <w:p w14:paraId="1173806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3.同级政府采购监督管理部门：</w:t>
      </w:r>
    </w:p>
    <w:p w14:paraId="5F97AA1B">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名    称：宁海县政府采购管理办公室             </w:t>
      </w:r>
    </w:p>
    <w:p w14:paraId="1887642D">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地    址：宁海县跃龙街道桃源中路218号            </w:t>
      </w:r>
    </w:p>
    <w:p w14:paraId="579A199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传    真：0574-65265612            </w:t>
      </w:r>
    </w:p>
    <w:p w14:paraId="7DF01EB6">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联系人 ：王老师             </w:t>
      </w:r>
    </w:p>
    <w:p w14:paraId="00503B53">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投诉电话：0574-65265668 </w:t>
      </w:r>
    </w:p>
    <w:p w14:paraId="71846484">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14:paraId="1C9C9693">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lang w:eastAsia="zh-CN"/>
        </w:rPr>
        <w:t>“</w:t>
      </w:r>
      <w:r>
        <w:rPr>
          <w:rFonts w:hint="eastAsia" w:ascii="宋体" w:hAnsi="宋体" w:cs="宋体"/>
          <w:color w:val="auto"/>
          <w:sz w:val="24"/>
          <w:highlight w:val="none"/>
        </w:rPr>
        <w:t>95763</w:t>
      </w:r>
      <w:r>
        <w:rPr>
          <w:rFonts w:hint="eastAsia" w:ascii="宋体" w:hAnsi="宋体" w:cs="宋体"/>
          <w:color w:val="auto"/>
          <w:sz w:val="24"/>
          <w:highlight w:val="none"/>
          <w:lang w:eastAsia="zh-CN"/>
        </w:rPr>
        <w:t>”</w:t>
      </w:r>
      <w:r>
        <w:rPr>
          <w:rFonts w:hint="eastAsia" w:ascii="宋体" w:hAnsi="宋体" w:cs="宋体"/>
          <w:color w:val="auto"/>
          <w:sz w:val="24"/>
          <w:highlight w:val="none"/>
        </w:rPr>
        <w:t>获取热线服务帮助。</w:t>
      </w:r>
    </w:p>
    <w:p w14:paraId="7E04B3A3">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3C35705">
      <w:pPr>
        <w:pStyle w:val="32"/>
        <w:kinsoku/>
        <w:wordWrap/>
        <w:overflowPunct/>
        <w:topLinePunct w:val="0"/>
        <w:bidi w:val="0"/>
        <w:spacing w:line="360" w:lineRule="auto"/>
        <w:outlineLvl w:val="9"/>
        <w:rPr>
          <w:rFonts w:hAnsi="宋体" w:cs="宋体"/>
          <w:b/>
          <w:color w:val="auto"/>
          <w:sz w:val="36"/>
          <w:szCs w:val="20"/>
          <w:highlight w:val="none"/>
        </w:rPr>
      </w:pPr>
    </w:p>
    <w:p w14:paraId="0A7109C1">
      <w:pPr>
        <w:tabs>
          <w:tab w:val="left" w:pos="432"/>
        </w:tabs>
        <w:kinsoku/>
        <w:wordWrap/>
        <w:overflowPunct/>
        <w:topLinePunct w:val="0"/>
        <w:bidi w:val="0"/>
        <w:outlineLvl w:val="9"/>
        <w:rPr>
          <w:rFonts w:ascii="宋体"/>
          <w:snapToGrid w:val="0"/>
          <w:color w:val="auto"/>
          <w:highlight w:val="none"/>
        </w:rPr>
      </w:pPr>
      <w:r>
        <w:rPr>
          <w:color w:val="auto"/>
          <w:highlight w:val="none"/>
        </w:rPr>
        <w:br w:type="page"/>
      </w:r>
    </w:p>
    <w:p w14:paraId="1DBA228D">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3" w:name="_Toc29691"/>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bookmarkEnd w:id="8"/>
      <w:bookmarkEnd w:id="13"/>
    </w:p>
    <w:p w14:paraId="7FBA2872">
      <w:pPr>
        <w:kinsoku/>
        <w:wordWrap/>
        <w:overflowPunct/>
        <w:topLinePunct w:val="0"/>
        <w:bidi w:val="0"/>
        <w:adjustRightInd/>
        <w:spacing w:line="360" w:lineRule="auto"/>
        <w:ind w:firstLine="3845" w:firstLineChars="1197"/>
        <w:outlineLvl w:val="9"/>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BD4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tcPr>
          <w:p w14:paraId="4B31EC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14:paraId="796869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事项</w:t>
            </w:r>
          </w:p>
        </w:tc>
        <w:tc>
          <w:tcPr>
            <w:tcW w:w="6095" w:type="dxa"/>
            <w:vAlign w:val="center"/>
          </w:tcPr>
          <w:p w14:paraId="55DFEF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本项目的特别规定</w:t>
            </w:r>
          </w:p>
        </w:tc>
      </w:tr>
      <w:tr w14:paraId="7722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38B2F1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vAlign w:val="center"/>
          </w:tcPr>
          <w:p w14:paraId="21FD01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vAlign w:val="center"/>
          </w:tcPr>
          <w:p w14:paraId="3D49972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货物类，单一产品或核心产品为：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CT球管</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p>
        </w:tc>
      </w:tr>
      <w:tr w14:paraId="09E3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5192C0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vAlign w:val="center"/>
          </w:tcPr>
          <w:p w14:paraId="67689E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vAlign w:val="center"/>
          </w:tcPr>
          <w:p w14:paraId="0DB57189">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CT球管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工业 </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p w14:paraId="6BB1F436">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本项目非专门面向中小企业。</w:t>
            </w:r>
          </w:p>
        </w:tc>
      </w:tr>
      <w:tr w14:paraId="515D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211488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vAlign w:val="center"/>
          </w:tcPr>
          <w:p w14:paraId="5576E9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vAlign w:val="center"/>
          </w:tcPr>
          <w:p w14:paraId="19CC357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本项目不允许采购进口产品。</w:t>
            </w:r>
          </w:p>
          <w:p w14:paraId="3704C09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highlight w:val="none"/>
              </w:rPr>
            </w:pPr>
            <w:sdt>
              <w:sdtPr>
                <w:rPr>
                  <w:rFonts w:hint="eastAsia" w:ascii="宋体" w:hAnsi="宋体" w:cs="宋体"/>
                  <w:color w:val="auto"/>
                  <w:kern w:val="0"/>
                  <w:sz w:val="24"/>
                  <w:highlight w:val="none"/>
                </w:rPr>
                <w:id w:val="-5285282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CT球管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935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0246FF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vAlign w:val="center"/>
          </w:tcPr>
          <w:p w14:paraId="21A1C3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482" w:firstLineChars="200"/>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分包</w:t>
            </w:r>
          </w:p>
        </w:tc>
        <w:tc>
          <w:tcPr>
            <w:tcW w:w="6095" w:type="dxa"/>
            <w:vAlign w:val="center"/>
          </w:tcPr>
          <w:p w14:paraId="018B229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运输等</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1536708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C021AE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106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3F3C06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vAlign w:val="center"/>
          </w:tcPr>
          <w:p w14:paraId="62BD73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vAlign w:val="center"/>
          </w:tcPr>
          <w:p w14:paraId="555B511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79300B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4037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1B37A1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vAlign w:val="center"/>
          </w:tcPr>
          <w:p w14:paraId="67789E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样品提供</w:t>
            </w:r>
          </w:p>
        </w:tc>
        <w:tc>
          <w:tcPr>
            <w:tcW w:w="6095" w:type="dxa"/>
            <w:vAlign w:val="center"/>
          </w:tcPr>
          <w:p w14:paraId="7541A56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5F874E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FEC863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84670E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AEAF72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13DA74E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283C07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在上述时间内提供样品并按规定位置安装完毕。超过截止时间的，采购人或采购代理机构将不予接收，并将清场并封闭样品现场。</w:t>
            </w:r>
          </w:p>
          <w:p w14:paraId="78119A1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4F26A5A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b/>
                <w:color w:val="auto"/>
                <w:sz w:val="24"/>
                <w:highlight w:val="none"/>
              </w:rPr>
            </w:pPr>
            <w:r>
              <w:rPr>
                <w:rFonts w:hint="eastAsia" w:ascii="宋体" w:hAnsi="宋体" w:cs="宋体"/>
                <w:color w:val="auto"/>
                <w:sz w:val="24"/>
                <w:highlight w:val="none"/>
              </w:rPr>
              <w:t>（7）制作、运输、安装和保管样品所发生的一切费用由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自理。</w:t>
            </w:r>
          </w:p>
        </w:tc>
      </w:tr>
      <w:tr w14:paraId="44D8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1F0D8D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vAlign w:val="center"/>
          </w:tcPr>
          <w:p w14:paraId="5DD8FB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vAlign w:val="center"/>
          </w:tcPr>
          <w:p w14:paraId="658F66E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079DE6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EDEFE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（1）在评标时安排每个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进行方案讲解演示。每个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485F66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DA78B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根据政采云平台操作要求做好准备工作，提前完善软硬件配置环境。</w:t>
            </w:r>
          </w:p>
          <w:p w14:paraId="509BC8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方式二：</w:t>
            </w:r>
            <w:r>
              <w:rPr>
                <w:rFonts w:hint="eastAsia" w:ascii="宋体" w:hAnsi="宋体" w:cs="宋体"/>
                <w:color w:val="auto"/>
                <w:kern w:val="0"/>
                <w:sz w:val="24"/>
                <w:highlight w:val="none"/>
                <w:lang w:val="en-US" w:eastAsia="zh-CN"/>
              </w:rPr>
              <w:t>评标</w:t>
            </w:r>
            <w:r>
              <w:rPr>
                <w:rFonts w:hint="eastAsia" w:ascii="宋体" w:hAnsi="宋体" w:cs="宋体"/>
                <w:color w:val="auto"/>
                <w:kern w:val="0"/>
                <w:sz w:val="24"/>
                <w:highlight w:val="none"/>
              </w:rPr>
              <w:t>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自备。现场讲解演示人员进场时提供讲解人员名单（加盖公章或授权代表签名）及身份证明，否则不得讲解演示。</w:t>
            </w:r>
          </w:p>
          <w:p w14:paraId="52B599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b/>
                <w:color w:val="auto"/>
                <w:kern w:val="0"/>
                <w:sz w:val="24"/>
                <w:highlight w:val="none"/>
                <w:lang w:val="zh-CN"/>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69C1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restart"/>
            <w:vAlign w:val="center"/>
          </w:tcPr>
          <w:p w14:paraId="3CF4C9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vAlign w:val="center"/>
          </w:tcPr>
          <w:p w14:paraId="5343FA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应当提供的资格、资信证明文件</w:t>
            </w:r>
          </w:p>
        </w:tc>
        <w:tc>
          <w:tcPr>
            <w:tcW w:w="6095" w:type="dxa"/>
            <w:vAlign w:val="center"/>
          </w:tcPr>
          <w:p w14:paraId="6CE262D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6C4F89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供应商未提供有效的资格证明文件的，视为供应商不具备招标文件中规定的资格要求，投标无效。</w:t>
            </w:r>
          </w:p>
        </w:tc>
      </w:tr>
      <w:tr w14:paraId="7BAA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continue"/>
            <w:vAlign w:val="center"/>
          </w:tcPr>
          <w:p w14:paraId="500752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p>
        </w:tc>
        <w:tc>
          <w:tcPr>
            <w:tcW w:w="1843" w:type="dxa"/>
            <w:vMerge w:val="continue"/>
            <w:vAlign w:val="center"/>
          </w:tcPr>
          <w:p w14:paraId="3F51E2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p>
        </w:tc>
        <w:tc>
          <w:tcPr>
            <w:tcW w:w="6095" w:type="dxa"/>
            <w:vAlign w:val="center"/>
          </w:tcPr>
          <w:p w14:paraId="32B0DF8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7AE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69076B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vAlign w:val="center"/>
          </w:tcPr>
          <w:p w14:paraId="3B0BB2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vAlign w:val="center"/>
          </w:tcPr>
          <w:p w14:paraId="087429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DF5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6146C9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vAlign w:val="center"/>
          </w:tcPr>
          <w:p w14:paraId="7E501F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报价要求</w:t>
            </w:r>
          </w:p>
        </w:tc>
        <w:tc>
          <w:tcPr>
            <w:tcW w:w="6095" w:type="dxa"/>
            <w:vAlign w:val="center"/>
          </w:tcPr>
          <w:p w14:paraId="5BC03F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outlineLvl w:val="9"/>
              <w:rPr>
                <w:rFonts w:hint="default"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招标文件未列明，而供应商认为必需的费用也需列入报价。</w:t>
            </w:r>
          </w:p>
          <w:p w14:paraId="2BD8C2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241" w:firstLineChars="10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本项目</w:t>
            </w:r>
            <w:r>
              <w:rPr>
                <w:rFonts w:hint="eastAsia" w:ascii="宋体" w:hAnsi="宋体" w:cs="宋体"/>
                <w:b/>
                <w:color w:val="auto"/>
                <w:kern w:val="0"/>
                <w:sz w:val="24"/>
                <w:highlight w:val="none"/>
                <w:lang w:val="zh-CN"/>
              </w:rPr>
              <w:t>采用</w:t>
            </w:r>
            <w:r>
              <w:rPr>
                <w:rFonts w:hint="eastAsia" w:ascii="宋体" w:hAnsi="宋体" w:cs="宋体"/>
                <w:b/>
                <w:color w:val="auto"/>
                <w:kern w:val="0"/>
                <w:sz w:val="24"/>
                <w:highlight w:val="none"/>
                <w:lang w:val="en-US" w:eastAsia="zh-CN"/>
              </w:rPr>
              <w:t>人民币</w:t>
            </w:r>
            <w:r>
              <w:rPr>
                <w:rFonts w:hint="eastAsia" w:ascii="宋体" w:hAnsi="宋体" w:cs="宋体"/>
                <w:b/>
                <w:color w:val="auto"/>
                <w:kern w:val="0"/>
                <w:sz w:val="24"/>
                <w:highlight w:val="none"/>
                <w:lang w:val="zh-CN"/>
              </w:rPr>
              <w:t>报价。</w:t>
            </w:r>
          </w:p>
          <w:p w14:paraId="3FC982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241" w:firstLineChars="10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投标报价须是完成本项目的所有费用，应包括设备价、安装调试、货物运至项目现场的运输费、保险费、培训费、售后服务、利润、税金等一切与本次采购相关的费用。</w:t>
            </w:r>
          </w:p>
          <w:p w14:paraId="13E81C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不论投标结果如何，供应商均应自行承担所有与投标有关的全部费用。</w:t>
            </w:r>
          </w:p>
          <w:p w14:paraId="50CF49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outlineLvl w:val="9"/>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45E30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241" w:firstLineChars="100"/>
              <w:jc w:val="left"/>
              <w:textAlignment w:val="auto"/>
              <w:outlineLvl w:val="9"/>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9A454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241" w:firstLineChars="100"/>
              <w:jc w:val="left"/>
              <w:textAlignment w:val="auto"/>
              <w:outlineLvl w:val="9"/>
              <w:rPr>
                <w:rFonts w:hint="default"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62EA38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firstLine="241" w:firstLineChars="100"/>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lang w:eastAsia="zh-CN"/>
              </w:rPr>
              <w:t>报价明显低于其他通过符合性审查供应商的报价（</w:t>
            </w:r>
            <w:r>
              <w:rPr>
                <w:rFonts w:hint="eastAsia" w:ascii="宋体" w:hAnsi="宋体" w:cs="宋体"/>
                <w:b/>
                <w:color w:val="auto"/>
                <w:kern w:val="0"/>
                <w:sz w:val="24"/>
                <w:highlight w:val="none"/>
                <w:lang w:val="en-US" w:eastAsia="zh-CN"/>
              </w:rPr>
              <w:t>低于项目预算50%的）</w:t>
            </w:r>
            <w:r>
              <w:rPr>
                <w:rFonts w:hint="eastAsia" w:ascii="宋体" w:hAnsi="宋体" w:cs="宋体"/>
                <w:b/>
                <w:color w:val="auto"/>
                <w:kern w:val="0"/>
                <w:sz w:val="24"/>
                <w:highlight w:val="none"/>
                <w:lang w:eastAsia="zh-CN"/>
              </w:rPr>
              <w:t>，有可能影响产品质量或者不能诚信履约的，未能按要求提供书面说明或者提交相关证明材料，不能证明其报价合理性的</w:t>
            </w:r>
            <w:r>
              <w:rPr>
                <w:rFonts w:hint="eastAsia" w:ascii="宋体" w:hAnsi="宋体" w:cs="宋体"/>
                <w:b/>
                <w:color w:val="auto"/>
                <w:sz w:val="24"/>
                <w:szCs w:val="21"/>
                <w:highlight w:val="none"/>
                <w:lang w:eastAsia="zh-CN"/>
              </w:rPr>
              <w:t>；</w:t>
            </w:r>
          </w:p>
          <w:p w14:paraId="7B11304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firstLine="241" w:firstLineChars="100"/>
              <w:textAlignment w:val="auto"/>
              <w:outlineLvl w:val="9"/>
              <w:rPr>
                <w:rFonts w:hint="default" w:ascii="宋体" w:hAnsi="宋体" w:cs="宋体"/>
                <w:color w:val="auto"/>
                <w:sz w:val="24"/>
                <w:highlight w:val="none"/>
              </w:rPr>
            </w:pPr>
            <w:r>
              <w:rPr>
                <w:rFonts w:hint="eastAsia" w:ascii="宋体" w:hAnsi="宋体" w:cs="宋体"/>
                <w:b/>
                <w:color w:val="auto"/>
                <w:kern w:val="0"/>
                <w:sz w:val="24"/>
                <w:highlight w:val="none"/>
                <w:lang w:eastAsia="zh-CN"/>
              </w:rPr>
              <w:t>供应商</w:t>
            </w:r>
            <w:r>
              <w:rPr>
                <w:rFonts w:hint="eastAsia" w:ascii="宋体" w:hAnsi="宋体" w:cs="宋体"/>
                <w:b/>
                <w:color w:val="auto"/>
                <w:kern w:val="0"/>
                <w:sz w:val="24"/>
                <w:highlight w:val="none"/>
              </w:rPr>
              <w:t>对根据修正原则修正后的报价不确认的</w:t>
            </w:r>
            <w:r>
              <w:rPr>
                <w:rFonts w:hint="eastAsia" w:ascii="宋体" w:hAnsi="宋体" w:cs="宋体"/>
                <w:b/>
                <w:color w:val="auto"/>
                <w:sz w:val="24"/>
                <w:highlight w:val="none"/>
              </w:rPr>
              <w:t>。</w:t>
            </w:r>
          </w:p>
        </w:tc>
      </w:tr>
      <w:tr w14:paraId="74C8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35DCB7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Align w:val="center"/>
          </w:tcPr>
          <w:p w14:paraId="708703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vAlign w:val="center"/>
          </w:tcPr>
          <w:p w14:paraId="61E9A89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firstLine="240" w:firstLineChars="100"/>
              <w:textAlignment w:val="auto"/>
              <w:outlineLvl w:val="9"/>
              <w:rPr>
                <w:rFonts w:hint="default"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4A1F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682BD1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vAlign w:val="center"/>
          </w:tcPr>
          <w:p w14:paraId="792131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vAlign w:val="center"/>
          </w:tcPr>
          <w:p w14:paraId="737BDB5A">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供应商可以准备U盘存储的电子备份投标文件1份，按政府采购云平台要求制作的电子备份投标文件，以用于异常情况处理。</w:t>
            </w:r>
          </w:p>
          <w:p w14:paraId="5B70343B">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如提供备份投标文件的，应于投标文件提交（上传）截止时间前，将以U盘存储的电子备份投标文件密封，递交至</w:t>
            </w:r>
            <w:r>
              <w:rPr>
                <w:rFonts w:hint="eastAsia" w:cs="宋体" w:asciiTheme="minorEastAsia" w:hAnsiTheme="minorEastAsia" w:eastAsiaTheme="minorEastAsia"/>
                <w:color w:val="auto"/>
                <w:kern w:val="28"/>
                <w:sz w:val="24"/>
                <w:szCs w:val="24"/>
                <w:highlight w:val="none"/>
                <w:u w:val="single"/>
                <w:lang w:val="en-US" w:eastAsia="zh-CN"/>
              </w:rPr>
              <w:t>宁海县政务服务中心（宁海县桃源街道金水东路5号五楼）</w:t>
            </w:r>
            <w:r>
              <w:rPr>
                <w:rFonts w:hint="eastAsia" w:cs="宋体" w:asciiTheme="minorEastAsia" w:hAnsiTheme="minorEastAsia" w:eastAsiaTheme="minorEastAsia"/>
                <w:color w:val="auto"/>
                <w:kern w:val="28"/>
                <w:sz w:val="24"/>
                <w:szCs w:val="24"/>
                <w:highlight w:val="none"/>
                <w:lang w:val="en-US" w:eastAsia="zh-CN"/>
              </w:rPr>
              <w:t>，逾期送达或未密封将予以拒收。</w:t>
            </w:r>
          </w:p>
          <w:p w14:paraId="77AA78E5">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b/>
                <w:bCs/>
                <w:color w:val="auto"/>
                <w:kern w:val="28"/>
                <w:sz w:val="24"/>
                <w:szCs w:val="24"/>
                <w:highlight w:val="none"/>
                <w:lang w:val="en-US" w:eastAsia="zh-CN"/>
              </w:rPr>
            </w:pPr>
            <w:r>
              <w:rPr>
                <w:rFonts w:hint="eastAsia" w:cs="宋体" w:asciiTheme="minorEastAsia" w:hAnsiTheme="minorEastAsia" w:eastAsiaTheme="minorEastAsia"/>
                <w:b/>
                <w:bCs/>
                <w:color w:val="auto"/>
                <w:kern w:val="28"/>
                <w:sz w:val="24"/>
                <w:szCs w:val="24"/>
                <w:highlight w:val="none"/>
                <w:lang w:val="en-US" w:eastAsia="zh-CN"/>
              </w:rPr>
              <w:t>供应商可采用邮寄（含快递）方式递交备份投标文件。</w:t>
            </w:r>
          </w:p>
          <w:p w14:paraId="3AE33F26">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12CC0142">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拟在开标前一个工作日16:00前到件的邮寄地址为：宁波市鄞州区天童南路666号中基大厦19楼业务六部；</w:t>
            </w:r>
          </w:p>
          <w:p w14:paraId="5D786AD5">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收件人：朱贤东   联系方式：0574-87425380</w:t>
            </w:r>
          </w:p>
          <w:p w14:paraId="74C0F8C8">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请各供应商确保密封包装在邮寄过程密封包装完好，因邮寄过程的密封破损造成不符合开标要求的，本采购代理及采购人概不负责。</w:t>
            </w:r>
          </w:p>
          <w:p w14:paraId="6FCAC32E">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hAnsi="宋体" w:cs="宋体"/>
                <w:color w:val="auto"/>
                <w:kern w:val="28"/>
                <w:sz w:val="24"/>
                <w:highlight w:val="none"/>
              </w:rPr>
            </w:pP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w:t>
            </w:r>
            <w:r>
              <w:rPr>
                <w:rFonts w:hint="eastAsia" w:cs="宋体" w:asciiTheme="minorEastAsia" w:hAnsiTheme="minorEastAsia" w:eastAsiaTheme="minorEastAsia"/>
                <w:b/>
                <w:color w:val="auto"/>
                <w:sz w:val="24"/>
                <w:szCs w:val="24"/>
                <w:highlight w:val="none"/>
                <w:lang w:eastAsia="zh-CN"/>
              </w:rPr>
              <w:t>投标文件</w:t>
            </w:r>
            <w:r>
              <w:rPr>
                <w:rFonts w:hint="eastAsia" w:cs="宋体" w:asciiTheme="minorEastAsia" w:hAnsiTheme="minorEastAsia" w:eastAsiaTheme="minorEastAsia"/>
                <w:b/>
                <w:color w:val="auto"/>
                <w:sz w:val="24"/>
                <w:szCs w:val="24"/>
                <w:highlight w:val="none"/>
              </w:rPr>
              <w:t>。</w:t>
            </w:r>
          </w:p>
        </w:tc>
      </w:tr>
      <w:tr w14:paraId="364E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restart"/>
            <w:vAlign w:val="center"/>
          </w:tcPr>
          <w:p w14:paraId="28AA92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vAlign w:val="center"/>
          </w:tcPr>
          <w:p w14:paraId="112A3B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vAlign w:val="center"/>
          </w:tcPr>
          <w:p w14:paraId="7603D90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34F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continue"/>
          </w:tcPr>
          <w:p w14:paraId="1FDAA2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color w:val="auto"/>
                <w:sz w:val="24"/>
                <w:highlight w:val="none"/>
              </w:rPr>
            </w:pPr>
          </w:p>
        </w:tc>
        <w:tc>
          <w:tcPr>
            <w:tcW w:w="1843" w:type="dxa"/>
            <w:vMerge w:val="continue"/>
            <w:vAlign w:val="center"/>
          </w:tcPr>
          <w:p w14:paraId="0FC8D4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p>
        </w:tc>
        <w:tc>
          <w:tcPr>
            <w:tcW w:w="6095" w:type="dxa"/>
            <w:vAlign w:val="center"/>
          </w:tcPr>
          <w:p w14:paraId="5969EC5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702C80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81E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1FB3D9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lang w:val="en-US" w:eastAsia="zh-CN"/>
              </w:rPr>
              <w:t>14</w:t>
            </w:r>
          </w:p>
        </w:tc>
        <w:tc>
          <w:tcPr>
            <w:tcW w:w="1843" w:type="dxa"/>
            <w:vAlign w:val="center"/>
          </w:tcPr>
          <w:p w14:paraId="7B548C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cs="宋体" w:asciiTheme="minorEastAsia" w:hAnsiTheme="minorEastAsia" w:eastAsiaTheme="minorEastAsia"/>
                <w:b/>
                <w:color w:val="auto"/>
                <w:kern w:val="2"/>
                <w:sz w:val="24"/>
                <w:szCs w:val="24"/>
                <w:highlight w:val="none"/>
                <w:lang w:val="en-US" w:eastAsia="zh-CN" w:bidi="ar-SA"/>
              </w:rPr>
            </w:pPr>
            <w:r>
              <w:rPr>
                <w:rFonts w:hint="eastAsia" w:cs="宋体" w:asciiTheme="minorEastAsia" w:hAnsiTheme="minorEastAsia" w:eastAsiaTheme="minorEastAsia"/>
                <w:b/>
                <w:color w:val="auto"/>
                <w:sz w:val="24"/>
                <w:highlight w:val="none"/>
                <w:lang w:val="en-US" w:eastAsia="zh-CN"/>
              </w:rPr>
              <w:t>其他说明</w:t>
            </w:r>
          </w:p>
        </w:tc>
        <w:tc>
          <w:tcPr>
            <w:tcW w:w="6095" w:type="dxa"/>
            <w:vAlign w:val="center"/>
          </w:tcPr>
          <w:p w14:paraId="6EE7D800">
            <w:pPr>
              <w:pStyle w:val="19"/>
              <w:keepNext w:val="0"/>
              <w:keepLines w:val="0"/>
              <w:pageBreakBefore w:val="0"/>
              <w:suppressLineNumbers w:val="0"/>
              <w:kinsoku/>
              <w:wordWrap/>
              <w:overflowPunct/>
              <w:topLinePunct w:val="0"/>
              <w:autoSpaceDE/>
              <w:autoSpaceDN/>
              <w:bidi w:val="0"/>
              <w:adjustRightInd/>
              <w:spacing w:before="0" w:beforeLines="0" w:beforeAutospacing="0" w:after="0" w:afterLines="0" w:afterAutospacing="0" w:line="288" w:lineRule="auto"/>
              <w:ind w:left="0" w:right="0"/>
              <w:textAlignment w:val="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招标代理服务费的收取标准：代理机构按下表中货物招标的标准（按差额定率累进法计算），根据</w:t>
            </w:r>
            <w:r>
              <w:rPr>
                <w:rFonts w:hint="eastAsia" w:cs="Arial" w:asciiTheme="minorEastAsia" w:hAnsiTheme="minorEastAsia" w:eastAsiaTheme="minorEastAsia"/>
                <w:color w:val="auto"/>
                <w:kern w:val="0"/>
                <w:sz w:val="24"/>
                <w:highlight w:val="none"/>
                <w:lang w:val="en-US" w:eastAsia="zh-CN"/>
              </w:rPr>
              <w:t>中</w:t>
            </w:r>
            <w:r>
              <w:rPr>
                <w:rFonts w:hint="eastAsia" w:cs="Arial" w:asciiTheme="minorEastAsia" w:hAnsiTheme="minorEastAsia" w:eastAsiaTheme="minorEastAsia"/>
                <w:color w:val="auto"/>
                <w:kern w:val="0"/>
                <w:sz w:val="24"/>
                <w:highlight w:val="none"/>
              </w:rPr>
              <w:t>标金额，向中标人收取招标代理服务费。</w:t>
            </w:r>
          </w:p>
          <w:tbl>
            <w:tblPr>
              <w:tblStyle w:val="63"/>
              <w:tblW w:w="0" w:type="auto"/>
              <w:jc w:val="center"/>
              <w:tblLayout w:type="fixed"/>
              <w:tblCellMar>
                <w:top w:w="15" w:type="dxa"/>
                <w:left w:w="15" w:type="dxa"/>
                <w:bottom w:w="15" w:type="dxa"/>
                <w:right w:w="15" w:type="dxa"/>
              </w:tblCellMar>
            </w:tblPr>
            <w:tblGrid>
              <w:gridCol w:w="1669"/>
              <w:gridCol w:w="1443"/>
              <w:gridCol w:w="1368"/>
              <w:gridCol w:w="1337"/>
            </w:tblGrid>
            <w:tr w14:paraId="231082F2">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14:paraId="53C550F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right"/>
                    <w:textAlignment w:val="auto"/>
                    <w:rPr>
                      <w:rFonts w:hint="eastAsia" w:ascii="宋体" w:hAnsi="宋体" w:eastAsia="宋体" w:cs="宋体"/>
                      <w:color w:val="auto"/>
                      <w:highlight w:val="none"/>
                    </w:rPr>
                  </w:pPr>
                  <w:r>
                    <w:rPr>
                      <w:rFonts w:hint="eastAsia" w:ascii="宋体" w:hAnsi="宋体" w:eastAsia="宋体" w:cs="宋体"/>
                      <w:color w:val="auto"/>
                      <w:highlight w:val="none"/>
                    </w:rPr>
                    <w:t>服费类型</w:t>
                  </w:r>
                </w:p>
                <w:p w14:paraId="2E8D1E5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金额（万元）</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969E4A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4FB835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93D7C4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223C4BCA">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BD0936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B89C59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1B56AF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B22AF5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6BA31337">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47F6B2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B22916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D8F157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A207DB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56E57408">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663257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9ADA12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A92837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24EEF3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6123BF7D">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B7CBC7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4D0B45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C8B51A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945CF7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26D4063B">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1DE6C7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BA8217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15325F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623605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0.2%</w:t>
                  </w:r>
                </w:p>
              </w:tc>
            </w:tr>
            <w:tr w14:paraId="751F6DC9">
              <w:tblPrEx>
                <w:tblCellMar>
                  <w:top w:w="15" w:type="dxa"/>
                  <w:left w:w="15" w:type="dxa"/>
                  <w:bottom w:w="15" w:type="dxa"/>
                  <w:right w:w="15" w:type="dxa"/>
                </w:tblCellMar>
              </w:tblPrEx>
              <w:trPr>
                <w:trHeight w:val="337"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689B5F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1亿～5亿</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0E376B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65456A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8278AC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0.05%</w:t>
                  </w:r>
                </w:p>
              </w:tc>
            </w:tr>
          </w:tbl>
          <w:p w14:paraId="5880525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关于本次采购的服务费汇入以下账户：</w:t>
            </w:r>
          </w:p>
          <w:p w14:paraId="4F21421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开户银行：宁波银行股份有限公司鄞州中心区支行</w:t>
            </w:r>
          </w:p>
          <w:p w14:paraId="48C659E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账    号：30010122001229488</w:t>
            </w:r>
          </w:p>
          <w:p w14:paraId="4D79DAF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rPr>
              <w:t>户    名：</w:t>
            </w:r>
            <w:r>
              <w:rPr>
                <w:rFonts w:hint="eastAsia" w:cs="Arial" w:asciiTheme="minorEastAsia" w:hAnsiTheme="minorEastAsia" w:eastAsiaTheme="minorEastAsia"/>
                <w:color w:val="auto"/>
                <w:kern w:val="0"/>
                <w:sz w:val="24"/>
                <w:highlight w:val="none"/>
                <w:lang w:eastAsia="zh-CN"/>
              </w:rPr>
              <w:t>浙江中基正采管理咨询有限公司</w:t>
            </w:r>
          </w:p>
        </w:tc>
      </w:tr>
      <w:bookmarkEnd w:id="9"/>
    </w:tbl>
    <w:p w14:paraId="02B0E363">
      <w:pPr>
        <w:kinsoku/>
        <w:wordWrap/>
        <w:overflowPunct/>
        <w:topLinePunct w:val="0"/>
        <w:bidi w:val="0"/>
        <w:outlineLvl w:val="9"/>
        <w:rPr>
          <w:rFonts w:hint="eastAsia" w:ascii="宋体" w:hAnsi="宋体" w:cs="宋体"/>
          <w:b/>
          <w:color w:val="auto"/>
          <w:sz w:val="32"/>
          <w:szCs w:val="20"/>
          <w:highlight w:val="none"/>
        </w:rPr>
      </w:pPr>
      <w:bookmarkStart w:id="14" w:name="_Toc164416483"/>
      <w:bookmarkStart w:id="15" w:name="第三部分"/>
      <w:r>
        <w:rPr>
          <w:rFonts w:hint="eastAsia" w:ascii="宋体" w:hAnsi="宋体" w:cs="宋体"/>
          <w:b/>
          <w:color w:val="auto"/>
          <w:sz w:val="32"/>
          <w:szCs w:val="20"/>
          <w:highlight w:val="none"/>
        </w:rPr>
        <w:br w:type="page"/>
      </w:r>
    </w:p>
    <w:p w14:paraId="57FD40A1">
      <w:pPr>
        <w:pageBreakBefore w:val="0"/>
        <w:shd w:val="clear"/>
        <w:kinsoku/>
        <w:wordWrap/>
        <w:overflowPunct/>
        <w:topLinePunct w:val="0"/>
        <w:bidi w:val="0"/>
        <w:adjustRightInd/>
        <w:spacing w:beforeAutospacing="0" w:line="348" w:lineRule="auto"/>
        <w:ind w:firstLine="3845" w:firstLineChars="1197"/>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3E8D25CD">
      <w:pPr>
        <w:keepNext w:val="0"/>
        <w:keepLines w:val="0"/>
        <w:pageBreakBefore w:val="0"/>
        <w:shd w:val="clear"/>
        <w:kinsoku/>
        <w:wordWrap/>
        <w:overflowPunct/>
        <w:topLinePunct w:val="0"/>
        <w:bidi w:val="0"/>
        <w:snapToGrid w:val="0"/>
        <w:spacing w:beforeAutospacing="0" w:line="348" w:lineRule="auto"/>
        <w:ind w:firstLine="361" w:firstLineChars="15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1. 适用范围</w:t>
      </w:r>
    </w:p>
    <w:p w14:paraId="36843FCA">
      <w:pPr>
        <w:keepNext w:val="0"/>
        <w:keepLines w:val="0"/>
        <w:pageBreakBefore w:val="0"/>
        <w:shd w:val="clear"/>
        <w:kinsoku/>
        <w:wordWrap/>
        <w:overflowPunct/>
        <w:topLinePunct w:val="0"/>
        <w:bidi w:val="0"/>
        <w:snapToGrid w:val="0"/>
        <w:spacing w:beforeAutospacing="0" w:line="348" w:lineRule="auto"/>
        <w:ind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AE8146F">
      <w:pPr>
        <w:keepNext w:val="0"/>
        <w:keepLines w:val="0"/>
        <w:pageBreakBefore w:val="0"/>
        <w:shd w:val="clear"/>
        <w:kinsoku/>
        <w:wordWrap/>
        <w:overflowPunct/>
        <w:topLinePunct w:val="0"/>
        <w:bidi w:val="0"/>
        <w:adjustRightInd/>
        <w:spacing w:beforeAutospacing="0" w:line="348"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9BB7FAB">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726A350">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4725A19">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”系指是指响应招标、参加投标竞争的法人、其他组织或者自然人。</w:t>
      </w:r>
    </w:p>
    <w:p w14:paraId="33C8E530">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B1B76F9">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FF89542">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46D70E46">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2.7 “</w:t>
      </w:r>
      <w:r>
        <w:rPr>
          <w:rFonts w:hint="eastAsia" w:ascii="宋体" w:hAnsi="宋体" w:cs="宋体"/>
          <w:color w:val="auto"/>
          <w:sz w:val="24"/>
          <w:highlight w:val="none"/>
          <w:lang w:eastAsia="zh-CN"/>
        </w:rPr>
        <w:t>★</w:t>
      </w:r>
      <w:r>
        <w:rPr>
          <w:rFonts w:hint="eastAsia" w:ascii="宋体" w:hAnsi="宋体" w:cs="宋体"/>
          <w:color w:val="auto"/>
          <w:sz w:val="24"/>
          <w:highlight w:val="none"/>
        </w:rPr>
        <w:t>”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FEC2081">
      <w:pPr>
        <w:keepNext w:val="0"/>
        <w:keepLines w:val="0"/>
        <w:pageBreakBefore w:val="0"/>
        <w:shd w:val="clear"/>
        <w:kinsoku/>
        <w:wordWrap/>
        <w:overflowPunct/>
        <w:topLinePunct w:val="0"/>
        <w:bidi w:val="0"/>
        <w:spacing w:beforeAutospacing="0" w:line="348" w:lineRule="auto"/>
        <w:ind w:firstLine="241" w:firstLineChars="100"/>
        <w:textAlignment w:val="auto"/>
        <w:outlineLvl w:val="9"/>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F3E69B9">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0F1099C">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3.2 支持绿色发展</w:t>
      </w:r>
    </w:p>
    <w:p w14:paraId="6477CC8B">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须按招标文件要求提供相关产品认证证书。</w:t>
      </w:r>
    </w:p>
    <w:p w14:paraId="748427BD">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和合同，具体性能指标要求参考相关绿色建材政府采购需求标准。</w:t>
      </w:r>
    </w:p>
    <w:p w14:paraId="432B3BA8">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FAF457F">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3CF6AB7B">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3.3支持中小企业发展</w:t>
      </w:r>
    </w:p>
    <w:p w14:paraId="1B76AEAF">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3C1276F">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79AE8AF">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提供的货物符合下列情形的，享受中小企业扶持政策：在货物采购项目中，货物由中小企业制造，即货物由中小企业生产且使用该中小企业商号或者注册商标；在货物采购项目中，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提供的货物既有中小企业制造货物，也有大型企业制造货物的，不享受中小企业扶持政策。</w:t>
      </w:r>
    </w:p>
    <w:p w14:paraId="5EBCE072">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E7B46D1">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1DC4159F">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00004DE">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5B89CE7">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3.3.6可享受中小企业扶持政策的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应按照招标文件格式要求提供《中小企业声明函》，</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提供的《中小企业声明函》与实际情况不符的，不享受中小企业扶持政策。声明内容不实的，属于提供虚假材料谋取中标、成交的，依法承担法律责任。</w:t>
      </w:r>
    </w:p>
    <w:p w14:paraId="0E750178">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FC70ABE">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4B9904E">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3.4.1 对省级以上主管部门认定的首台套产品，自纳入《省推广应用指导目录》起三年内参加政府采购活动，视同已具备相应销售业绩，业绩分为满分。</w:t>
      </w:r>
    </w:p>
    <w:p w14:paraId="2CE6417A">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327F2D4">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w:t>
      </w:r>
    </w:p>
    <w:p w14:paraId="1351F772">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lang w:val="zh-CN"/>
        </w:rPr>
      </w:pPr>
      <w:r>
        <w:rPr>
          <w:rFonts w:hint="eastAsia"/>
          <w:color w:val="auto"/>
          <w:highlight w:val="none"/>
          <w:lang w:val="zh-CN"/>
        </w:rPr>
        <w:t>4.1在线询问、质疑、投诉</w:t>
      </w:r>
    </w:p>
    <w:p w14:paraId="5A8A7F8D">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25A07B">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715DC1A">
      <w:pPr>
        <w:keepNext w:val="0"/>
        <w:keepLines w:val="0"/>
        <w:pageBreakBefore w:val="0"/>
        <w:shd w:val="clear"/>
        <w:kinsoku/>
        <w:wordWrap/>
        <w:overflowPunct/>
        <w:topLinePunct w:val="0"/>
        <w:autoSpaceDE w:val="0"/>
        <w:autoSpaceDN w:val="0"/>
        <w:bidi w:val="0"/>
        <w:spacing w:beforeAutospacing="0" w:line="348" w:lineRule="auto"/>
        <w:ind w:firstLine="480" w:firstLineChars="2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B54E5F4">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2E649D6">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5B5FE5E">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3116F86">
      <w:pPr>
        <w:pStyle w:val="5"/>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3D977AA">
      <w:pPr>
        <w:pStyle w:val="32"/>
        <w:keepNext w:val="0"/>
        <w:keepLines w:val="0"/>
        <w:pageBreakBefore w:val="0"/>
        <w:shd w:val="clear"/>
        <w:kinsoku/>
        <w:wordWrap/>
        <w:overflowPunct/>
        <w:topLinePunct w:val="0"/>
        <w:bidi w:val="0"/>
        <w:spacing w:beforeAutospacing="0" w:line="348" w:lineRule="auto"/>
        <w:ind w:left="479" w:leftChars="228"/>
        <w:textAlignment w:val="auto"/>
        <w:outlineLvl w:val="9"/>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BA69C68">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5854886">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0A08FAA">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8517256">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28991D3">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673EEA9">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F349EF8">
      <w:pPr>
        <w:pStyle w:val="32"/>
        <w:keepNext w:val="0"/>
        <w:keepLines w:val="0"/>
        <w:pageBreakBefore w:val="0"/>
        <w:shd w:val="clear"/>
        <w:kinsoku/>
        <w:wordWrap/>
        <w:overflowPunct/>
        <w:topLinePunct w:val="0"/>
        <w:bidi w:val="0"/>
        <w:spacing w:beforeAutospacing="0" w:line="348" w:lineRule="auto"/>
        <w:ind w:firstLine="960" w:firstLineChars="4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C14DFE2">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A8C7A87">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质疑函范本及制作说明详见附件2。</w:t>
      </w:r>
    </w:p>
    <w:p w14:paraId="2927C2E2">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4.3.4对同一采购程序环节的质疑，供应商须在法定质疑期内一次性提出。</w:t>
      </w:r>
    </w:p>
    <w:p w14:paraId="0DB8027E">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号）</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454DC554">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D212EE8">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color w:val="auto"/>
          <w:highlight w:val="none"/>
          <w:lang w:val="zh-CN"/>
        </w:rPr>
      </w:pPr>
      <w:r>
        <w:rPr>
          <w:rFonts w:hint="eastAsia"/>
          <w:color w:val="auto"/>
          <w:highlight w:val="none"/>
          <w:lang w:val="zh-CN"/>
        </w:rPr>
        <w:t>4.4供应商投诉</w:t>
      </w:r>
    </w:p>
    <w:p w14:paraId="3EFEE7AD">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76297466">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AFBF27D">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4.4.3供应商投诉应当有明确的请求和必要的证明材料。</w:t>
      </w:r>
    </w:p>
    <w:p w14:paraId="3AF8AB2D">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4.4.4以联合体形式参加政府采购活动的，其投诉应当由组成联合体的所有供应商共同提出。</w:t>
      </w:r>
    </w:p>
    <w:p w14:paraId="55A28C48">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color w:val="auto"/>
          <w:highlight w:val="none"/>
        </w:rPr>
      </w:pPr>
      <w:r>
        <w:rPr>
          <w:rFonts w:hint="eastAsia"/>
          <w:color w:val="auto"/>
          <w:highlight w:val="none"/>
        </w:rPr>
        <w:t>4.4.5投诉材料</w:t>
      </w:r>
      <w:r>
        <w:rPr>
          <w:rFonts w:hint="eastAsia" w:ascii="宋体" w:hAnsi="Courier New"/>
          <w:color w:val="auto"/>
          <w:sz w:val="24"/>
          <w:szCs w:val="24"/>
          <w:highlight w:val="none"/>
        </w:rPr>
        <w:t>寄送</w:t>
      </w:r>
      <w:r>
        <w:rPr>
          <w:rFonts w:hint="eastAsia"/>
          <w:color w:val="auto"/>
          <w:sz w:val="24"/>
          <w:szCs w:val="24"/>
          <w:highlight w:val="none"/>
          <w:lang w:val="en-US" w:eastAsia="zh-CN"/>
        </w:rPr>
        <w:t>相关信息详见《第一部分  招标公告》。</w:t>
      </w:r>
    </w:p>
    <w:p w14:paraId="516AA881">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投诉书范本及制作说明详见附件3。</w:t>
      </w:r>
    </w:p>
    <w:p w14:paraId="496B4C8A">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2821A8E2">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5．招标文件的构成</w:t>
      </w:r>
    </w:p>
    <w:p w14:paraId="7667665F">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A0FEF81">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5.1.1招标公告；</w:t>
      </w:r>
    </w:p>
    <w:p w14:paraId="25A1BBCD">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5.1.2</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w:t>
      </w:r>
    </w:p>
    <w:p w14:paraId="4488B6FB">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5.1.3采购需求；</w:t>
      </w:r>
    </w:p>
    <w:p w14:paraId="3B431926">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5.1.4评标办法；</w:t>
      </w:r>
    </w:p>
    <w:p w14:paraId="6E251C5D">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5.1.5拟签订的合同文本；</w:t>
      </w:r>
    </w:p>
    <w:p w14:paraId="721F02D7">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68463C2">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EAF0B6F">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6.招标文件的澄清、修改</w:t>
      </w:r>
    </w:p>
    <w:p w14:paraId="10F273DD">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6.1已获取招标文件的潜在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AFA02B">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6.2</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。依法应当公告的，将按规定公告，同时视情况延长投标截止时间和开标时间。该澄清或者修改的内容为招标文件的组成部分。</w:t>
      </w:r>
    </w:p>
    <w:p w14:paraId="34B0624C">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AF99940">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7.招标文件的获取</w:t>
      </w:r>
    </w:p>
    <w:p w14:paraId="19CE1F1C">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A0F96B9">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5C4D387">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采购人组织潜在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现场考察或者召开开标前答疑会的，潜在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按第二部分</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须知前附表的规定参加现场考察或者开标前答疑会。</w:t>
      </w:r>
    </w:p>
    <w:p w14:paraId="0A51CB61">
      <w:pPr>
        <w:pStyle w:val="32"/>
        <w:pageBreakBefore w:val="0"/>
        <w:shd w:val="clear"/>
        <w:kinsoku/>
        <w:wordWrap/>
        <w:overflowPunct/>
        <w:topLinePunct w:val="0"/>
        <w:bidi w:val="0"/>
        <w:spacing w:beforeAutospacing="0" w:line="348" w:lineRule="auto"/>
        <w:textAlignment w:val="auto"/>
        <w:outlineLvl w:val="9"/>
        <w:rPr>
          <w:rFonts w:hAnsi="宋体" w:cs="宋体"/>
          <w:b/>
          <w:color w:val="auto"/>
          <w:szCs w:val="24"/>
          <w:highlight w:val="none"/>
        </w:rPr>
      </w:pPr>
      <w:r>
        <w:rPr>
          <w:rFonts w:hint="eastAsia" w:hAnsi="宋体" w:cs="宋体"/>
          <w:b/>
          <w:color w:val="auto"/>
          <w:kern w:val="28"/>
          <w:sz w:val="24"/>
          <w:szCs w:val="24"/>
          <w:highlight w:val="none"/>
        </w:rPr>
        <w:t>9.投标保证金</w:t>
      </w:r>
    </w:p>
    <w:p w14:paraId="4AE29936">
      <w:pPr>
        <w:pStyle w:val="5"/>
        <w:pageBreakBefore w:val="0"/>
        <w:shd w:val="clear"/>
        <w:kinsoku/>
        <w:wordWrap/>
        <w:overflowPunct/>
        <w:topLinePunct w:val="0"/>
        <w:bidi w:val="0"/>
        <w:spacing w:beforeAutospacing="0" w:line="348" w:lineRule="auto"/>
        <w:ind w:firstLine="470" w:firstLineChars="196"/>
        <w:textAlignment w:val="auto"/>
        <w:outlineLvl w:val="9"/>
        <w:rPr>
          <w:rFonts w:hAnsi="宋体" w:cs="宋体"/>
          <w:color w:val="auto"/>
          <w:sz w:val="24"/>
          <w:highlight w:val="none"/>
        </w:rPr>
      </w:pPr>
      <w:r>
        <w:rPr>
          <w:rFonts w:hint="eastAsia" w:hAnsi="宋体" w:cs="宋体"/>
          <w:color w:val="auto"/>
          <w:sz w:val="24"/>
          <w:highlight w:val="none"/>
        </w:rPr>
        <w:t>本项目不需缴纳投标保证金。</w:t>
      </w:r>
    </w:p>
    <w:p w14:paraId="56EDB901">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10. 投标文件的语言</w:t>
      </w:r>
    </w:p>
    <w:p w14:paraId="0CEA67CE">
      <w:pPr>
        <w:pageBreakBefore w:val="0"/>
        <w:shd w:val="clear"/>
        <w:kinsoku/>
        <w:wordWrap/>
        <w:overflowPunct/>
        <w:topLinePunct w:val="0"/>
        <w:autoSpaceDE w:val="0"/>
        <w:autoSpaceDN w:val="0"/>
        <w:bidi w:val="0"/>
        <w:spacing w:beforeAutospacing="0" w:line="348" w:lineRule="auto"/>
        <w:ind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投标文件及</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与采购有关的来往通知、函件和文件均应使用中文。</w:t>
      </w:r>
    </w:p>
    <w:p w14:paraId="45EF406A">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11. 投标文件的组成</w:t>
      </w:r>
    </w:p>
    <w:p w14:paraId="6642A3A8">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11.1资格文件：</w:t>
      </w:r>
    </w:p>
    <w:p w14:paraId="36FABEA5">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03715FF">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8" w:name="_Hlk101259339"/>
      <w:r>
        <w:rPr>
          <w:rFonts w:hint="eastAsia" w:ascii="宋体" w:hAnsi="宋体" w:cs="宋体"/>
          <w:snapToGrid w:val="0"/>
          <w:color w:val="auto"/>
          <w:kern w:val="28"/>
          <w:sz w:val="24"/>
          <w:szCs w:val="20"/>
          <w:highlight w:val="none"/>
        </w:rPr>
        <w:t>联合协议</w:t>
      </w:r>
      <w:bookmarkEnd w:id="18"/>
      <w:r>
        <w:rPr>
          <w:rFonts w:hint="eastAsia" w:ascii="宋体" w:hAnsi="宋体" w:cs="宋体"/>
          <w:snapToGrid w:val="0"/>
          <w:color w:val="auto"/>
          <w:kern w:val="28"/>
          <w:sz w:val="24"/>
          <w:szCs w:val="20"/>
          <w:highlight w:val="none"/>
        </w:rPr>
        <w:t>（如果有)；</w:t>
      </w:r>
    </w:p>
    <w:p w14:paraId="49D8F129">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FA0C42">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EF16895">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062E06F4">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11.2.1投标函；</w:t>
      </w:r>
    </w:p>
    <w:p w14:paraId="42EB71B3">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FD385A8">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9506E61">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D9601EB">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C29AED8">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500200B8">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68E22A8F">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48BC68B6">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11.3.1开标一览表（报价表）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投标分项报价表</w:t>
      </w:r>
      <w:r>
        <w:rPr>
          <w:rFonts w:hint="eastAsia" w:ascii="宋体" w:hAnsi="宋体" w:cs="宋体"/>
          <w:color w:val="auto"/>
          <w:sz w:val="24"/>
          <w:highlight w:val="none"/>
        </w:rPr>
        <w:t>；</w:t>
      </w:r>
    </w:p>
    <w:p w14:paraId="588D0FE9">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11.3.2中小企业声明函。</w:t>
      </w:r>
    </w:p>
    <w:p w14:paraId="7B623BFD">
      <w:pPr>
        <w:pageBreakBefore w:val="0"/>
        <w:shd w:val="clear"/>
        <w:kinsoku/>
        <w:wordWrap/>
        <w:overflowPunct/>
        <w:topLinePunct w:val="0"/>
        <w:bidi w:val="0"/>
        <w:spacing w:beforeAutospacing="0" w:line="348" w:lineRule="auto"/>
        <w:ind w:firstLine="723" w:firstLineChars="300"/>
        <w:textAlignment w:val="auto"/>
        <w:outlineLvl w:val="9"/>
        <w:rPr>
          <w:rFonts w:ascii="宋体" w:hAnsi="宋体" w:cs="宋体"/>
          <w:b/>
          <w:color w:val="auto"/>
          <w:sz w:val="24"/>
          <w:szCs w:val="21"/>
          <w:highlight w:val="none"/>
        </w:rPr>
      </w:pPr>
      <w:r>
        <w:rPr>
          <w:rFonts w:hint="eastAsia" w:ascii="宋体" w:hAnsi="宋体" w:cs="宋体"/>
          <w:b/>
          <w:color w:val="auto"/>
          <w:sz w:val="24"/>
          <w:highlight w:val="none"/>
          <w:lang w:eastAsia="zh-CN"/>
        </w:rPr>
        <w:t>报价明显低于其他通过符合性审查供应商的报价（</w:t>
      </w:r>
      <w:r>
        <w:rPr>
          <w:rFonts w:hint="eastAsia" w:ascii="宋体" w:hAnsi="宋体" w:cs="宋体"/>
          <w:b/>
          <w:color w:val="auto"/>
          <w:sz w:val="24"/>
          <w:highlight w:val="none"/>
          <w:lang w:val="en-US" w:eastAsia="zh-CN"/>
        </w:rPr>
        <w:t>低于项目预算50%的）</w:t>
      </w:r>
      <w:r>
        <w:rPr>
          <w:rFonts w:hint="eastAsia" w:ascii="宋体" w:hAnsi="宋体" w:cs="宋体"/>
          <w:b/>
          <w:color w:val="auto"/>
          <w:sz w:val="24"/>
          <w:highlight w:val="none"/>
          <w:lang w:eastAsia="zh-CN"/>
        </w:rPr>
        <w:t>，有可能影响产品质量或者不能诚信履约的，未能按要求提供书面说明或者提交相关证明材料，不能证明其报价合理性的，</w:t>
      </w:r>
      <w:r>
        <w:rPr>
          <w:rFonts w:hint="eastAsia" w:ascii="宋体" w:hAnsi="宋体" w:cs="宋体"/>
          <w:b/>
          <w:color w:val="auto"/>
          <w:sz w:val="24"/>
          <w:highlight w:val="none"/>
          <w:lang w:val="en-US" w:eastAsia="zh-CN"/>
        </w:rPr>
        <w:t>其投标无效</w:t>
      </w:r>
      <w:r>
        <w:rPr>
          <w:rFonts w:hint="eastAsia" w:ascii="宋体" w:hAnsi="宋体" w:cs="宋体"/>
          <w:b/>
          <w:color w:val="auto"/>
          <w:sz w:val="24"/>
          <w:highlight w:val="none"/>
        </w:rPr>
        <w:t>。</w:t>
      </w:r>
    </w:p>
    <w:p w14:paraId="5416A5EF">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F3C1CF8">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4E110B22">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02F7FDAD">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AF01222">
      <w:pPr>
        <w:pageBreakBefore w:val="0"/>
        <w:shd w:val="clear"/>
        <w:kinsoku/>
        <w:wordWrap/>
        <w:overflowPunct/>
        <w:topLinePunct w:val="0"/>
        <w:bidi w:val="0"/>
        <w:snapToGrid w:val="0"/>
        <w:spacing w:beforeAutospacing="0" w:line="348"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EC6BC23">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lang w:eastAsia="zh-CN"/>
        </w:rPr>
        <w:t>★供应商</w:t>
      </w:r>
      <w:r>
        <w:rPr>
          <w:rFonts w:hint="eastAsia" w:ascii="宋体" w:hAnsi="宋体" w:cs="宋体"/>
          <w:b/>
          <w:color w:val="auto"/>
          <w:highlight w:val="none"/>
        </w:rPr>
        <w:t>的投标文件未按照招标文件要求签署、盖章的，其投标无效</w:t>
      </w:r>
      <w:r>
        <w:rPr>
          <w:rFonts w:hint="eastAsia" w:ascii="宋体" w:hAnsi="宋体" w:cs="宋体"/>
          <w:color w:val="auto"/>
          <w:szCs w:val="24"/>
          <w:highlight w:val="none"/>
        </w:rPr>
        <w:t>。</w:t>
      </w:r>
    </w:p>
    <w:p w14:paraId="39724924">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13.2为确保网上操作合法、有效和安全，</w:t>
      </w:r>
      <w:r>
        <w:rPr>
          <w:rFonts w:hint="eastAsia" w:ascii="宋体" w:hAnsi="宋体" w:cs="宋体"/>
          <w:color w:val="auto"/>
          <w:highlight w:val="none"/>
          <w:lang w:eastAsia="zh-CN"/>
        </w:rPr>
        <w:t>供应商</w:t>
      </w:r>
      <w:r>
        <w:rPr>
          <w:rFonts w:hint="eastAsia" w:ascii="宋体" w:hAnsi="宋体" w:cs="宋体"/>
          <w:color w:val="auto"/>
          <w:highlight w:val="none"/>
        </w:rPr>
        <w:t>应当在投标截止时间前完成在“政府采购云平台”的身份认证，确保在电子投标过程中能够对相关数据电文进行加密和使用电子签名。</w:t>
      </w:r>
    </w:p>
    <w:p w14:paraId="15AA64DD">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1BD7F55">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5618FB1">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8271721">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198BA3C">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以前在投标截止期方面的全部权利、责任和义务，将适用于延长至新的投标截止期。</w:t>
      </w:r>
    </w:p>
    <w:p w14:paraId="510A8DF0">
      <w:pPr>
        <w:pStyle w:val="32"/>
        <w:pageBreakBefore w:val="0"/>
        <w:shd w:val="clear"/>
        <w:kinsoku/>
        <w:wordWrap/>
        <w:overflowPunct/>
        <w:topLinePunct w:val="0"/>
        <w:bidi w:val="0"/>
        <w:spacing w:beforeAutospacing="0" w:line="348" w:lineRule="auto"/>
        <w:textAlignment w:val="auto"/>
        <w:outlineLvl w:val="9"/>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15.备份投标文件</w:t>
      </w:r>
      <w:r>
        <w:rPr>
          <w:rFonts w:hint="eastAsia" w:hAnsi="宋体" w:cs="宋体"/>
          <w:b/>
          <w:color w:val="auto"/>
          <w:sz w:val="24"/>
          <w:szCs w:val="24"/>
          <w:highlight w:val="none"/>
          <w:lang w:eastAsia="zh-CN"/>
        </w:rPr>
        <w:t>（文件后缀为：bfbs）</w:t>
      </w:r>
    </w:p>
    <w:p w14:paraId="6482BD68">
      <w:pPr>
        <w:pStyle w:val="32"/>
        <w:pageBreakBefore w:val="0"/>
        <w:shd w:val="clear"/>
        <w:kinsoku/>
        <w:wordWrap/>
        <w:overflowPunct/>
        <w:topLinePunct w:val="0"/>
        <w:bidi w:val="0"/>
        <w:spacing w:beforeAutospacing="0" w:line="348" w:lineRule="auto"/>
        <w:ind w:firstLine="360" w:firstLineChars="150"/>
        <w:textAlignment w:val="auto"/>
        <w:outlineLvl w:val="9"/>
        <w:rPr>
          <w:rFonts w:hAnsi="宋体" w:cs="宋体"/>
          <w:b/>
          <w:color w:val="auto"/>
          <w:sz w:val="24"/>
          <w:szCs w:val="24"/>
          <w:highlight w:val="none"/>
        </w:rPr>
      </w:pPr>
      <w:r>
        <w:rPr>
          <w:rFonts w:hint="eastAsia" w:hAnsi="宋体" w:cs="宋体"/>
          <w:color w:val="auto"/>
          <w:sz w:val="24"/>
          <w:szCs w:val="24"/>
          <w:highlight w:val="none"/>
        </w:rPr>
        <w:t>15.1</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提交备份投标文件。</w:t>
      </w:r>
    </w:p>
    <w:p w14:paraId="4E96DAE3">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lang w:val="en-US" w:eastAsia="zh-CN"/>
        </w:rPr>
        <w:t>U盘</w:t>
      </w:r>
      <w:r>
        <w:rPr>
          <w:rFonts w:hint="eastAsia" w:hAnsi="宋体" w:cs="宋体"/>
          <w:color w:val="auto"/>
          <w:sz w:val="24"/>
          <w:szCs w:val="24"/>
          <w:highlight w:val="none"/>
        </w:rPr>
        <w:t>中。备份投标文件应当密封包装并在包装上加盖公章并注明投标项目名称，</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F727DE3">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15.3直接提交备份投标文件的，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63D44972">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15.4以邮政快递方式递交备份投标文件的，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w:t>
      </w:r>
      <w:r>
        <w:rPr>
          <w:rFonts w:hint="eastAsia" w:hAnsi="宋体" w:cs="宋体"/>
          <w:snapToGrid/>
          <w:color w:val="auto"/>
          <w:sz w:val="24"/>
          <w:szCs w:val="24"/>
          <w:highlight w:val="none"/>
          <w:lang w:eastAsia="zh-CN"/>
        </w:rPr>
        <w:t>供应商</w:t>
      </w:r>
      <w:r>
        <w:rPr>
          <w:rFonts w:hint="eastAsia" w:hAnsi="宋体" w:cs="宋体"/>
          <w:snapToGrid/>
          <w:color w:val="auto"/>
          <w:sz w:val="24"/>
          <w:szCs w:val="24"/>
          <w:highlight w:val="none"/>
        </w:rPr>
        <w:t>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自行负责。</w:t>
      </w:r>
    </w:p>
    <w:p w14:paraId="7A2F929C">
      <w:pPr>
        <w:pStyle w:val="32"/>
        <w:pageBreakBefore w:val="0"/>
        <w:shd w:val="clear"/>
        <w:kinsoku/>
        <w:wordWrap/>
        <w:overflowPunct/>
        <w:topLinePunct w:val="0"/>
        <w:bidi w:val="0"/>
        <w:spacing w:beforeAutospacing="0" w:line="348" w:lineRule="auto"/>
        <w:ind w:firstLine="479" w:firstLineChars="199"/>
        <w:textAlignment w:val="auto"/>
        <w:outlineLvl w:val="9"/>
        <w:rPr>
          <w:rFonts w:hAnsi="宋体" w:cs="宋体"/>
          <w:b/>
          <w:color w:val="auto"/>
          <w:sz w:val="24"/>
          <w:szCs w:val="24"/>
          <w:highlight w:val="none"/>
        </w:rPr>
      </w:pPr>
      <w:r>
        <w:rPr>
          <w:rFonts w:hint="eastAsia" w:hAnsi="宋体" w:cs="宋体"/>
          <w:b/>
          <w:color w:val="auto"/>
          <w:sz w:val="24"/>
          <w:szCs w:val="24"/>
          <w:highlight w:val="none"/>
        </w:rPr>
        <w:t>15.5</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仅提交备份投标文件，未在电子交易平台传输递交投标文件的，投标无效。</w:t>
      </w:r>
    </w:p>
    <w:p w14:paraId="4E0E6FDD">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F447E68">
      <w:pPr>
        <w:pStyle w:val="25"/>
        <w:pageBreakBefore w:val="0"/>
        <w:shd w:val="clear"/>
        <w:kinsoku/>
        <w:wordWrap/>
        <w:overflowPunct/>
        <w:topLinePunct w:val="0"/>
        <w:bidi w:val="0"/>
        <w:spacing w:beforeAutospacing="0" w:line="348" w:lineRule="auto"/>
        <w:ind w:firstLine="360" w:firstLineChars="150"/>
        <w:textAlignment w:val="auto"/>
        <w:outlineLvl w:val="9"/>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75481399">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17.投标有效期</w:t>
      </w:r>
    </w:p>
    <w:p w14:paraId="1855ACAF">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color w:val="auto"/>
          <w:sz w:val="24"/>
          <w:szCs w:val="20"/>
          <w:highlight w:val="none"/>
          <w:lang w:eastAsia="zh-CN"/>
        </w:rPr>
        <w:t>★</w:t>
      </w:r>
      <w:r>
        <w:rPr>
          <w:rFonts w:hint="eastAsia" w:ascii="宋体" w:hAnsi="宋体" w:cs="宋体"/>
          <w:b/>
          <w:color w:val="auto"/>
          <w:sz w:val="24"/>
          <w:szCs w:val="20"/>
          <w:highlight w:val="none"/>
          <w:lang w:eastAsia="zh-CN"/>
        </w:rPr>
        <w:t>供应商</w:t>
      </w:r>
      <w:r>
        <w:rPr>
          <w:rFonts w:hint="eastAsia" w:ascii="宋体" w:hAnsi="宋体" w:cs="宋体"/>
          <w:b/>
          <w:color w:val="auto"/>
          <w:sz w:val="24"/>
          <w:szCs w:val="20"/>
          <w:highlight w:val="none"/>
        </w:rPr>
        <w:t>的投标文件中承</w:t>
      </w:r>
      <w:r>
        <w:rPr>
          <w:rFonts w:hint="eastAsia" w:ascii="宋体" w:hAnsi="宋体" w:cs="宋体"/>
          <w:b/>
          <w:color w:val="auto"/>
          <w:sz w:val="24"/>
          <w:szCs w:val="21"/>
          <w:highlight w:val="none"/>
        </w:rPr>
        <w:t>诺的投标有效期少于招标文件中载明的投标有效期的，投标无效。</w:t>
      </w:r>
    </w:p>
    <w:p w14:paraId="4D0A254B">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07DF802">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w:t>
      </w:r>
      <w:r>
        <w:rPr>
          <w:rFonts w:hint="eastAsia" w:ascii="宋体" w:hAnsi="宋体" w:cs="宋体"/>
          <w:color w:val="auto"/>
          <w:highlight w:val="none"/>
          <w:lang w:eastAsia="zh-CN"/>
        </w:rPr>
        <w:t>供应商</w:t>
      </w:r>
      <w:r>
        <w:rPr>
          <w:rFonts w:hint="eastAsia" w:ascii="宋体" w:hAnsi="宋体" w:cs="宋体"/>
          <w:color w:val="auto"/>
          <w:highlight w:val="none"/>
        </w:rPr>
        <w:t>延长投标有效期。</w:t>
      </w:r>
      <w:r>
        <w:rPr>
          <w:rFonts w:hint="eastAsia" w:ascii="宋体" w:hAnsi="宋体" w:cs="宋体"/>
          <w:color w:val="auto"/>
          <w:highlight w:val="none"/>
          <w:lang w:eastAsia="zh-CN"/>
        </w:rPr>
        <w:t>供应商</w:t>
      </w:r>
      <w:r>
        <w:rPr>
          <w:rFonts w:hint="eastAsia" w:ascii="宋体" w:hAnsi="宋体" w:cs="宋体"/>
          <w:color w:val="auto"/>
          <w:highlight w:val="none"/>
        </w:rPr>
        <w:t>同意延长的，不得要求或被允许修改其投标文件，</w:t>
      </w:r>
      <w:r>
        <w:rPr>
          <w:rFonts w:hint="eastAsia" w:ascii="宋体" w:hAnsi="宋体" w:cs="宋体"/>
          <w:color w:val="auto"/>
          <w:highlight w:val="none"/>
          <w:lang w:eastAsia="zh-CN"/>
        </w:rPr>
        <w:t>供应商</w:t>
      </w:r>
      <w:r>
        <w:rPr>
          <w:rFonts w:hint="eastAsia" w:ascii="宋体" w:hAnsi="宋体" w:cs="宋体"/>
          <w:color w:val="auto"/>
          <w:highlight w:val="none"/>
        </w:rPr>
        <w:t>拒绝延长的，其投标无效。</w:t>
      </w:r>
    </w:p>
    <w:p w14:paraId="78BF79B8">
      <w:pPr>
        <w:pStyle w:val="132"/>
        <w:pageBreakBefore w:val="0"/>
        <w:shd w:val="clear"/>
        <w:kinsoku/>
        <w:wordWrap/>
        <w:overflowPunct/>
        <w:topLinePunct w:val="0"/>
        <w:bidi w:val="0"/>
        <w:spacing w:before="0" w:beforeAutospacing="0" w:line="348" w:lineRule="auto"/>
        <w:ind w:firstLine="1928" w:firstLineChars="600"/>
        <w:textAlignment w:val="auto"/>
        <w:outlineLvl w:val="9"/>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689EF3C">
      <w:pPr>
        <w:pStyle w:val="555"/>
        <w:pageBreakBefore w:val="0"/>
        <w:shd w:val="clear"/>
        <w:kinsoku/>
        <w:wordWrap/>
        <w:overflowPunct/>
        <w:topLinePunct w:val="0"/>
        <w:bidi w:val="0"/>
        <w:spacing w:before="0" w:beforeAutospacing="0" w:line="348" w:lineRule="auto"/>
        <w:ind w:left="0" w:firstLine="241" w:firstLineChars="100"/>
        <w:contextualSpacing/>
        <w:textAlignment w:val="auto"/>
        <w:outlineLvl w:val="9"/>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C37D2BB">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均应当准时在线参加。</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不足3家的，不得开标。</w:t>
      </w:r>
    </w:p>
    <w:p w14:paraId="23C10BC3">
      <w:pPr>
        <w:pStyle w:val="555"/>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按照平台提示和招标文件的规定在半小时内完成在线解密。</w:t>
      </w:r>
    </w:p>
    <w:p w14:paraId="052BB8CA">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18.2.1具体</w:t>
      </w:r>
      <w:r>
        <w:rPr>
          <w:rFonts w:hint="eastAsia" w:ascii="宋体" w:hAnsi="宋体" w:eastAsia="宋体" w:cs="宋体"/>
          <w:color w:val="auto"/>
          <w:sz w:val="24"/>
          <w:highlight w:val="none"/>
          <w:lang w:eastAsia="zh-CN"/>
        </w:rPr>
        <w:t>开标程序：</w:t>
      </w:r>
    </w:p>
    <w:p w14:paraId="2BAB41C9">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第一阶段：</w:t>
      </w:r>
    </w:p>
    <w:p w14:paraId="5E1FB3D1">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（1）投标截止时间后，供应商登录政府采购云平台，用“项目采购-开标评标”功能对电子投标文件进行在线解密，在线解密电子投标文件时间为开标时间后30分钟内。</w:t>
      </w:r>
    </w:p>
    <w:p w14:paraId="5DE5EBB0">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（2）在政府采购云平台开启已解密供应商的“资格文件、商务技术文件”，并做开标记录；</w:t>
      </w:r>
    </w:p>
    <w:p w14:paraId="3E7A434B">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第二阶段：</w:t>
      </w:r>
    </w:p>
    <w:p w14:paraId="4563B70A">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（1）在政府采购云平台宣告第一阶段评审无效供应商名单及理由；</w:t>
      </w:r>
    </w:p>
    <w:p w14:paraId="08A8B543">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（2）公布经第一阶段评审符合招标文件要求的供应商的商务技术得分情况；</w:t>
      </w:r>
    </w:p>
    <w:p w14:paraId="61D325D8">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（3）在政府采购云平台开启除第一阶段无效标外的供应商的“报价文件”，并做开标记录；</w:t>
      </w:r>
    </w:p>
    <w:p w14:paraId="37B9D012">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（4）在政府采购云平台公布评审结果。</w:t>
      </w:r>
    </w:p>
    <w:p w14:paraId="63D518A1">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（5）开标会议结束。</w:t>
      </w:r>
    </w:p>
    <w:p w14:paraId="75465538">
      <w:pPr>
        <w:pStyle w:val="555"/>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提供了备份投标文件的，以备份投标文件作为依据，否则视为投标文件撤回。投标文件已按时解密的，备份投标文件自动失效。</w:t>
      </w:r>
    </w:p>
    <w:p w14:paraId="3B7FEC08">
      <w:pPr>
        <w:pageBreakBefore w:val="0"/>
        <w:widowControl/>
        <w:shd w:val="clear"/>
        <w:kinsoku/>
        <w:wordWrap/>
        <w:overflowPunct/>
        <w:topLinePunct w:val="0"/>
        <w:bidi w:val="0"/>
        <w:spacing w:beforeAutospacing="0" w:line="348" w:lineRule="auto"/>
        <w:jc w:val="left"/>
        <w:textAlignment w:val="auto"/>
        <w:outlineLvl w:val="9"/>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AEB90DC">
      <w:pPr>
        <w:pageBreakBefore w:val="0"/>
        <w:shd w:val="clear"/>
        <w:kinsoku/>
        <w:wordWrap/>
        <w:overflowPunct/>
        <w:topLinePunct w:val="0"/>
        <w:bidi w:val="0"/>
        <w:snapToGrid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的资格进行审查。</w:t>
      </w:r>
    </w:p>
    <w:p w14:paraId="753A7A32">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lang w:eastAsia="zh-CN"/>
        </w:rPr>
        <w:t>供应商</w:t>
      </w:r>
      <w:r>
        <w:rPr>
          <w:rFonts w:hint="eastAsia" w:ascii="宋体" w:hAnsi="宋体" w:cs="宋体"/>
          <w:color w:val="auto"/>
          <w:highlight w:val="none"/>
        </w:rPr>
        <w:t>不具备招标文件中规定的资格要求，其投标无效。</w:t>
      </w:r>
    </w:p>
    <w:p w14:paraId="517B91F0">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w:t>
      </w:r>
      <w:r>
        <w:rPr>
          <w:rFonts w:hint="eastAsia" w:ascii="宋体" w:hAnsi="宋体" w:cs="宋体"/>
          <w:color w:val="auto"/>
          <w:highlight w:val="none"/>
          <w:lang w:eastAsia="zh-CN"/>
        </w:rPr>
        <w:t>供应商</w:t>
      </w:r>
      <w:r>
        <w:rPr>
          <w:rFonts w:hint="eastAsia" w:ascii="宋体" w:hAnsi="宋体" w:cs="宋体"/>
          <w:color w:val="auto"/>
          <w:highlight w:val="none"/>
        </w:rPr>
        <w:t>，采购人或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49CBDC1A">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w:t>
      </w:r>
      <w:r>
        <w:rPr>
          <w:rFonts w:hint="eastAsia" w:ascii="宋体" w:hAnsi="宋体" w:cs="宋体"/>
          <w:color w:val="auto"/>
          <w:highlight w:val="none"/>
          <w:lang w:eastAsia="zh-CN"/>
        </w:rPr>
        <w:t>供应商</w:t>
      </w:r>
      <w:r>
        <w:rPr>
          <w:rFonts w:hint="eastAsia" w:ascii="宋体" w:hAnsi="宋体" w:cs="宋体"/>
          <w:color w:val="auto"/>
          <w:highlight w:val="none"/>
        </w:rPr>
        <w:t>不足3家的，不再评标。</w:t>
      </w:r>
    </w:p>
    <w:p w14:paraId="5FA61AE4">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20、信用信息查询</w:t>
      </w:r>
    </w:p>
    <w:p w14:paraId="035532F5">
      <w:pPr>
        <w:pStyle w:val="132"/>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接受资格审查时的信用记录。</w:t>
      </w:r>
    </w:p>
    <w:p w14:paraId="325DC334">
      <w:pPr>
        <w:pStyle w:val="132"/>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的信用记录、查询结果经确认后将与</w:t>
      </w:r>
      <w:r>
        <w:rPr>
          <w:rFonts w:hint="eastAsia" w:ascii="宋体" w:hAnsi="宋体" w:cs="宋体"/>
          <w:color w:val="auto"/>
          <w:kern w:val="0"/>
          <w:szCs w:val="24"/>
          <w:highlight w:val="none"/>
          <w:lang w:eastAsia="zh-CN"/>
        </w:rPr>
        <w:t>招标文件</w:t>
      </w:r>
      <w:r>
        <w:rPr>
          <w:rFonts w:hint="eastAsia" w:ascii="宋体" w:hAnsi="宋体" w:cs="宋体"/>
          <w:color w:val="auto"/>
          <w:kern w:val="0"/>
          <w:szCs w:val="24"/>
          <w:highlight w:val="none"/>
        </w:rPr>
        <w:t>一起存档。</w:t>
      </w:r>
    </w:p>
    <w:p w14:paraId="4DBDC24A">
      <w:pPr>
        <w:pStyle w:val="132"/>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snapToGrid w:val="0"/>
          <w:color w:val="auto"/>
          <w:kern w:val="28"/>
          <w:sz w:val="24"/>
          <w:szCs w:val="20"/>
          <w:highlight w:val="none"/>
        </w:rPr>
        <w:t>（重大税收违法失信主体）</w:t>
      </w:r>
      <w:r>
        <w:rPr>
          <w:rFonts w:hint="eastAsia" w:ascii="宋体" w:hAnsi="宋体" w:cs="宋体"/>
          <w:color w:val="auto"/>
          <w:kern w:val="0"/>
          <w:szCs w:val="24"/>
          <w:highlight w:val="none"/>
        </w:rPr>
        <w:t>、政府采购严重违法失信行为记录名单的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将被拒绝参与政府采购活动。</w:t>
      </w:r>
    </w:p>
    <w:p w14:paraId="09A1C15D">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63B8618">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D8AE91F">
      <w:pPr>
        <w:pageBreakBefore w:val="0"/>
        <w:shd w:val="clear"/>
        <w:kinsoku/>
        <w:wordWrap/>
        <w:overflowPunct/>
        <w:topLinePunct w:val="0"/>
        <w:bidi w:val="0"/>
        <w:spacing w:beforeAutospacing="0" w:line="348" w:lineRule="auto"/>
        <w:textAlignment w:val="auto"/>
        <w:outlineLvl w:val="9"/>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对招标文件的响应情况。对实质上响应招标文件的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，按照评审因素的量化指标排出推荐中标的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的先后顺序，并按顺序提出授标建议。</w:t>
      </w:r>
      <w:r>
        <w:rPr>
          <w:rFonts w:hint="eastAsia" w:ascii="宋体" w:hAnsi="宋体" w:cs="宋体"/>
          <w:b/>
          <w:color w:val="auto"/>
          <w:sz w:val="24"/>
          <w:highlight w:val="none"/>
        </w:rPr>
        <w:t>详见招标文件第四部分评标办法。</w:t>
      </w:r>
    </w:p>
    <w:p w14:paraId="05026263">
      <w:pPr>
        <w:pageBreakBefore w:val="0"/>
        <w:shd w:val="clear"/>
        <w:kinsoku/>
        <w:wordWrap/>
        <w:overflowPunct/>
        <w:topLinePunct w:val="0"/>
        <w:bidi w:val="0"/>
        <w:snapToGrid w:val="0"/>
        <w:spacing w:beforeAutospacing="0" w:line="348" w:lineRule="auto"/>
        <w:jc w:val="center"/>
        <w:textAlignment w:val="auto"/>
        <w:outlineLvl w:val="9"/>
        <w:rPr>
          <w:rFonts w:hint="eastAsia" w:ascii="宋体" w:hAnsi="宋体" w:cs="宋体"/>
          <w:b/>
          <w:color w:val="auto"/>
          <w:sz w:val="36"/>
          <w:szCs w:val="36"/>
          <w:highlight w:val="none"/>
        </w:rPr>
      </w:pPr>
    </w:p>
    <w:p w14:paraId="5A22C0C0">
      <w:pPr>
        <w:pageBreakBefore w:val="0"/>
        <w:shd w:val="clear"/>
        <w:kinsoku/>
        <w:wordWrap/>
        <w:overflowPunct/>
        <w:topLinePunct w:val="0"/>
        <w:bidi w:val="0"/>
        <w:snapToGrid w:val="0"/>
        <w:spacing w:beforeAutospacing="0" w:line="348" w:lineRule="auto"/>
        <w:jc w:val="center"/>
        <w:textAlignment w:val="auto"/>
        <w:outlineLvl w:val="9"/>
        <w:rPr>
          <w:rFonts w:hint="eastAsia" w:ascii="宋体" w:hAnsi="宋体" w:cs="宋体"/>
          <w:b/>
          <w:color w:val="auto"/>
          <w:sz w:val="36"/>
          <w:szCs w:val="36"/>
          <w:highlight w:val="none"/>
        </w:rPr>
      </w:pPr>
    </w:p>
    <w:p w14:paraId="5C69749E">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9EF40D8">
      <w:pPr>
        <w:pStyle w:val="25"/>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22. 确定中标供应商</w:t>
      </w:r>
    </w:p>
    <w:p w14:paraId="527E0BD2">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hint="eastAsia" w:ascii="宋体" w:hAnsi="宋体" w:eastAsia="宋体" w:cs="宋体"/>
          <w:b/>
          <w:color w:val="auto"/>
          <w:szCs w:val="24"/>
          <w:highlight w:val="none"/>
          <w:lang w:val="en-US" w:eastAsia="zh-CN"/>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444B1FB">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D1BA83F">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7A85222">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842B59F">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23.3公告期限为1个工作日。</w:t>
      </w:r>
    </w:p>
    <w:p w14:paraId="0B8B8785">
      <w:pPr>
        <w:pageBreakBefore w:val="0"/>
        <w:shd w:val="clear"/>
        <w:kinsoku/>
        <w:wordWrap/>
        <w:overflowPunct/>
        <w:topLinePunct w:val="0"/>
        <w:bidi w:val="0"/>
        <w:snapToGrid w:val="0"/>
        <w:spacing w:beforeAutospacing="0" w:line="348" w:lineRule="auto"/>
        <w:ind w:left="120" w:leftChars="57" w:firstLine="482" w:firstLineChars="15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七、合同授予</w:t>
      </w:r>
    </w:p>
    <w:p w14:paraId="3D0AAD45">
      <w:pPr>
        <w:pStyle w:val="25"/>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7C65132">
      <w:pPr>
        <w:pStyle w:val="25"/>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25. 合同的签订</w:t>
      </w:r>
    </w:p>
    <w:p w14:paraId="6BB0C445">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确定的事项签订政府采购合同。</w:t>
      </w:r>
    </w:p>
    <w:p w14:paraId="3ADDD003">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D17AB17">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E3D33DC">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7A5AE89">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90C57CD">
      <w:pPr>
        <w:pStyle w:val="25"/>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26. 履约保证金</w:t>
      </w:r>
    </w:p>
    <w:p w14:paraId="7FFAED7A">
      <w:pPr>
        <w:pageBreakBefore w:val="0"/>
        <w:shd w:val="clear"/>
        <w:tabs>
          <w:tab w:val="left" w:pos="0"/>
        </w:tabs>
        <w:kinsoku/>
        <w:wordWrap/>
        <w:overflowPunct/>
        <w:topLinePunct w:val="0"/>
        <w:bidi w:val="0"/>
        <w:spacing w:beforeAutospacing="0" w:line="348" w:lineRule="auto"/>
        <w:ind w:firstLine="482"/>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D089ACC">
      <w:pPr>
        <w:pageBreakBefore w:val="0"/>
        <w:shd w:val="clear"/>
        <w:tabs>
          <w:tab w:val="left" w:pos="432"/>
        </w:tabs>
        <w:kinsoku/>
        <w:wordWrap/>
        <w:overflowPunct/>
        <w:topLinePunct w:val="0"/>
        <w:bidi w:val="0"/>
        <w:spacing w:beforeAutospacing="0" w:line="348" w:lineRule="auto"/>
        <w:ind w:left="0" w:firstLine="480" w:firstLineChars="200"/>
        <w:textAlignment w:val="auto"/>
        <w:outlineLvl w:val="9"/>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A239BCD">
      <w:pPr>
        <w:pageBreakBefore w:val="0"/>
        <w:shd w:val="clear"/>
        <w:tabs>
          <w:tab w:val="left" w:pos="432"/>
        </w:tabs>
        <w:kinsoku/>
        <w:wordWrap/>
        <w:overflowPunct/>
        <w:topLinePunct w:val="0"/>
        <w:bidi w:val="0"/>
        <w:spacing w:beforeAutospacing="0" w:line="348" w:lineRule="auto"/>
        <w:textAlignment w:val="auto"/>
        <w:outlineLvl w:val="9"/>
        <w:rPr>
          <w:color w:val="auto"/>
          <w:highlight w:val="none"/>
        </w:rPr>
      </w:pPr>
      <w:r>
        <w:rPr>
          <w:rFonts w:ascii="宋体" w:hAnsi="宋体" w:eastAsia="宋体" w:cs="Times New Roman"/>
          <w:b/>
          <w:bCs/>
          <w:color w:val="auto"/>
          <w:kern w:val="2"/>
          <w:sz w:val="24"/>
          <w:szCs w:val="32"/>
          <w:highlight w:val="none"/>
          <w:lang w:val="en-US"/>
        </w:rPr>
        <w:t>27.预付款</w:t>
      </w:r>
    </w:p>
    <w:p w14:paraId="03F0E55C">
      <w:pPr>
        <w:pageBreakBefore w:val="0"/>
        <w:shd w:val="clear"/>
        <w:kinsoku/>
        <w:wordWrap/>
        <w:overflowPunct/>
        <w:topLinePunct w:val="0"/>
        <w:bidi w:val="0"/>
        <w:adjustRightInd/>
        <w:spacing w:beforeAutospacing="0" w:line="348" w:lineRule="auto"/>
        <w:ind w:firstLine="480" w:firstLineChars="200"/>
        <w:textAlignment w:val="auto"/>
        <w:outlineLvl w:val="9"/>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2038129B">
      <w:pPr>
        <w:pageBreakBefore w:val="0"/>
        <w:shd w:val="clear"/>
        <w:kinsoku/>
        <w:wordWrap/>
        <w:overflowPunct/>
        <w:topLinePunct w:val="0"/>
        <w:bidi w:val="0"/>
        <w:snapToGrid w:val="0"/>
        <w:spacing w:beforeAutospacing="0" w:line="348" w:lineRule="auto"/>
        <w:ind w:firstLine="3357" w:firstLineChars="1045"/>
        <w:textAlignment w:val="auto"/>
        <w:outlineLvl w:val="9"/>
        <w:rPr>
          <w:rFonts w:hint="eastAsia" w:ascii="宋体" w:hAnsi="宋体" w:cs="宋体"/>
          <w:b/>
          <w:color w:val="auto"/>
          <w:sz w:val="32"/>
          <w:highlight w:val="none"/>
        </w:rPr>
      </w:pPr>
    </w:p>
    <w:p w14:paraId="3C2BF1CE">
      <w:pPr>
        <w:pageBreakBefore w:val="0"/>
        <w:shd w:val="clear"/>
        <w:kinsoku/>
        <w:wordWrap/>
        <w:overflowPunct/>
        <w:topLinePunct w:val="0"/>
        <w:bidi w:val="0"/>
        <w:snapToGrid w:val="0"/>
        <w:spacing w:beforeAutospacing="0" w:line="348" w:lineRule="auto"/>
        <w:ind w:firstLine="3357" w:firstLineChars="1045"/>
        <w:textAlignment w:val="auto"/>
        <w:outlineLvl w:val="9"/>
        <w:rPr>
          <w:rFonts w:hint="eastAsia" w:ascii="宋体" w:hAnsi="宋体" w:cs="宋体"/>
          <w:b/>
          <w:color w:val="auto"/>
          <w:sz w:val="32"/>
          <w:highlight w:val="none"/>
        </w:rPr>
      </w:pPr>
    </w:p>
    <w:p w14:paraId="5201AAAB">
      <w:pPr>
        <w:pageBreakBefore w:val="0"/>
        <w:shd w:val="clear"/>
        <w:kinsoku/>
        <w:wordWrap/>
        <w:overflowPunct/>
        <w:topLinePunct w:val="0"/>
        <w:bidi w:val="0"/>
        <w:snapToGrid w:val="0"/>
        <w:spacing w:beforeAutospacing="0" w:line="348" w:lineRule="auto"/>
        <w:ind w:firstLine="3357" w:firstLineChars="1045"/>
        <w:textAlignment w:val="auto"/>
        <w:outlineLvl w:val="9"/>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7C864B7">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B44CF0B">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E7A00A5">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DE77A3F">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CBE8F33">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1AFD985">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CBABC35">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29.出现以上情形，不影响采购公平、公正性的，采购组织机构可以待上述情形消除后继续组织电子交易活动；影响或可能影响采购公平、公正性的，应当重新采购。</w:t>
      </w:r>
    </w:p>
    <w:p w14:paraId="00530578">
      <w:pPr>
        <w:keepNext w:val="0"/>
        <w:keepLines w:val="0"/>
        <w:pageBreakBefore w:val="0"/>
        <w:widowControl w:val="0"/>
        <w:shd w:val="clear"/>
        <w:kinsoku/>
        <w:wordWrap/>
        <w:overflowPunct/>
        <w:topLinePunct w:val="0"/>
        <w:autoSpaceDE/>
        <w:autoSpaceDN/>
        <w:bidi w:val="0"/>
        <w:adjustRightInd w:val="0"/>
        <w:snapToGrid w:val="0"/>
        <w:spacing w:beforeAutospacing="0" w:line="348" w:lineRule="auto"/>
        <w:ind w:left="120" w:leftChars="57" w:firstLine="0" w:firstLineChars="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九、验收</w:t>
      </w:r>
    </w:p>
    <w:p w14:paraId="4C8EA96E">
      <w:pPr>
        <w:pStyle w:val="25"/>
        <w:pageBreakBefore w:val="0"/>
        <w:shd w:val="clear"/>
        <w:kinsoku/>
        <w:wordWrap/>
        <w:overflowPunct/>
        <w:topLinePunct w:val="0"/>
        <w:bidi w:val="0"/>
        <w:spacing w:beforeAutospacing="0" w:line="348" w:lineRule="auto"/>
        <w:ind w:firstLine="0" w:firstLineChars="0"/>
        <w:textAlignment w:val="auto"/>
        <w:outlineLvl w:val="9"/>
        <w:rPr>
          <w:rFonts w:cs="宋体"/>
          <w:b/>
          <w:color w:val="auto"/>
          <w:highlight w:val="none"/>
        </w:rPr>
      </w:pPr>
      <w:r>
        <w:rPr>
          <w:rFonts w:hint="eastAsia" w:cs="宋体"/>
          <w:b/>
          <w:color w:val="auto"/>
          <w:highlight w:val="none"/>
        </w:rPr>
        <w:t>30.验收</w:t>
      </w:r>
    </w:p>
    <w:p w14:paraId="3E925332">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A378473">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或者第三方机构参与验收。参与验收的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或者第三方机构的意见作为验收书的参考资料一并存档。</w:t>
      </w:r>
    </w:p>
    <w:p w14:paraId="1759E971">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69B3FF4">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59DEA9D1">
      <w:pPr>
        <w:kinsoku/>
        <w:wordWrap/>
        <w:overflowPunct/>
        <w:topLinePunct w:val="0"/>
        <w:bidi w:val="0"/>
        <w:outlineLvl w:val="9"/>
        <w:rPr>
          <w:rFonts w:ascii="宋体" w:hAnsi="宋体" w:cs="宋体"/>
          <w:color w:val="auto"/>
          <w:kern w:val="0"/>
          <w:sz w:val="24"/>
          <w:highlight w:val="none"/>
        </w:rPr>
      </w:pPr>
      <w:bookmarkStart w:id="20" w:name="_Hlt68057669"/>
      <w:bookmarkEnd w:id="20"/>
      <w:bookmarkStart w:id="21" w:name="_Hlt74729768"/>
      <w:bookmarkEnd w:id="21"/>
      <w:bookmarkStart w:id="22" w:name="_Hlt68072990"/>
      <w:bookmarkEnd w:id="22"/>
      <w:bookmarkStart w:id="23" w:name="_Hlt68073093"/>
      <w:bookmarkEnd w:id="23"/>
      <w:bookmarkStart w:id="24" w:name="_Hlt68072998"/>
      <w:bookmarkEnd w:id="24"/>
      <w:bookmarkStart w:id="25" w:name="_Hlt75236101"/>
      <w:bookmarkEnd w:id="25"/>
      <w:bookmarkStart w:id="26" w:name="_Hlt74730295"/>
      <w:bookmarkEnd w:id="26"/>
      <w:bookmarkStart w:id="27" w:name="_Hlt74707468"/>
      <w:bookmarkEnd w:id="27"/>
      <w:bookmarkStart w:id="28" w:name="_Hlt75236290"/>
      <w:bookmarkEnd w:id="28"/>
      <w:bookmarkStart w:id="29" w:name="_Hlt75236011"/>
      <w:bookmarkEnd w:id="29"/>
      <w:bookmarkStart w:id="30" w:name="_Hlt68403820"/>
      <w:bookmarkEnd w:id="30"/>
      <w:bookmarkStart w:id="31" w:name="_Hlt74714665"/>
      <w:bookmarkEnd w:id="31"/>
    </w:p>
    <w:p w14:paraId="774B6A73">
      <w:pPr>
        <w:kinsoku/>
        <w:wordWrap/>
        <w:overflowPunct/>
        <w:topLinePunct w:val="0"/>
        <w:bidi w:val="0"/>
        <w:outlineLvl w:val="9"/>
        <w:rPr>
          <w:color w:val="auto"/>
          <w:highlight w:val="none"/>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p>
    <w:bookmarkEnd w:id="14"/>
    <w:bookmarkEnd w:id="15"/>
    <w:p w14:paraId="277B0E7A">
      <w:pPr>
        <w:kinsoku/>
        <w:wordWrap/>
        <w:overflowPunct/>
        <w:topLinePunct w:val="0"/>
        <w:bidi w:val="0"/>
        <w:spacing w:line="360" w:lineRule="auto"/>
        <w:jc w:val="center"/>
        <w:outlineLvl w:val="0"/>
        <w:rPr>
          <w:rFonts w:ascii="宋体" w:hAnsi="宋体" w:cs="宋体"/>
          <w:b/>
          <w:color w:val="auto"/>
          <w:sz w:val="36"/>
          <w:szCs w:val="36"/>
          <w:highlight w:val="none"/>
        </w:rPr>
      </w:pPr>
      <w:bookmarkStart w:id="32" w:name="_Toc26044"/>
      <w:bookmarkStart w:id="33" w:name="第四部分"/>
      <w:r>
        <w:rPr>
          <w:rFonts w:hint="eastAsia" w:ascii="宋体" w:hAnsi="宋体" w:cs="宋体"/>
          <w:b/>
          <w:color w:val="auto"/>
          <w:sz w:val="36"/>
          <w:szCs w:val="36"/>
          <w:highlight w:val="none"/>
        </w:rPr>
        <w:t>第三部分   采购需求</w:t>
      </w:r>
      <w:bookmarkEnd w:id="32"/>
    </w:p>
    <w:p w14:paraId="2740A27D">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rPr>
      </w:pPr>
      <w:bookmarkStart w:id="34" w:name="_Toc317685548"/>
      <w:bookmarkStart w:id="35" w:name="_Toc329697494"/>
      <w:r>
        <w:rPr>
          <w:rFonts w:hint="eastAsia" w:ascii="宋体" w:hAnsi="宋体" w:eastAsia="宋体" w:cs="宋体"/>
          <w:b/>
          <w:color w:val="auto"/>
          <w:kern w:val="0"/>
          <w:sz w:val="24"/>
          <w:szCs w:val="24"/>
          <w:highlight w:val="none"/>
        </w:rPr>
        <w:t>一、重要商务要求一览表</w:t>
      </w:r>
    </w:p>
    <w:bookmarkEnd w:id="34"/>
    <w:bookmarkEnd w:id="35"/>
    <w:tbl>
      <w:tblPr>
        <w:tblStyle w:val="63"/>
        <w:tblW w:w="9421" w:type="dxa"/>
        <w:tblInd w:w="-3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642"/>
      </w:tblGrid>
      <w:tr w14:paraId="06122C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1779" w:type="dxa"/>
            <w:noWrap w:val="0"/>
            <w:vAlign w:val="center"/>
          </w:tcPr>
          <w:p w14:paraId="6F1A1E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产品及服务</w:t>
            </w:r>
          </w:p>
          <w:p w14:paraId="065644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质量保证</w:t>
            </w:r>
          </w:p>
        </w:tc>
        <w:tc>
          <w:tcPr>
            <w:tcW w:w="7642" w:type="dxa"/>
            <w:noWrap w:val="0"/>
            <w:vAlign w:val="center"/>
          </w:tcPr>
          <w:p w14:paraId="732404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1、供应商保证所供的设备必须是出厂原装合格产品,如发生所供的设备与合同不符,</w:t>
            </w:r>
            <w:r>
              <w:rPr>
                <w:rFonts w:hint="eastAsia" w:ascii="宋体" w:hAnsi="宋体" w:cs="宋体"/>
                <w:color w:val="auto"/>
                <w:kern w:val="0"/>
                <w:sz w:val="24"/>
                <w:szCs w:val="24"/>
                <w:highlight w:val="none"/>
                <w:lang w:val="en-US" w:eastAsia="zh-CN"/>
              </w:rPr>
              <w:t>医院</w:t>
            </w:r>
            <w:r>
              <w:rPr>
                <w:rFonts w:hint="eastAsia" w:ascii="宋体" w:hAnsi="宋体" w:eastAsia="宋体" w:cs="宋体"/>
                <w:color w:val="auto"/>
                <w:kern w:val="0"/>
                <w:sz w:val="24"/>
                <w:szCs w:val="24"/>
                <w:highlight w:val="none"/>
              </w:rPr>
              <w:t>有权拒收或退货,由此产生的一切责任和后果由供应商承担。质保期自货物验收合格之日起计。</w:t>
            </w:r>
          </w:p>
          <w:p w14:paraId="75BB8B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2、在所供设备交付时，供应商必须向</w:t>
            </w:r>
            <w:r>
              <w:rPr>
                <w:rFonts w:hint="eastAsia" w:ascii="宋体" w:hAnsi="宋体" w:cs="宋体"/>
                <w:color w:val="auto"/>
                <w:kern w:val="0"/>
                <w:sz w:val="24"/>
                <w:szCs w:val="24"/>
                <w:highlight w:val="none"/>
                <w:lang w:val="en-US" w:eastAsia="zh-CN"/>
              </w:rPr>
              <w:t>医院</w:t>
            </w:r>
            <w:r>
              <w:rPr>
                <w:rFonts w:hint="eastAsia" w:ascii="宋体" w:hAnsi="宋体" w:eastAsia="宋体" w:cs="宋体"/>
                <w:color w:val="auto"/>
                <w:kern w:val="0"/>
                <w:sz w:val="24"/>
                <w:szCs w:val="24"/>
                <w:highlight w:val="none"/>
              </w:rPr>
              <w:t>提供产品说明书、质量保证书、保修卡及</w:t>
            </w:r>
            <w:r>
              <w:rPr>
                <w:rFonts w:hint="eastAsia" w:ascii="宋体" w:hAnsi="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要求的其他证明材料等必须具备的资料和必备附件。</w:t>
            </w:r>
          </w:p>
          <w:p w14:paraId="0F86DA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、质保期内需确保设备能通过各级质控检测、计量部门检定（如有），若无法通过，中标人需承担相应检测费用，并免费维修直至通过检测。</w:t>
            </w:r>
          </w:p>
        </w:tc>
      </w:tr>
      <w:tr w14:paraId="477502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restart"/>
            <w:noWrap w:val="0"/>
            <w:vAlign w:val="center"/>
          </w:tcPr>
          <w:p w14:paraId="10E28E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交货（安装）</w:t>
            </w:r>
          </w:p>
          <w:p w14:paraId="50B075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时间及地点</w:t>
            </w:r>
          </w:p>
        </w:tc>
        <w:tc>
          <w:tcPr>
            <w:tcW w:w="7642" w:type="dxa"/>
            <w:noWrap w:val="0"/>
            <w:vAlign w:val="center"/>
          </w:tcPr>
          <w:p w14:paraId="734A8E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交货时间</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合同履约期限</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合同签订后30天内完成交货。</w:t>
            </w:r>
          </w:p>
        </w:tc>
      </w:tr>
      <w:tr w14:paraId="4F49BE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continue"/>
            <w:noWrap w:val="0"/>
            <w:vAlign w:val="center"/>
          </w:tcPr>
          <w:p w14:paraId="4DACF1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noWrap w:val="0"/>
            <w:vAlign w:val="center"/>
          </w:tcPr>
          <w:p w14:paraId="0B21F1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安装地点：</w:t>
            </w:r>
            <w:r>
              <w:rPr>
                <w:rFonts w:hint="eastAsia" w:ascii="宋体" w:hAnsi="宋体" w:cs="宋体"/>
                <w:color w:val="auto"/>
                <w:kern w:val="0"/>
                <w:sz w:val="24"/>
                <w:szCs w:val="24"/>
                <w:highlight w:val="none"/>
                <w:lang w:eastAsia="zh-CN"/>
              </w:rPr>
              <w:t>宁海县中医医院</w:t>
            </w:r>
            <w:r>
              <w:rPr>
                <w:rFonts w:hint="eastAsia" w:ascii="宋体" w:hAnsi="宋体" w:eastAsia="宋体" w:cs="宋体"/>
                <w:color w:val="auto"/>
                <w:kern w:val="0"/>
                <w:sz w:val="24"/>
                <w:szCs w:val="24"/>
                <w:highlight w:val="none"/>
              </w:rPr>
              <w:t>。</w:t>
            </w:r>
          </w:p>
        </w:tc>
      </w:tr>
      <w:tr w14:paraId="48B028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continue"/>
            <w:noWrap w:val="0"/>
            <w:vAlign w:val="center"/>
          </w:tcPr>
          <w:p w14:paraId="6B7472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noWrap w:val="0"/>
            <w:vAlign w:val="center"/>
          </w:tcPr>
          <w:p w14:paraId="299CF7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安装完成时间：</w:t>
            </w:r>
            <w:r>
              <w:rPr>
                <w:rFonts w:hint="eastAsia" w:ascii="宋体" w:hAnsi="宋体" w:eastAsia="宋体" w:cs="宋体"/>
                <w:color w:val="auto"/>
                <w:kern w:val="0"/>
                <w:sz w:val="24"/>
                <w:szCs w:val="24"/>
                <w:highlight w:val="none"/>
                <w:lang w:val="en-US" w:eastAsia="zh-CN"/>
              </w:rPr>
              <w:t>接采购人通知后</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天内安装完毕。</w:t>
            </w:r>
          </w:p>
        </w:tc>
      </w:tr>
      <w:tr w14:paraId="6757A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continue"/>
            <w:noWrap w:val="0"/>
            <w:vAlign w:val="center"/>
          </w:tcPr>
          <w:p w14:paraId="77061B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noWrap w:val="0"/>
            <w:vAlign w:val="center"/>
          </w:tcPr>
          <w:p w14:paraId="47D8E8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安装标准：符合我国国家有关技术规范和技术标准。</w:t>
            </w:r>
          </w:p>
        </w:tc>
      </w:tr>
      <w:tr w14:paraId="2A3F2A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continue"/>
            <w:noWrap w:val="0"/>
            <w:vAlign w:val="center"/>
          </w:tcPr>
          <w:p w14:paraId="5580ED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noWrap w:val="0"/>
            <w:vAlign w:val="center"/>
          </w:tcPr>
          <w:p w14:paraId="6417F6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验收标准：与产品原始样本技术数据及标书技术文件一致，符合国家有关技术规范和技术标准。</w:t>
            </w:r>
          </w:p>
        </w:tc>
      </w:tr>
      <w:tr w14:paraId="22F58F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continue"/>
            <w:noWrap w:val="0"/>
            <w:vAlign w:val="center"/>
          </w:tcPr>
          <w:p w14:paraId="6BA606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p>
        </w:tc>
        <w:tc>
          <w:tcPr>
            <w:tcW w:w="7642" w:type="dxa"/>
            <w:noWrap w:val="0"/>
            <w:vAlign w:val="center"/>
          </w:tcPr>
          <w:p w14:paraId="7B227D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安装、验收所产生的一切费用（包括卸货、搬运费等）由中标人负责。</w:t>
            </w:r>
          </w:p>
        </w:tc>
      </w:tr>
      <w:tr w14:paraId="30B2A7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79" w:type="dxa"/>
            <w:noWrap w:val="0"/>
            <w:vAlign w:val="center"/>
          </w:tcPr>
          <w:p w14:paraId="22B1EA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履约保证金</w:t>
            </w:r>
          </w:p>
        </w:tc>
        <w:tc>
          <w:tcPr>
            <w:tcW w:w="7642" w:type="dxa"/>
            <w:noWrap w:val="0"/>
            <w:vAlign w:val="center"/>
          </w:tcPr>
          <w:p w14:paraId="722EA5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本项目不适用。</w:t>
            </w:r>
          </w:p>
        </w:tc>
      </w:tr>
      <w:tr w14:paraId="2C9847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9" w:hRule="atLeast"/>
        </w:trPr>
        <w:tc>
          <w:tcPr>
            <w:tcW w:w="1779" w:type="dxa"/>
            <w:noWrap w:val="0"/>
            <w:vAlign w:val="center"/>
          </w:tcPr>
          <w:p w14:paraId="6994D3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★付款条件</w:t>
            </w:r>
          </w:p>
        </w:tc>
        <w:tc>
          <w:tcPr>
            <w:tcW w:w="7642" w:type="dxa"/>
            <w:noWrap w:val="0"/>
            <w:vAlign w:val="center"/>
          </w:tcPr>
          <w:p w14:paraId="59A46D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适用于中小微企业：</w:t>
            </w:r>
          </w:p>
          <w:p w14:paraId="1AE5DB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①合同生效且具备实施条件后，七个工作日内支付合同总额的40%作为预付款；（合同签订时中标人主动要求不需要预付款的采购人可以不支付）；</w:t>
            </w:r>
          </w:p>
          <w:p w14:paraId="281488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②货到验收合格后七个工作日内一次性付清余款。</w:t>
            </w:r>
          </w:p>
          <w:p w14:paraId="6389B3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适用于大型企业：</w:t>
            </w:r>
          </w:p>
          <w:p w14:paraId="416EE3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①货到验收合格且采购人收到合法有效的发票后15日内付清全款。</w:t>
            </w:r>
          </w:p>
        </w:tc>
      </w:tr>
      <w:tr w14:paraId="11BCF2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779" w:type="dxa"/>
            <w:noWrap w:val="0"/>
            <w:vAlign w:val="center"/>
          </w:tcPr>
          <w:p w14:paraId="271615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售后服务</w:t>
            </w:r>
          </w:p>
        </w:tc>
        <w:tc>
          <w:tcPr>
            <w:tcW w:w="7642" w:type="dxa"/>
            <w:noWrap w:val="0"/>
            <w:vAlign w:val="center"/>
          </w:tcPr>
          <w:p w14:paraId="367B50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维修响应时间≤2小时，24小时内上门维修（包括节假日），提供24小时维修电话。对保修期外维修付款必须做到先维修后付款。</w:t>
            </w:r>
          </w:p>
        </w:tc>
      </w:tr>
      <w:tr w14:paraId="7FF33D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noWrap w:val="0"/>
            <w:vAlign w:val="center"/>
          </w:tcPr>
          <w:p w14:paraId="41B271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培训</w:t>
            </w:r>
          </w:p>
        </w:tc>
        <w:tc>
          <w:tcPr>
            <w:tcW w:w="7642" w:type="dxa"/>
            <w:noWrap w:val="0"/>
            <w:vAlign w:val="center"/>
          </w:tcPr>
          <w:p w14:paraId="29AB65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免费提供操作培训，提供培训计划。</w:t>
            </w:r>
          </w:p>
        </w:tc>
      </w:tr>
      <w:tr w14:paraId="41EAD5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noWrap w:val="0"/>
            <w:vAlign w:val="center"/>
          </w:tcPr>
          <w:p w14:paraId="4165AB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★生产、</w:t>
            </w:r>
          </w:p>
          <w:p w14:paraId="48B22C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经营许可</w:t>
            </w:r>
          </w:p>
        </w:tc>
        <w:tc>
          <w:tcPr>
            <w:tcW w:w="7642" w:type="dxa"/>
            <w:noWrap w:val="0"/>
            <w:vAlign w:val="center"/>
          </w:tcPr>
          <w:p w14:paraId="3EE97B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1、供应商为医疗器械生产企业的：第二类、第三类医疗器械生产企业提供《医疗器械生产许可证》复印件、第一类医疗器械生产企业提供第一类医疗器械生产备案凭证复印件；（适用于按医疗器械管理的货物）</w:t>
            </w:r>
          </w:p>
          <w:p w14:paraId="0D72AF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2、供应商为医疗器械经营企业的：第三类医疗器械经营企业提供《医疗器械经营许可证》复印件、第二类医疗器械经营企业提供第二类医疗器械经营备案凭证复印件；（适用于按医疗器械管理的货物）</w:t>
            </w:r>
          </w:p>
          <w:p w14:paraId="5388D1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3、食品药品监督管理部门核发的完整有效的医疗器械注册或备案证明复印件</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同时提供医疗器械产品注册或备案时所附的具有 CMA 认证的第三方机构检测报告或者产品说明书或者产品技术要求。（适用于按医疗器械管理的设备）</w:t>
            </w:r>
          </w:p>
        </w:tc>
      </w:tr>
    </w:tbl>
    <w:p w14:paraId="4BD75987">
      <w:pPr>
        <w:keepNext w:val="0"/>
        <w:keepLines w:val="0"/>
        <w:pageBreakBefore w:val="0"/>
        <w:widowControl/>
        <w:tabs>
          <w:tab w:val="left" w:pos="851"/>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kern w:val="0"/>
          <w:sz w:val="24"/>
          <w:szCs w:val="24"/>
          <w:highlight w:val="none"/>
        </w:rPr>
      </w:pPr>
    </w:p>
    <w:p w14:paraId="7662289D">
      <w:pPr>
        <w:kinsoku/>
        <w:wordWrap/>
        <w:overflowPunct/>
        <w:topLinePunct w:val="0"/>
        <w:bidi w:val="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br w:type="page"/>
      </w:r>
    </w:p>
    <w:p w14:paraId="4DE857DE">
      <w:pPr>
        <w:numPr>
          <w:ilvl w:val="0"/>
          <w:numId w:val="3"/>
        </w:numPr>
        <w:adjustRightInd/>
        <w:spacing w:line="440" w:lineRule="exact"/>
        <w:rPr>
          <w:rFonts w:hint="eastAsia" w:ascii="宋体" w:hAnsi="Calibri" w:cs="Times New Roman"/>
          <w:b/>
          <w:color w:val="auto"/>
          <w:sz w:val="24"/>
          <w:szCs w:val="24"/>
          <w:highlight w:val="none"/>
          <w:lang w:eastAsia="zh-CN"/>
        </w:rPr>
      </w:pPr>
      <w:r>
        <w:rPr>
          <w:rFonts w:hint="eastAsia" w:ascii="宋体" w:hAnsi="Calibri" w:eastAsia="宋体" w:cs="Times New Roman"/>
          <w:b/>
          <w:color w:val="auto"/>
          <w:sz w:val="24"/>
          <w:szCs w:val="24"/>
          <w:highlight w:val="none"/>
        </w:rPr>
        <w:t>技术需求</w:t>
      </w:r>
      <w:r>
        <w:rPr>
          <w:rFonts w:hint="eastAsia" w:ascii="宋体" w:hAnsi="Calibri" w:cs="Times New Roman"/>
          <w:b/>
          <w:color w:val="auto"/>
          <w:sz w:val="24"/>
          <w:szCs w:val="24"/>
          <w:highlight w:val="none"/>
          <w:lang w:eastAsia="zh-CN"/>
        </w:rPr>
        <w:t>：</w:t>
      </w:r>
    </w:p>
    <w:p w14:paraId="6BB785C8">
      <w:pPr>
        <w:numPr>
          <w:ilvl w:val="0"/>
          <w:numId w:val="0"/>
        </w:numPr>
        <w:adjustRightInd/>
        <w:spacing w:line="440" w:lineRule="exact"/>
        <w:rPr>
          <w:rFonts w:hint="default" w:ascii="宋体" w:hAnsi="Calibri" w:eastAsia="宋体" w:cs="Times New Roman"/>
          <w:b/>
          <w:color w:val="auto"/>
          <w:sz w:val="24"/>
          <w:szCs w:val="24"/>
          <w:highlight w:val="none"/>
          <w:lang w:val="en-US"/>
        </w:rPr>
      </w:pPr>
      <w:r>
        <w:rPr>
          <w:rFonts w:hint="eastAsia" w:ascii="宋体" w:hAnsi="Calibri" w:eastAsia="宋体" w:cs="Times New Roman"/>
          <w:b/>
          <w:color w:val="auto"/>
          <w:sz w:val="24"/>
          <w:szCs w:val="24"/>
          <w:highlight w:val="none"/>
          <w:lang w:val="en-US" w:eastAsia="zh-CN"/>
        </w:rPr>
        <w:t>1）设备名称：</w:t>
      </w:r>
      <w:r>
        <w:rPr>
          <w:rFonts w:hint="eastAsia" w:ascii="宋体" w:hAnsi="Calibri" w:cs="Times New Roman"/>
          <w:b/>
          <w:color w:val="auto"/>
          <w:sz w:val="24"/>
          <w:szCs w:val="24"/>
          <w:highlight w:val="none"/>
          <w:lang w:val="en-US" w:eastAsia="zh-CN"/>
        </w:rPr>
        <w:t>CT球管</w:t>
      </w:r>
      <w:r>
        <w:rPr>
          <w:rFonts w:hint="eastAsia" w:ascii="宋体" w:hAnsi="Calibri" w:eastAsia="宋体" w:cs="Times New Roman"/>
          <w:b/>
          <w:color w:val="auto"/>
          <w:sz w:val="24"/>
          <w:szCs w:val="24"/>
          <w:highlight w:val="none"/>
          <w:lang w:val="en-US" w:eastAsia="zh-CN"/>
        </w:rPr>
        <w:t xml:space="preserve">   </w:t>
      </w:r>
      <w:r>
        <w:rPr>
          <w:rFonts w:hint="eastAsia" w:ascii="宋体" w:hAnsi="Calibri" w:cs="Times New Roman"/>
          <w:b/>
          <w:color w:val="auto"/>
          <w:sz w:val="24"/>
          <w:szCs w:val="24"/>
          <w:highlight w:val="none"/>
          <w:lang w:val="en-US" w:eastAsia="zh-CN"/>
        </w:rPr>
        <w:t xml:space="preserve">         </w:t>
      </w:r>
      <w:r>
        <w:rPr>
          <w:rFonts w:hint="eastAsia" w:ascii="宋体" w:hAnsi="Calibri" w:eastAsia="宋体" w:cs="Times New Roman"/>
          <w:b/>
          <w:color w:val="auto"/>
          <w:sz w:val="24"/>
          <w:szCs w:val="24"/>
          <w:highlight w:val="none"/>
          <w:lang w:val="en-US" w:eastAsia="zh-CN"/>
        </w:rPr>
        <w:t xml:space="preserve"> 2）数量：</w:t>
      </w:r>
      <w:r>
        <w:rPr>
          <w:rFonts w:hint="eastAsia" w:ascii="宋体" w:hAnsi="Calibri" w:cs="Times New Roman"/>
          <w:b/>
          <w:color w:val="auto"/>
          <w:sz w:val="24"/>
          <w:szCs w:val="24"/>
          <w:highlight w:val="none"/>
          <w:lang w:val="en-US" w:eastAsia="zh-CN"/>
        </w:rPr>
        <w:t>1个</w:t>
      </w:r>
      <w:r>
        <w:rPr>
          <w:rFonts w:hint="eastAsia" w:ascii="宋体" w:hAnsi="Calibri" w:eastAsia="宋体" w:cs="Times New Roman"/>
          <w:b/>
          <w:color w:val="auto"/>
          <w:sz w:val="24"/>
          <w:szCs w:val="24"/>
          <w:highlight w:val="none"/>
          <w:lang w:val="en-US" w:eastAsia="zh-CN"/>
        </w:rPr>
        <w:t xml:space="preserve"> </w:t>
      </w:r>
      <w:r>
        <w:rPr>
          <w:rFonts w:hint="eastAsia" w:ascii="宋体" w:hAnsi="Calibri" w:cs="Times New Roman"/>
          <w:b/>
          <w:color w:val="auto"/>
          <w:sz w:val="24"/>
          <w:szCs w:val="24"/>
          <w:highlight w:val="none"/>
          <w:lang w:val="en-US" w:eastAsia="zh-CN"/>
        </w:rPr>
        <w:t xml:space="preserve">   </w:t>
      </w:r>
      <w:r>
        <w:rPr>
          <w:rFonts w:hint="eastAsia" w:ascii="宋体" w:hAnsi="Calibri" w:eastAsia="宋体" w:cs="Times New Roman"/>
          <w:b/>
          <w:color w:val="auto"/>
          <w:sz w:val="24"/>
          <w:szCs w:val="24"/>
          <w:highlight w:val="none"/>
          <w:lang w:val="en-US" w:eastAsia="zh-CN"/>
        </w:rPr>
        <w:t xml:space="preserve"> </w:t>
      </w:r>
      <w:r>
        <w:rPr>
          <w:rFonts w:hint="eastAsia" w:ascii="宋体" w:hAnsi="Calibri" w:cs="Times New Roman"/>
          <w:b/>
          <w:color w:val="auto"/>
          <w:sz w:val="24"/>
          <w:szCs w:val="24"/>
          <w:highlight w:val="none"/>
          <w:lang w:val="en-US" w:eastAsia="zh-CN"/>
        </w:rPr>
        <w:t xml:space="preserve">  3</w:t>
      </w:r>
      <w:r>
        <w:rPr>
          <w:rFonts w:hint="eastAsia" w:ascii="宋体" w:hAnsi="Calibri" w:eastAsia="宋体" w:cs="Times New Roman"/>
          <w:b/>
          <w:color w:val="auto"/>
          <w:sz w:val="24"/>
          <w:szCs w:val="24"/>
          <w:highlight w:val="none"/>
          <w:lang w:val="en-US" w:eastAsia="zh-CN"/>
        </w:rPr>
        <w:t xml:space="preserve">）可采购进口产品                      </w:t>
      </w:r>
    </w:p>
    <w:tbl>
      <w:tblPr>
        <w:tblStyle w:val="63"/>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6671"/>
        <w:gridCol w:w="1221"/>
      </w:tblGrid>
      <w:tr w14:paraId="0447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noWrap w:val="0"/>
            <w:vAlign w:val="center"/>
          </w:tcPr>
          <w:p w14:paraId="27C530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序号</w:t>
            </w:r>
          </w:p>
        </w:tc>
        <w:tc>
          <w:tcPr>
            <w:tcW w:w="6671" w:type="dxa"/>
            <w:noWrap w:val="0"/>
            <w:vAlign w:val="center"/>
          </w:tcPr>
          <w:p w14:paraId="4A83F1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技术参数要求</w:t>
            </w:r>
          </w:p>
        </w:tc>
        <w:tc>
          <w:tcPr>
            <w:tcW w:w="1221" w:type="dxa"/>
            <w:noWrap w:val="0"/>
            <w:vAlign w:val="center"/>
          </w:tcPr>
          <w:p w14:paraId="724624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投标响应</w:t>
            </w:r>
          </w:p>
        </w:tc>
      </w:tr>
      <w:tr w14:paraId="5BAC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noWrap w:val="0"/>
            <w:vAlign w:val="center"/>
          </w:tcPr>
          <w:p w14:paraId="46AA11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一</w:t>
            </w:r>
          </w:p>
        </w:tc>
        <w:tc>
          <w:tcPr>
            <w:tcW w:w="6671" w:type="dxa"/>
            <w:shd w:val="clear" w:color="auto" w:fill="auto"/>
            <w:noWrap w:val="0"/>
            <w:vAlign w:val="center"/>
          </w:tcPr>
          <w:p w14:paraId="66C03D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主要用途：</w:t>
            </w:r>
          </w:p>
        </w:tc>
        <w:tc>
          <w:tcPr>
            <w:tcW w:w="1221" w:type="dxa"/>
            <w:noWrap w:val="0"/>
            <w:vAlign w:val="top"/>
          </w:tcPr>
          <w:p w14:paraId="206130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AA7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noWrap w:val="0"/>
            <w:vAlign w:val="center"/>
          </w:tcPr>
          <w:p w14:paraId="1FD345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▲1.1</w:t>
            </w:r>
          </w:p>
        </w:tc>
        <w:tc>
          <w:tcPr>
            <w:tcW w:w="6671" w:type="dxa"/>
            <w:shd w:val="clear" w:color="auto" w:fill="auto"/>
            <w:noWrap w:val="0"/>
            <w:vAlign w:val="center"/>
          </w:tcPr>
          <w:p w14:paraId="0C8EA2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适用于采购人的东芝CT，型号为Aquilion</w:t>
            </w:r>
            <w:r>
              <w:rPr>
                <w:rFonts w:hint="eastAsia" w:ascii="宋体" w:hAnsi="宋体" w:cs="宋体"/>
                <w:color w:val="auto"/>
                <w:sz w:val="24"/>
                <w:szCs w:val="24"/>
                <w:highlight w:val="none"/>
                <w:lang w:val="en-US" w:eastAsia="zh-CN"/>
              </w:rPr>
              <w:t xml:space="preserve"> 系列</w:t>
            </w:r>
            <w:r>
              <w:rPr>
                <w:rFonts w:hint="eastAsia" w:ascii="宋体" w:hAnsi="宋体" w:eastAsia="宋体" w:cs="宋体"/>
                <w:color w:val="auto"/>
                <w:sz w:val="24"/>
                <w:szCs w:val="24"/>
                <w:highlight w:val="none"/>
                <w:lang w:val="en-US" w:eastAsia="zh-CN"/>
              </w:rPr>
              <w:t>。</w:t>
            </w:r>
          </w:p>
        </w:tc>
        <w:tc>
          <w:tcPr>
            <w:tcW w:w="1221" w:type="dxa"/>
            <w:noWrap w:val="0"/>
            <w:vAlign w:val="top"/>
          </w:tcPr>
          <w:p w14:paraId="2D3CD6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16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shd w:val="clear" w:color="auto" w:fill="auto"/>
            <w:noWrap w:val="0"/>
            <w:vAlign w:val="center"/>
          </w:tcPr>
          <w:p w14:paraId="777ECC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二</w:t>
            </w:r>
          </w:p>
        </w:tc>
        <w:tc>
          <w:tcPr>
            <w:tcW w:w="6671" w:type="dxa"/>
            <w:shd w:val="clear" w:color="auto" w:fill="auto"/>
            <w:noWrap w:val="0"/>
            <w:vAlign w:val="center"/>
          </w:tcPr>
          <w:p w14:paraId="5CF5B5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功能要求：</w:t>
            </w:r>
          </w:p>
        </w:tc>
        <w:tc>
          <w:tcPr>
            <w:tcW w:w="1221" w:type="dxa"/>
            <w:noWrap w:val="0"/>
            <w:vAlign w:val="top"/>
          </w:tcPr>
          <w:p w14:paraId="4F4DA2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83F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shd w:val="clear" w:color="auto" w:fill="auto"/>
            <w:noWrap w:val="0"/>
            <w:vAlign w:val="center"/>
          </w:tcPr>
          <w:p w14:paraId="3DD963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w:t>
            </w:r>
          </w:p>
        </w:tc>
        <w:tc>
          <w:tcPr>
            <w:tcW w:w="6671" w:type="dxa"/>
            <w:shd w:val="clear" w:color="auto" w:fill="auto"/>
            <w:noWrap w:val="0"/>
            <w:vAlign w:val="center"/>
          </w:tcPr>
          <w:p w14:paraId="74547D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阳极热容量：≥7.5MHU；</w:t>
            </w:r>
          </w:p>
        </w:tc>
        <w:tc>
          <w:tcPr>
            <w:tcW w:w="1221" w:type="dxa"/>
            <w:noWrap w:val="0"/>
            <w:vAlign w:val="top"/>
          </w:tcPr>
          <w:p w14:paraId="2FF729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2DA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shd w:val="clear" w:color="auto" w:fill="auto"/>
            <w:noWrap w:val="0"/>
            <w:vAlign w:val="center"/>
          </w:tcPr>
          <w:p w14:paraId="60656A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w:t>
            </w:r>
          </w:p>
        </w:tc>
        <w:tc>
          <w:tcPr>
            <w:tcW w:w="6671" w:type="dxa"/>
            <w:shd w:val="clear" w:color="auto" w:fill="auto"/>
            <w:noWrap w:val="0"/>
            <w:vAlign w:val="center"/>
          </w:tcPr>
          <w:p w14:paraId="01A54F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阳极冷却率：≥1386KHU/min；</w:t>
            </w:r>
          </w:p>
        </w:tc>
        <w:tc>
          <w:tcPr>
            <w:tcW w:w="1221" w:type="dxa"/>
            <w:noWrap w:val="0"/>
            <w:vAlign w:val="top"/>
          </w:tcPr>
          <w:p w14:paraId="77F7E7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58A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shd w:val="clear" w:color="auto" w:fill="auto"/>
            <w:noWrap w:val="0"/>
            <w:vAlign w:val="center"/>
          </w:tcPr>
          <w:p w14:paraId="51DD17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2.3</w:t>
            </w:r>
          </w:p>
        </w:tc>
        <w:tc>
          <w:tcPr>
            <w:tcW w:w="6671" w:type="dxa"/>
            <w:shd w:val="clear" w:color="auto" w:fill="auto"/>
            <w:noWrap w:val="0"/>
            <w:vAlign w:val="center"/>
          </w:tcPr>
          <w:p w14:paraId="04A4D4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最高管电压：≥150KV；</w:t>
            </w:r>
          </w:p>
        </w:tc>
        <w:tc>
          <w:tcPr>
            <w:tcW w:w="1221" w:type="dxa"/>
            <w:noWrap w:val="0"/>
            <w:vAlign w:val="top"/>
          </w:tcPr>
          <w:p w14:paraId="0E95B7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28D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shd w:val="clear" w:color="auto" w:fill="auto"/>
            <w:noWrap w:val="0"/>
            <w:vAlign w:val="center"/>
          </w:tcPr>
          <w:p w14:paraId="6A7601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2.4</w:t>
            </w:r>
          </w:p>
        </w:tc>
        <w:tc>
          <w:tcPr>
            <w:tcW w:w="6671" w:type="dxa"/>
            <w:shd w:val="clear" w:color="auto" w:fill="auto"/>
            <w:noWrap w:val="0"/>
            <w:vAlign w:val="center"/>
          </w:tcPr>
          <w:p w14:paraId="216547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焦点：0.9×0.8mm，1.6×1.4mm；</w:t>
            </w:r>
          </w:p>
        </w:tc>
        <w:tc>
          <w:tcPr>
            <w:tcW w:w="1221" w:type="dxa"/>
            <w:noWrap w:val="0"/>
            <w:vAlign w:val="top"/>
          </w:tcPr>
          <w:p w14:paraId="2BB989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0CF0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shd w:val="clear" w:color="auto" w:fill="auto"/>
            <w:noWrap w:val="0"/>
            <w:vAlign w:val="center"/>
          </w:tcPr>
          <w:p w14:paraId="16B90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2.5</w:t>
            </w:r>
          </w:p>
        </w:tc>
        <w:tc>
          <w:tcPr>
            <w:tcW w:w="6671" w:type="dxa"/>
            <w:shd w:val="clear" w:color="auto" w:fill="auto"/>
            <w:noWrap w:val="0"/>
            <w:vAlign w:val="center"/>
          </w:tcPr>
          <w:p w14:paraId="7C1350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靶面材料：表面铼钨合金。</w:t>
            </w:r>
          </w:p>
        </w:tc>
        <w:tc>
          <w:tcPr>
            <w:tcW w:w="1221" w:type="dxa"/>
            <w:noWrap w:val="0"/>
            <w:vAlign w:val="top"/>
          </w:tcPr>
          <w:p w14:paraId="0B90C5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4495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shd w:val="clear" w:color="auto" w:fill="auto"/>
            <w:noWrap w:val="0"/>
            <w:vAlign w:val="center"/>
          </w:tcPr>
          <w:p w14:paraId="302C3C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三</w:t>
            </w:r>
          </w:p>
        </w:tc>
        <w:tc>
          <w:tcPr>
            <w:tcW w:w="6671" w:type="dxa"/>
            <w:shd w:val="clear" w:color="auto" w:fill="auto"/>
            <w:noWrap w:val="0"/>
            <w:vAlign w:val="center"/>
          </w:tcPr>
          <w:p w14:paraId="48BCEC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配置及其他要求：</w:t>
            </w:r>
          </w:p>
        </w:tc>
        <w:tc>
          <w:tcPr>
            <w:tcW w:w="1221" w:type="dxa"/>
            <w:noWrap w:val="0"/>
            <w:vAlign w:val="top"/>
          </w:tcPr>
          <w:p w14:paraId="3FB774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64E1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shd w:val="clear" w:color="auto" w:fill="auto"/>
            <w:noWrap w:val="0"/>
            <w:vAlign w:val="center"/>
          </w:tcPr>
          <w:p w14:paraId="039DA4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3.1</w:t>
            </w:r>
          </w:p>
        </w:tc>
        <w:tc>
          <w:tcPr>
            <w:tcW w:w="6671" w:type="dxa"/>
            <w:shd w:val="clear" w:color="auto" w:fill="auto"/>
            <w:noWrap w:val="0"/>
            <w:vAlign w:val="center"/>
          </w:tcPr>
          <w:p w14:paraId="073354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全新球管：1个；</w:t>
            </w:r>
          </w:p>
        </w:tc>
        <w:tc>
          <w:tcPr>
            <w:tcW w:w="1221" w:type="dxa"/>
            <w:noWrap w:val="0"/>
            <w:vAlign w:val="top"/>
          </w:tcPr>
          <w:p w14:paraId="61E7B1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50B4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shd w:val="clear" w:color="auto" w:fill="auto"/>
            <w:noWrap w:val="0"/>
            <w:vAlign w:val="center"/>
          </w:tcPr>
          <w:p w14:paraId="45B832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3.2</w:t>
            </w:r>
          </w:p>
        </w:tc>
        <w:tc>
          <w:tcPr>
            <w:tcW w:w="6671" w:type="dxa"/>
            <w:shd w:val="clear" w:color="auto" w:fill="auto"/>
            <w:noWrap w:val="0"/>
            <w:vAlign w:val="center"/>
          </w:tcPr>
          <w:p w14:paraId="19456C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提供相关证明材料，证明球管来源正宗性、合法性和可追溯；</w:t>
            </w:r>
          </w:p>
        </w:tc>
        <w:tc>
          <w:tcPr>
            <w:tcW w:w="1221" w:type="dxa"/>
            <w:noWrap w:val="0"/>
            <w:vAlign w:val="top"/>
          </w:tcPr>
          <w:p w14:paraId="6E533B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1C03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shd w:val="clear" w:color="auto" w:fill="auto"/>
            <w:noWrap w:val="0"/>
            <w:vAlign w:val="center"/>
          </w:tcPr>
          <w:p w14:paraId="3BC46A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3.3</w:t>
            </w:r>
          </w:p>
        </w:tc>
        <w:tc>
          <w:tcPr>
            <w:tcW w:w="6671" w:type="dxa"/>
            <w:shd w:val="clear" w:color="auto" w:fill="auto"/>
            <w:noWrap w:val="0"/>
            <w:vAlign w:val="center"/>
          </w:tcPr>
          <w:p w14:paraId="44BE45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为全新设备，生产日期在6个月之内；</w:t>
            </w:r>
          </w:p>
        </w:tc>
        <w:tc>
          <w:tcPr>
            <w:tcW w:w="1221" w:type="dxa"/>
            <w:noWrap w:val="0"/>
            <w:vAlign w:val="top"/>
          </w:tcPr>
          <w:p w14:paraId="17CB08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398B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shd w:val="clear" w:color="auto" w:fill="auto"/>
            <w:noWrap w:val="0"/>
            <w:vAlign w:val="center"/>
          </w:tcPr>
          <w:p w14:paraId="022A00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3.4</w:t>
            </w:r>
          </w:p>
        </w:tc>
        <w:tc>
          <w:tcPr>
            <w:tcW w:w="6671" w:type="dxa"/>
            <w:shd w:val="clear" w:color="auto" w:fill="auto"/>
            <w:noWrap w:val="0"/>
            <w:vAlign w:val="center"/>
          </w:tcPr>
          <w:p w14:paraId="6C1348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保证曝光贰拾万次，如果曝光少于五千次中标人负责免费更换1个新球管；如果不足贰拾万次，中标人负责按比例收取部分费用（成交人（万元）/ 20万次×实际使用次数）后提供1个新球管；</w:t>
            </w:r>
          </w:p>
        </w:tc>
        <w:tc>
          <w:tcPr>
            <w:tcW w:w="1221" w:type="dxa"/>
            <w:noWrap w:val="0"/>
            <w:vAlign w:val="top"/>
          </w:tcPr>
          <w:p w14:paraId="63B425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7F1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shd w:val="clear" w:color="auto" w:fill="auto"/>
            <w:noWrap w:val="0"/>
            <w:vAlign w:val="center"/>
          </w:tcPr>
          <w:p w14:paraId="66ABD8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3.5</w:t>
            </w:r>
          </w:p>
        </w:tc>
        <w:tc>
          <w:tcPr>
            <w:tcW w:w="6671" w:type="dxa"/>
            <w:shd w:val="clear" w:color="auto" w:fill="auto"/>
            <w:noWrap w:val="0"/>
            <w:vAlign w:val="center"/>
          </w:tcPr>
          <w:p w14:paraId="35379F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免费提供至少每年2次的上门维修保养服务；</w:t>
            </w:r>
          </w:p>
        </w:tc>
        <w:tc>
          <w:tcPr>
            <w:tcW w:w="1221" w:type="dxa"/>
            <w:noWrap w:val="0"/>
            <w:vAlign w:val="top"/>
          </w:tcPr>
          <w:p w14:paraId="201424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r w14:paraId="27CA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shd w:val="clear" w:color="auto" w:fill="auto"/>
            <w:noWrap w:val="0"/>
            <w:vAlign w:val="center"/>
          </w:tcPr>
          <w:p w14:paraId="358324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3.6</w:t>
            </w:r>
          </w:p>
        </w:tc>
        <w:tc>
          <w:tcPr>
            <w:tcW w:w="6671" w:type="dxa"/>
            <w:shd w:val="clear" w:color="auto" w:fill="auto"/>
            <w:noWrap w:val="0"/>
            <w:vAlign w:val="center"/>
          </w:tcPr>
          <w:p w14:paraId="26AE2B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提供质保期内巡视保养措施和保养行程安排。</w:t>
            </w:r>
          </w:p>
        </w:tc>
        <w:tc>
          <w:tcPr>
            <w:tcW w:w="1221" w:type="dxa"/>
            <w:noWrap w:val="0"/>
            <w:vAlign w:val="top"/>
          </w:tcPr>
          <w:p w14:paraId="28EA79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color w:val="auto"/>
                <w:kern w:val="0"/>
                <w:sz w:val="24"/>
                <w:szCs w:val="24"/>
                <w:highlight w:val="none"/>
              </w:rPr>
            </w:pPr>
          </w:p>
        </w:tc>
      </w:tr>
    </w:tbl>
    <w:p w14:paraId="3F84272D">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p>
    <w:p w14:paraId="1CE0BD34">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p>
    <w:p w14:paraId="2F3D6E14">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p>
    <w:p w14:paraId="2EDF1FE3">
      <w:pPr>
        <w:adjustRightInd/>
        <w:spacing w:beforeLines="0" w:afterLines="0" w:line="360" w:lineRule="auto"/>
        <w:ind w:firstLine="420" w:firstLineChars="0"/>
        <w:rPr>
          <w:rFonts w:hint="eastAsia" w:ascii="宋体" w:hAnsi="宋体" w:cs="宋体"/>
          <w:b/>
          <w:bCs w:val="0"/>
          <w:color w:val="auto"/>
          <w:sz w:val="24"/>
          <w:szCs w:val="24"/>
          <w:highlight w:val="none"/>
          <w:lang w:val="en-US" w:eastAsia="zh-CN"/>
        </w:rPr>
      </w:pPr>
    </w:p>
    <w:p w14:paraId="3D329C06">
      <w:pPr>
        <w:adjustRightInd/>
        <w:spacing w:beforeLines="0" w:afterLines="0" w:line="360" w:lineRule="auto"/>
        <w:ind w:firstLine="420" w:firstLineChars="0"/>
        <w:rPr>
          <w:rFonts w:hint="eastAsia" w:ascii="宋体" w:hAnsi="宋体" w:cs="宋体"/>
          <w:b/>
          <w:bCs w:val="0"/>
          <w:color w:val="auto"/>
          <w:sz w:val="24"/>
          <w:szCs w:val="24"/>
          <w:highlight w:val="none"/>
          <w:lang w:val="en-US" w:eastAsia="zh-CN"/>
        </w:rPr>
      </w:pPr>
    </w:p>
    <w:p w14:paraId="4B5E8BB0">
      <w:pPr>
        <w:adjustRightInd/>
        <w:spacing w:beforeLines="0" w:afterLines="0" w:line="360" w:lineRule="auto"/>
        <w:ind w:firstLine="420" w:firstLineChars="0"/>
        <w:rPr>
          <w:rFonts w:hint="eastAsia" w:ascii="宋体" w:hAnsi="宋体" w:cs="宋体"/>
          <w:b/>
          <w:bCs w:val="0"/>
          <w:color w:val="auto"/>
          <w:sz w:val="24"/>
          <w:szCs w:val="24"/>
          <w:highlight w:val="none"/>
          <w:lang w:val="en-US" w:eastAsia="zh-CN"/>
        </w:rPr>
      </w:pPr>
    </w:p>
    <w:p w14:paraId="1837690E">
      <w:pPr>
        <w:adjustRightInd/>
        <w:spacing w:beforeLines="0" w:afterLines="0" w:line="360" w:lineRule="auto"/>
        <w:ind w:firstLine="420" w:firstLineChars="0"/>
        <w:rPr>
          <w:rFonts w:hint="eastAsia" w:ascii="宋体" w:hAnsi="宋体" w:cs="宋体"/>
          <w:b/>
          <w:bCs w:val="0"/>
          <w:color w:val="auto"/>
          <w:sz w:val="24"/>
          <w:szCs w:val="24"/>
          <w:highlight w:val="none"/>
          <w:lang w:val="en-US" w:eastAsia="zh-CN"/>
        </w:rPr>
      </w:pPr>
    </w:p>
    <w:p w14:paraId="4209A707">
      <w:pPr>
        <w:adjustRightInd/>
        <w:spacing w:beforeLines="0" w:afterLines="0" w:line="360" w:lineRule="auto"/>
        <w:ind w:firstLine="420" w:firstLineChars="0"/>
        <w:rPr>
          <w:rFonts w:hint="eastAsia" w:ascii="宋体" w:hAnsi="宋体" w:cs="宋体"/>
          <w:b/>
          <w:bCs w:val="0"/>
          <w:color w:val="auto"/>
          <w:sz w:val="24"/>
          <w:szCs w:val="24"/>
          <w:highlight w:val="none"/>
          <w:lang w:val="en-US" w:eastAsia="zh-CN"/>
        </w:rPr>
      </w:pPr>
    </w:p>
    <w:p w14:paraId="0D40E1E3">
      <w:pPr>
        <w:adjustRightInd/>
        <w:spacing w:beforeLines="0" w:afterLines="0" w:line="360" w:lineRule="auto"/>
        <w:ind w:firstLine="420" w:firstLineChars="0"/>
        <w:rPr>
          <w:rFonts w:hint="eastAsia" w:ascii="宋体" w:hAnsi="宋体" w:cs="宋体"/>
          <w:b/>
          <w:bCs w:val="0"/>
          <w:color w:val="auto"/>
          <w:sz w:val="24"/>
          <w:szCs w:val="24"/>
          <w:highlight w:val="none"/>
          <w:lang w:val="en-US" w:eastAsia="zh-CN"/>
        </w:rPr>
      </w:pPr>
    </w:p>
    <w:p w14:paraId="099210B5">
      <w:pPr>
        <w:adjustRightInd/>
        <w:spacing w:beforeLines="0" w:afterLines="0" w:line="360" w:lineRule="auto"/>
        <w:ind w:firstLine="420" w:firstLineChars="0"/>
        <w:rPr>
          <w:rFonts w:hint="eastAsia" w:ascii="宋体" w:hAnsi="宋体" w:cs="宋体"/>
          <w:b/>
          <w:bCs w:val="0"/>
          <w:color w:val="auto"/>
          <w:sz w:val="24"/>
          <w:szCs w:val="24"/>
          <w:highlight w:val="none"/>
          <w:lang w:val="en-US" w:eastAsia="zh-CN"/>
        </w:rPr>
      </w:pPr>
    </w:p>
    <w:p w14:paraId="5D9D5F98">
      <w:pPr>
        <w:adjustRightInd/>
        <w:spacing w:beforeLines="0" w:afterLines="0" w:line="360" w:lineRule="auto"/>
        <w:ind w:firstLine="420" w:firstLineChars="0"/>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三、投标要求：</w:t>
      </w:r>
    </w:p>
    <w:p w14:paraId="066FCCFE">
      <w:pPr>
        <w:adjustRightInd/>
        <w:spacing w:beforeLines="0" w:afterLines="0" w:line="360" w:lineRule="auto"/>
        <w:ind w:firstLine="420" w:firstLineChars="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1、供应商的投标文件中列出详细的设备配置清单（包括必备的附件）和选配件（硬件、软件）清单（包括规格型号及选配件价格并提供价格的折扣率），未列出的选项即表示已包含在投标总价中；</w:t>
      </w:r>
    </w:p>
    <w:p w14:paraId="65CCFC38">
      <w:pPr>
        <w:adjustRightInd/>
        <w:spacing w:beforeLines="0" w:afterLines="0" w:line="360" w:lineRule="auto"/>
        <w:ind w:firstLine="420" w:firstLineChars="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2、设备如需计量、商检、压力容器登记注册、3C认证的设备，在安装时需提供相应的第三方检测报告；须提供计量检测、性能检测，验收前第一次检测办理及费用由中标人负责。</w:t>
      </w:r>
    </w:p>
    <w:p w14:paraId="0015E116">
      <w:pPr>
        <w:adjustRightInd/>
        <w:spacing w:beforeLines="0" w:afterLines="0" w:line="360" w:lineRule="auto"/>
        <w:ind w:firstLine="420" w:firstLineChars="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3、提供全套医疗器械注册证、用户操作手册、维修手册、设备中文标签、纸质塑封操作规程；</w:t>
      </w:r>
    </w:p>
    <w:p w14:paraId="496CA594">
      <w:pPr>
        <w:adjustRightInd/>
        <w:spacing w:beforeLines="0" w:afterLines="0" w:line="360" w:lineRule="auto"/>
        <w:ind w:firstLine="420" w:firstLineChars="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4、提供相关配套消耗品及零配件详细清单、分项价格并提供价格的折扣率；</w:t>
      </w:r>
    </w:p>
    <w:p w14:paraId="1D57D1E6">
      <w:pPr>
        <w:adjustRightInd/>
        <w:spacing w:beforeLines="0" w:afterLines="0" w:line="360" w:lineRule="auto"/>
        <w:ind w:firstLine="420" w:firstLineChars="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5、招标文件中未提及的某些属标配的功能、软件，必须无条件提供；</w:t>
      </w:r>
    </w:p>
    <w:p w14:paraId="76FEAA5A">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6、供应商必须如实响应招标文件中的技术要求并提供相应配置，不得欺骗、隐瞒，投标文件作为合同的一部分，具有相同的法律效应</w:t>
      </w:r>
      <w:r>
        <w:rPr>
          <w:rFonts w:hint="eastAsia" w:ascii="宋体" w:hAnsi="宋体" w:eastAsia="宋体" w:cs="宋体"/>
          <w:b w:val="0"/>
          <w:bCs/>
          <w:color w:val="auto"/>
          <w:sz w:val="24"/>
          <w:szCs w:val="24"/>
          <w:highlight w:val="none"/>
          <w:lang w:val="en-US" w:eastAsia="zh-CN"/>
        </w:rPr>
        <w:t>。</w:t>
      </w:r>
    </w:p>
    <w:p w14:paraId="5AEF7699">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14:paraId="3C3F2E9D">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textAlignment w:val="auto"/>
        <w:rPr>
          <w:rFonts w:hint="eastAsia" w:ascii="宋体" w:hAnsi="宋体" w:cs="宋体"/>
          <w:b/>
          <w:bCs/>
          <w:color w:val="auto"/>
          <w:sz w:val="24"/>
          <w:szCs w:val="24"/>
          <w:highlight w:val="none"/>
          <w:lang w:val="en-US" w:eastAsia="zh-CN"/>
        </w:rPr>
      </w:pPr>
    </w:p>
    <w:p w14:paraId="0EA238F6">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2040D036">
      <w:pPr>
        <w:kinsoku/>
        <w:wordWrap/>
        <w:overflowPunct/>
        <w:topLinePunct w:val="0"/>
        <w:bidi w:val="0"/>
        <w:spacing w:line="360" w:lineRule="auto"/>
        <w:jc w:val="both"/>
        <w:outlineLvl w:val="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四、投标要求</w:t>
      </w:r>
    </w:p>
    <w:p w14:paraId="2DE764C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宋体" w:hAnsi="宋体" w:cs="宋体"/>
          <w:b/>
          <w:color w:val="auto"/>
          <w:sz w:val="24"/>
          <w:highlight w:val="none"/>
        </w:rPr>
      </w:pPr>
      <w:r>
        <w:rPr>
          <w:rFonts w:hint="eastAsia" w:ascii="宋体" w:hAnsi="宋体" w:cs="宋体"/>
          <w:b w:val="0"/>
          <w:bCs/>
          <w:color w:val="auto"/>
          <w:sz w:val="24"/>
          <w:highlight w:val="none"/>
          <w:lang w:val="en-US" w:eastAsia="zh-CN"/>
        </w:rPr>
        <w:t>供应商需在投标文件中提供对招标文件的技术响应说明，供货方案，安装与验收方案，服务承诺，质保期方案，服务人员方案，培训方案，维修成本方案，同类设备销售业绩和政策加分的相关证明材料。</w:t>
      </w:r>
    </w:p>
    <w:p w14:paraId="4F3ED6A2">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7028B4BA">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74625C9B">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2020ACC4">
      <w:pPr>
        <w:numPr>
          <w:ilvl w:val="0"/>
          <w:numId w:val="0"/>
        </w:numPr>
        <w:adjustRightInd/>
        <w:spacing w:line="440" w:lineRule="exact"/>
        <w:rPr>
          <w:rFonts w:hint="eastAsia" w:ascii="宋体" w:hAnsi="Calibri" w:eastAsia="宋体" w:cs="Times New Roman"/>
          <w:b/>
          <w:color w:val="auto"/>
          <w:sz w:val="24"/>
          <w:szCs w:val="24"/>
          <w:highlight w:val="none"/>
          <w:lang w:val="en-US" w:eastAsia="zh-CN"/>
        </w:rPr>
      </w:pPr>
    </w:p>
    <w:p w14:paraId="64CFCA6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bookmarkStart w:id="36" w:name="_Toc18651"/>
    </w:p>
    <w:p w14:paraId="74A1FC3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2EC437F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5528B7D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pPr>
    </w:p>
    <w:p w14:paraId="534CC66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7" w:name="_Toc184310297"/>
      <w:bookmarkEnd w:id="37"/>
      <w:bookmarkStart w:id="38" w:name="_Toc184312091"/>
      <w:bookmarkEnd w:id="38"/>
      <w:bookmarkStart w:id="39" w:name="_Toc184310314"/>
      <w:bookmarkEnd w:id="39"/>
      <w:bookmarkStart w:id="40" w:name="_Toc184310280"/>
      <w:bookmarkEnd w:id="40"/>
      <w:bookmarkStart w:id="41" w:name="_Toc184314410"/>
      <w:bookmarkEnd w:id="41"/>
      <w:bookmarkStart w:id="42" w:name="_Toc184308051"/>
      <w:bookmarkEnd w:id="42"/>
      <w:bookmarkStart w:id="43" w:name="_Toc184314452"/>
      <w:bookmarkEnd w:id="43"/>
      <w:bookmarkStart w:id="44" w:name="_Toc184314460"/>
      <w:bookmarkEnd w:id="44"/>
      <w:bookmarkStart w:id="45" w:name="_Toc184312067"/>
      <w:bookmarkEnd w:id="45"/>
      <w:bookmarkStart w:id="46" w:name="_Toc184308095"/>
      <w:bookmarkEnd w:id="46"/>
      <w:bookmarkStart w:id="47" w:name="_Toc184310309"/>
      <w:bookmarkEnd w:id="47"/>
      <w:bookmarkStart w:id="48" w:name="_Toc184308107"/>
      <w:bookmarkEnd w:id="48"/>
      <w:bookmarkStart w:id="49" w:name="_Toc184310328"/>
      <w:bookmarkEnd w:id="49"/>
      <w:bookmarkStart w:id="50" w:name="_Toc184310301"/>
      <w:bookmarkEnd w:id="50"/>
      <w:bookmarkStart w:id="51" w:name="_Toc184308096"/>
      <w:bookmarkEnd w:id="51"/>
      <w:bookmarkStart w:id="52" w:name="_Toc184310313"/>
      <w:bookmarkEnd w:id="52"/>
      <w:bookmarkStart w:id="53" w:name="_Toc184312095"/>
      <w:bookmarkEnd w:id="53"/>
      <w:bookmarkStart w:id="54" w:name="_Toc184314472"/>
      <w:bookmarkEnd w:id="54"/>
      <w:bookmarkStart w:id="55" w:name="_Toc184313250"/>
      <w:bookmarkEnd w:id="55"/>
      <w:bookmarkStart w:id="56" w:name="_Toc184313272"/>
      <w:bookmarkEnd w:id="56"/>
      <w:bookmarkStart w:id="57" w:name="_Toc184312126"/>
      <w:bookmarkEnd w:id="57"/>
      <w:bookmarkStart w:id="58" w:name="_Toc184314427"/>
      <w:bookmarkEnd w:id="58"/>
      <w:bookmarkStart w:id="59" w:name="_Toc184308071"/>
      <w:bookmarkEnd w:id="59"/>
      <w:bookmarkStart w:id="60" w:name="_Toc184314422"/>
      <w:bookmarkEnd w:id="60"/>
      <w:bookmarkStart w:id="61" w:name="_Toc184314482"/>
      <w:bookmarkEnd w:id="61"/>
      <w:bookmarkStart w:id="62" w:name="_Toc184310279"/>
      <w:bookmarkEnd w:id="62"/>
      <w:bookmarkStart w:id="63" w:name="_Toc184313257"/>
      <w:bookmarkEnd w:id="63"/>
      <w:bookmarkStart w:id="64" w:name="_Toc184314477"/>
      <w:bookmarkEnd w:id="64"/>
      <w:bookmarkStart w:id="65" w:name="_Toc184310342"/>
      <w:bookmarkEnd w:id="65"/>
      <w:bookmarkStart w:id="66" w:name="_Toc184312106"/>
      <w:bookmarkEnd w:id="66"/>
      <w:bookmarkStart w:id="67" w:name="_Toc184314440"/>
      <w:bookmarkEnd w:id="67"/>
      <w:bookmarkStart w:id="68" w:name="_Toc184310274"/>
      <w:bookmarkEnd w:id="68"/>
      <w:bookmarkStart w:id="69" w:name="_Toc184314464"/>
      <w:bookmarkEnd w:id="69"/>
      <w:bookmarkStart w:id="70" w:name="_Toc184310303"/>
      <w:bookmarkEnd w:id="70"/>
      <w:bookmarkStart w:id="71" w:name="_Toc184310273"/>
      <w:bookmarkEnd w:id="71"/>
      <w:bookmarkStart w:id="72" w:name="_Toc184313286"/>
      <w:bookmarkEnd w:id="72"/>
      <w:bookmarkStart w:id="73" w:name="_Toc184312069"/>
      <w:bookmarkEnd w:id="73"/>
      <w:bookmarkStart w:id="74" w:name="_Toc184308078"/>
      <w:bookmarkEnd w:id="74"/>
      <w:bookmarkStart w:id="75" w:name="_Toc184310332"/>
      <w:bookmarkEnd w:id="75"/>
      <w:bookmarkStart w:id="76" w:name="_Toc184314426"/>
      <w:bookmarkEnd w:id="76"/>
      <w:bookmarkStart w:id="77" w:name="_Toc184314429"/>
      <w:bookmarkEnd w:id="77"/>
      <w:bookmarkStart w:id="78" w:name="_Toc184310322"/>
      <w:bookmarkEnd w:id="78"/>
      <w:bookmarkStart w:id="79" w:name="_Toc184312130"/>
      <w:bookmarkEnd w:id="79"/>
      <w:bookmarkStart w:id="80" w:name="_Toc184310329"/>
      <w:bookmarkEnd w:id="80"/>
      <w:bookmarkStart w:id="81" w:name="_Toc184313239"/>
      <w:bookmarkEnd w:id="81"/>
      <w:bookmarkStart w:id="82" w:name="_Toc184308047"/>
      <w:bookmarkEnd w:id="82"/>
      <w:bookmarkStart w:id="83" w:name="_Toc184313292"/>
      <w:bookmarkEnd w:id="83"/>
      <w:bookmarkStart w:id="84" w:name="_Toc184313284"/>
      <w:bookmarkEnd w:id="84"/>
      <w:bookmarkStart w:id="85" w:name="_Toc184313242"/>
      <w:bookmarkEnd w:id="85"/>
      <w:bookmarkStart w:id="86" w:name="_Toc184314481"/>
      <w:bookmarkEnd w:id="86"/>
      <w:bookmarkStart w:id="87" w:name="_Toc184313290"/>
      <w:bookmarkEnd w:id="87"/>
      <w:bookmarkStart w:id="88" w:name="_Toc184314462"/>
      <w:bookmarkEnd w:id="88"/>
      <w:bookmarkStart w:id="89" w:name="_Toc184312138"/>
      <w:bookmarkEnd w:id="89"/>
      <w:bookmarkStart w:id="90" w:name="_Toc184312113"/>
      <w:bookmarkEnd w:id="90"/>
      <w:bookmarkStart w:id="91" w:name="_Toc184314425"/>
      <w:bookmarkEnd w:id="91"/>
      <w:bookmarkStart w:id="92" w:name="_Toc184308061"/>
      <w:bookmarkEnd w:id="92"/>
      <w:bookmarkStart w:id="93" w:name="_Toc184308079"/>
      <w:bookmarkEnd w:id="93"/>
      <w:bookmarkStart w:id="94" w:name="_Toc184308087"/>
      <w:bookmarkEnd w:id="94"/>
      <w:bookmarkStart w:id="95" w:name="_Toc184312077"/>
      <w:bookmarkEnd w:id="95"/>
      <w:bookmarkStart w:id="96" w:name="_Toc184308043"/>
      <w:bookmarkEnd w:id="96"/>
      <w:bookmarkStart w:id="97" w:name="_Toc184312132"/>
      <w:bookmarkEnd w:id="97"/>
      <w:bookmarkStart w:id="98" w:name="_Toc184308070"/>
      <w:bookmarkEnd w:id="98"/>
      <w:bookmarkStart w:id="99" w:name="_Toc184308065"/>
      <w:bookmarkEnd w:id="99"/>
      <w:bookmarkStart w:id="100" w:name="_Toc184308108"/>
      <w:bookmarkEnd w:id="100"/>
      <w:bookmarkStart w:id="101" w:name="_Toc184308102"/>
      <w:bookmarkEnd w:id="101"/>
      <w:bookmarkStart w:id="102" w:name="_Toc184314458"/>
      <w:bookmarkEnd w:id="102"/>
      <w:bookmarkStart w:id="103" w:name="_Toc184312117"/>
      <w:bookmarkEnd w:id="103"/>
      <w:bookmarkStart w:id="104" w:name="_Toc184310339"/>
      <w:bookmarkEnd w:id="104"/>
      <w:bookmarkStart w:id="105" w:name="_Toc184310343"/>
      <w:bookmarkEnd w:id="105"/>
      <w:bookmarkStart w:id="106" w:name="_Toc184308057"/>
      <w:bookmarkEnd w:id="106"/>
      <w:bookmarkStart w:id="107" w:name="_Toc184314475"/>
      <w:bookmarkEnd w:id="107"/>
      <w:bookmarkStart w:id="108" w:name="_Toc184314421"/>
      <w:bookmarkEnd w:id="108"/>
      <w:bookmarkStart w:id="109" w:name="_Toc184310312"/>
      <w:bookmarkEnd w:id="109"/>
      <w:bookmarkStart w:id="110" w:name="_Toc184312109"/>
      <w:bookmarkEnd w:id="110"/>
      <w:bookmarkStart w:id="111" w:name="_Toc184312121"/>
      <w:bookmarkEnd w:id="111"/>
      <w:bookmarkStart w:id="112" w:name="_Toc184310282"/>
      <w:bookmarkEnd w:id="112"/>
      <w:bookmarkStart w:id="113" w:name="_Toc184312118"/>
      <w:bookmarkEnd w:id="113"/>
      <w:bookmarkStart w:id="114" w:name="_Toc184314431"/>
      <w:bookmarkEnd w:id="114"/>
      <w:bookmarkStart w:id="115" w:name="_Toc184313238"/>
      <w:bookmarkEnd w:id="115"/>
      <w:bookmarkStart w:id="116" w:name="_Toc184312070"/>
      <w:bookmarkEnd w:id="116"/>
      <w:bookmarkStart w:id="117" w:name="_Toc184313252"/>
      <w:bookmarkEnd w:id="117"/>
      <w:bookmarkStart w:id="118" w:name="_Toc184310310"/>
      <w:bookmarkEnd w:id="118"/>
      <w:bookmarkStart w:id="119" w:name="_Toc184308090"/>
      <w:bookmarkEnd w:id="119"/>
      <w:bookmarkStart w:id="120" w:name="_Toc184310311"/>
      <w:bookmarkEnd w:id="120"/>
      <w:bookmarkStart w:id="121" w:name="_Toc184314436"/>
      <w:bookmarkEnd w:id="121"/>
      <w:bookmarkStart w:id="122" w:name="_Toc184313266"/>
      <w:bookmarkEnd w:id="122"/>
      <w:bookmarkStart w:id="123" w:name="_Toc184314465"/>
      <w:bookmarkEnd w:id="123"/>
      <w:bookmarkStart w:id="124" w:name="_Toc184310319"/>
      <w:bookmarkEnd w:id="124"/>
      <w:bookmarkStart w:id="125" w:name="_Toc184313304"/>
      <w:bookmarkEnd w:id="125"/>
      <w:bookmarkStart w:id="126" w:name="_Toc184308064"/>
      <w:bookmarkEnd w:id="126"/>
      <w:bookmarkStart w:id="127" w:name="_Toc184308084"/>
      <w:bookmarkEnd w:id="127"/>
      <w:bookmarkStart w:id="128" w:name="_Toc184312094"/>
      <w:bookmarkEnd w:id="128"/>
      <w:bookmarkStart w:id="129" w:name="_Toc184313262"/>
      <w:bookmarkEnd w:id="129"/>
      <w:bookmarkStart w:id="130" w:name="_Toc184312102"/>
      <w:bookmarkEnd w:id="130"/>
      <w:bookmarkStart w:id="131" w:name="_Toc184310318"/>
      <w:bookmarkEnd w:id="131"/>
      <w:bookmarkStart w:id="132" w:name="_Toc184312081"/>
      <w:bookmarkEnd w:id="132"/>
      <w:bookmarkStart w:id="133" w:name="_Toc184308081"/>
      <w:bookmarkEnd w:id="133"/>
      <w:bookmarkStart w:id="134" w:name="_Toc184314459"/>
      <w:bookmarkEnd w:id="134"/>
      <w:bookmarkStart w:id="135" w:name="_Toc184308046"/>
      <w:bookmarkEnd w:id="135"/>
      <w:bookmarkStart w:id="136" w:name="_Toc184310337"/>
      <w:bookmarkEnd w:id="136"/>
      <w:bookmarkStart w:id="137" w:name="_Toc184313293"/>
      <w:bookmarkEnd w:id="137"/>
      <w:bookmarkStart w:id="138" w:name="_Toc184313254"/>
      <w:bookmarkEnd w:id="138"/>
      <w:bookmarkStart w:id="139" w:name="_Toc184310308"/>
      <w:bookmarkEnd w:id="139"/>
      <w:bookmarkStart w:id="140" w:name="_Toc184314455"/>
      <w:bookmarkEnd w:id="140"/>
      <w:bookmarkStart w:id="141" w:name="_Toc184313291"/>
      <w:bookmarkEnd w:id="141"/>
      <w:bookmarkStart w:id="142" w:name="_Toc184308104"/>
      <w:bookmarkEnd w:id="142"/>
      <w:bookmarkStart w:id="143" w:name="_Toc184313281"/>
      <w:bookmarkEnd w:id="143"/>
      <w:bookmarkStart w:id="144" w:name="_Toc184314468"/>
      <w:bookmarkEnd w:id="144"/>
      <w:bookmarkStart w:id="145" w:name="_Toc184313259"/>
      <w:bookmarkEnd w:id="145"/>
      <w:bookmarkStart w:id="146" w:name="_Toc184308089"/>
      <w:bookmarkEnd w:id="146"/>
      <w:bookmarkStart w:id="147" w:name="_Toc184312084"/>
      <w:bookmarkEnd w:id="147"/>
      <w:bookmarkStart w:id="148" w:name="_Toc184308086"/>
      <w:bookmarkEnd w:id="148"/>
      <w:bookmarkStart w:id="149" w:name="_Toc184308068"/>
      <w:bookmarkEnd w:id="149"/>
      <w:bookmarkStart w:id="150" w:name="_Toc184313263"/>
      <w:bookmarkEnd w:id="150"/>
      <w:bookmarkStart w:id="151" w:name="_Toc184308060"/>
      <w:bookmarkEnd w:id="151"/>
      <w:bookmarkStart w:id="152" w:name="_Toc184310323"/>
      <w:bookmarkEnd w:id="152"/>
      <w:bookmarkStart w:id="153" w:name="_Toc184310283"/>
      <w:bookmarkEnd w:id="153"/>
      <w:bookmarkStart w:id="154" w:name="_Toc184313301"/>
      <w:bookmarkEnd w:id="154"/>
      <w:bookmarkStart w:id="155" w:name="_Toc184308045"/>
      <w:bookmarkEnd w:id="155"/>
      <w:bookmarkStart w:id="156" w:name="_Toc184313309"/>
      <w:bookmarkEnd w:id="156"/>
      <w:bookmarkStart w:id="157" w:name="_Toc184314418"/>
      <w:bookmarkEnd w:id="157"/>
      <w:bookmarkStart w:id="158" w:name="_Toc184314471"/>
      <w:bookmarkEnd w:id="158"/>
      <w:bookmarkStart w:id="159" w:name="_Toc184313282"/>
      <w:bookmarkEnd w:id="159"/>
      <w:bookmarkStart w:id="160" w:name="_Toc184313310"/>
      <w:bookmarkEnd w:id="160"/>
      <w:bookmarkStart w:id="161" w:name="_Toc184312087"/>
      <w:bookmarkEnd w:id="161"/>
      <w:bookmarkStart w:id="162" w:name="_Toc184314423"/>
      <w:bookmarkEnd w:id="162"/>
      <w:bookmarkStart w:id="163" w:name="_Toc184314438"/>
      <w:bookmarkEnd w:id="163"/>
      <w:bookmarkStart w:id="164" w:name="_Toc184310284"/>
      <w:bookmarkEnd w:id="164"/>
      <w:bookmarkStart w:id="165" w:name="_Toc184313280"/>
      <w:bookmarkEnd w:id="165"/>
      <w:bookmarkStart w:id="166" w:name="_Toc184314463"/>
      <w:bookmarkEnd w:id="166"/>
      <w:bookmarkStart w:id="167" w:name="_Toc184308074"/>
      <w:bookmarkEnd w:id="167"/>
      <w:bookmarkStart w:id="168" w:name="_Toc184314444"/>
      <w:bookmarkEnd w:id="168"/>
      <w:bookmarkStart w:id="169" w:name="_Toc184313297"/>
      <w:bookmarkEnd w:id="169"/>
      <w:bookmarkStart w:id="170" w:name="_Toc184308063"/>
      <w:bookmarkEnd w:id="170"/>
      <w:bookmarkStart w:id="171" w:name="_Toc184310277"/>
      <w:bookmarkEnd w:id="171"/>
      <w:bookmarkStart w:id="172" w:name="_Toc184313270"/>
      <w:bookmarkEnd w:id="172"/>
      <w:bookmarkStart w:id="173" w:name="_Toc184310286"/>
      <w:bookmarkEnd w:id="173"/>
      <w:bookmarkStart w:id="174" w:name="_Toc184313264"/>
      <w:bookmarkEnd w:id="174"/>
      <w:bookmarkStart w:id="175" w:name="_Toc184314432"/>
      <w:bookmarkEnd w:id="175"/>
      <w:bookmarkStart w:id="176" w:name="_Toc184313251"/>
      <w:bookmarkEnd w:id="176"/>
      <w:bookmarkStart w:id="177" w:name="_Toc184312108"/>
      <w:bookmarkEnd w:id="177"/>
      <w:bookmarkStart w:id="178" w:name="_Toc184308105"/>
      <w:bookmarkEnd w:id="178"/>
      <w:bookmarkStart w:id="179" w:name="_Toc184313255"/>
      <w:bookmarkEnd w:id="179"/>
      <w:bookmarkStart w:id="180" w:name="_Toc184312079"/>
      <w:bookmarkEnd w:id="180"/>
      <w:bookmarkStart w:id="181" w:name="_Toc184313274"/>
      <w:bookmarkEnd w:id="181"/>
      <w:bookmarkStart w:id="182" w:name="_Toc184314467"/>
      <w:bookmarkEnd w:id="182"/>
      <w:bookmarkStart w:id="183" w:name="_Toc184314424"/>
      <w:bookmarkEnd w:id="183"/>
      <w:bookmarkStart w:id="184" w:name="_Toc184313279"/>
      <w:bookmarkEnd w:id="184"/>
      <w:bookmarkStart w:id="185" w:name="_Toc184312074"/>
      <w:bookmarkEnd w:id="185"/>
      <w:bookmarkStart w:id="186" w:name="_Toc184310287"/>
      <w:bookmarkEnd w:id="186"/>
      <w:bookmarkStart w:id="187" w:name="_Toc184310299"/>
      <w:bookmarkEnd w:id="187"/>
      <w:bookmarkStart w:id="188" w:name="_Toc184313306"/>
      <w:bookmarkEnd w:id="188"/>
      <w:bookmarkStart w:id="189" w:name="_Toc184310338"/>
      <w:bookmarkEnd w:id="189"/>
      <w:bookmarkStart w:id="190" w:name="_Toc184310293"/>
      <w:bookmarkEnd w:id="190"/>
      <w:bookmarkStart w:id="191" w:name="_Toc184313273"/>
      <w:bookmarkEnd w:id="191"/>
      <w:bookmarkStart w:id="192" w:name="_Toc184314420"/>
      <w:bookmarkEnd w:id="192"/>
      <w:bookmarkStart w:id="193" w:name="_Toc184313307"/>
      <w:bookmarkEnd w:id="193"/>
      <w:bookmarkStart w:id="194" w:name="_Toc184314414"/>
      <w:bookmarkEnd w:id="194"/>
      <w:bookmarkStart w:id="195" w:name="_Toc184308041"/>
      <w:bookmarkEnd w:id="195"/>
      <w:bookmarkStart w:id="196" w:name="_Toc184310302"/>
      <w:bookmarkEnd w:id="196"/>
      <w:bookmarkStart w:id="197" w:name="_Toc184314454"/>
      <w:bookmarkEnd w:id="197"/>
      <w:bookmarkStart w:id="198" w:name="_Toc184314415"/>
      <w:bookmarkEnd w:id="198"/>
      <w:bookmarkStart w:id="199" w:name="_Toc184312124"/>
      <w:bookmarkEnd w:id="199"/>
      <w:bookmarkStart w:id="200" w:name="_Toc184308050"/>
      <w:bookmarkEnd w:id="200"/>
      <w:bookmarkStart w:id="201" w:name="_Toc184314469"/>
      <w:bookmarkEnd w:id="201"/>
      <w:bookmarkStart w:id="202" w:name="_Toc184313258"/>
      <w:bookmarkEnd w:id="202"/>
      <w:bookmarkStart w:id="203" w:name="_Toc184313303"/>
      <w:bookmarkEnd w:id="203"/>
      <w:bookmarkStart w:id="204" w:name="_Toc184312136"/>
      <w:bookmarkEnd w:id="204"/>
      <w:bookmarkStart w:id="205" w:name="_Toc184314479"/>
      <w:bookmarkEnd w:id="205"/>
      <w:bookmarkStart w:id="206" w:name="_Toc184310340"/>
      <w:bookmarkEnd w:id="206"/>
      <w:bookmarkStart w:id="207" w:name="_Toc184308067"/>
      <w:bookmarkEnd w:id="207"/>
      <w:bookmarkStart w:id="208" w:name="_Toc184312092"/>
      <w:bookmarkEnd w:id="208"/>
      <w:bookmarkStart w:id="209" w:name="_Toc184313285"/>
      <w:bookmarkEnd w:id="209"/>
      <w:bookmarkStart w:id="210" w:name="_Toc184310288"/>
      <w:bookmarkEnd w:id="210"/>
      <w:bookmarkStart w:id="211" w:name="_Toc184312127"/>
      <w:bookmarkEnd w:id="211"/>
      <w:bookmarkStart w:id="212" w:name="_Toc184310306"/>
      <w:bookmarkEnd w:id="212"/>
      <w:bookmarkStart w:id="213" w:name="_Toc184310326"/>
      <w:bookmarkEnd w:id="213"/>
      <w:bookmarkStart w:id="214" w:name="_Toc184312116"/>
      <w:bookmarkEnd w:id="214"/>
      <w:bookmarkStart w:id="215" w:name="_Toc184308042"/>
      <w:bookmarkEnd w:id="215"/>
      <w:bookmarkStart w:id="216" w:name="_Toc184314435"/>
      <w:bookmarkEnd w:id="216"/>
      <w:bookmarkStart w:id="217" w:name="_Toc184313253"/>
      <w:bookmarkEnd w:id="217"/>
      <w:bookmarkStart w:id="218" w:name="_Toc184314480"/>
      <w:bookmarkEnd w:id="218"/>
      <w:bookmarkStart w:id="219" w:name="_Toc184308056"/>
      <w:bookmarkEnd w:id="219"/>
      <w:bookmarkStart w:id="220" w:name="_Toc184308091"/>
      <w:bookmarkEnd w:id="220"/>
      <w:bookmarkStart w:id="221" w:name="_Toc184313248"/>
      <w:bookmarkEnd w:id="221"/>
      <w:bookmarkStart w:id="222" w:name="_Toc184308052"/>
      <w:bookmarkEnd w:id="222"/>
      <w:bookmarkStart w:id="223" w:name="_Toc184312096"/>
      <w:bookmarkEnd w:id="223"/>
      <w:bookmarkStart w:id="224" w:name="_Toc184312103"/>
      <w:bookmarkEnd w:id="224"/>
      <w:bookmarkStart w:id="225" w:name="_Toc184308077"/>
      <w:bookmarkEnd w:id="225"/>
      <w:bookmarkStart w:id="226" w:name="_Toc184314443"/>
      <w:bookmarkEnd w:id="226"/>
      <w:bookmarkStart w:id="227" w:name="_Toc184310272"/>
      <w:bookmarkEnd w:id="227"/>
      <w:bookmarkStart w:id="228" w:name="_Toc184308044"/>
      <w:bookmarkEnd w:id="228"/>
      <w:bookmarkStart w:id="229" w:name="_Toc184310285"/>
      <w:bookmarkEnd w:id="229"/>
      <w:bookmarkStart w:id="230" w:name="_Toc184308103"/>
      <w:bookmarkEnd w:id="230"/>
      <w:bookmarkStart w:id="231" w:name="_Toc184313261"/>
      <w:bookmarkEnd w:id="231"/>
      <w:bookmarkStart w:id="232" w:name="_Toc184308100"/>
      <w:bookmarkEnd w:id="232"/>
      <w:bookmarkStart w:id="233" w:name="_Toc184308075"/>
      <w:bookmarkEnd w:id="233"/>
      <w:bookmarkStart w:id="234" w:name="_Toc184308066"/>
      <w:bookmarkEnd w:id="234"/>
      <w:bookmarkStart w:id="235" w:name="_Toc184308040"/>
      <w:bookmarkEnd w:id="235"/>
      <w:bookmarkStart w:id="236" w:name="_Toc184313302"/>
      <w:bookmarkEnd w:id="236"/>
      <w:bookmarkStart w:id="237" w:name="_Toc184312090"/>
      <w:bookmarkEnd w:id="237"/>
      <w:bookmarkStart w:id="238" w:name="_Toc184314453"/>
      <w:bookmarkEnd w:id="238"/>
      <w:bookmarkStart w:id="239" w:name="_Toc184312128"/>
      <w:bookmarkEnd w:id="239"/>
      <w:bookmarkStart w:id="240" w:name="_Toc184310290"/>
      <w:bookmarkEnd w:id="240"/>
      <w:bookmarkStart w:id="241" w:name="_Toc184312110"/>
      <w:bookmarkEnd w:id="241"/>
      <w:bookmarkStart w:id="242" w:name="_Toc184308048"/>
      <w:bookmarkEnd w:id="242"/>
      <w:bookmarkStart w:id="243" w:name="_Toc184313260"/>
      <w:bookmarkEnd w:id="243"/>
      <w:bookmarkStart w:id="244" w:name="_Toc184308092"/>
      <w:bookmarkEnd w:id="244"/>
      <w:bookmarkStart w:id="245" w:name="_Toc184310331"/>
      <w:bookmarkEnd w:id="245"/>
      <w:bookmarkStart w:id="246" w:name="_Toc184308083"/>
      <w:bookmarkEnd w:id="246"/>
      <w:bookmarkStart w:id="247" w:name="_Toc184313295"/>
      <w:bookmarkEnd w:id="247"/>
      <w:bookmarkStart w:id="248" w:name="_Toc184313288"/>
      <w:bookmarkEnd w:id="248"/>
      <w:bookmarkStart w:id="249" w:name="_Toc184308101"/>
      <w:bookmarkEnd w:id="249"/>
      <w:bookmarkStart w:id="250" w:name="_Toc184314473"/>
      <w:bookmarkEnd w:id="250"/>
      <w:bookmarkStart w:id="251" w:name="_Toc184314456"/>
      <w:bookmarkEnd w:id="251"/>
      <w:bookmarkStart w:id="252" w:name="_Toc184310344"/>
      <w:bookmarkEnd w:id="252"/>
      <w:bookmarkStart w:id="253" w:name="_Toc184308038"/>
      <w:bookmarkEnd w:id="253"/>
      <w:bookmarkStart w:id="254" w:name="_Toc184314457"/>
      <w:bookmarkEnd w:id="254"/>
      <w:bookmarkStart w:id="255" w:name="_Toc184310307"/>
      <w:bookmarkEnd w:id="255"/>
      <w:bookmarkStart w:id="256" w:name="_Toc184313244"/>
      <w:bookmarkEnd w:id="256"/>
      <w:bookmarkStart w:id="257" w:name="_Toc184310296"/>
      <w:bookmarkEnd w:id="257"/>
      <w:bookmarkStart w:id="258" w:name="_Toc184310327"/>
      <w:bookmarkEnd w:id="258"/>
      <w:bookmarkStart w:id="259" w:name="_Toc184314433"/>
      <w:bookmarkEnd w:id="259"/>
      <w:bookmarkStart w:id="260" w:name="_Toc184312119"/>
      <w:bookmarkEnd w:id="260"/>
      <w:bookmarkStart w:id="261" w:name="_Toc184313246"/>
      <w:bookmarkEnd w:id="261"/>
      <w:bookmarkStart w:id="262" w:name="_Toc184313268"/>
      <w:bookmarkEnd w:id="262"/>
      <w:bookmarkStart w:id="263" w:name="_Toc184308053"/>
      <w:bookmarkEnd w:id="263"/>
      <w:bookmarkStart w:id="264" w:name="_Toc184308098"/>
      <w:bookmarkEnd w:id="264"/>
      <w:bookmarkStart w:id="265" w:name="_Toc184314445"/>
      <w:bookmarkEnd w:id="265"/>
      <w:bookmarkStart w:id="266" w:name="_Toc184310333"/>
      <w:bookmarkEnd w:id="266"/>
      <w:bookmarkStart w:id="267" w:name="_Toc184312123"/>
      <w:bookmarkEnd w:id="267"/>
      <w:bookmarkStart w:id="268" w:name="_Toc184308076"/>
      <w:bookmarkEnd w:id="268"/>
      <w:bookmarkStart w:id="269" w:name="_Toc184312088"/>
      <w:bookmarkEnd w:id="269"/>
      <w:bookmarkStart w:id="270" w:name="_Toc184312137"/>
      <w:bookmarkEnd w:id="270"/>
      <w:bookmarkStart w:id="271" w:name="_Toc184312112"/>
      <w:bookmarkEnd w:id="271"/>
      <w:bookmarkStart w:id="272" w:name="_Toc184308097"/>
      <w:bookmarkEnd w:id="272"/>
      <w:bookmarkStart w:id="273" w:name="_Toc184312072"/>
      <w:bookmarkEnd w:id="273"/>
      <w:bookmarkStart w:id="274" w:name="_Toc184314466"/>
      <w:bookmarkEnd w:id="274"/>
      <w:bookmarkStart w:id="275" w:name="_Toc184308054"/>
      <w:bookmarkEnd w:id="275"/>
      <w:bookmarkStart w:id="276" w:name="_Toc184310325"/>
      <w:bookmarkEnd w:id="276"/>
      <w:bookmarkStart w:id="277" w:name="_Toc184314474"/>
      <w:bookmarkEnd w:id="277"/>
      <w:bookmarkStart w:id="278" w:name="_Toc184310289"/>
      <w:bookmarkEnd w:id="278"/>
      <w:bookmarkStart w:id="279" w:name="_Toc184313267"/>
      <w:bookmarkEnd w:id="279"/>
      <w:bookmarkStart w:id="280" w:name="_Toc184308059"/>
      <w:bookmarkEnd w:id="280"/>
      <w:bookmarkStart w:id="281" w:name="_Toc184314448"/>
      <w:bookmarkEnd w:id="281"/>
      <w:bookmarkStart w:id="282" w:name="_Toc184312134"/>
      <w:bookmarkEnd w:id="282"/>
      <w:bookmarkStart w:id="283" w:name="_Toc184314419"/>
      <w:bookmarkEnd w:id="283"/>
      <w:bookmarkStart w:id="284" w:name="_Toc184312099"/>
      <w:bookmarkEnd w:id="284"/>
      <w:bookmarkStart w:id="285" w:name="_Toc184312080"/>
      <w:bookmarkEnd w:id="285"/>
      <w:bookmarkStart w:id="286" w:name="_Toc184308093"/>
      <w:bookmarkEnd w:id="286"/>
      <w:bookmarkStart w:id="287" w:name="_Toc184314430"/>
      <w:bookmarkEnd w:id="287"/>
      <w:bookmarkStart w:id="288" w:name="_Toc184313294"/>
      <w:bookmarkEnd w:id="288"/>
      <w:bookmarkStart w:id="289" w:name="_Toc184308082"/>
      <w:bookmarkEnd w:id="289"/>
      <w:bookmarkStart w:id="290" w:name="_Toc184312122"/>
      <w:bookmarkEnd w:id="290"/>
      <w:bookmarkStart w:id="291" w:name="_Toc184310291"/>
      <w:bookmarkEnd w:id="291"/>
      <w:bookmarkStart w:id="292" w:name="_Toc184312131"/>
      <w:bookmarkEnd w:id="292"/>
      <w:bookmarkStart w:id="293" w:name="_Toc184308072"/>
      <w:bookmarkEnd w:id="293"/>
      <w:bookmarkStart w:id="294" w:name="_Toc184312120"/>
      <w:bookmarkEnd w:id="294"/>
      <w:bookmarkStart w:id="295" w:name="_Toc184308099"/>
      <w:bookmarkEnd w:id="295"/>
      <w:bookmarkStart w:id="296" w:name="_Toc184312082"/>
      <w:bookmarkEnd w:id="296"/>
      <w:bookmarkStart w:id="297" w:name="_Toc184310316"/>
      <w:bookmarkEnd w:id="297"/>
      <w:bookmarkStart w:id="298" w:name="_Toc184310294"/>
      <w:bookmarkEnd w:id="298"/>
      <w:bookmarkStart w:id="299" w:name="_Toc184312086"/>
      <w:bookmarkEnd w:id="299"/>
      <w:bookmarkStart w:id="300" w:name="_Toc184314461"/>
      <w:bookmarkEnd w:id="300"/>
      <w:bookmarkStart w:id="301" w:name="_Toc184313298"/>
      <w:bookmarkEnd w:id="301"/>
      <w:bookmarkStart w:id="302" w:name="_Toc184313265"/>
      <w:bookmarkEnd w:id="302"/>
      <w:bookmarkStart w:id="303" w:name="_Toc184313247"/>
      <w:bookmarkEnd w:id="303"/>
      <w:bookmarkStart w:id="304" w:name="_Toc184310275"/>
      <w:bookmarkEnd w:id="304"/>
      <w:bookmarkStart w:id="305" w:name="_Toc184313287"/>
      <w:bookmarkEnd w:id="305"/>
      <w:bookmarkStart w:id="306" w:name="_Toc184314437"/>
      <w:bookmarkEnd w:id="306"/>
      <w:bookmarkStart w:id="307" w:name="_Toc184314442"/>
      <w:bookmarkEnd w:id="307"/>
      <w:bookmarkStart w:id="308" w:name="_Toc184312135"/>
      <w:bookmarkEnd w:id="308"/>
      <w:bookmarkStart w:id="309" w:name="_Toc184314476"/>
      <w:bookmarkEnd w:id="309"/>
      <w:bookmarkStart w:id="310" w:name="_Toc184310324"/>
      <w:bookmarkEnd w:id="310"/>
      <w:bookmarkStart w:id="311" w:name="_Toc184310315"/>
      <w:bookmarkEnd w:id="311"/>
      <w:bookmarkStart w:id="312" w:name="_Toc184312076"/>
      <w:bookmarkEnd w:id="312"/>
      <w:bookmarkStart w:id="313" w:name="_Toc184314434"/>
      <w:bookmarkEnd w:id="313"/>
      <w:bookmarkStart w:id="314" w:name="_Toc184308088"/>
      <w:bookmarkEnd w:id="314"/>
      <w:bookmarkStart w:id="315" w:name="_Toc184312125"/>
      <w:bookmarkEnd w:id="315"/>
      <w:bookmarkStart w:id="316" w:name="_Toc184310341"/>
      <w:bookmarkEnd w:id="316"/>
      <w:bookmarkStart w:id="317" w:name="_Toc184313269"/>
      <w:bookmarkEnd w:id="317"/>
      <w:bookmarkStart w:id="318" w:name="_Toc184312101"/>
      <w:bookmarkEnd w:id="318"/>
      <w:bookmarkStart w:id="319" w:name="_Toc184308055"/>
      <w:bookmarkEnd w:id="319"/>
      <w:bookmarkStart w:id="320" w:name="_Toc184310335"/>
      <w:bookmarkEnd w:id="320"/>
      <w:bookmarkStart w:id="321" w:name="_Toc184308058"/>
      <w:bookmarkEnd w:id="321"/>
      <w:bookmarkStart w:id="322" w:name="_Toc184313300"/>
      <w:bookmarkEnd w:id="322"/>
      <w:bookmarkStart w:id="323" w:name="_Toc184310336"/>
      <w:bookmarkEnd w:id="323"/>
      <w:bookmarkStart w:id="324" w:name="_Toc184314478"/>
      <w:bookmarkEnd w:id="324"/>
      <w:bookmarkStart w:id="325" w:name="_Toc184310298"/>
      <w:bookmarkEnd w:id="325"/>
      <w:bookmarkStart w:id="326" w:name="_Toc184310334"/>
      <w:bookmarkEnd w:id="326"/>
      <w:bookmarkStart w:id="327" w:name="_Toc184310305"/>
      <w:bookmarkEnd w:id="327"/>
      <w:bookmarkStart w:id="328" w:name="_Toc184310300"/>
      <w:bookmarkEnd w:id="328"/>
      <w:bookmarkStart w:id="329" w:name="_Toc184312115"/>
      <w:bookmarkEnd w:id="329"/>
      <w:bookmarkStart w:id="330" w:name="_Toc184308085"/>
      <w:bookmarkEnd w:id="330"/>
      <w:bookmarkStart w:id="331" w:name="_Toc184314441"/>
      <w:bookmarkEnd w:id="331"/>
      <w:bookmarkStart w:id="332" w:name="_Toc184310292"/>
      <w:bookmarkEnd w:id="332"/>
      <w:bookmarkStart w:id="333" w:name="_Toc184312114"/>
      <w:bookmarkEnd w:id="333"/>
      <w:bookmarkStart w:id="334" w:name="_Toc184313277"/>
      <w:bookmarkEnd w:id="334"/>
      <w:bookmarkStart w:id="335" w:name="_Toc184310304"/>
      <w:bookmarkEnd w:id="335"/>
      <w:bookmarkStart w:id="336" w:name="_Toc184313289"/>
      <w:bookmarkEnd w:id="336"/>
      <w:bookmarkStart w:id="337" w:name="_Toc184314450"/>
      <w:bookmarkEnd w:id="337"/>
      <w:bookmarkStart w:id="338" w:name="_Toc184308037"/>
      <w:bookmarkEnd w:id="338"/>
      <w:bookmarkStart w:id="339" w:name="_Toc184312100"/>
      <w:bookmarkEnd w:id="339"/>
      <w:bookmarkStart w:id="340" w:name="_Toc184313278"/>
      <w:bookmarkEnd w:id="340"/>
      <w:bookmarkStart w:id="341" w:name="_Toc184312107"/>
      <w:bookmarkEnd w:id="341"/>
      <w:bookmarkStart w:id="342" w:name="_Toc184312083"/>
      <w:bookmarkEnd w:id="342"/>
      <w:bookmarkStart w:id="343" w:name="_Toc184313240"/>
      <w:bookmarkEnd w:id="343"/>
      <w:bookmarkStart w:id="344" w:name="_Toc184310276"/>
      <w:bookmarkEnd w:id="344"/>
      <w:bookmarkStart w:id="345" w:name="_Toc184313283"/>
      <w:bookmarkEnd w:id="345"/>
      <w:bookmarkStart w:id="346" w:name="_Toc184312139"/>
      <w:bookmarkEnd w:id="346"/>
      <w:bookmarkStart w:id="347" w:name="_Toc184313249"/>
      <w:bookmarkEnd w:id="347"/>
      <w:bookmarkStart w:id="348" w:name="_Toc184313296"/>
      <w:bookmarkEnd w:id="348"/>
      <w:bookmarkStart w:id="349" w:name="_Toc184313275"/>
      <w:bookmarkEnd w:id="349"/>
      <w:bookmarkStart w:id="350" w:name="_Toc184314439"/>
      <w:bookmarkEnd w:id="350"/>
      <w:bookmarkStart w:id="351" w:name="_Toc184308069"/>
      <w:bookmarkEnd w:id="351"/>
      <w:bookmarkStart w:id="352" w:name="_Toc184308062"/>
      <w:bookmarkEnd w:id="352"/>
      <w:bookmarkStart w:id="353" w:name="_Toc184310317"/>
      <w:bookmarkEnd w:id="353"/>
      <w:bookmarkStart w:id="354" w:name="_Toc184314428"/>
      <w:bookmarkEnd w:id="354"/>
      <w:bookmarkStart w:id="355" w:name="_Toc184310320"/>
      <w:bookmarkEnd w:id="355"/>
      <w:bookmarkStart w:id="356" w:name="_Toc184314413"/>
      <w:bookmarkEnd w:id="356"/>
      <w:bookmarkStart w:id="357" w:name="_Toc184308036"/>
      <w:bookmarkEnd w:id="357"/>
      <w:bookmarkStart w:id="358" w:name="_Toc184310330"/>
      <w:bookmarkEnd w:id="358"/>
      <w:bookmarkStart w:id="359" w:name="_Toc184312111"/>
      <w:bookmarkEnd w:id="359"/>
      <w:bookmarkStart w:id="360" w:name="_Toc184313276"/>
      <w:bookmarkEnd w:id="360"/>
      <w:bookmarkStart w:id="361" w:name="_Toc184313243"/>
      <w:bookmarkEnd w:id="361"/>
      <w:bookmarkStart w:id="362" w:name="_Toc184308039"/>
      <w:bookmarkEnd w:id="362"/>
      <w:bookmarkStart w:id="363" w:name="_Toc184313271"/>
      <w:bookmarkEnd w:id="363"/>
      <w:bookmarkStart w:id="364" w:name="_Toc184314446"/>
      <w:bookmarkEnd w:id="364"/>
      <w:bookmarkStart w:id="365" w:name="_Toc184313245"/>
      <w:bookmarkEnd w:id="365"/>
      <w:bookmarkStart w:id="366" w:name="_Toc184314451"/>
      <w:bookmarkEnd w:id="366"/>
      <w:bookmarkStart w:id="367" w:name="_Toc184308073"/>
      <w:bookmarkEnd w:id="367"/>
      <w:bookmarkStart w:id="368" w:name="_Toc184310321"/>
      <w:bookmarkEnd w:id="368"/>
      <w:bookmarkStart w:id="369" w:name="_Toc184313305"/>
      <w:bookmarkEnd w:id="369"/>
      <w:bookmarkStart w:id="370" w:name="_Toc184314449"/>
      <w:bookmarkEnd w:id="370"/>
      <w:bookmarkStart w:id="371" w:name="_Toc184312078"/>
      <w:bookmarkEnd w:id="371"/>
      <w:bookmarkStart w:id="372" w:name="_Toc184312097"/>
      <w:bookmarkEnd w:id="372"/>
      <w:bookmarkStart w:id="373" w:name="_Toc184312073"/>
      <w:bookmarkEnd w:id="373"/>
      <w:bookmarkStart w:id="374" w:name="_Toc184313241"/>
      <w:bookmarkEnd w:id="374"/>
      <w:bookmarkStart w:id="375" w:name="_Toc184308080"/>
      <w:bookmarkEnd w:id="375"/>
      <w:bookmarkStart w:id="376" w:name="_Toc184308094"/>
      <w:bookmarkEnd w:id="376"/>
      <w:bookmarkStart w:id="377" w:name="_Toc184308049"/>
      <w:bookmarkEnd w:id="377"/>
      <w:bookmarkStart w:id="378" w:name="_Toc184312068"/>
      <w:bookmarkEnd w:id="378"/>
      <w:bookmarkStart w:id="379" w:name="_Toc184312098"/>
      <w:bookmarkEnd w:id="379"/>
      <w:bookmarkStart w:id="380" w:name="_Toc184314416"/>
      <w:bookmarkEnd w:id="380"/>
      <w:bookmarkStart w:id="381" w:name="_Toc184314412"/>
      <w:bookmarkEnd w:id="381"/>
      <w:bookmarkStart w:id="382" w:name="_Toc184312093"/>
      <w:bookmarkEnd w:id="382"/>
      <w:bookmarkStart w:id="383" w:name="_Toc184308106"/>
      <w:bookmarkEnd w:id="383"/>
      <w:bookmarkStart w:id="384" w:name="_Toc184312104"/>
      <w:bookmarkEnd w:id="384"/>
      <w:bookmarkStart w:id="385" w:name="_Toc184314470"/>
      <w:bookmarkEnd w:id="385"/>
      <w:bookmarkStart w:id="386" w:name="_Toc184310281"/>
      <w:bookmarkEnd w:id="386"/>
      <w:bookmarkStart w:id="387" w:name="_Toc184312133"/>
      <w:bookmarkEnd w:id="387"/>
      <w:bookmarkStart w:id="388" w:name="_Toc184312105"/>
      <w:bookmarkEnd w:id="388"/>
      <w:bookmarkStart w:id="389" w:name="_Toc184312129"/>
      <w:bookmarkEnd w:id="389"/>
      <w:bookmarkStart w:id="390" w:name="_Toc184314417"/>
      <w:bookmarkEnd w:id="390"/>
      <w:bookmarkStart w:id="391" w:name="_Toc184312071"/>
      <w:bookmarkEnd w:id="391"/>
      <w:bookmarkStart w:id="392" w:name="_Toc184313299"/>
      <w:bookmarkEnd w:id="392"/>
      <w:bookmarkStart w:id="393" w:name="_Toc184313256"/>
      <w:bookmarkEnd w:id="393"/>
      <w:bookmarkStart w:id="394" w:name="_Toc184310295"/>
      <w:bookmarkEnd w:id="394"/>
      <w:bookmarkStart w:id="395" w:name="_Toc184312089"/>
      <w:bookmarkEnd w:id="395"/>
      <w:bookmarkStart w:id="396" w:name="_Toc184313308"/>
      <w:bookmarkEnd w:id="396"/>
      <w:bookmarkStart w:id="397" w:name="_Toc184314447"/>
      <w:bookmarkEnd w:id="397"/>
      <w:bookmarkStart w:id="398" w:name="_Toc184312085"/>
      <w:bookmarkEnd w:id="398"/>
      <w:bookmarkStart w:id="399" w:name="_Toc184312075"/>
      <w:bookmarkEnd w:id="399"/>
      <w:bookmarkStart w:id="400" w:name="_Toc184310278"/>
      <w:bookmarkEnd w:id="400"/>
      <w:bookmarkStart w:id="401" w:name="_Toc184314411"/>
      <w:bookmarkEnd w:id="401"/>
      <w:r>
        <w:rPr>
          <w:rFonts w:hint="eastAsia" w:ascii="宋体" w:hAnsi="宋体" w:cs="宋体"/>
          <w:b/>
          <w:color w:val="auto"/>
          <w:sz w:val="36"/>
          <w:szCs w:val="36"/>
          <w:highlight w:val="none"/>
        </w:rPr>
        <w:t>评标办法</w:t>
      </w:r>
      <w:bookmarkEnd w:id="36"/>
    </w:p>
    <w:p w14:paraId="619A17AD">
      <w:pPr>
        <w:kinsoku/>
        <w:wordWrap/>
        <w:overflowPunct/>
        <w:topLinePunct w:val="0"/>
        <w:bidi w:val="0"/>
        <w:snapToGrid w:val="0"/>
        <w:spacing w:line="360" w:lineRule="auto"/>
        <w:jc w:val="center"/>
        <w:outlineLvl w:val="9"/>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6D5C34AC">
      <w:pPr>
        <w:widowControl/>
        <w:kinsoku/>
        <w:wordWrap/>
        <w:overflowPunct/>
        <w:topLinePunct w:val="0"/>
        <w:bidi w:val="0"/>
        <w:adjustRightInd/>
        <w:spacing w:line="360" w:lineRule="exact"/>
        <w:jc w:val="center"/>
        <w:outlineLvl w:val="9"/>
        <w:rPr>
          <w:rFonts w:hint="default" w:ascii="宋体" w:hAnsi="宋体" w:eastAsia="宋体" w:cs="宋体"/>
          <w:b/>
          <w:bCs/>
          <w:color w:val="auto"/>
          <w:kern w:val="0"/>
          <w:sz w:val="32"/>
          <w:szCs w:val="40"/>
          <w:highlight w:val="none"/>
          <w:lang w:val="en-US" w:eastAsia="zh-CN"/>
        </w:rPr>
      </w:pPr>
      <w:r>
        <w:rPr>
          <w:rFonts w:hint="eastAsia" w:ascii="宋体" w:hAnsi="宋体" w:eastAsia="宋体" w:cs="宋体"/>
          <w:b/>
          <w:bCs/>
          <w:color w:val="auto"/>
          <w:kern w:val="0"/>
          <w:sz w:val="32"/>
          <w:szCs w:val="40"/>
          <w:highlight w:val="none"/>
        </w:rPr>
        <w:t>评分标准表</w:t>
      </w:r>
    </w:p>
    <w:tbl>
      <w:tblPr>
        <w:tblStyle w:val="63"/>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6863"/>
        <w:gridCol w:w="705"/>
        <w:gridCol w:w="705"/>
      </w:tblGrid>
      <w:tr w14:paraId="2160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62" w:type="dxa"/>
            <w:noWrap w:val="0"/>
            <w:vAlign w:val="center"/>
          </w:tcPr>
          <w:p w14:paraId="575DFDE9">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评分项目</w:t>
            </w:r>
          </w:p>
        </w:tc>
        <w:tc>
          <w:tcPr>
            <w:tcW w:w="6863" w:type="dxa"/>
            <w:noWrap w:val="0"/>
            <w:vAlign w:val="center"/>
          </w:tcPr>
          <w:p w14:paraId="3E0C57B9">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评标要点及说明</w:t>
            </w:r>
          </w:p>
        </w:tc>
        <w:tc>
          <w:tcPr>
            <w:tcW w:w="705" w:type="dxa"/>
            <w:noWrap w:val="0"/>
            <w:vAlign w:val="center"/>
          </w:tcPr>
          <w:p w14:paraId="1FC77EA5">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0" w:afterAutospacing="0" w:line="260" w:lineRule="auto"/>
              <w:ind w:left="0" w:right="0"/>
              <w:jc w:val="center"/>
              <w:textAlignment w:val="auto"/>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zh-CN"/>
              </w:rPr>
              <w:t>分值</w:t>
            </w:r>
          </w:p>
        </w:tc>
        <w:tc>
          <w:tcPr>
            <w:tcW w:w="705" w:type="dxa"/>
            <w:noWrap w:val="0"/>
            <w:vAlign w:val="center"/>
          </w:tcPr>
          <w:p w14:paraId="3852897B">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0" w:afterAutospacing="0" w:line="260" w:lineRule="auto"/>
              <w:ind w:left="0" w:right="0"/>
              <w:jc w:val="center"/>
              <w:textAlignment w:val="auto"/>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zh-CN"/>
              </w:rPr>
              <w:t>备注</w:t>
            </w:r>
          </w:p>
        </w:tc>
      </w:tr>
      <w:tr w14:paraId="1E6A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1262" w:type="dxa"/>
            <w:noWrap w:val="0"/>
            <w:vAlign w:val="center"/>
          </w:tcPr>
          <w:p w14:paraId="620657FC">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6863" w:type="dxa"/>
            <w:noWrap w:val="0"/>
            <w:vAlign w:val="center"/>
          </w:tcPr>
          <w:p w14:paraId="16902E4E">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评标基准价指的是满足</w:t>
            </w:r>
            <w:r>
              <w:rPr>
                <w:rFonts w:hint="eastAsia" w:ascii="宋体" w:hAnsi="宋体" w:eastAsia="宋体" w:cs="宋体"/>
                <w:bCs/>
                <w:color w:val="auto"/>
                <w:kern w:val="0"/>
                <w:sz w:val="24"/>
                <w:szCs w:val="24"/>
                <w:highlight w:val="none"/>
                <w:lang w:eastAsia="zh-CN"/>
              </w:rPr>
              <w:t>招标文件</w:t>
            </w:r>
            <w:r>
              <w:rPr>
                <w:rFonts w:hint="eastAsia" w:ascii="宋体" w:hAnsi="宋体" w:eastAsia="宋体" w:cs="宋体"/>
                <w:bCs/>
                <w:color w:val="auto"/>
                <w:kern w:val="0"/>
                <w:sz w:val="24"/>
                <w:szCs w:val="24"/>
                <w:highlight w:val="none"/>
              </w:rPr>
              <w:t>要求且最低的参与评审的价格。</w:t>
            </w:r>
          </w:p>
          <w:p w14:paraId="279D0928">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参与评审的价格=投标报价-小微企业价格扣除优惠值</w:t>
            </w:r>
            <w:r>
              <w:rPr>
                <w:rFonts w:hint="eastAsia" w:ascii="宋体" w:hAnsi="宋体" w:eastAsia="宋体" w:cs="宋体"/>
                <w:bCs/>
                <w:color w:val="auto"/>
                <w:kern w:val="0"/>
                <w:sz w:val="24"/>
                <w:szCs w:val="24"/>
                <w:highlight w:val="none"/>
                <w:lang w:val="en-US" w:eastAsia="zh-CN"/>
              </w:rPr>
              <w:t>10%</w:t>
            </w:r>
            <w:r>
              <w:rPr>
                <w:rFonts w:hint="eastAsia" w:ascii="宋体" w:hAnsi="宋体" w:eastAsia="宋体" w:cs="宋体"/>
                <w:bCs/>
                <w:color w:val="auto"/>
                <w:kern w:val="0"/>
                <w:sz w:val="24"/>
                <w:szCs w:val="24"/>
                <w:highlight w:val="none"/>
              </w:rPr>
              <w:t>（如有）。</w:t>
            </w:r>
          </w:p>
          <w:p w14:paraId="7C4D590D">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参与评审的价格为评标基准价的其价格得分得满分</w:t>
            </w:r>
            <w:r>
              <w:rPr>
                <w:rFonts w:hint="eastAsia" w:ascii="宋体" w:hAnsi="宋体" w:eastAsia="宋体" w:cs="宋体"/>
                <w:bCs/>
                <w:color w:val="auto"/>
                <w:kern w:val="0"/>
                <w:sz w:val="24"/>
                <w:szCs w:val="24"/>
                <w:highlight w:val="none"/>
                <w:lang w:val="en-US" w:eastAsia="zh-CN"/>
              </w:rPr>
              <w:t>30</w:t>
            </w:r>
            <w:r>
              <w:rPr>
                <w:rFonts w:hint="eastAsia" w:ascii="宋体" w:hAnsi="宋体" w:eastAsia="宋体" w:cs="宋体"/>
                <w:bCs/>
                <w:color w:val="auto"/>
                <w:kern w:val="0"/>
                <w:sz w:val="24"/>
                <w:szCs w:val="24"/>
                <w:highlight w:val="none"/>
              </w:rPr>
              <w:t>分。</w:t>
            </w:r>
          </w:p>
          <w:p w14:paraId="3EAB66D1">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其他供应商价格得分按照下列公式计算：</w:t>
            </w:r>
          </w:p>
          <w:p w14:paraId="493F58E8">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价格得分=（评标基准价/参与评审的价格）×</w:t>
            </w:r>
            <w:r>
              <w:rPr>
                <w:rFonts w:hint="eastAsia" w:ascii="宋体" w:hAnsi="宋体" w:eastAsia="宋体" w:cs="宋体"/>
                <w:bCs/>
                <w:color w:val="auto"/>
                <w:kern w:val="0"/>
                <w:sz w:val="24"/>
                <w:szCs w:val="24"/>
                <w:highlight w:val="none"/>
                <w:lang w:val="en-US" w:eastAsia="zh-CN"/>
              </w:rPr>
              <w:t>30</w:t>
            </w:r>
            <w:r>
              <w:rPr>
                <w:rFonts w:hint="eastAsia" w:ascii="宋体" w:hAnsi="宋体" w:eastAsia="宋体" w:cs="宋体"/>
                <w:bCs/>
                <w:color w:val="auto"/>
                <w:kern w:val="0"/>
                <w:sz w:val="24"/>
                <w:szCs w:val="24"/>
                <w:highlight w:val="none"/>
              </w:rPr>
              <w:t>%×100。</w:t>
            </w:r>
          </w:p>
        </w:tc>
        <w:tc>
          <w:tcPr>
            <w:tcW w:w="705" w:type="dxa"/>
            <w:noWrap w:val="0"/>
            <w:vAlign w:val="center"/>
          </w:tcPr>
          <w:p w14:paraId="044E9231">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30</w:t>
            </w:r>
          </w:p>
        </w:tc>
        <w:tc>
          <w:tcPr>
            <w:tcW w:w="705" w:type="dxa"/>
            <w:noWrap w:val="0"/>
            <w:vAlign w:val="center"/>
          </w:tcPr>
          <w:p w14:paraId="04B15C9C">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客观评审</w:t>
            </w:r>
          </w:p>
        </w:tc>
      </w:tr>
      <w:tr w14:paraId="2D61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restart"/>
            <w:noWrap w:val="0"/>
            <w:vAlign w:val="center"/>
          </w:tcPr>
          <w:p w14:paraId="38B09356">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商务</w:t>
            </w:r>
          </w:p>
          <w:p w14:paraId="08E9CC8D">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技术分</w:t>
            </w:r>
          </w:p>
          <w:p w14:paraId="6403D6EA">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（70分）</w:t>
            </w:r>
          </w:p>
        </w:tc>
        <w:tc>
          <w:tcPr>
            <w:tcW w:w="6863" w:type="dxa"/>
            <w:noWrap w:val="0"/>
            <w:vAlign w:val="center"/>
          </w:tcPr>
          <w:p w14:paraId="46B711FF">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rPr>
              <w:t>1、对</w:t>
            </w:r>
            <w:r>
              <w:rPr>
                <w:rFonts w:hint="eastAsia" w:ascii="宋体" w:hAnsi="宋体" w:eastAsia="宋体" w:cs="宋体"/>
                <w:b/>
                <w:bCs w:val="0"/>
                <w:color w:val="auto"/>
                <w:kern w:val="0"/>
                <w:sz w:val="24"/>
                <w:szCs w:val="24"/>
                <w:highlight w:val="none"/>
                <w:lang w:eastAsia="zh-CN"/>
              </w:rPr>
              <w:t>招标文件</w:t>
            </w:r>
            <w:r>
              <w:rPr>
                <w:rFonts w:hint="eastAsia" w:ascii="宋体" w:hAnsi="宋体" w:eastAsia="宋体" w:cs="宋体"/>
                <w:b/>
                <w:bCs w:val="0"/>
                <w:color w:val="auto"/>
                <w:kern w:val="0"/>
                <w:sz w:val="24"/>
                <w:szCs w:val="24"/>
                <w:highlight w:val="none"/>
              </w:rPr>
              <w:t>的技术响应（</w:t>
            </w:r>
            <w:r>
              <w:rPr>
                <w:rFonts w:hint="eastAsia" w:ascii="宋体" w:hAnsi="宋体" w:eastAsia="宋体" w:cs="宋体"/>
                <w:b/>
                <w:bCs w:val="0"/>
                <w:color w:val="auto"/>
                <w:kern w:val="0"/>
                <w:sz w:val="24"/>
                <w:szCs w:val="24"/>
                <w:highlight w:val="none"/>
                <w:lang w:val="en-US" w:eastAsia="zh-CN"/>
              </w:rPr>
              <w:t>33</w:t>
            </w:r>
            <w:r>
              <w:rPr>
                <w:rFonts w:hint="eastAsia" w:ascii="宋体" w:hAnsi="宋体" w:eastAsia="宋体" w:cs="宋体"/>
                <w:b/>
                <w:bCs w:val="0"/>
                <w:color w:val="auto"/>
                <w:kern w:val="0"/>
                <w:sz w:val="24"/>
                <w:szCs w:val="24"/>
                <w:highlight w:val="none"/>
              </w:rPr>
              <w:t>分）</w:t>
            </w:r>
            <w:r>
              <w:rPr>
                <w:rFonts w:hint="eastAsia" w:ascii="宋体" w:hAnsi="宋体" w:eastAsia="宋体" w:cs="宋体"/>
                <w:b/>
                <w:bCs w:val="0"/>
                <w:color w:val="auto"/>
                <w:kern w:val="0"/>
                <w:sz w:val="24"/>
                <w:szCs w:val="24"/>
                <w:highlight w:val="none"/>
                <w:lang w:eastAsia="zh-CN"/>
              </w:rPr>
              <w:t>：</w:t>
            </w:r>
          </w:p>
          <w:p w14:paraId="5A1BD227">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（1）完全响应</w:t>
            </w:r>
            <w:r>
              <w:rPr>
                <w:rFonts w:hint="eastAsia" w:ascii="宋体" w:hAnsi="宋体" w:eastAsia="宋体" w:cs="宋体"/>
                <w:b w:val="0"/>
                <w:bCs/>
                <w:color w:val="auto"/>
                <w:kern w:val="0"/>
                <w:sz w:val="24"/>
                <w:szCs w:val="24"/>
                <w:highlight w:val="none"/>
                <w:lang w:eastAsia="zh-CN"/>
              </w:rPr>
              <w:t>招标文件</w:t>
            </w:r>
            <w:r>
              <w:rPr>
                <w:rFonts w:hint="eastAsia" w:ascii="宋体" w:hAnsi="宋体" w:eastAsia="宋体" w:cs="宋体"/>
                <w:b w:val="0"/>
                <w:bCs/>
                <w:color w:val="auto"/>
                <w:kern w:val="0"/>
                <w:sz w:val="24"/>
                <w:szCs w:val="24"/>
                <w:highlight w:val="none"/>
              </w:rPr>
              <w:t xml:space="preserve"> “第三部分 采购需求 二、技术需求”中所有指标的得</w:t>
            </w:r>
            <w:r>
              <w:rPr>
                <w:rFonts w:hint="eastAsia" w:ascii="宋体" w:hAnsi="宋体" w:eastAsia="宋体" w:cs="宋体"/>
                <w:b w:val="0"/>
                <w:bCs/>
                <w:color w:val="auto"/>
                <w:kern w:val="0"/>
                <w:sz w:val="24"/>
                <w:szCs w:val="24"/>
                <w:highlight w:val="none"/>
                <w:lang w:val="en-US" w:eastAsia="zh-CN"/>
              </w:rPr>
              <w:t>33</w:t>
            </w:r>
            <w:r>
              <w:rPr>
                <w:rFonts w:hint="eastAsia" w:ascii="宋体" w:hAnsi="宋体" w:eastAsia="宋体" w:cs="宋体"/>
                <w:b w:val="0"/>
                <w:bCs/>
                <w:color w:val="auto"/>
                <w:kern w:val="0"/>
                <w:sz w:val="24"/>
                <w:szCs w:val="24"/>
                <w:highlight w:val="none"/>
              </w:rPr>
              <w:t>分；</w:t>
            </w:r>
          </w:p>
          <w:p w14:paraId="5B45B68D">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（2）“第三部分 采购需求 二、技术需求”中标“</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”的指标，每负偏离一条扣</w:t>
            </w:r>
            <w:r>
              <w:rPr>
                <w:rFonts w:hint="eastAsia" w:ascii="宋体" w:hAnsi="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rPr>
              <w:t>分；</w:t>
            </w:r>
          </w:p>
          <w:p w14:paraId="34FFDF9A">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（3）“第三部分 采购需求 二、技术需求”中未标“</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”的指标，每负偏离一条扣</w:t>
            </w:r>
            <w:r>
              <w:rPr>
                <w:rFonts w:hint="eastAsia" w:ascii="宋体" w:hAnsi="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rPr>
              <w:t>分。</w:t>
            </w:r>
          </w:p>
          <w:p w14:paraId="619D67BB">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rPr>
              <w:t>注：当有供应商此项分值扣减至0分时，该供应商投标将被拒绝，其投标文件作无效标处理，不再进行评审。</w:t>
            </w:r>
          </w:p>
        </w:tc>
        <w:tc>
          <w:tcPr>
            <w:tcW w:w="705" w:type="dxa"/>
            <w:noWrap w:val="0"/>
            <w:vAlign w:val="center"/>
          </w:tcPr>
          <w:p w14:paraId="3AA028E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33</w:t>
            </w:r>
          </w:p>
        </w:tc>
        <w:tc>
          <w:tcPr>
            <w:tcW w:w="705" w:type="dxa"/>
            <w:noWrap w:val="0"/>
            <w:vAlign w:val="center"/>
          </w:tcPr>
          <w:p w14:paraId="0863523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auto"/>
              <w:ind w:left="0" w:right="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zh-CN"/>
              </w:rPr>
              <w:t>客观评审</w:t>
            </w:r>
          </w:p>
        </w:tc>
      </w:tr>
      <w:tr w14:paraId="3C6C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0B3BE3D1">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6863" w:type="dxa"/>
            <w:noWrap w:val="0"/>
            <w:vAlign w:val="center"/>
          </w:tcPr>
          <w:p w14:paraId="7A7FD13C">
            <w:pPr>
              <w:keepNext w:val="0"/>
              <w:keepLines w:val="0"/>
              <w:pageBreakBefore w:val="0"/>
              <w:numPr>
                <w:ilvl w:val="0"/>
                <w:numId w:val="4"/>
              </w:numPr>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供货方案（5分）：</w:t>
            </w:r>
          </w:p>
          <w:p w14:paraId="2325705A">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根据供应商提供的供货方案，需包含但不限于以下要点：</w:t>
            </w:r>
            <w:r>
              <w:rPr>
                <w:rFonts w:hint="eastAsia" w:ascii="宋体" w:hAnsi="宋体" w:eastAsia="宋体" w:cs="宋体"/>
                <w:b/>
                <w:bCs w:val="0"/>
                <w:color w:val="auto"/>
                <w:kern w:val="0"/>
                <w:sz w:val="24"/>
                <w:szCs w:val="24"/>
                <w:highlight w:val="none"/>
                <w:lang w:val="en-US" w:eastAsia="zh-CN"/>
              </w:rPr>
              <w:t>①供货期限；②交货方式；③供货保障流程；④供货流程要点；⑤供货实施步骤。</w:t>
            </w:r>
            <w:r>
              <w:rPr>
                <w:rFonts w:hint="eastAsia" w:ascii="宋体" w:hAnsi="宋体" w:eastAsia="宋体" w:cs="宋体"/>
                <w:bCs/>
                <w:color w:val="auto"/>
                <w:kern w:val="0"/>
                <w:sz w:val="24"/>
                <w:szCs w:val="24"/>
                <w:highlight w:val="none"/>
                <w:lang w:val="en-US" w:eastAsia="zh-CN"/>
              </w:rPr>
              <w:t>由评标委员会进行评议：</w:t>
            </w:r>
          </w:p>
          <w:p w14:paraId="6772EF2B">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eastAsia" w:ascii="宋体" w:hAnsi="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lang w:val="en-US" w:eastAsia="zh-CN"/>
              </w:rPr>
              <w:t>供货期完全满足招标文件要求，交货方式切合实际，供货保障流程合理且供货流程要点明确，供货实施步骤清晰，能提供有针对性的服务措施的得5分；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2）供货期满足招标文件要求，交货方式切合实际，供货保障流程合理且供货流程要点明确，供货实施步骤清晰，能提供比较有针对性的服务措施的得4分；</w:t>
            </w:r>
          </w:p>
          <w:p w14:paraId="19C19F99">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3）方案内容符合本项目的供货要求，实行上基本合理可行的得3分；</w:t>
            </w:r>
          </w:p>
          <w:p w14:paraId="06D527F9">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4）方案内容基本符合本项目的供货要求，但是实行上略有欠缺的得2分；</w:t>
            </w:r>
          </w:p>
          <w:p w14:paraId="2116B0F7">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5）方案内容不完整，内容不充分，与本项目货物供应要求有差距的得1分；</w:t>
            </w:r>
          </w:p>
          <w:p w14:paraId="7FE02895">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6）未提供相关内容的不得分。</w:t>
            </w:r>
          </w:p>
        </w:tc>
        <w:tc>
          <w:tcPr>
            <w:tcW w:w="705" w:type="dxa"/>
            <w:noWrap w:val="0"/>
            <w:vAlign w:val="center"/>
          </w:tcPr>
          <w:p w14:paraId="1558535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705" w:type="dxa"/>
            <w:noWrap w:val="0"/>
            <w:vAlign w:val="center"/>
          </w:tcPr>
          <w:p w14:paraId="5F5168F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auto"/>
              <w:ind w:left="0" w:right="0"/>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主观评审</w:t>
            </w:r>
          </w:p>
        </w:tc>
      </w:tr>
      <w:tr w14:paraId="7C65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62" w:type="dxa"/>
            <w:vMerge w:val="continue"/>
            <w:noWrap w:val="0"/>
            <w:vAlign w:val="center"/>
          </w:tcPr>
          <w:p w14:paraId="0FFA0CEC">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7CCD65EF">
            <w:pPr>
              <w:keepNext w:val="0"/>
              <w:keepLines w:val="0"/>
              <w:pageBreakBefore w:val="0"/>
              <w:numPr>
                <w:ilvl w:val="0"/>
                <w:numId w:val="4"/>
              </w:numPr>
              <w:suppressLineNumbers w:val="0"/>
              <w:kinsoku/>
              <w:wordWrap/>
              <w:overflowPunct/>
              <w:topLinePunct w:val="0"/>
              <w:bidi w:val="0"/>
              <w:adjustRightInd/>
              <w:snapToGrid/>
              <w:spacing w:before="0" w:beforeAutospacing="0" w:after="0" w:afterAutospacing="0" w:line="260" w:lineRule="auto"/>
              <w:ind w:left="0" w:leftChars="0" w:right="0" w:firstLine="0" w:firstLineChars="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安装与验收方案（5分）：</w:t>
            </w:r>
          </w:p>
          <w:p w14:paraId="0DFB58E1">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根据供应商提供的安装与验收方案，需包含但不限于以下要点：</w:t>
            </w:r>
            <w:r>
              <w:rPr>
                <w:rFonts w:hint="eastAsia" w:ascii="宋体" w:hAnsi="宋体" w:eastAsia="宋体" w:cs="宋体"/>
                <w:b/>
                <w:bCs w:val="0"/>
                <w:color w:val="auto"/>
                <w:kern w:val="0"/>
                <w:sz w:val="24"/>
                <w:szCs w:val="24"/>
                <w:highlight w:val="none"/>
                <w:lang w:val="en-US" w:eastAsia="zh-CN"/>
              </w:rPr>
              <w:t>①安装方案；②安装人员配置；③调试要求；④开箱测试方式；⑤产品验收方案。</w:t>
            </w:r>
            <w:r>
              <w:rPr>
                <w:rFonts w:hint="eastAsia" w:ascii="宋体" w:hAnsi="宋体" w:eastAsia="宋体" w:cs="宋体"/>
                <w:bCs/>
                <w:color w:val="auto"/>
                <w:kern w:val="0"/>
                <w:sz w:val="24"/>
                <w:szCs w:val="24"/>
                <w:highlight w:val="none"/>
                <w:lang w:val="en-US" w:eastAsia="zh-CN"/>
              </w:rPr>
              <w:t>由评标委员会进行评议：</w:t>
            </w:r>
          </w:p>
          <w:p w14:paraId="5A832128">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1）安装方案得当，安装人员配置贴合实际需求，调试要求明确，且开箱测试方式科学，产品验收方案合理，能确保货物正常安装及验收的得5分；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2）安装方案及安装人员配置基本贴合实际需求，调试要求基本明确，开箱测试方式和产品验收方案基本合理可行的得4分；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3）安装方案及安装人员配置基本符合采购人实际，但调试要求不够明确、开箱测试方式和产品验收方案不够可行的得3分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4）安装与验收方案不够符合项目实际要求，且存在一定缺项的得2分；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5）安装与验收方案存在明显缺项，实行上有困难的得1分；</w:t>
            </w:r>
          </w:p>
          <w:p w14:paraId="76D6E24A">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6）未提供相关内容的不得分。</w:t>
            </w:r>
          </w:p>
        </w:tc>
        <w:tc>
          <w:tcPr>
            <w:tcW w:w="705" w:type="dxa"/>
            <w:noWrap w:val="0"/>
            <w:vAlign w:val="center"/>
          </w:tcPr>
          <w:p w14:paraId="57000B9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705" w:type="dxa"/>
            <w:noWrap w:val="0"/>
            <w:vAlign w:val="center"/>
          </w:tcPr>
          <w:p w14:paraId="5E70072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eastAsia="zh-CN"/>
              </w:rPr>
              <w:t>主观评审</w:t>
            </w:r>
          </w:p>
        </w:tc>
      </w:tr>
      <w:tr w14:paraId="15C9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8" w:hRule="atLeast"/>
          <w:jc w:val="center"/>
        </w:trPr>
        <w:tc>
          <w:tcPr>
            <w:tcW w:w="1262" w:type="dxa"/>
            <w:vMerge w:val="continue"/>
            <w:noWrap w:val="0"/>
            <w:vAlign w:val="center"/>
          </w:tcPr>
          <w:p w14:paraId="69EEA0CF">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2C394B17">
            <w:pPr>
              <w:keepNext w:val="0"/>
              <w:keepLines w:val="0"/>
              <w:pageBreakBefore w:val="0"/>
              <w:numPr>
                <w:ilvl w:val="0"/>
                <w:numId w:val="4"/>
              </w:numPr>
              <w:suppressLineNumbers w:val="0"/>
              <w:kinsoku/>
              <w:wordWrap/>
              <w:overflowPunct/>
              <w:topLinePunct w:val="0"/>
              <w:bidi w:val="0"/>
              <w:snapToGrid/>
              <w:spacing w:before="0" w:beforeAutospacing="0" w:after="0" w:afterAutospacing="0" w:line="260" w:lineRule="auto"/>
              <w:ind w:left="0" w:leftChars="0" w:right="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服务承诺（5分）：</w:t>
            </w:r>
          </w:p>
          <w:p w14:paraId="4A298261">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供应商需结合自身实际提供服务承诺，需包含但不限于以下要点：</w:t>
            </w:r>
            <w:r>
              <w:rPr>
                <w:rFonts w:hint="eastAsia" w:ascii="宋体" w:hAnsi="宋体" w:eastAsia="宋体" w:cs="宋体"/>
                <w:b/>
                <w:bCs w:val="0"/>
                <w:color w:val="auto"/>
                <w:kern w:val="0"/>
                <w:sz w:val="24"/>
                <w:szCs w:val="24"/>
                <w:highlight w:val="none"/>
                <w:lang w:val="en-US" w:eastAsia="zh-CN"/>
              </w:rPr>
              <w:t>①服务方式；②服务响应时间；③技术支持；④服务体系；⑤退换货品承诺。</w:t>
            </w:r>
            <w:r>
              <w:rPr>
                <w:rFonts w:hint="eastAsia" w:ascii="宋体" w:hAnsi="宋体" w:eastAsia="宋体" w:cs="宋体"/>
                <w:bCs/>
                <w:color w:val="auto"/>
                <w:kern w:val="0"/>
                <w:sz w:val="24"/>
                <w:szCs w:val="24"/>
                <w:highlight w:val="none"/>
                <w:lang w:val="en-US" w:eastAsia="zh-CN"/>
              </w:rPr>
              <w:t>由评标委员会进行评议：</w:t>
            </w:r>
          </w:p>
          <w:p w14:paraId="5116E1AF">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1）各项服务承诺能与采购人实际相结合，能提供实质性承诺及保障措施，能有效保证货物正常使用的得5分；</w:t>
            </w:r>
          </w:p>
          <w:p w14:paraId="47B6339D">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2）各项服务承诺与采购人实际基本相结合，但承诺及保障只能基本符合货物实际使用情况，基本满足采购人使用要求的得4分；</w:t>
            </w:r>
          </w:p>
          <w:p w14:paraId="0FA7F0ED">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3）各项服务承诺与采购人实际欠符合，承诺及保障欠符合货物实际使用情况，不够满足采购人使用要求的得3分；</w:t>
            </w:r>
          </w:p>
          <w:p w14:paraId="3D8A98B4">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4）服务承诺和保障措施不够符合项目实际要求，且存在一定缺项的得2分；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5）服务承诺和保障措施与采购人实际需求存在巨大偏差，会严重影响货物正常使用的得1分。</w:t>
            </w:r>
          </w:p>
          <w:p w14:paraId="2CAB10FB">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6）未提供相关内容的不得分。</w:t>
            </w:r>
          </w:p>
        </w:tc>
        <w:tc>
          <w:tcPr>
            <w:tcW w:w="705" w:type="dxa"/>
            <w:noWrap w:val="0"/>
            <w:vAlign w:val="center"/>
          </w:tcPr>
          <w:p w14:paraId="41FACB79">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noWrap w:val="0"/>
            <w:vAlign w:val="center"/>
          </w:tcPr>
          <w:p w14:paraId="0ECF47FB">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14:paraId="430D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0A72B175">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56E5D4A8">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5、质保期方案（4分）：</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bCs/>
                <w:color w:val="auto"/>
                <w:kern w:val="0"/>
                <w:sz w:val="24"/>
                <w:szCs w:val="24"/>
                <w:highlight w:val="none"/>
                <w:lang w:val="en-US" w:eastAsia="zh-CN"/>
              </w:rPr>
              <w:t>供应商需结合自身实际提供质保期方案，需包含但不限于以下要点：</w:t>
            </w:r>
            <w:r>
              <w:rPr>
                <w:rFonts w:hint="eastAsia" w:ascii="宋体" w:hAnsi="宋体" w:eastAsia="宋体" w:cs="宋体"/>
                <w:b/>
                <w:bCs w:val="0"/>
                <w:color w:val="auto"/>
                <w:kern w:val="0"/>
                <w:sz w:val="24"/>
                <w:szCs w:val="24"/>
                <w:highlight w:val="none"/>
                <w:lang w:val="en-US" w:eastAsia="zh-CN"/>
              </w:rPr>
              <w:t>①质保期内定期服务方案；②巡检服务方案；③售后服务保障；④售后服务机构的设置。</w:t>
            </w:r>
            <w:r>
              <w:rPr>
                <w:rFonts w:hint="eastAsia" w:ascii="宋体" w:hAnsi="宋体" w:eastAsia="宋体" w:cs="宋体"/>
                <w:bCs/>
                <w:color w:val="auto"/>
                <w:kern w:val="0"/>
                <w:sz w:val="24"/>
                <w:szCs w:val="24"/>
                <w:highlight w:val="none"/>
                <w:lang w:val="en-US" w:eastAsia="zh-CN"/>
              </w:rPr>
              <w:t>由评委进行综合评议：</w:t>
            </w:r>
          </w:p>
          <w:p w14:paraId="0D66E7BD">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1）质保期内定期服务和巡检服务方案合理，售后服务有保障且有相应的售后服务机构，能有效提高货物使用体验，服务目标明确清晰的得4分；</w:t>
            </w:r>
          </w:p>
          <w:p w14:paraId="1C79CE89">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2）方案内容符合采购人实际需求，不影响服务质量，运作流程设计较为合理，有一定针对性的得3分；</w:t>
            </w:r>
          </w:p>
          <w:p w14:paraId="3147035B">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3）方案内容基本符合采购人实际需求，但有可能影响服务质量，运作流程设计较为合理，针对性不强的得2分；</w:t>
            </w:r>
          </w:p>
          <w:p w14:paraId="72EBCD0F">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4）方案内容不完整，内容不充分，与本项目实际需求有差距的得1分；</w:t>
            </w:r>
          </w:p>
          <w:p w14:paraId="442B6BD5">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5）未提供相关内容的不得分。</w:t>
            </w:r>
          </w:p>
        </w:tc>
        <w:tc>
          <w:tcPr>
            <w:tcW w:w="705" w:type="dxa"/>
            <w:noWrap w:val="0"/>
            <w:vAlign w:val="center"/>
          </w:tcPr>
          <w:p w14:paraId="2F18CDB7">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05" w:type="dxa"/>
            <w:noWrap w:val="0"/>
            <w:vAlign w:val="center"/>
          </w:tcPr>
          <w:p w14:paraId="5A80CA1E">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14:paraId="6A6C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5F845701">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765086FD">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6、服务人员方案（3分）：</w:t>
            </w:r>
          </w:p>
          <w:p w14:paraId="4D01B0B9">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供应商需结合自身实际提供售后服务机构技术服务人员情况（提供姓名、工作经验、资质证书情况），需包含但不限于以下要点：</w:t>
            </w:r>
            <w:r>
              <w:rPr>
                <w:rFonts w:hint="eastAsia" w:ascii="宋体" w:hAnsi="宋体" w:eastAsia="宋体" w:cs="宋体"/>
                <w:b/>
                <w:bCs w:val="0"/>
                <w:color w:val="auto"/>
                <w:kern w:val="0"/>
                <w:sz w:val="24"/>
                <w:szCs w:val="24"/>
                <w:highlight w:val="none"/>
                <w:lang w:val="en-US" w:eastAsia="zh-CN"/>
              </w:rPr>
              <w:t>①人员经验；②人员资质证书；③人员数量。</w:t>
            </w:r>
            <w:r>
              <w:rPr>
                <w:rFonts w:hint="eastAsia" w:ascii="宋体" w:hAnsi="宋体" w:eastAsia="宋体" w:cs="宋体"/>
                <w:bCs/>
                <w:color w:val="auto"/>
                <w:kern w:val="0"/>
                <w:sz w:val="24"/>
                <w:szCs w:val="24"/>
                <w:highlight w:val="none"/>
                <w:lang w:val="en-US" w:eastAsia="zh-CN"/>
              </w:rPr>
              <w:t>由评标委员会进行评议：</w:t>
            </w:r>
          </w:p>
          <w:p w14:paraId="675CABBE">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1）人员配置合理、人员经验丰富且人员整体素质良好，能顺利完成售后任务的得3分；</w:t>
            </w:r>
          </w:p>
          <w:p w14:paraId="76D07E2F">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2）人员配置基本合理、人员经验及人员整体素质一般，基本能顺利完成售后任务的得2分；</w:t>
            </w:r>
          </w:p>
          <w:p w14:paraId="7E9E271D">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3）人员配置存在缺陷有待改进，实行上略有欠缺的得1分；</w:t>
            </w:r>
          </w:p>
          <w:p w14:paraId="630DF067">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4）未提供相关内容的不得分。</w:t>
            </w:r>
          </w:p>
        </w:tc>
        <w:tc>
          <w:tcPr>
            <w:tcW w:w="705" w:type="dxa"/>
            <w:noWrap w:val="0"/>
            <w:vAlign w:val="center"/>
          </w:tcPr>
          <w:p w14:paraId="0B31E76F">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05" w:type="dxa"/>
            <w:noWrap w:val="0"/>
            <w:vAlign w:val="center"/>
          </w:tcPr>
          <w:p w14:paraId="7F452CFA">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主观评审</w:t>
            </w:r>
          </w:p>
        </w:tc>
      </w:tr>
      <w:tr w14:paraId="0E12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02DE0458">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49515019">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7、培训方案（5分）：</w:t>
            </w:r>
          </w:p>
          <w:p w14:paraId="24344499">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根据供应商提供的培训方案，需包含但不限于以下要点：</w:t>
            </w:r>
            <w:r>
              <w:rPr>
                <w:rFonts w:hint="eastAsia" w:ascii="宋体" w:hAnsi="宋体" w:eastAsia="宋体" w:cs="宋体"/>
                <w:b/>
                <w:bCs/>
                <w:color w:val="auto"/>
                <w:kern w:val="0"/>
                <w:sz w:val="24"/>
                <w:szCs w:val="24"/>
                <w:highlight w:val="none"/>
                <w:lang w:val="en-US" w:eastAsia="zh-CN" w:bidi="ar-SA"/>
              </w:rPr>
              <w:t>①培训时间安排；②培训内容；③培训师资力量；④培训次数；⑤培训场地安排。</w:t>
            </w:r>
            <w:r>
              <w:rPr>
                <w:rFonts w:hint="eastAsia" w:ascii="宋体" w:hAnsi="宋体" w:eastAsia="宋体" w:cs="宋体"/>
                <w:color w:val="auto"/>
                <w:kern w:val="0"/>
                <w:sz w:val="24"/>
                <w:szCs w:val="24"/>
                <w:highlight w:val="none"/>
                <w:lang w:val="en-US" w:eastAsia="zh-CN" w:bidi="ar-SA"/>
              </w:rPr>
              <w:t>由评标委员会进行评议：</w:t>
            </w:r>
          </w:p>
          <w:p w14:paraId="4DDFCD80">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1）人员培训方案与采购人实际相结合，培训时间安排合理，培训内容符合货物使用要求，培训次数能确保设备实际使用人灵活使用且场地安排合理的得5分；</w:t>
            </w:r>
          </w:p>
          <w:p w14:paraId="086094F9">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2）人员培训方案与采购人实际相结合，培训时间安排较合理，培训内容较符合货物使用要求，培训次数能确保设备实际使用人灵活使用且场地安排较合理的得4分；</w:t>
            </w:r>
          </w:p>
          <w:p w14:paraId="07E2240E">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3）人员培训方案时间安排基本合理，培训内容基本符合货物使用要求，培训次数基本能确保设备实际使用人操作的得3分；</w:t>
            </w:r>
          </w:p>
          <w:p w14:paraId="11B02550">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4）人员培训方案不够符合采购需求，培训内容缺少针对性内容的得2分；</w:t>
            </w:r>
          </w:p>
          <w:p w14:paraId="66287DB9">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5）人员培训方案没有结合采购需求，培训内容敷衍，没有相应培训场地且培训时间不合理的得1分；</w:t>
            </w:r>
          </w:p>
          <w:p w14:paraId="2CB29EB9">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6）未提供相关内容的不得分。</w:t>
            </w:r>
          </w:p>
        </w:tc>
        <w:tc>
          <w:tcPr>
            <w:tcW w:w="705" w:type="dxa"/>
            <w:noWrap w:val="0"/>
            <w:vAlign w:val="center"/>
          </w:tcPr>
          <w:p w14:paraId="5AF5FC02">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noWrap w:val="0"/>
            <w:vAlign w:val="center"/>
          </w:tcPr>
          <w:p w14:paraId="2FB1059F">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14:paraId="7886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5686350C">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0544FF30">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8、维修成本方案（5分）：</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根据供应商提供的维修成本方案，需包含但不限于以下要点</w:t>
            </w:r>
            <w:r>
              <w:rPr>
                <w:rFonts w:hint="eastAsia" w:ascii="宋体" w:hAnsi="宋体" w:eastAsia="宋体" w:cs="宋体"/>
                <w:b/>
                <w:bCs/>
                <w:color w:val="auto"/>
                <w:kern w:val="0"/>
                <w:sz w:val="24"/>
                <w:szCs w:val="24"/>
                <w:highlight w:val="none"/>
                <w:lang w:val="en-US" w:eastAsia="zh-CN"/>
              </w:rPr>
              <w:t>：①出保后全保的价格；②设备配件价格；③维修（技术）服务费；④维修完成时间；⑤维修质量的保障。</w:t>
            </w:r>
            <w:r>
              <w:rPr>
                <w:rFonts w:hint="eastAsia" w:ascii="宋体" w:hAnsi="宋体" w:eastAsia="宋体" w:cs="宋体"/>
                <w:color w:val="auto"/>
                <w:kern w:val="0"/>
                <w:sz w:val="24"/>
                <w:szCs w:val="24"/>
                <w:highlight w:val="none"/>
                <w:lang w:val="en-US" w:eastAsia="zh-CN"/>
              </w:rPr>
              <w:t>由评标委员会进行评议：</w:t>
            </w:r>
          </w:p>
          <w:p w14:paraId="53ADA1A7">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1）维修成本方案与货物实际相结合，提供的出保后全保的价格、设备配件价格、维修服务费合理，维修完成时间及时且能保障维修质量的得5分；</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2）提供的出保后全保的价格、设备配件价格及维修服务费较合理，维修完成时间及时且能保障维修质量的得4分；</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3）出保后全保的价格、设备配件价格及维修服务费基本合理，维修完成时间及时，维修质量不影响设备使用的得3分；</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4）未能明确阐述维修的各项价格，维修人员配备存在缺陷，有待改进的得2分；</w:t>
            </w:r>
          </w:p>
          <w:p w14:paraId="257E2A77">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5）维修成本方案不合理，无法确保货物故障后及时维修完成正常使用得1分；</w:t>
            </w:r>
          </w:p>
          <w:p w14:paraId="5C1970A7">
            <w:pPr>
              <w:keepNext w:val="0"/>
              <w:keepLines w:val="0"/>
              <w:pageBreakBefore w:val="0"/>
              <w:suppressLineNumbers w:val="0"/>
              <w:kinsoku/>
              <w:wordWrap/>
              <w:overflowPunct/>
              <w:topLinePunct w:val="0"/>
              <w:bidi w:val="0"/>
              <w:snapToGrid/>
              <w:spacing w:before="0" w:beforeAutospacing="0" w:after="0" w:afterAutospacing="0" w:line="260"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6）未提供相关内容的不得分。</w:t>
            </w:r>
          </w:p>
        </w:tc>
        <w:tc>
          <w:tcPr>
            <w:tcW w:w="705" w:type="dxa"/>
            <w:noWrap w:val="0"/>
            <w:vAlign w:val="center"/>
          </w:tcPr>
          <w:p w14:paraId="21E8D661">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noWrap w:val="0"/>
            <w:vAlign w:val="center"/>
          </w:tcPr>
          <w:p w14:paraId="278259A4">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主观评审</w:t>
            </w:r>
          </w:p>
        </w:tc>
      </w:tr>
      <w:tr w14:paraId="07A2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62" w:type="dxa"/>
            <w:vMerge w:val="continue"/>
            <w:noWrap w:val="0"/>
            <w:vAlign w:val="center"/>
          </w:tcPr>
          <w:p w14:paraId="4988C651">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04A3085A">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9、同类设备销售业绩（3分）：</w:t>
            </w:r>
          </w:p>
          <w:p w14:paraId="7525682A">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2021年1月1日(以合同签订日期为准）以来，每提供一个所投产品同型号设备销售业绩合同的得1分，满分3分。对省级以上主管部门认定的首台套产品，自纳入《省推广应用指导目录》起三年内参加政府采购活动，视同已具备相应销售业绩，业绩分为满分。</w:t>
            </w:r>
          </w:p>
          <w:p w14:paraId="3FBB90FA">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注：1）投标文件中提供所投产品同型号设备合同复印件并加盖供应商公章，未提供的或未按要求盖章的视为无效业绩。2）如供应商提供的设备为首台套产品，须在投标文件中提供相应的证明材料，未提供或无法证明的视为无效。</w:t>
            </w:r>
          </w:p>
        </w:tc>
        <w:tc>
          <w:tcPr>
            <w:tcW w:w="705" w:type="dxa"/>
            <w:noWrap w:val="0"/>
            <w:vAlign w:val="center"/>
          </w:tcPr>
          <w:p w14:paraId="7816706E">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705" w:type="dxa"/>
            <w:noWrap w:val="0"/>
            <w:vAlign w:val="center"/>
          </w:tcPr>
          <w:p w14:paraId="2CBABCD2">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客观评审</w:t>
            </w:r>
          </w:p>
        </w:tc>
      </w:tr>
      <w:tr w14:paraId="5A35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262" w:type="dxa"/>
            <w:vMerge w:val="continue"/>
            <w:noWrap w:val="0"/>
            <w:vAlign w:val="center"/>
          </w:tcPr>
          <w:p w14:paraId="535EF14A">
            <w:pPr>
              <w:keepNext w:val="0"/>
              <w:keepLines w:val="0"/>
              <w:pageBreakBefore w:val="0"/>
              <w:suppressLineNumbers w:val="0"/>
              <w:kinsoku/>
              <w:wordWrap/>
              <w:overflowPunct/>
              <w:topLinePunct w:val="0"/>
              <w:bidi w:val="0"/>
              <w:adjustRightInd/>
              <w:snapToGrid/>
              <w:spacing w:before="0" w:beforeAutospacing="0" w:after="0" w:afterAutospacing="0" w:line="260" w:lineRule="auto"/>
              <w:ind w:left="0" w:right="0"/>
              <w:textAlignment w:val="auto"/>
              <w:rPr>
                <w:rFonts w:hint="eastAsia" w:ascii="宋体" w:hAnsi="宋体" w:eastAsia="宋体" w:cs="宋体"/>
                <w:color w:val="auto"/>
                <w:sz w:val="24"/>
                <w:szCs w:val="24"/>
                <w:highlight w:val="none"/>
              </w:rPr>
            </w:pPr>
          </w:p>
        </w:tc>
        <w:tc>
          <w:tcPr>
            <w:tcW w:w="6863" w:type="dxa"/>
            <w:noWrap w:val="0"/>
            <w:vAlign w:val="center"/>
          </w:tcPr>
          <w:p w14:paraId="7C195C9B">
            <w:pPr>
              <w:keepNext w:val="0"/>
              <w:keepLines w:val="0"/>
              <w:pageBreakBefore w:val="0"/>
              <w:widowControl/>
              <w:suppressLineNumbers w:val="0"/>
              <w:kinsoku/>
              <w:wordWrap/>
              <w:overflowPunct/>
              <w:topLinePunct w:val="0"/>
              <w:bidi w:val="0"/>
              <w:snapToGrid/>
              <w:spacing w:before="0" w:beforeAutospacing="0" w:after="0" w:afterAutospacing="0" w:line="260" w:lineRule="auto"/>
              <w:ind w:left="0" w:right="0"/>
              <w:jc w:val="both"/>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10、政策加分（2分）：</w:t>
            </w:r>
          </w:p>
          <w:p w14:paraId="2DA505C4">
            <w:pPr>
              <w:keepNext w:val="0"/>
              <w:keepLines w:val="0"/>
              <w:pageBreakBefore w:val="0"/>
              <w:widowControl/>
              <w:suppressLineNumbers w:val="0"/>
              <w:kinsoku/>
              <w:wordWrap/>
              <w:overflowPunct/>
              <w:topLinePunct w:val="0"/>
              <w:bidi w:val="0"/>
              <w:adjustRightInd/>
              <w:snapToGrid/>
              <w:spacing w:before="0" w:beforeAutospacing="0" w:after="0" w:afterAutospacing="0" w:line="26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投标产品属于《节能产品政府采购品目清单》范围的且具有国家确定的认证机构出具的、处于有效期之内的节能产品认证证书的得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777902A9">
            <w:pPr>
              <w:keepNext w:val="0"/>
              <w:keepLines w:val="0"/>
              <w:pageBreakBefore w:val="0"/>
              <w:widowControl/>
              <w:suppressLineNumbers w:val="0"/>
              <w:kinsoku/>
              <w:wordWrap/>
              <w:overflowPunct/>
              <w:topLinePunct w:val="0"/>
              <w:bidi w:val="0"/>
              <w:adjustRightInd/>
              <w:snapToGrid/>
              <w:spacing w:before="0" w:beforeAutospacing="0" w:after="0" w:afterAutospacing="0" w:line="26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投标产品属于《环境标志产品政府采购品目清单》范围的且具有国家确定的认证机构出具的、处于有效期之内的环境标志产品认证证书的得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3D5E2C09">
            <w:pPr>
              <w:keepNext w:val="0"/>
              <w:keepLines w:val="0"/>
              <w:pageBreakBefore w:val="0"/>
              <w:widowControl/>
              <w:suppressLineNumbers w:val="0"/>
              <w:kinsoku/>
              <w:wordWrap/>
              <w:overflowPunct/>
              <w:topLinePunct w:val="0"/>
              <w:bidi w:val="0"/>
              <w:adjustRightInd/>
              <w:snapToGrid/>
              <w:spacing w:before="0" w:beforeAutospacing="0" w:after="0" w:afterAutospacing="0" w:line="26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注：投标文件中必须同时提供以下资料：</w:t>
            </w:r>
          </w:p>
          <w:p w14:paraId="403F8159">
            <w:pPr>
              <w:keepNext w:val="0"/>
              <w:keepLines w:val="0"/>
              <w:pageBreakBefore w:val="0"/>
              <w:widowControl/>
              <w:suppressLineNumbers w:val="0"/>
              <w:kinsoku/>
              <w:wordWrap/>
              <w:overflowPunct/>
              <w:topLinePunct w:val="0"/>
              <w:bidi w:val="0"/>
              <w:adjustRightInd/>
              <w:snapToGrid/>
              <w:spacing w:before="0" w:beforeAutospacing="0" w:after="0" w:afterAutospacing="0" w:line="26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0C8D4B4D">
            <w:pPr>
              <w:keepNext w:val="0"/>
              <w:keepLines w:val="0"/>
              <w:pageBreakBefore w:val="0"/>
              <w:widowControl w:val="0"/>
              <w:suppressLineNumbers w:val="0"/>
              <w:kinsoku/>
              <w:wordWrap/>
              <w:overflowPunct/>
              <w:topLinePunct w:val="0"/>
              <w:bidi w:val="0"/>
              <w:adjustRightInd/>
              <w:snapToGrid/>
              <w:spacing w:before="0" w:beforeAutospacing="0" w:after="0" w:afterAutospacing="0" w:line="260" w:lineRule="auto"/>
              <w:ind w:left="0" w:leftChars="0" w:right="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（2）《市场监管总局关于发布参与实施政府采购节能产品、环境标志产品认证机构名录的公告》中的认证机构出具的、处于有效期之内的节能产品/环境标志产品认证证书复印件并加盖公章。</w:t>
            </w:r>
          </w:p>
        </w:tc>
        <w:tc>
          <w:tcPr>
            <w:tcW w:w="705" w:type="dxa"/>
            <w:noWrap w:val="0"/>
            <w:vAlign w:val="center"/>
          </w:tcPr>
          <w:p w14:paraId="58FDCF0B">
            <w:pPr>
              <w:keepNext w:val="0"/>
              <w:keepLines w:val="0"/>
              <w:pageBreakBefore w:val="0"/>
              <w:widowControl w:val="0"/>
              <w:suppressLineNumbers w:val="0"/>
              <w:kinsoku/>
              <w:wordWrap/>
              <w:overflowPunct/>
              <w:topLinePunct w:val="0"/>
              <w:bidi w:val="0"/>
              <w:adjustRightInd/>
              <w:snapToGrid/>
              <w:spacing w:before="0" w:beforeAutospacing="0" w:after="0" w:afterAutospacing="0" w:line="26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p>
        </w:tc>
        <w:tc>
          <w:tcPr>
            <w:tcW w:w="705" w:type="dxa"/>
            <w:noWrap w:val="0"/>
            <w:vAlign w:val="center"/>
          </w:tcPr>
          <w:p w14:paraId="7FAAB35D">
            <w:pPr>
              <w:keepNext w:val="0"/>
              <w:keepLines w:val="0"/>
              <w:pageBreakBefore w:val="0"/>
              <w:widowControl w:val="0"/>
              <w:suppressLineNumbers w:val="0"/>
              <w:kinsoku/>
              <w:wordWrap/>
              <w:overflowPunct/>
              <w:topLinePunct w:val="0"/>
              <w:bidi w:val="0"/>
              <w:adjustRightInd/>
              <w:snapToGrid/>
              <w:spacing w:before="0" w:beforeAutospacing="0" w:after="0" w:afterAutospacing="0" w:line="260" w:lineRule="auto"/>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客观评审</w:t>
            </w:r>
          </w:p>
        </w:tc>
      </w:tr>
      <w:tr w14:paraId="11C1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125" w:type="dxa"/>
            <w:gridSpan w:val="2"/>
            <w:noWrap w:val="0"/>
            <w:vAlign w:val="center"/>
          </w:tcPr>
          <w:p w14:paraId="1AF91993">
            <w:pPr>
              <w:keepNext w:val="0"/>
              <w:keepLines w:val="0"/>
              <w:pageBreakBefore w:val="0"/>
              <w:widowControl w:val="0"/>
              <w:suppressLineNumbers w:val="0"/>
              <w:kinsoku/>
              <w:wordWrap/>
              <w:overflowPunct/>
              <w:topLinePunct w:val="0"/>
              <w:bidi w:val="0"/>
              <w:adjustRightInd/>
              <w:snapToGrid/>
              <w:spacing w:before="0" w:beforeAutospacing="0" w:after="0" w:afterAutospacing="0" w:line="260" w:lineRule="auto"/>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合计（100分）</w:t>
            </w:r>
          </w:p>
        </w:tc>
        <w:tc>
          <w:tcPr>
            <w:tcW w:w="1410" w:type="dxa"/>
            <w:gridSpan w:val="2"/>
            <w:noWrap w:val="0"/>
            <w:vAlign w:val="center"/>
          </w:tcPr>
          <w:p w14:paraId="79EC0C31">
            <w:pPr>
              <w:keepNext w:val="0"/>
              <w:keepLines w:val="0"/>
              <w:pageBreakBefore w:val="0"/>
              <w:widowControl w:val="0"/>
              <w:suppressLineNumbers w:val="0"/>
              <w:kinsoku/>
              <w:wordWrap/>
              <w:overflowPunct/>
              <w:topLinePunct w:val="0"/>
              <w:bidi w:val="0"/>
              <w:adjustRightInd/>
              <w:snapToGrid/>
              <w:spacing w:before="0" w:beforeAutospacing="0" w:after="0" w:afterAutospacing="0" w:line="260" w:lineRule="auto"/>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100分</w:t>
            </w:r>
          </w:p>
        </w:tc>
      </w:tr>
    </w:tbl>
    <w:p w14:paraId="7B938063">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4"/>
          <w:highlight w:val="none"/>
        </w:rPr>
      </w:pPr>
      <w:r>
        <w:rPr>
          <w:rFonts w:hint="eastAsia" w:ascii="宋体" w:hAnsi="宋体" w:cs="宋体"/>
          <w:b w:val="0"/>
          <w:bCs/>
          <w:color w:val="auto"/>
          <w:sz w:val="24"/>
          <w:highlight w:val="none"/>
        </w:rPr>
        <w:t>备注：</w:t>
      </w: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lang w:eastAsia="zh-CN"/>
        </w:rPr>
        <w:t>供应商</w:t>
      </w:r>
      <w:r>
        <w:rPr>
          <w:rFonts w:hint="eastAsia" w:ascii="宋体" w:hAnsi="宋体" w:cs="宋体"/>
          <w:b w:val="0"/>
          <w:bCs/>
          <w:color w:val="auto"/>
          <w:sz w:val="24"/>
          <w:highlight w:val="none"/>
        </w:rPr>
        <w:t>编制投标文件（商务技术文件部分）时，建议按此目录（序号和内容）提供评标标准相应的商务技术资料</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rPr>
        <w:t>、小数点后保留一位数。</w:t>
      </w: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、各评标委员会成员自行按以上参考分值评分。</w:t>
      </w: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rPr>
        <w:t>、重大事件由评标委员会集体讨论，应当按照少数服从多数的原则作出结论。</w:t>
      </w:r>
    </w:p>
    <w:p w14:paraId="35B3A1FC">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4"/>
          <w:highlight w:val="none"/>
        </w:rPr>
      </w:pPr>
      <w:r>
        <w:rPr>
          <w:rFonts w:hint="eastAsia" w:ascii="宋体" w:hAnsi="宋体" w:eastAsia="宋体" w:cs="宋体"/>
          <w:b/>
          <w:bCs/>
          <w:color w:val="auto"/>
          <w:sz w:val="32"/>
          <w:szCs w:val="40"/>
          <w:highlight w:val="none"/>
          <w:lang w:val="en-US" w:eastAsia="zh-CN" w:bidi="ar-SA"/>
        </w:rPr>
        <w:br w:type="page"/>
      </w:r>
    </w:p>
    <w:p w14:paraId="3363D4CE">
      <w:pPr>
        <w:kinsoku/>
        <w:wordWrap/>
        <w:overflowPunct/>
        <w:topLinePunct w:val="0"/>
        <w:bidi w:val="0"/>
        <w:snapToGrid w:val="0"/>
        <w:spacing w:line="360" w:lineRule="auto"/>
        <w:outlineLvl w:val="9"/>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F2728F9">
      <w:pPr>
        <w:kinsoku/>
        <w:wordWrap/>
        <w:overflowPunct/>
        <w:topLinePunct w:val="0"/>
        <w:bidi w:val="0"/>
        <w:adjustRightInd/>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为中标候选人的评标方法。</w:t>
      </w:r>
    </w:p>
    <w:p w14:paraId="76FC88B3">
      <w:pPr>
        <w:kinsoku/>
        <w:wordWrap/>
        <w:overflowPunct/>
        <w:topLinePunct w:val="0"/>
        <w:bidi w:val="0"/>
        <w:adjustRightInd/>
        <w:spacing w:line="360" w:lineRule="auto"/>
        <w:outlineLvl w:val="9"/>
        <w:rPr>
          <w:rFonts w:ascii="宋体" w:hAnsi="宋体" w:cs="宋体"/>
          <w:color w:val="auto"/>
          <w:kern w:val="0"/>
          <w:sz w:val="24"/>
          <w:highlight w:val="none"/>
        </w:rPr>
      </w:pPr>
      <w:r>
        <w:rPr>
          <w:rFonts w:hint="eastAsia" w:ascii="宋体" w:hAnsi="宋体" w:cs="宋体"/>
          <w:b/>
          <w:color w:val="auto"/>
          <w:sz w:val="32"/>
          <w:highlight w:val="none"/>
        </w:rPr>
        <w:t>二、评标标准</w:t>
      </w:r>
    </w:p>
    <w:p w14:paraId="0B610F04">
      <w:pPr>
        <w:kinsoku/>
        <w:wordWrap/>
        <w:overflowPunct/>
        <w:topLinePunct w:val="0"/>
        <w:bidi w:val="0"/>
        <w:spacing w:line="360" w:lineRule="auto"/>
        <w:ind w:firstLine="472" w:firstLineChars="196"/>
        <w:outlineLvl w:val="9"/>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E93E43B">
      <w:pPr>
        <w:kinsoku/>
        <w:wordWrap/>
        <w:overflowPunct/>
        <w:topLinePunct w:val="0"/>
        <w:bidi w:val="0"/>
        <w:spacing w:line="360" w:lineRule="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A7B862D">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的投标文件进行符合性审查，以确定其是否满足招标文件的实质性要求。不满足招标文件的实质性要求的，投标无效。</w:t>
      </w:r>
    </w:p>
    <w:p w14:paraId="405675EF">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1B54B90">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的商务和技术文件进行评价，并汇总商务技术得分情况。</w:t>
      </w:r>
    </w:p>
    <w:p w14:paraId="57BB1404">
      <w:pPr>
        <w:kinsoku/>
        <w:wordWrap/>
        <w:overflowPunct/>
        <w:topLinePunct w:val="0"/>
        <w:bidi w:val="0"/>
        <w:spacing w:line="360" w:lineRule="auto"/>
        <w:ind w:firstLine="472" w:firstLineChars="196"/>
        <w:outlineLvl w:val="9"/>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12826E7">
      <w:pPr>
        <w:pStyle w:val="132"/>
        <w:kinsoku/>
        <w:wordWrap/>
        <w:overflowPunct/>
        <w:topLinePunct w:val="0"/>
        <w:bidi w:val="0"/>
        <w:spacing w:before="0"/>
        <w:ind w:firstLine="508" w:firstLineChars="212"/>
        <w:outlineLvl w:val="9"/>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0D22338">
      <w:pPr>
        <w:pStyle w:val="132"/>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14:paraId="7DCB1D87">
      <w:pPr>
        <w:pStyle w:val="132"/>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150B2A00">
      <w:pPr>
        <w:pStyle w:val="132"/>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6D93426E">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27F7D7D">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确认后产生约束力。</w:t>
      </w:r>
    </w:p>
    <w:p w14:paraId="1C241EAA">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AC7009">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2F78D42">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3.4.4评标委员会认为</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的报价明显低于其他通过符合性审查</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的报价（低于项目预算50%的），有可能影响产品质量或者不能诚信履约的，应当要求其在合理的时间内提供书面说明，必要时提交相关证明材料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不能证明其报价合理性的，评标委员会应当将其作为无效投标处理。</w:t>
      </w:r>
    </w:p>
    <w:p w14:paraId="7FE904EB">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BEF7650">
      <w:pPr>
        <w:kinsoku/>
        <w:wordWrap/>
        <w:overflowPunct/>
        <w:topLinePunct w:val="0"/>
        <w:bidi w:val="0"/>
        <w:spacing w:line="360" w:lineRule="auto"/>
        <w:ind w:firstLine="482" w:firstLineChars="200"/>
        <w:outlineLvl w:val="9"/>
        <w:rPr>
          <w:rFonts w:hint="eastAsia" w:ascii="宋体" w:hAnsi="宋体" w:eastAsia="宋体" w:cs="宋体"/>
          <w:color w:val="auto"/>
          <w:kern w:val="0"/>
          <w:sz w:val="24"/>
          <w:highlight w:val="none"/>
          <w:lang w:val="en-US" w:eastAsia="zh-CN"/>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为排名第一的中标候选人。</w:t>
      </w:r>
      <w:r>
        <w:rPr>
          <w:rFonts w:hint="eastAsia" w:ascii="宋体" w:hAnsi="宋体" w:eastAsia="宋体" w:cs="宋体"/>
          <w:b/>
          <w:bCs/>
          <w:color w:val="auto"/>
          <w:kern w:val="0"/>
          <w:sz w:val="24"/>
          <w:highlight w:val="none"/>
          <w:lang w:val="en-US" w:eastAsia="zh-CN"/>
        </w:rPr>
        <w:t>有效投标供应商数量等于3家时，中标候选人数量为1家；有效投标供应商数量等于4家时，中标候选人数量为2家；有效投标供应商数量大于等于5家时，中标候选人数量为3家。</w:t>
      </w:r>
    </w:p>
    <w:p w14:paraId="65C9B39A">
      <w:pPr>
        <w:kinsoku/>
        <w:wordWrap/>
        <w:overflowPunct/>
        <w:topLinePunct w:val="0"/>
        <w:bidi w:val="0"/>
        <w:spacing w:line="360" w:lineRule="auto"/>
        <w:ind w:firstLine="480" w:firstLineChars="200"/>
        <w:outlineLvl w:val="9"/>
        <w:rPr>
          <w:rFonts w:ascii="宋体" w:hAnsi="宋体" w:cs="宋体"/>
          <w:b/>
          <w:color w:val="auto"/>
          <w:kern w:val="0"/>
          <w:sz w:val="24"/>
          <w:highlight w:val="none"/>
        </w:rPr>
      </w:pPr>
      <w:r>
        <w:rPr>
          <w:rFonts w:hint="eastAsia" w:ascii="宋体" w:hAnsi="宋体" w:cs="宋体"/>
          <w:color w:val="auto"/>
          <w:kern w:val="0"/>
          <w:sz w:val="24"/>
          <w:highlight w:val="none"/>
        </w:rPr>
        <w:t>多家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参加同一合同项下投标的，按一家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计算，评审后得分最高的同品牌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获得中标人推荐资格；评审得分相同的，采取随机抽取方式确定，其他同品牌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不作为中标候选人。</w:t>
      </w:r>
    </w:p>
    <w:p w14:paraId="3FF72234">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C74D40">
      <w:pPr>
        <w:widowControl/>
        <w:shd w:val="clear" w:color="auto"/>
        <w:kinsoku/>
        <w:wordWrap/>
        <w:overflowPunct/>
        <w:topLinePunct w:val="0"/>
        <w:bidi w:val="0"/>
        <w:adjustRightInd/>
        <w:spacing w:after="225" w:line="315" w:lineRule="atLeast"/>
        <w:jc w:val="left"/>
        <w:outlineLvl w:val="9"/>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B4C1F79">
      <w:pPr>
        <w:pStyle w:val="132"/>
        <w:kinsoku/>
        <w:wordWrap/>
        <w:overflowPunct/>
        <w:topLinePunct w:val="0"/>
        <w:bidi w:val="0"/>
        <w:spacing w:before="0"/>
        <w:ind w:firstLine="472" w:firstLineChars="196"/>
        <w:outlineLvl w:val="9"/>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eastAsia="zh-CN"/>
        </w:rPr>
        <w:t>供应商</w:t>
      </w:r>
      <w:r>
        <w:rPr>
          <w:rFonts w:hint="eastAsia" w:ascii="宋体" w:hAnsi="宋体" w:cs="宋体"/>
          <w:b/>
          <w:color w:val="auto"/>
          <w:kern w:val="0"/>
          <w:szCs w:val="24"/>
          <w:highlight w:val="none"/>
        </w:rPr>
        <w:t>澄清、说明或者补正。</w:t>
      </w:r>
      <w:r>
        <w:rPr>
          <w:rFonts w:hint="eastAsia" w:ascii="宋体" w:hAnsi="宋体" w:cs="宋体"/>
          <w:color w:val="auto"/>
          <w:kern w:val="0"/>
          <w:szCs w:val="24"/>
          <w:highlight w:val="none"/>
        </w:rPr>
        <w:t>对于投标文件中含义不明确、同类问题表述不一致或者有明显文字和计算错误的内容需要</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作出必要的澄清、说明或者补正的，评标委员会和</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通过电子交易平台交换数据电文，</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提交使用电子签名的相关数据电文或通过平台上传加盖公章的扫描件。给予</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提交澄清、说明或补正的时间不得少于半小时，</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已经明确表示澄清说明或补正完毕的除外。</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的澄清、说明或者补正不得超出投标文件的范围或者改变投标文件的实质性内容。</w:t>
      </w:r>
    </w:p>
    <w:p w14:paraId="501F6BE6">
      <w:pPr>
        <w:pStyle w:val="25"/>
        <w:kinsoku/>
        <w:wordWrap/>
        <w:overflowPunct/>
        <w:topLinePunct w:val="0"/>
        <w:bidi w:val="0"/>
        <w:spacing w:line="360" w:lineRule="auto"/>
        <w:ind w:left="954" w:leftChars="226" w:hanging="479" w:firstLineChars="0"/>
        <w:outlineLvl w:val="9"/>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88E93D5">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未提供有效的资格文件的，视为</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w:t>
      </w:r>
    </w:p>
    <w:p w14:paraId="3030AD72">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5931ADC">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相应的投标产品未获得国家确定的认证机构出具的、处于有效期之内的节能产品认证证书的；</w:t>
      </w:r>
    </w:p>
    <w:p w14:paraId="1E46D8D9">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AFF0C0C">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E8FE4C3">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4.2.6</w:t>
      </w:r>
      <w:r>
        <w:rPr>
          <w:rFonts w:hint="eastAsia" w:ascii="宋体" w:hAnsi="宋体" w:eastAsia="宋体" w:cs="宋体"/>
          <w:color w:val="auto"/>
          <w:kern w:val="0"/>
          <w:sz w:val="24"/>
          <w:highlight w:val="none"/>
        </w:rPr>
        <w:t>投标</w:t>
      </w:r>
      <w:r>
        <w:rPr>
          <w:rFonts w:hint="eastAsia" w:ascii="宋体" w:hAnsi="宋体" w:cs="宋体"/>
          <w:color w:val="auto"/>
          <w:kern w:val="0"/>
          <w:sz w:val="24"/>
          <w:highlight w:val="none"/>
        </w:rPr>
        <w:t>文件出现不是唯一的、有选择性投标报价的</w:t>
      </w:r>
      <w:r>
        <w:rPr>
          <w:rFonts w:hint="eastAsia" w:ascii="宋体" w:hAnsi="宋体" w:cs="宋体"/>
          <w:color w:val="auto"/>
          <w:kern w:val="0"/>
          <w:sz w:val="24"/>
          <w:highlight w:val="none"/>
          <w:lang w:eastAsia="zh-CN"/>
        </w:rPr>
        <w:t>；</w:t>
      </w:r>
    </w:p>
    <w:p w14:paraId="5DB3AD34">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46854B1E">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4.2.8报价明显低于其他通过符合性审查</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2F4A3689">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4.2.9</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对根据修正原则修正后的报价不确认的；</w:t>
      </w:r>
    </w:p>
    <w:p w14:paraId="688F059A">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4.2.10</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提供虚假材料投标的；</w:t>
      </w:r>
    </w:p>
    <w:p w14:paraId="3B648FB0">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有恶意串通、妨碍其他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的竞争行为、损害采购人或者其他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的合法权益情形的；</w:t>
      </w:r>
    </w:p>
    <w:p w14:paraId="00AD51F3">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4.2.12</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仅提交备份投标文件，未在电子交易平台传输递交投标文件的，投标无效；</w:t>
      </w:r>
    </w:p>
    <w:p w14:paraId="5EAE58F7">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b w:val="0"/>
          <w:bCs w:val="0"/>
          <w:color w:val="auto"/>
          <w:kern w:val="0"/>
          <w:sz w:val="24"/>
          <w:szCs w:val="24"/>
          <w:highlight w:val="none"/>
          <w:lang w:val="en-US"/>
        </w:rPr>
        <w:t>4.2.13 投标</w:t>
      </w:r>
      <w:r>
        <w:rPr>
          <w:rFonts w:hint="eastAsia" w:ascii="宋体" w:hAnsi="宋体" w:eastAsia="宋体" w:cs="宋体"/>
          <w:color w:val="auto"/>
          <w:kern w:val="0"/>
          <w:sz w:val="24"/>
          <w:highlight w:val="none"/>
          <w:lang w:val="en-US"/>
        </w:rPr>
        <w:t>文件不满足招标文件的其它实质性要求的；</w:t>
      </w:r>
    </w:p>
    <w:p w14:paraId="3875AE66">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4BB43E8D">
      <w:pPr>
        <w:pStyle w:val="25"/>
        <w:kinsoku/>
        <w:wordWrap/>
        <w:overflowPunct/>
        <w:topLinePunct w:val="0"/>
        <w:bidi w:val="0"/>
        <w:snapToGrid w:val="0"/>
        <w:spacing w:line="360" w:lineRule="auto"/>
        <w:ind w:firstLine="472" w:firstLineChars="196"/>
        <w:outlineLvl w:val="9"/>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69D84F0">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5.1符合专业条件的供应商或者对招标文件作实质响应的供应商不足3家的；</w:t>
      </w:r>
    </w:p>
    <w:p w14:paraId="7B09B2E6">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5.2出现影响采购公正的违法、违规行为的；</w:t>
      </w:r>
    </w:p>
    <w:p w14:paraId="413ECAC3">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5.3</w:t>
      </w:r>
      <w:r>
        <w:rPr>
          <w:rFonts w:hint="eastAsia" w:cs="宋体"/>
          <w:color w:val="auto"/>
          <w:highlight w:val="none"/>
          <w:lang w:eastAsia="zh-CN"/>
        </w:rPr>
        <w:t>供应商</w:t>
      </w:r>
      <w:r>
        <w:rPr>
          <w:rFonts w:hint="eastAsia" w:cs="宋体"/>
          <w:color w:val="auto"/>
          <w:highlight w:val="none"/>
        </w:rPr>
        <w:t>的报价均超过了采购预算，采购人不能支付的；</w:t>
      </w:r>
    </w:p>
    <w:p w14:paraId="1C2746F4">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5.4因重大变故，采购任务取消的。</w:t>
      </w:r>
    </w:p>
    <w:p w14:paraId="14F486B9">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w:t>
      </w:r>
      <w:r>
        <w:rPr>
          <w:rFonts w:hint="eastAsia" w:cs="宋体"/>
          <w:color w:val="auto"/>
          <w:highlight w:val="none"/>
          <w:lang w:eastAsia="zh-CN"/>
        </w:rPr>
        <w:t>供应商</w:t>
      </w:r>
      <w:r>
        <w:rPr>
          <w:rFonts w:hint="eastAsia" w:cs="宋体"/>
          <w:color w:val="auto"/>
          <w:highlight w:val="none"/>
        </w:rPr>
        <w:t>。</w:t>
      </w:r>
    </w:p>
    <w:p w14:paraId="323AEA29">
      <w:pPr>
        <w:pStyle w:val="25"/>
        <w:kinsoku/>
        <w:wordWrap/>
        <w:overflowPunct/>
        <w:topLinePunct w:val="0"/>
        <w:bidi w:val="0"/>
        <w:snapToGrid w:val="0"/>
        <w:spacing w:line="360" w:lineRule="auto"/>
        <w:ind w:firstLine="590" w:firstLineChars="245"/>
        <w:outlineLvl w:val="9"/>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3355FD8">
      <w:pPr>
        <w:pStyle w:val="25"/>
        <w:kinsoku/>
        <w:wordWrap/>
        <w:overflowPunct/>
        <w:topLinePunct w:val="0"/>
        <w:bidi w:val="0"/>
        <w:snapToGrid w:val="0"/>
        <w:spacing w:line="360" w:lineRule="auto"/>
        <w:ind w:firstLine="482"/>
        <w:outlineLvl w:val="9"/>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311C0F4">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7.1未确定中标供应商的，终止本次政府采购活动，重新开展政府采购活动。</w:t>
      </w:r>
    </w:p>
    <w:p w14:paraId="1C08DE73">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4217DA7">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1C3BDCC">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7.4政府采购合同已经履行，给采购人、供应商造成损失的，由责任人承担赔偿责任。</w:t>
      </w:r>
    </w:p>
    <w:p w14:paraId="5A6E981D">
      <w:pPr>
        <w:pStyle w:val="25"/>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42526C8">
      <w:pPr>
        <w:pStyle w:val="25"/>
        <w:kinsoku/>
        <w:wordWrap/>
        <w:overflowPunct/>
        <w:topLinePunct w:val="0"/>
        <w:bidi w:val="0"/>
        <w:snapToGrid w:val="0"/>
        <w:spacing w:line="360" w:lineRule="auto"/>
        <w:ind w:firstLine="0" w:firstLineChars="0"/>
        <w:outlineLvl w:val="9"/>
        <w:rPr>
          <w:rFonts w:cs="宋体"/>
          <w:color w:val="auto"/>
          <w:highlight w:val="none"/>
        </w:rPr>
      </w:pPr>
    </w:p>
    <w:bookmarkEnd w:id="33"/>
    <w:p w14:paraId="1C4F0E8C">
      <w:pPr>
        <w:kinsoku/>
        <w:wordWrap/>
        <w:overflowPunct/>
        <w:topLinePunct w:val="0"/>
        <w:bidi w:val="0"/>
        <w:spacing w:line="360" w:lineRule="auto"/>
        <w:ind w:left="720" w:leftChars="343" w:firstLine="1084" w:firstLineChars="300"/>
        <w:outlineLvl w:val="9"/>
        <w:rPr>
          <w:rFonts w:ascii="宋体" w:hAnsi="宋体" w:cs="宋体"/>
          <w:b/>
          <w:color w:val="auto"/>
          <w:sz w:val="36"/>
          <w:szCs w:val="36"/>
          <w:highlight w:val="none"/>
        </w:rPr>
      </w:pPr>
      <w:bookmarkStart w:id="402" w:name="第五部分"/>
      <w:bookmarkStart w:id="403" w:name="_Toc86217003"/>
    </w:p>
    <w:p w14:paraId="0EB1794D">
      <w:pPr>
        <w:kinsoku/>
        <w:wordWrap/>
        <w:overflowPunct/>
        <w:topLinePunct w:val="0"/>
        <w:bidi w:val="0"/>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BCF848C">
      <w:pPr>
        <w:kinsoku/>
        <w:wordWrap/>
        <w:overflowPunct/>
        <w:topLinePunct w:val="0"/>
        <w:bidi w:val="0"/>
        <w:spacing w:line="360" w:lineRule="auto"/>
        <w:ind w:left="720" w:leftChars="343" w:firstLine="1084" w:firstLineChars="300"/>
        <w:outlineLvl w:val="0"/>
        <w:rPr>
          <w:rFonts w:ascii="宋体" w:hAnsi="宋体" w:cs="宋体"/>
          <w:b/>
          <w:color w:val="auto"/>
          <w:sz w:val="36"/>
          <w:szCs w:val="36"/>
          <w:highlight w:val="none"/>
        </w:rPr>
      </w:pPr>
      <w:bookmarkStart w:id="404" w:name="_Toc8264"/>
      <w:r>
        <w:rPr>
          <w:rFonts w:hint="eastAsia" w:ascii="宋体" w:hAnsi="宋体" w:cs="宋体"/>
          <w:b/>
          <w:color w:val="auto"/>
          <w:sz w:val="36"/>
          <w:szCs w:val="36"/>
          <w:highlight w:val="none"/>
        </w:rPr>
        <w:t>第五部分 拟签订的合同文本</w:t>
      </w:r>
      <w:bookmarkEnd w:id="404"/>
    </w:p>
    <w:p w14:paraId="69F554DE">
      <w:pPr>
        <w:kinsoku/>
        <w:wordWrap/>
        <w:overflowPunct/>
        <w:topLinePunct w:val="0"/>
        <w:bidi w:val="0"/>
        <w:outlineLvl w:val="9"/>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9CDC608">
      <w:pPr>
        <w:kinsoku/>
        <w:wordWrap/>
        <w:overflowPunct/>
        <w:topLinePunct w:val="0"/>
        <w:bidi w:val="0"/>
        <w:spacing w:line="480" w:lineRule="auto"/>
        <w:jc w:val="center"/>
        <w:outlineLvl w:val="9"/>
        <w:rPr>
          <w:rFonts w:ascii="宋体" w:hAnsi="宋体" w:cs="宋体"/>
          <w:b/>
          <w:color w:val="auto"/>
          <w:sz w:val="28"/>
          <w:szCs w:val="28"/>
          <w:highlight w:val="none"/>
        </w:rPr>
      </w:pPr>
    </w:p>
    <w:p w14:paraId="73273D18">
      <w:pPr>
        <w:kinsoku/>
        <w:wordWrap/>
        <w:overflowPunct/>
        <w:topLinePunct w:val="0"/>
        <w:bidi w:val="0"/>
        <w:spacing w:line="480" w:lineRule="auto"/>
        <w:jc w:val="center"/>
        <w:outlineLvl w:val="9"/>
        <w:rPr>
          <w:rFonts w:ascii="宋体" w:hAnsi="宋体" w:cs="宋体"/>
          <w:b/>
          <w:color w:val="auto"/>
          <w:sz w:val="24"/>
          <w:highlight w:val="none"/>
        </w:rPr>
      </w:pPr>
    </w:p>
    <w:p w14:paraId="62D0F02A">
      <w:pPr>
        <w:kinsoku/>
        <w:wordWrap/>
        <w:overflowPunct/>
        <w:topLinePunct w:val="0"/>
        <w:bidi w:val="0"/>
        <w:spacing w:line="480" w:lineRule="auto"/>
        <w:jc w:val="center"/>
        <w:outlineLvl w:val="9"/>
        <w:rPr>
          <w:rFonts w:ascii="宋体" w:hAnsi="宋体" w:cs="宋体"/>
          <w:b/>
          <w:color w:val="auto"/>
          <w:sz w:val="24"/>
          <w:highlight w:val="none"/>
        </w:rPr>
      </w:pPr>
    </w:p>
    <w:p w14:paraId="13D14CD7">
      <w:pPr>
        <w:kinsoku/>
        <w:wordWrap/>
        <w:overflowPunct/>
        <w:topLinePunct w:val="0"/>
        <w:bidi w:val="0"/>
        <w:spacing w:line="48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4CD44F5">
      <w:pPr>
        <w:kinsoku/>
        <w:wordWrap/>
        <w:overflowPunct/>
        <w:topLinePunct w:val="0"/>
        <w:bidi w:val="0"/>
        <w:spacing w:line="48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0F4D67B3">
      <w:pPr>
        <w:pStyle w:val="700"/>
        <w:kinsoku/>
        <w:wordWrap/>
        <w:overflowPunct/>
        <w:topLinePunct w:val="0"/>
        <w:bidi w:val="0"/>
        <w:outlineLvl w:val="9"/>
        <w:rPr>
          <w:rFonts w:ascii="宋体" w:hAnsi="宋体" w:cs="宋体"/>
          <w:color w:val="auto"/>
          <w:szCs w:val="24"/>
          <w:highlight w:val="none"/>
        </w:rPr>
      </w:pPr>
    </w:p>
    <w:p w14:paraId="004F37F2">
      <w:pPr>
        <w:pStyle w:val="700"/>
        <w:kinsoku/>
        <w:wordWrap/>
        <w:overflowPunct/>
        <w:topLinePunct w:val="0"/>
        <w:bidi w:val="0"/>
        <w:outlineLvl w:val="9"/>
        <w:rPr>
          <w:rFonts w:ascii="宋体" w:hAnsi="宋体" w:cs="宋体"/>
          <w:color w:val="auto"/>
          <w:szCs w:val="24"/>
          <w:highlight w:val="none"/>
        </w:rPr>
      </w:pPr>
    </w:p>
    <w:p w14:paraId="02C53AFA">
      <w:pPr>
        <w:pStyle w:val="700"/>
        <w:kinsoku/>
        <w:wordWrap/>
        <w:overflowPunct/>
        <w:topLinePunct w:val="0"/>
        <w:bidi w:val="0"/>
        <w:jc w:val="center"/>
        <w:outlineLvl w:val="9"/>
        <w:rPr>
          <w:rFonts w:ascii="宋体" w:hAnsi="宋体" w:cs="宋体"/>
          <w:color w:val="auto"/>
          <w:szCs w:val="24"/>
          <w:highlight w:val="none"/>
        </w:rPr>
      </w:pPr>
    </w:p>
    <w:p w14:paraId="30DE09B2">
      <w:pPr>
        <w:pStyle w:val="700"/>
        <w:keepNext w:val="0"/>
        <w:keepLines w:val="0"/>
        <w:pageBreakBefore w:val="0"/>
        <w:widowControl w:val="0"/>
        <w:kinsoku/>
        <w:wordWrap/>
        <w:overflowPunct/>
        <w:topLinePunct w:val="0"/>
        <w:autoSpaceDE w:val="0"/>
        <w:autoSpaceDN w:val="0"/>
        <w:bidi w:val="0"/>
        <w:adjustRightInd w:val="0"/>
        <w:snapToGrid w:val="0"/>
        <w:ind w:firstLine="2843" w:firstLineChars="118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5888C125">
      <w:pPr>
        <w:pStyle w:val="700"/>
        <w:kinsoku/>
        <w:wordWrap/>
        <w:overflowPunct/>
        <w:topLinePunct w:val="0"/>
        <w:bidi w:val="0"/>
        <w:outlineLvl w:val="9"/>
        <w:rPr>
          <w:rFonts w:ascii="宋体" w:hAnsi="宋体" w:cs="宋体"/>
          <w:color w:val="auto"/>
          <w:szCs w:val="24"/>
          <w:highlight w:val="none"/>
        </w:rPr>
      </w:pPr>
    </w:p>
    <w:p w14:paraId="3CCC30DE">
      <w:pPr>
        <w:pStyle w:val="700"/>
        <w:kinsoku/>
        <w:wordWrap/>
        <w:overflowPunct/>
        <w:topLinePunct w:val="0"/>
        <w:bidi w:val="0"/>
        <w:outlineLvl w:val="9"/>
        <w:rPr>
          <w:rFonts w:ascii="宋体" w:hAnsi="宋体" w:cs="宋体"/>
          <w:color w:val="auto"/>
          <w:szCs w:val="24"/>
          <w:highlight w:val="none"/>
        </w:rPr>
      </w:pPr>
    </w:p>
    <w:p w14:paraId="1194A961">
      <w:pPr>
        <w:kinsoku/>
        <w:wordWrap/>
        <w:overflowPunct/>
        <w:topLinePunct w:val="0"/>
        <w:bidi w:val="0"/>
        <w:spacing w:before="120" w:line="22" w:lineRule="atLeast"/>
        <w:outlineLvl w:val="9"/>
        <w:rPr>
          <w:rFonts w:ascii="宋体" w:hAnsi="宋体" w:cs="宋体"/>
          <w:color w:val="auto"/>
          <w:sz w:val="24"/>
          <w:highlight w:val="none"/>
        </w:rPr>
      </w:pPr>
    </w:p>
    <w:p w14:paraId="05F4B0BE">
      <w:pPr>
        <w:kinsoku/>
        <w:wordWrap/>
        <w:overflowPunct/>
        <w:topLinePunct w:val="0"/>
        <w:bidi w:val="0"/>
        <w:spacing w:before="120" w:line="22" w:lineRule="atLeast"/>
        <w:ind w:left="960"/>
        <w:outlineLvl w:val="9"/>
        <w:rPr>
          <w:rFonts w:hint="default" w:ascii="宋体" w:hAnsi="宋体" w:cs="宋体"/>
          <w:color w:val="auto"/>
          <w:sz w:val="24"/>
          <w:highlight w:val="none"/>
          <w:lang w:val="en-US"/>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宁海县中医医院CT球管采购项目</w:t>
      </w:r>
      <w:r>
        <w:rPr>
          <w:rFonts w:hint="eastAsia" w:ascii="宋体" w:hAnsi="宋体" w:cs="宋体"/>
          <w:color w:val="auto"/>
          <w:sz w:val="24"/>
          <w:highlight w:val="none"/>
          <w:u w:val="single"/>
          <w:lang w:val="en-US" w:eastAsia="zh-CN"/>
        </w:rPr>
        <w:t xml:space="preserve">          </w:t>
      </w:r>
    </w:p>
    <w:p w14:paraId="3FF2BCC2">
      <w:pPr>
        <w:kinsoku/>
        <w:wordWrap/>
        <w:overflowPunct/>
        <w:topLinePunct w:val="0"/>
        <w:bidi w:val="0"/>
        <w:outlineLvl w:val="9"/>
        <w:rPr>
          <w:rFonts w:ascii="宋体" w:hAnsi="宋体" w:cs="宋体"/>
          <w:color w:val="auto"/>
          <w:sz w:val="24"/>
          <w:highlight w:val="none"/>
        </w:rPr>
      </w:pPr>
    </w:p>
    <w:p w14:paraId="67CFC8AA">
      <w:pPr>
        <w:kinsoku/>
        <w:wordWrap/>
        <w:overflowPunct/>
        <w:topLinePunct w:val="0"/>
        <w:bidi w:val="0"/>
        <w:spacing w:before="120" w:line="22" w:lineRule="atLeast"/>
        <w:ind w:left="960"/>
        <w:outlineLvl w:val="9"/>
        <w:rPr>
          <w:rFonts w:hint="default" w:ascii="宋体" w:hAnsi="宋体" w:cs="宋体"/>
          <w:color w:val="auto"/>
          <w:sz w:val="24"/>
          <w:highlight w:val="none"/>
          <w:u w:val="single"/>
          <w:lang w:val="en-US"/>
        </w:rPr>
      </w:pPr>
      <w:r>
        <w:rPr>
          <w:rFonts w:hint="eastAsia" w:ascii="宋体" w:hAnsi="宋体" w:cs="宋体"/>
          <w:color w:val="auto"/>
          <w:sz w:val="24"/>
          <w:highlight w:val="none"/>
        </w:rPr>
        <w:t>甲方：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宁海县中医医院</w:t>
      </w:r>
      <w:r>
        <w:rPr>
          <w:rFonts w:hint="eastAsia" w:ascii="宋体" w:hAnsi="宋体" w:cs="宋体"/>
          <w:color w:val="auto"/>
          <w:sz w:val="24"/>
          <w:highlight w:val="none"/>
          <w:u w:val="single"/>
          <w:lang w:val="en-US" w:eastAsia="zh-CN"/>
        </w:rPr>
        <w:t xml:space="preserve">                                                  </w:t>
      </w:r>
    </w:p>
    <w:p w14:paraId="5E1C1F0E">
      <w:pPr>
        <w:kinsoku/>
        <w:wordWrap/>
        <w:overflowPunct/>
        <w:topLinePunct w:val="0"/>
        <w:bidi w:val="0"/>
        <w:spacing w:before="120" w:line="22" w:lineRule="atLeast"/>
        <w:outlineLvl w:val="9"/>
        <w:rPr>
          <w:rFonts w:ascii="宋体" w:hAnsi="宋体" w:cs="宋体"/>
          <w:color w:val="auto"/>
          <w:sz w:val="24"/>
          <w:highlight w:val="none"/>
        </w:rPr>
      </w:pPr>
    </w:p>
    <w:p w14:paraId="548C497F">
      <w:pPr>
        <w:kinsoku/>
        <w:wordWrap/>
        <w:overflowPunct/>
        <w:topLinePunct w:val="0"/>
        <w:bidi w:val="0"/>
        <w:spacing w:before="120" w:line="22" w:lineRule="atLeast"/>
        <w:ind w:left="960"/>
        <w:outlineLvl w:val="9"/>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1ADCF930">
      <w:pPr>
        <w:kinsoku/>
        <w:wordWrap/>
        <w:overflowPunct/>
        <w:topLinePunct w:val="0"/>
        <w:bidi w:val="0"/>
        <w:spacing w:before="120" w:line="22" w:lineRule="atLeast"/>
        <w:outlineLvl w:val="9"/>
        <w:rPr>
          <w:rFonts w:ascii="宋体" w:hAnsi="宋体" w:cs="宋体"/>
          <w:color w:val="auto"/>
          <w:sz w:val="24"/>
          <w:highlight w:val="none"/>
        </w:rPr>
      </w:pPr>
    </w:p>
    <w:p w14:paraId="063B05BE">
      <w:pPr>
        <w:kinsoku/>
        <w:wordWrap/>
        <w:overflowPunct/>
        <w:topLinePunct w:val="0"/>
        <w:bidi w:val="0"/>
        <w:spacing w:before="120" w:line="22" w:lineRule="atLeast"/>
        <w:ind w:firstLine="960" w:firstLineChars="400"/>
        <w:outlineLvl w:val="9"/>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宁海县</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568C723C">
      <w:pPr>
        <w:pStyle w:val="82"/>
        <w:ind w:left="0" w:leftChars="0" w:firstLine="0" w:firstLineChars="0"/>
        <w:rPr>
          <w:color w:val="auto"/>
          <w:highlight w:val="none"/>
        </w:rPr>
      </w:pPr>
    </w:p>
    <w:p w14:paraId="1CD1AB74">
      <w:pPr>
        <w:kinsoku/>
        <w:wordWrap/>
        <w:overflowPunct/>
        <w:topLinePunct w:val="0"/>
        <w:bidi w:val="0"/>
        <w:spacing w:before="120" w:line="22" w:lineRule="atLeast"/>
        <w:ind w:firstLine="960" w:firstLineChars="400"/>
        <w:outlineLvl w:val="9"/>
        <w:rPr>
          <w:rFonts w:hint="default" w:ascii="宋体" w:hAnsi="宋体" w:eastAsia="宋体" w:cs="宋体"/>
          <w:color w:val="auto"/>
          <w:sz w:val="24"/>
          <w:highlight w:val="none"/>
          <w:lang w:val="en-US" w:eastAsia="zh-CN"/>
        </w:rPr>
        <w:sectPr>
          <w:pgSz w:w="11907" w:h="16840"/>
          <w:pgMar w:top="1474" w:right="1814" w:bottom="1474" w:left="1814" w:header="851" w:footer="851" w:gutter="0"/>
          <w:pgNumType w:fmt="decimal"/>
          <w:cols w:space="720" w:num="1"/>
        </w:sectPr>
      </w:pPr>
      <w:r>
        <w:rPr>
          <w:rFonts w:hint="eastAsia" w:ascii="宋体" w:hAnsi="宋体" w:eastAsia="宋体" w:cs="宋体"/>
          <w:color w:val="auto"/>
          <w:sz w:val="24"/>
          <w:highlight w:val="none"/>
          <w:lang w:val="en-US" w:eastAsia="zh-CN"/>
        </w:rPr>
        <w:t>见证方：</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浙江中基正采管理咨询有限公司</w:t>
      </w:r>
      <w:r>
        <w:rPr>
          <w:rFonts w:hint="eastAsia" w:ascii="宋体" w:hAnsi="宋体" w:cs="宋体"/>
          <w:color w:val="auto"/>
          <w:sz w:val="24"/>
          <w:highlight w:val="none"/>
          <w:u w:val="single"/>
          <w:lang w:val="en-US" w:eastAsia="zh-CN"/>
        </w:rPr>
        <w:t xml:space="preserve">                           </w:t>
      </w:r>
    </w:p>
    <w:p w14:paraId="2E4B7745">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宁海县中医医院</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公开招标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宁海县中医医院CT球管采购项目（</w:t>
      </w:r>
      <w:r>
        <w:rPr>
          <w:rFonts w:hint="eastAsia" w:ascii="宋体" w:hAnsi="宋体" w:cs="宋体"/>
          <w:color w:val="auto"/>
          <w:sz w:val="24"/>
          <w:highlight w:val="none"/>
          <w:u w:val="single"/>
          <w:lang w:val="en-US" w:eastAsia="zh-CN"/>
        </w:rPr>
        <w:t>项目编号CBZJ-20246219G-2</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lang w:val="en-US" w:eastAsia="zh-CN"/>
        </w:rPr>
        <w:t>评标委员会</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为该项目中标供应商。现于中标通知书发出之日起</w:t>
      </w:r>
      <w:r>
        <w:rPr>
          <w:rFonts w:hint="eastAsia" w:ascii="宋体" w:hAnsi="宋体" w:cs="宋体"/>
          <w:color w:val="auto"/>
          <w:sz w:val="24"/>
          <w:highlight w:val="none"/>
          <w:lang w:val="en-US" w:eastAsia="zh-CN"/>
        </w:rPr>
        <w:t>30天</w:t>
      </w:r>
      <w:r>
        <w:rPr>
          <w:rFonts w:hint="eastAsia" w:ascii="宋体" w:hAnsi="宋体" w:cs="宋体"/>
          <w:color w:val="auto"/>
          <w:sz w:val="24"/>
          <w:highlight w:val="none"/>
        </w:rPr>
        <w:t>内，按照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等确定的事项签订本合同。</w:t>
      </w:r>
    </w:p>
    <w:p w14:paraId="2C6F2299">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宁海县中医医院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1C1E4D82">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05" w:name="_Toc24059"/>
      <w:bookmarkStart w:id="406" w:name="_Toc3029"/>
      <w:bookmarkStart w:id="407" w:name="_Toc2232"/>
      <w:r>
        <w:rPr>
          <w:rFonts w:hint="eastAsia" w:ascii="宋体" w:hAnsi="宋体" w:cs="宋体"/>
          <w:b/>
          <w:color w:val="auto"/>
          <w:sz w:val="24"/>
          <w:highlight w:val="none"/>
        </w:rPr>
        <w:t>1.1 合同组成部分</w:t>
      </w:r>
      <w:bookmarkEnd w:id="405"/>
      <w:bookmarkEnd w:id="406"/>
      <w:bookmarkEnd w:id="407"/>
    </w:p>
    <w:p w14:paraId="0BA7AC9A">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确定的事项的前提下，组成本合同的多个文件的优先适用顺序如下：</w:t>
      </w:r>
    </w:p>
    <w:p w14:paraId="264F4B8E">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382BF93B">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1.1.2 中标通知书；</w:t>
      </w:r>
    </w:p>
    <w:p w14:paraId="60DA1062">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14:paraId="7B09D231">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1.1.4 </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（含澄清或者修改文件）；</w:t>
      </w:r>
    </w:p>
    <w:p w14:paraId="52268025">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1.1.5 其他相关</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w:t>
      </w:r>
    </w:p>
    <w:p w14:paraId="58A1A525">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08" w:name="_Toc21295"/>
      <w:bookmarkStart w:id="409" w:name="_Toc24300"/>
      <w:bookmarkStart w:id="410" w:name="_Toc27126"/>
      <w:r>
        <w:rPr>
          <w:rFonts w:hint="eastAsia" w:ascii="宋体" w:hAnsi="宋体" w:cs="宋体"/>
          <w:b/>
          <w:color w:val="auto"/>
          <w:sz w:val="24"/>
          <w:highlight w:val="none"/>
        </w:rPr>
        <w:t>1.2 货物</w:t>
      </w:r>
      <w:bookmarkEnd w:id="408"/>
      <w:bookmarkEnd w:id="409"/>
      <w:bookmarkEnd w:id="410"/>
    </w:p>
    <w:p w14:paraId="69920FFA">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u w:val="single"/>
        </w:rPr>
      </w:pPr>
      <w:r>
        <w:rPr>
          <w:rFonts w:hint="eastAsia" w:ascii="宋体" w:hAnsi="宋体" w:cs="宋体"/>
          <w:color w:val="auto"/>
          <w:sz w:val="24"/>
          <w:highlight w:val="none"/>
        </w:rPr>
        <w:t>1.2.1 货物名称、品牌、规格型号：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6F44CEC">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1FAFCF">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1D471C5B">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11" w:name="_Toc23292"/>
      <w:bookmarkStart w:id="412" w:name="_Toc21631"/>
      <w:bookmarkStart w:id="413" w:name="_Toc21551"/>
      <w:r>
        <w:rPr>
          <w:rFonts w:hint="eastAsia" w:ascii="宋体" w:hAnsi="宋体" w:cs="宋体"/>
          <w:b/>
          <w:color w:val="auto"/>
          <w:sz w:val="24"/>
          <w:highlight w:val="none"/>
        </w:rPr>
        <w:t>1.3 价款</w:t>
      </w:r>
      <w:bookmarkEnd w:id="411"/>
      <w:bookmarkEnd w:id="412"/>
      <w:bookmarkEnd w:id="413"/>
    </w:p>
    <w:p w14:paraId="47E43A62">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本合同</w:t>
      </w:r>
      <w:r>
        <w:rPr>
          <w:rFonts w:hint="eastAsia" w:ascii="宋体" w:hAnsi="宋体" w:cs="宋体"/>
          <w:color w:val="auto"/>
          <w:sz w:val="24"/>
          <w:highlight w:val="none"/>
          <w:lang w:val="en-US" w:eastAsia="zh-CN"/>
        </w:rPr>
        <w:t>单</w:t>
      </w:r>
      <w:r>
        <w:rPr>
          <w:rFonts w:hint="eastAsia" w:ascii="宋体" w:hAnsi="宋体" w:cs="宋体"/>
          <w:color w:val="auto"/>
          <w:sz w:val="24"/>
          <w:highlight w:val="none"/>
        </w:rPr>
        <w:t>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bookmarkStart w:id="414" w:name="_Toc22618"/>
      <w:bookmarkStart w:id="415" w:name="_Toc1814"/>
      <w:bookmarkStart w:id="416" w:name="_Toc10340"/>
      <w:r>
        <w:rPr>
          <w:rFonts w:hint="eastAsia" w:ascii="宋体" w:hAnsi="宋体" w:eastAsia="宋体" w:cs="宋体"/>
          <w:color w:val="auto"/>
          <w:sz w:val="24"/>
          <w:highlight w:val="none"/>
        </w:rPr>
        <w:t>（含公路运输）</w:t>
      </w:r>
      <w:r>
        <w:rPr>
          <w:rFonts w:hint="eastAsia" w:ascii="宋体" w:hAnsi="宋体" w:eastAsia="宋体" w:cs="宋体"/>
          <w:color w:val="auto"/>
          <w:sz w:val="24"/>
          <w:highlight w:val="none"/>
          <w:lang w:eastAsia="zh-CN"/>
        </w:rPr>
        <w:t>。</w:t>
      </w:r>
    </w:p>
    <w:p w14:paraId="75B98145">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b/>
          <w:color w:val="auto"/>
          <w:highlight w:val="none"/>
        </w:rPr>
      </w:pPr>
      <w:r>
        <w:rPr>
          <w:rFonts w:hint="eastAsia"/>
          <w:b/>
          <w:color w:val="auto"/>
          <w:highlight w:val="none"/>
        </w:rPr>
        <w:t>1.4履约保证金</w:t>
      </w:r>
    </w:p>
    <w:p w14:paraId="515AC1CE">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CC6AFF7">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293D78B">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val="0"/>
          <w:iCs/>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778AC2E">
      <w:pPr>
        <w:keepNext w:val="0"/>
        <w:keepLines w:val="0"/>
        <w:pageBreakBefore w:val="0"/>
        <w:tabs>
          <w:tab w:val="left" w:pos="0"/>
        </w:tabs>
        <w:kinsoku/>
        <w:wordWrap/>
        <w:overflowPunct/>
        <w:topLinePunct w:val="0"/>
        <w:bidi w:val="0"/>
        <w:snapToGrid/>
        <w:spacing w:line="360" w:lineRule="auto"/>
        <w:ind w:left="0" w:firstLine="480" w:firstLineChars="200"/>
        <w:textAlignment w:val="auto"/>
        <w:outlineLvl w:val="9"/>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118C8C0">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color w:val="auto"/>
          <w:sz w:val="24"/>
          <w:highlight w:val="none"/>
        </w:rPr>
      </w:pPr>
      <w:r>
        <w:rPr>
          <w:rFonts w:hint="eastAsia" w:ascii="宋体" w:hAnsi="宋体" w:cs="宋体"/>
          <w:b/>
          <w:i w:val="0"/>
          <w:iCs w:val="0"/>
          <w:color w:val="auto"/>
          <w:sz w:val="24"/>
          <w:highlight w:val="none"/>
        </w:rPr>
        <w:t>1.5</w:t>
      </w:r>
      <w:bookmarkEnd w:id="414"/>
      <w:bookmarkEnd w:id="415"/>
      <w:bookmarkEnd w:id="416"/>
      <w:r>
        <w:rPr>
          <w:rFonts w:hint="eastAsia" w:ascii="宋体" w:hAnsi="宋体" w:cs="宋体"/>
          <w:b/>
          <w:i w:val="0"/>
          <w:iCs w:val="0"/>
          <w:color w:val="auto"/>
          <w:sz w:val="24"/>
          <w:highlight w:val="none"/>
        </w:rPr>
        <w:t>预付款</w:t>
      </w:r>
    </w:p>
    <w:p w14:paraId="1AC39D9A">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rPr>
      </w:pPr>
      <w:r>
        <w:rPr>
          <w:rFonts w:hint="eastAsia"/>
          <w:i w:val="0"/>
          <w:iCs w:val="0"/>
          <w:color w:val="auto"/>
          <w:highlight w:val="none"/>
        </w:rPr>
        <w:t>甲方</w:t>
      </w:r>
      <w:r>
        <w:rPr>
          <w:rFonts w:hint="eastAsia"/>
          <w:i w:val="0"/>
          <w:iCs w:val="0"/>
          <w:color w:val="auto"/>
          <w:highlight w:val="none"/>
          <w:u w:val="single"/>
        </w:rPr>
        <w:t xml:space="preserve">     </w:t>
      </w:r>
      <w:r>
        <w:rPr>
          <w:rFonts w:hint="eastAsia"/>
          <w:i w:val="0"/>
          <w:iCs w:val="0"/>
          <w:color w:val="auto"/>
          <w:highlight w:val="none"/>
        </w:rPr>
        <w:t>（是</w:t>
      </w:r>
      <w:r>
        <w:rPr>
          <w:rFonts w:hint="eastAsia" w:ascii="仿宋" w:hAnsi="仿宋" w:eastAsia="仿宋" w:cs="仿宋"/>
          <w:i w:val="0"/>
          <w:iCs w:val="0"/>
          <w:color w:val="auto"/>
          <w:highlight w:val="none"/>
        </w:rPr>
        <w:t>/</w:t>
      </w:r>
      <w:r>
        <w:rPr>
          <w:rFonts w:hint="eastAsia"/>
          <w:i w:val="0"/>
          <w:iCs w:val="0"/>
          <w:color w:val="auto"/>
          <w:highlight w:val="none"/>
        </w:rPr>
        <w:t>否）需要支付预付款。若需要支付预付款的，则：</w:t>
      </w:r>
    </w:p>
    <w:p w14:paraId="0D087203">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1.5.1预付款比例、支付方式、时间详见</w:t>
      </w:r>
      <w:r>
        <w:rPr>
          <w:rFonts w:hint="eastAsia" w:ascii="宋体" w:hAnsi="宋体" w:cs="宋体"/>
          <w:i w:val="0"/>
          <w:iCs w:val="0"/>
          <w:color w:val="auto"/>
          <w:kern w:val="0"/>
          <w:sz w:val="24"/>
          <w:highlight w:val="none"/>
          <w:u w:val="single"/>
        </w:rPr>
        <w:t xml:space="preserve">    </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rPr>
        <w:t>；</w:t>
      </w:r>
    </w:p>
    <w:p w14:paraId="410BB6F1">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rPr>
      </w:pPr>
      <w:r>
        <w:rPr>
          <w:rFonts w:hint="eastAsia"/>
          <w:i w:val="0"/>
          <w:iCs w:val="0"/>
          <w:color w:val="auto"/>
          <w:highlight w:val="none"/>
        </w:rPr>
        <w:t>1.5.2预付款的扣回方式详见</w:t>
      </w:r>
      <w:r>
        <w:rPr>
          <w:rFonts w:hint="eastAsia"/>
          <w:i w:val="0"/>
          <w:iCs w:val="0"/>
          <w:color w:val="auto"/>
          <w:highlight w:val="none"/>
          <w:u w:val="single"/>
        </w:rPr>
        <w:t xml:space="preserve">    </w:t>
      </w:r>
      <w:r>
        <w:rPr>
          <w:rFonts w:hint="eastAsia"/>
          <w:b/>
          <w:i w:val="0"/>
          <w:iCs w:val="0"/>
          <w:color w:val="auto"/>
          <w:highlight w:val="none"/>
          <w:u w:val="single"/>
        </w:rPr>
        <w:t>合同专用条款</w:t>
      </w:r>
      <w:r>
        <w:rPr>
          <w:rFonts w:hint="eastAsia"/>
          <w:i w:val="0"/>
          <w:iCs w:val="0"/>
          <w:color w:val="auto"/>
          <w:highlight w:val="none"/>
          <w:u w:val="single"/>
        </w:rPr>
        <w:t xml:space="preserve">           </w:t>
      </w:r>
      <w:r>
        <w:rPr>
          <w:rFonts w:hint="eastAsia"/>
          <w:i w:val="0"/>
          <w:iCs w:val="0"/>
          <w:color w:val="auto"/>
          <w:highlight w:val="none"/>
        </w:rPr>
        <w:t>；</w:t>
      </w:r>
    </w:p>
    <w:p w14:paraId="70871164">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u w:val="single"/>
        </w:rPr>
      </w:pPr>
      <w:r>
        <w:rPr>
          <w:rFonts w:hint="eastAsia"/>
          <w:i w:val="0"/>
          <w:iCs w:val="0"/>
          <w:color w:val="auto"/>
          <w:highlight w:val="none"/>
        </w:rPr>
        <w:t>1.5.3预付款的担保措施详见</w:t>
      </w:r>
      <w:r>
        <w:rPr>
          <w:rFonts w:hint="eastAsia"/>
          <w:i w:val="0"/>
          <w:iCs w:val="0"/>
          <w:color w:val="auto"/>
          <w:highlight w:val="none"/>
          <w:u w:val="single"/>
        </w:rPr>
        <w:t xml:space="preserve">    </w:t>
      </w:r>
      <w:r>
        <w:rPr>
          <w:rFonts w:hint="eastAsia"/>
          <w:b/>
          <w:i w:val="0"/>
          <w:iCs w:val="0"/>
          <w:color w:val="auto"/>
          <w:highlight w:val="none"/>
          <w:u w:val="single"/>
        </w:rPr>
        <w:t>合同专用条款</w:t>
      </w:r>
      <w:r>
        <w:rPr>
          <w:rFonts w:hint="eastAsia"/>
          <w:i w:val="0"/>
          <w:iCs w:val="0"/>
          <w:color w:val="auto"/>
          <w:highlight w:val="none"/>
          <w:u w:val="single"/>
        </w:rPr>
        <w:t xml:space="preserve">          </w:t>
      </w:r>
      <w:r>
        <w:rPr>
          <w:rFonts w:hint="eastAsia"/>
          <w:i w:val="0"/>
          <w:iCs w:val="0"/>
          <w:color w:val="auto"/>
          <w:highlight w:val="none"/>
        </w:rPr>
        <w:t>。</w:t>
      </w:r>
    </w:p>
    <w:p w14:paraId="4BAC9CCA">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b/>
          <w:bCs/>
          <w:i w:val="0"/>
          <w:iCs w:val="0"/>
          <w:color w:val="auto"/>
          <w:highlight w:val="none"/>
        </w:rPr>
      </w:pPr>
      <w:r>
        <w:rPr>
          <w:rFonts w:hint="eastAsia"/>
          <w:b/>
          <w:bCs/>
          <w:i w:val="0"/>
          <w:iCs w:val="0"/>
          <w:color w:val="auto"/>
          <w:highlight w:val="none"/>
        </w:rPr>
        <w:t>1.6资金支付</w:t>
      </w:r>
    </w:p>
    <w:p w14:paraId="7C2F7016">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rPr>
      </w:pPr>
      <w:r>
        <w:rPr>
          <w:rFonts w:hint="eastAsia"/>
          <w:i w:val="0"/>
          <w:iCs w:val="0"/>
          <w:color w:val="auto"/>
          <w:highlight w:val="none"/>
        </w:rPr>
        <w:t>1.6.1甲方应严格履行合同，及时组织验收。</w:t>
      </w:r>
    </w:p>
    <w:p w14:paraId="1739CA03">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1.6.2资金支付的方式、时间和条件详见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0C8B8460">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color w:val="auto"/>
          <w:sz w:val="24"/>
          <w:highlight w:val="none"/>
        </w:rPr>
      </w:pPr>
      <w:bookmarkStart w:id="417" w:name="_Toc19304"/>
      <w:bookmarkStart w:id="418" w:name="_Toc2846"/>
      <w:bookmarkStart w:id="419" w:name="_Toc32071"/>
      <w:r>
        <w:rPr>
          <w:rFonts w:hint="eastAsia" w:ascii="宋体" w:hAnsi="宋体" w:cs="宋体"/>
          <w:b/>
          <w:i w:val="0"/>
          <w:iCs w:val="0"/>
          <w:color w:val="auto"/>
          <w:sz w:val="24"/>
          <w:highlight w:val="none"/>
        </w:rPr>
        <w:t>1.7货物交付期限、地点和方式</w:t>
      </w:r>
      <w:bookmarkEnd w:id="417"/>
      <w:bookmarkEnd w:id="418"/>
      <w:bookmarkEnd w:id="419"/>
    </w:p>
    <w:p w14:paraId="0698E921">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1.7.1 交付期限：详见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3A5DBC59">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1.7.2 交付地点：</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77D077FE">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1.7.3 交付方式：</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3618F009">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20" w:name="_Toc27250"/>
      <w:bookmarkStart w:id="421" w:name="_Toc21423"/>
      <w:bookmarkStart w:id="422" w:name="_Toc19554"/>
      <w:r>
        <w:rPr>
          <w:rFonts w:hint="eastAsia" w:ascii="宋体" w:hAnsi="宋体" w:cs="宋体"/>
          <w:b/>
          <w:color w:val="auto"/>
          <w:sz w:val="24"/>
          <w:highlight w:val="none"/>
        </w:rPr>
        <w:t>1.8违约责任</w:t>
      </w:r>
      <w:bookmarkEnd w:id="420"/>
      <w:bookmarkEnd w:id="421"/>
      <w:bookmarkEnd w:id="422"/>
    </w:p>
    <w:p w14:paraId="417BEBDA">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50DABF10">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1.8.2 本合同有效期内，甲、乙双方任何一方均不能擅自解除或终止本合同，一方确有客观原因需要解除或终止本合同得，应提前三个月以书面形式向另一方进行说明解除或终止合同得原因，并应向另一方支付壹万元违约金，方能解除或终止合同，如果通过诉讼或仲裁追究违约方的违约责任，则违约方应承担守约方为此而支出的诉讼或仲裁费、保全费、保全担保费、律师费、审计评估费、鉴定费和公证费等全部费用。</w:t>
      </w:r>
    </w:p>
    <w:p w14:paraId="7F6B5733">
      <w:pPr>
        <w:keepNext w:val="0"/>
        <w:keepLines w:val="0"/>
        <w:pageBreakBefore w:val="0"/>
        <w:kinsoku/>
        <w:wordWrap/>
        <w:overflowPunct/>
        <w:topLinePunct w:val="0"/>
        <w:bidi w:val="0"/>
        <w:snapToGrid/>
        <w:spacing w:line="360" w:lineRule="auto"/>
        <w:ind w:left="-420" w:leftChars="-200" w:right="-420" w:rightChars="-200" w:firstLine="960" w:firstLineChars="400"/>
        <w:textAlignment w:val="auto"/>
        <w:outlineLvl w:val="9"/>
        <w:rPr>
          <w:rFonts w:ascii="宋体" w:hAnsi="宋体" w:cs="宋体"/>
          <w:i w:val="0"/>
          <w:iCs w:val="0"/>
          <w:color w:val="auto"/>
          <w:highlight w:val="none"/>
        </w:rPr>
      </w:pPr>
      <w:r>
        <w:rPr>
          <w:rFonts w:hint="eastAsia" w:ascii="宋体" w:hAnsi="宋体" w:cs="宋体"/>
          <w:i w:val="0"/>
          <w:iCs w:val="0"/>
          <w:color w:val="auto"/>
          <w:sz w:val="24"/>
          <w:highlight w:val="none"/>
          <w:lang w:val="en-US" w:eastAsia="zh-CN"/>
        </w:rPr>
        <w:t>1.8.3</w:t>
      </w:r>
      <w:r>
        <w:rPr>
          <w:rFonts w:hint="eastAsia" w:ascii="宋体" w:hAnsi="宋体" w:cs="宋体"/>
          <w:i w:val="0"/>
          <w:iCs w:val="0"/>
          <w:color w:val="auto"/>
          <w:sz w:val="24"/>
          <w:highlight w:val="none"/>
        </w:rPr>
        <w:t>违约责任</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另有约定的，从其约定。</w:t>
      </w:r>
    </w:p>
    <w:p w14:paraId="215FFDA1">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color w:val="auto"/>
          <w:sz w:val="24"/>
          <w:highlight w:val="none"/>
        </w:rPr>
      </w:pPr>
      <w:bookmarkStart w:id="423" w:name="_Toc16021"/>
      <w:bookmarkStart w:id="424" w:name="_Toc28375"/>
      <w:bookmarkStart w:id="425" w:name="_Toc15583"/>
      <w:r>
        <w:rPr>
          <w:rFonts w:hint="eastAsia" w:ascii="宋体" w:hAnsi="宋体" w:cs="宋体"/>
          <w:b/>
          <w:i w:val="0"/>
          <w:iCs w:val="0"/>
          <w:color w:val="auto"/>
          <w:sz w:val="24"/>
          <w:highlight w:val="none"/>
        </w:rPr>
        <w:t>1.9合同争议的解决</w:t>
      </w:r>
      <w:bookmarkEnd w:id="423"/>
      <w:bookmarkEnd w:id="424"/>
      <w:bookmarkEnd w:id="425"/>
    </w:p>
    <w:p w14:paraId="2A245E34">
      <w:pPr>
        <w:keepNext w:val="0"/>
        <w:keepLines w:val="0"/>
        <w:pageBreakBefore w:val="0"/>
        <w:kinsoku/>
        <w:wordWrap/>
        <w:overflowPunct/>
        <w:topLinePunct w:val="0"/>
        <w:bidi w:val="0"/>
        <w:snapToGrid/>
        <w:spacing w:line="360" w:lineRule="auto"/>
        <w:ind w:left="-61" w:leftChars="-29" w:right="-420" w:rightChars="-200" w:firstLine="240" w:firstLineChars="1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val="0"/>
          <w:iCs w:val="0"/>
          <w:color w:val="auto"/>
          <w:sz w:val="24"/>
          <w:highlight w:val="none"/>
          <w:u w:val="single"/>
        </w:rPr>
        <w:t xml:space="preserve">      </w:t>
      </w:r>
      <w:r>
        <w:rPr>
          <w:rFonts w:hint="eastAsia" w:ascii="宋体" w:hAnsi="宋体" w:cs="宋体"/>
          <w:i w:val="0"/>
          <w:iCs w:val="0"/>
          <w:color w:val="auto"/>
          <w:sz w:val="24"/>
          <w:highlight w:val="none"/>
        </w:rPr>
        <w:t>条款规定的方式解决：</w:t>
      </w:r>
    </w:p>
    <w:p w14:paraId="76688688">
      <w:pPr>
        <w:keepNext w:val="0"/>
        <w:keepLines w:val="0"/>
        <w:pageBreakBefore w:val="0"/>
        <w:kinsoku/>
        <w:wordWrap/>
        <w:overflowPunct/>
        <w:topLinePunct w:val="0"/>
        <w:bidi w:val="0"/>
        <w:snapToGrid/>
        <w:spacing w:line="360" w:lineRule="auto"/>
        <w:ind w:left="-420" w:leftChars="-200" w:right="-420" w:rightChars="-200" w:firstLine="840" w:firstLineChars="35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1.9.1 将争议提交</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仲裁委员会依申请仲裁时其现行有效的仲裁规则裁决；</w:t>
      </w:r>
    </w:p>
    <w:p w14:paraId="7425F0CC">
      <w:pPr>
        <w:keepNext w:val="0"/>
        <w:keepLines w:val="0"/>
        <w:pageBreakBefore w:val="0"/>
        <w:kinsoku/>
        <w:wordWrap/>
        <w:overflowPunct/>
        <w:topLinePunct w:val="0"/>
        <w:bidi w:val="0"/>
        <w:snapToGrid/>
        <w:spacing w:line="360" w:lineRule="auto"/>
        <w:ind w:left="-420" w:leftChars="-200" w:right="-420" w:rightChars="-200" w:firstLine="840" w:firstLineChars="35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1.9.2 向</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人民法院起诉。</w:t>
      </w:r>
    </w:p>
    <w:p w14:paraId="591D1382">
      <w:pPr>
        <w:keepNext w:val="0"/>
        <w:keepLines w:val="0"/>
        <w:pageBreakBefore w:val="0"/>
        <w:kinsoku/>
        <w:wordWrap/>
        <w:overflowPunct/>
        <w:topLinePunct w:val="0"/>
        <w:bidi w:val="0"/>
        <w:snapToGrid/>
        <w:spacing w:line="360" w:lineRule="auto"/>
        <w:ind w:firstLine="482" w:firstLineChars="200"/>
        <w:textAlignment w:val="auto"/>
        <w:outlineLvl w:val="9"/>
        <w:rPr>
          <w:rFonts w:hint="eastAsia" w:ascii="宋体" w:hAnsi="宋体" w:cs="宋体"/>
          <w:b/>
          <w:color w:val="auto"/>
          <w:sz w:val="24"/>
          <w:highlight w:val="none"/>
        </w:rPr>
      </w:pPr>
      <w:bookmarkStart w:id="426" w:name="_Toc11173"/>
      <w:bookmarkStart w:id="427" w:name="_Toc7245"/>
      <w:bookmarkStart w:id="428" w:name="_Toc15322"/>
    </w:p>
    <w:p w14:paraId="77D73022">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rPr>
        <w:t>2.0 合同生效</w:t>
      </w:r>
      <w:bookmarkEnd w:id="426"/>
      <w:bookmarkEnd w:id="427"/>
      <w:bookmarkEnd w:id="428"/>
    </w:p>
    <w:p w14:paraId="312B36A2">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4BB05A3">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b/>
          <w:color w:val="auto"/>
          <w:sz w:val="24"/>
          <w:highlight w:val="none"/>
          <w:lang w:val="zh-CN"/>
        </w:rPr>
      </w:pPr>
    </w:p>
    <w:p w14:paraId="2BC821E8">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61ACDA6C">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7818FE2D">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2BE20E2F">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054DC259">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18D738BE">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4595ECC0">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145AFB1">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2D71A2E6">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5079B275">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45F8EA28">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53826F51">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7265D2A5">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18BEAE50">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00A61202">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color w:val="auto"/>
          <w:sz w:val="24"/>
          <w:highlight w:val="none"/>
        </w:rPr>
      </w:pPr>
    </w:p>
    <w:p w14:paraId="41682C29">
      <w:pPr>
        <w:keepNext w:val="0"/>
        <w:keepLines w:val="0"/>
        <w:pageBreakBefore w:val="0"/>
        <w:kinsoku/>
        <w:wordWrap/>
        <w:overflowPunct/>
        <w:topLinePunct w:val="0"/>
        <w:autoSpaceDE w:val="0"/>
        <w:autoSpaceDN w:val="0"/>
        <w:bidi w:val="0"/>
        <w:snapToGrid/>
        <w:spacing w:line="360" w:lineRule="auto"/>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见证方：浙江中基正采管理咨询有限公司</w:t>
      </w:r>
    </w:p>
    <w:p w14:paraId="648C9F49">
      <w:pPr>
        <w:tabs>
          <w:tab w:val="left" w:pos="432"/>
        </w:tabs>
        <w:kinsoku/>
        <w:wordWrap/>
        <w:overflowPunct/>
        <w:topLinePunct w:val="0"/>
        <w:bidi w:val="0"/>
        <w:outlineLvl w:val="9"/>
        <w:rPr>
          <w:rFonts w:ascii="宋体" w:hAnsi="宋体" w:cs="宋体"/>
          <w:color w:val="auto"/>
          <w:sz w:val="24"/>
          <w:highlight w:val="none"/>
        </w:rPr>
      </w:pPr>
    </w:p>
    <w:p w14:paraId="1998FFD7">
      <w:pPr>
        <w:kinsoku/>
        <w:wordWrap/>
        <w:overflowPunct/>
        <w:topLinePunct w:val="0"/>
        <w:bidi w:val="0"/>
        <w:outlineLvl w:val="9"/>
        <w:rPr>
          <w:rFonts w:ascii="宋体" w:hAnsi="宋体" w:cs="宋体"/>
          <w:color w:val="auto"/>
          <w:sz w:val="24"/>
          <w:highlight w:val="none"/>
        </w:rPr>
      </w:pPr>
    </w:p>
    <w:p w14:paraId="77A1A7D1">
      <w:pPr>
        <w:tabs>
          <w:tab w:val="left" w:pos="432"/>
        </w:tabs>
        <w:kinsoku/>
        <w:wordWrap/>
        <w:overflowPunct/>
        <w:topLinePunct w:val="0"/>
        <w:bidi w:val="0"/>
        <w:outlineLvl w:val="9"/>
        <w:rPr>
          <w:rFonts w:ascii="宋体" w:hAnsi="宋体" w:cs="宋体"/>
          <w:color w:val="auto"/>
          <w:sz w:val="24"/>
          <w:highlight w:val="none"/>
        </w:rPr>
      </w:pPr>
    </w:p>
    <w:p w14:paraId="682301A7">
      <w:pPr>
        <w:kinsoku/>
        <w:wordWrap/>
        <w:overflowPunct/>
        <w:topLinePunct w:val="0"/>
        <w:bidi w:val="0"/>
        <w:outlineLvl w:val="9"/>
        <w:rPr>
          <w:rFonts w:ascii="宋体" w:hAnsi="宋体" w:cs="宋体"/>
          <w:color w:val="auto"/>
          <w:sz w:val="24"/>
          <w:highlight w:val="none"/>
        </w:rPr>
      </w:pPr>
    </w:p>
    <w:p w14:paraId="6CB0BB92">
      <w:pPr>
        <w:tabs>
          <w:tab w:val="left" w:pos="432"/>
        </w:tabs>
        <w:kinsoku/>
        <w:wordWrap/>
        <w:overflowPunct/>
        <w:topLinePunct w:val="0"/>
        <w:bidi w:val="0"/>
        <w:outlineLvl w:val="9"/>
        <w:rPr>
          <w:rFonts w:ascii="宋体" w:hAnsi="宋体" w:cs="宋体"/>
          <w:color w:val="auto"/>
          <w:sz w:val="24"/>
          <w:highlight w:val="none"/>
        </w:rPr>
      </w:pPr>
    </w:p>
    <w:p w14:paraId="687BA457">
      <w:pPr>
        <w:kinsoku/>
        <w:wordWrap/>
        <w:overflowPunct/>
        <w:topLinePunct w:val="0"/>
        <w:bidi w:val="0"/>
        <w:outlineLvl w:val="9"/>
        <w:rPr>
          <w:rFonts w:ascii="宋体" w:hAnsi="宋体" w:cs="宋体"/>
          <w:color w:val="auto"/>
          <w:sz w:val="24"/>
          <w:highlight w:val="none"/>
        </w:rPr>
      </w:pPr>
    </w:p>
    <w:p w14:paraId="7A0FAD65">
      <w:pPr>
        <w:kinsoku/>
        <w:wordWrap/>
        <w:overflowPunct/>
        <w:topLinePunct w:val="0"/>
        <w:bidi w:val="0"/>
        <w:outlineLvl w:val="9"/>
        <w:rPr>
          <w:rFonts w:hint="eastAsia" w:ascii="宋体" w:hAnsi="宋体" w:cs="宋体"/>
          <w:b/>
          <w:color w:val="auto"/>
          <w:szCs w:val="24"/>
          <w:highlight w:val="none"/>
        </w:rPr>
      </w:pPr>
      <w:r>
        <w:rPr>
          <w:rFonts w:hint="eastAsia" w:ascii="宋体" w:hAnsi="宋体" w:cs="宋体"/>
          <w:b/>
          <w:color w:val="auto"/>
          <w:szCs w:val="24"/>
          <w:highlight w:val="none"/>
        </w:rPr>
        <w:br w:type="page"/>
      </w:r>
    </w:p>
    <w:p w14:paraId="334875AC">
      <w:pPr>
        <w:pStyle w:val="700"/>
        <w:keepNext w:val="0"/>
        <w:keepLines w:val="0"/>
        <w:pageBreakBefore w:val="0"/>
        <w:widowControl w:val="0"/>
        <w:kinsoku/>
        <w:wordWrap/>
        <w:overflowPunct/>
        <w:topLinePunct w:val="0"/>
        <w:autoSpaceDE w:val="0"/>
        <w:autoSpaceDN w:val="0"/>
        <w:bidi w:val="0"/>
        <w:adjustRightInd w:val="0"/>
        <w:snapToGrid w:val="0"/>
        <w:spacing w:line="560" w:lineRule="exact"/>
        <w:ind w:firstLine="482"/>
        <w:jc w:val="center"/>
        <w:textAlignment w:val="auto"/>
        <w:outlineLvl w:val="9"/>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75D7657C">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29" w:name="_Ref467379101"/>
      <w:bookmarkStart w:id="430" w:name="_Toc28763"/>
      <w:bookmarkStart w:id="431" w:name="_Ref467379109"/>
      <w:bookmarkStart w:id="432" w:name="_Toc259093669"/>
      <w:bookmarkStart w:id="433" w:name="_Toc19614"/>
      <w:bookmarkStart w:id="434" w:name="_Ref467379214"/>
      <w:bookmarkStart w:id="435" w:name="_Ref467378499"/>
      <w:bookmarkStart w:id="436" w:name="_Ref467379094"/>
      <w:bookmarkStart w:id="437" w:name="_Toc487900349"/>
      <w:bookmarkStart w:id="438" w:name="_Ref467378463"/>
      <w:bookmarkStart w:id="439" w:name="_Toc16917"/>
      <w:bookmarkStart w:id="440" w:name="_Ref467379205"/>
      <w:bookmarkStart w:id="441" w:name="_Ref467379195"/>
      <w:bookmarkStart w:id="442" w:name="_Ref467378404"/>
      <w:bookmarkStart w:id="443" w:name="_Ref467379225"/>
      <w:bookmarkStart w:id="444" w:name="_Toc279701240"/>
      <w:r>
        <w:rPr>
          <w:rFonts w:hint="eastAsia" w:ascii="宋体" w:hAnsi="宋体" w:cs="宋体"/>
          <w:b/>
          <w:i w:val="0"/>
          <w:iCs w:val="0"/>
          <w:color w:val="auto"/>
          <w:sz w:val="24"/>
          <w:highlight w:val="none"/>
        </w:rPr>
        <w:t>2.1 定义</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0F9A6ADF">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本合同中的下列词语应按以下内容进行解释：</w:t>
      </w:r>
    </w:p>
    <w:p w14:paraId="0335AD97">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2.1.1 “合同”系指采购人和中标或成交供应商签订的载明双方当事人所达成的协议，并包括所有的附件、附录和构成合同的其他文件。</w:t>
      </w:r>
    </w:p>
    <w:p w14:paraId="5D6AAEAC">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 “合同价”系指根据合同约定，中标或成交供应商在完全履行合同义务后，采购人应支付给中标或成交供应商的价格。</w:t>
      </w:r>
    </w:p>
    <w:p w14:paraId="4A8E0BD5">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4609F89B">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45" w:name="_Ref467378840"/>
      <w:r>
        <w:rPr>
          <w:rFonts w:hint="eastAsia" w:ascii="宋体" w:hAnsi="宋体" w:cs="宋体"/>
          <w:i w:val="0"/>
          <w:iCs w:val="0"/>
          <w:color w:val="auto"/>
          <w:sz w:val="24"/>
          <w:highlight w:val="none"/>
        </w:rPr>
        <w:t>2.1.4 “甲方”系指与中标或成交供应商签署合同的采购人</w:t>
      </w:r>
      <w:bookmarkEnd w:id="445"/>
      <w:r>
        <w:rPr>
          <w:rFonts w:hint="eastAsia" w:ascii="宋体" w:hAnsi="宋体" w:cs="宋体"/>
          <w:i w:val="0"/>
          <w:iCs w:val="0"/>
          <w:color w:val="auto"/>
          <w:sz w:val="24"/>
          <w:highlight w:val="none"/>
        </w:rPr>
        <w:t>；采购人委托采购代理机构代表其与乙方签订合同的，采购人的授权委托书作为合同附件。</w:t>
      </w:r>
    </w:p>
    <w:p w14:paraId="3BA45850">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46" w:name="_Ref467379400"/>
      <w:r>
        <w:rPr>
          <w:rFonts w:hint="eastAsia" w:ascii="宋体" w:hAnsi="宋体" w:cs="宋体"/>
          <w:i w:val="0"/>
          <w:iCs w:val="0"/>
          <w:color w:val="auto"/>
          <w:sz w:val="24"/>
          <w:highlight w:val="none"/>
        </w:rPr>
        <w:t>2.1.5 “乙方”系指根据合同约定交付货物的中标或成交供应商</w:t>
      </w:r>
      <w:bookmarkEnd w:id="446"/>
      <w:r>
        <w:rPr>
          <w:rFonts w:hint="eastAsia" w:ascii="宋体" w:hAnsi="宋体" w:cs="宋体"/>
          <w:i w:val="0"/>
          <w:iCs w:val="0"/>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C3D8B49">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47" w:name="_Ref467379436"/>
      <w:r>
        <w:rPr>
          <w:rFonts w:hint="eastAsia" w:ascii="宋体" w:hAnsi="宋体" w:cs="宋体"/>
          <w:i w:val="0"/>
          <w:iCs w:val="0"/>
          <w:color w:val="auto"/>
          <w:sz w:val="24"/>
          <w:highlight w:val="none"/>
        </w:rPr>
        <w:t>2.1.6 “现场”系指合同约定货物将要运至或者安装的地点。</w:t>
      </w:r>
      <w:bookmarkEnd w:id="447"/>
    </w:p>
    <w:p w14:paraId="67A0194C">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48" w:name="_Toc487900350"/>
      <w:bookmarkStart w:id="449" w:name="_Toc259093670"/>
      <w:bookmarkStart w:id="450" w:name="_Toc27635"/>
      <w:bookmarkStart w:id="451" w:name="_Toc279701241"/>
      <w:bookmarkStart w:id="452" w:name="_Toc13336"/>
      <w:bookmarkStart w:id="453" w:name="_Toc32504"/>
      <w:r>
        <w:rPr>
          <w:rFonts w:hint="eastAsia" w:ascii="宋体" w:hAnsi="宋体" w:cs="宋体"/>
          <w:b/>
          <w:i w:val="0"/>
          <w:iCs w:val="0"/>
          <w:color w:val="auto"/>
          <w:sz w:val="24"/>
          <w:highlight w:val="none"/>
        </w:rPr>
        <w:t>2.2 技术规范</w:t>
      </w:r>
      <w:bookmarkEnd w:id="448"/>
      <w:bookmarkEnd w:id="449"/>
      <w:bookmarkEnd w:id="450"/>
      <w:bookmarkEnd w:id="451"/>
      <w:bookmarkEnd w:id="452"/>
      <w:bookmarkEnd w:id="453"/>
    </w:p>
    <w:p w14:paraId="71907A5A">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货物所应遵守的技术规范应与</w:t>
      </w:r>
      <w:r>
        <w:rPr>
          <w:rFonts w:hint="eastAsia" w:ascii="宋体" w:hAnsi="宋体" w:cs="宋体"/>
          <w:i w:val="0"/>
          <w:iCs w:val="0"/>
          <w:color w:val="auto"/>
          <w:sz w:val="24"/>
          <w:highlight w:val="none"/>
          <w:lang w:eastAsia="zh-CN"/>
        </w:rPr>
        <w:t>招标文件</w:t>
      </w:r>
      <w:r>
        <w:rPr>
          <w:rFonts w:hint="eastAsia" w:ascii="宋体" w:hAnsi="宋体" w:cs="宋体"/>
          <w:i w:val="0"/>
          <w:iCs w:val="0"/>
          <w:color w:val="auto"/>
          <w:sz w:val="24"/>
          <w:highlight w:val="none"/>
        </w:rPr>
        <w:t>规定的技术规范和技术规范附件(如果有的话)及其技术规范偏差表(如果被甲方接受的话)相一致；如果</w:t>
      </w:r>
      <w:r>
        <w:rPr>
          <w:rFonts w:hint="eastAsia" w:ascii="宋体" w:hAnsi="宋体" w:cs="宋体"/>
          <w:i w:val="0"/>
          <w:iCs w:val="0"/>
          <w:color w:val="auto"/>
          <w:sz w:val="24"/>
          <w:highlight w:val="none"/>
          <w:lang w:eastAsia="zh-CN"/>
        </w:rPr>
        <w:t>招标文件</w:t>
      </w:r>
      <w:r>
        <w:rPr>
          <w:rFonts w:hint="eastAsia" w:ascii="宋体" w:hAnsi="宋体" w:cs="宋体"/>
          <w:i w:val="0"/>
          <w:iCs w:val="0"/>
          <w:color w:val="auto"/>
          <w:sz w:val="24"/>
          <w:highlight w:val="none"/>
        </w:rPr>
        <w:t>中没有技术规范的相应说明，那么应以国家有关部门最新颁布的相应标准和规范为准。</w:t>
      </w:r>
    </w:p>
    <w:p w14:paraId="0313B30A">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54" w:name="_Toc9829"/>
      <w:bookmarkStart w:id="455" w:name="_Toc487900351"/>
      <w:bookmarkStart w:id="456" w:name="_Toc279701242"/>
      <w:bookmarkStart w:id="457" w:name="_Toc259093671"/>
      <w:bookmarkStart w:id="458" w:name="_Toc31634"/>
      <w:bookmarkStart w:id="459" w:name="_Toc27853"/>
      <w:r>
        <w:rPr>
          <w:rFonts w:hint="eastAsia" w:ascii="宋体" w:hAnsi="宋体" w:cs="宋体"/>
          <w:b/>
          <w:i w:val="0"/>
          <w:iCs w:val="0"/>
          <w:color w:val="auto"/>
          <w:sz w:val="24"/>
          <w:highlight w:val="none"/>
        </w:rPr>
        <w:t>2.3 知识产权</w:t>
      </w:r>
      <w:bookmarkEnd w:id="454"/>
      <w:bookmarkEnd w:id="455"/>
      <w:bookmarkEnd w:id="456"/>
      <w:bookmarkEnd w:id="457"/>
      <w:bookmarkEnd w:id="458"/>
      <w:bookmarkEnd w:id="459"/>
    </w:p>
    <w:p w14:paraId="3A1FD542">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i w:val="0"/>
          <w:iCs w:val="0"/>
          <w:color w:val="auto"/>
          <w:sz w:val="24"/>
          <w:highlight w:val="none"/>
        </w:rPr>
        <w:t>乙方还应及时澄清相关信息，使甲方声誉免受损害，甲方保留追责的权利。</w:t>
      </w:r>
    </w:p>
    <w:p w14:paraId="18515FFA">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2.3.2具有知识产权的计算机软件等货物的知识产权归属，详见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7F6E7D02">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60" w:name="_Toc29149"/>
      <w:bookmarkStart w:id="461" w:name="_Toc4194"/>
      <w:bookmarkStart w:id="462" w:name="_Toc11932"/>
      <w:r>
        <w:rPr>
          <w:rFonts w:hint="eastAsia" w:ascii="宋体" w:hAnsi="宋体" w:cs="宋体"/>
          <w:b/>
          <w:i w:val="0"/>
          <w:iCs w:val="0"/>
          <w:color w:val="auto"/>
          <w:sz w:val="24"/>
          <w:highlight w:val="none"/>
        </w:rPr>
        <w:t>2.4 包装和装运</w:t>
      </w:r>
      <w:bookmarkEnd w:id="460"/>
      <w:bookmarkEnd w:id="461"/>
      <w:bookmarkEnd w:id="462"/>
    </w:p>
    <w:p w14:paraId="72C552A1">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2.4.1除</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06D9E41">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03A964C">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2.4.3 装运货物的要求和通知，详见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1A0AF7AE">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63" w:name="_Toc487900354"/>
      <w:bookmarkStart w:id="464" w:name="_Ref467378591"/>
      <w:bookmarkStart w:id="465" w:name="_Ref467379527"/>
      <w:bookmarkStart w:id="466" w:name="_Toc279701245"/>
      <w:bookmarkStart w:id="467" w:name="_Ref467378541"/>
      <w:bookmarkStart w:id="468" w:name="_Toc259093674"/>
      <w:bookmarkStart w:id="469" w:name="_Ref467379542"/>
      <w:bookmarkStart w:id="470" w:name="_Ref467379536"/>
      <w:bookmarkStart w:id="471" w:name="_Toc30272"/>
      <w:bookmarkStart w:id="472" w:name="_Toc19074"/>
      <w:bookmarkStart w:id="473" w:name="_Toc26182"/>
      <w:r>
        <w:rPr>
          <w:rFonts w:hint="eastAsia" w:ascii="宋体" w:hAnsi="宋体" w:cs="宋体"/>
          <w:b/>
          <w:i w:val="0"/>
          <w:iCs w:val="0"/>
          <w:color w:val="auto"/>
          <w:sz w:val="24"/>
          <w:highlight w:val="none"/>
        </w:rPr>
        <w:t>2.</w:t>
      </w:r>
      <w:bookmarkEnd w:id="463"/>
      <w:bookmarkEnd w:id="464"/>
      <w:bookmarkEnd w:id="465"/>
      <w:bookmarkEnd w:id="466"/>
      <w:bookmarkEnd w:id="467"/>
      <w:bookmarkEnd w:id="468"/>
      <w:bookmarkEnd w:id="469"/>
      <w:bookmarkEnd w:id="470"/>
      <w:r>
        <w:rPr>
          <w:rFonts w:hint="eastAsia" w:ascii="宋体" w:hAnsi="宋体" w:cs="宋体"/>
          <w:b/>
          <w:i w:val="0"/>
          <w:iCs w:val="0"/>
          <w:color w:val="auto"/>
          <w:sz w:val="24"/>
          <w:highlight w:val="none"/>
        </w:rPr>
        <w:t>5 履约检查和问题反馈</w:t>
      </w:r>
      <w:bookmarkEnd w:id="471"/>
      <w:bookmarkEnd w:id="472"/>
      <w:bookmarkEnd w:id="473"/>
    </w:p>
    <w:p w14:paraId="74D63A37">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74" w:name="_Ref467379657"/>
      <w:r>
        <w:rPr>
          <w:rFonts w:hint="eastAsia" w:ascii="宋体" w:hAnsi="宋体" w:cs="宋体"/>
          <w:i w:val="0"/>
          <w:iCs w:val="0"/>
          <w:color w:val="auto"/>
          <w:sz w:val="24"/>
          <w:highlight w:val="none"/>
        </w:rPr>
        <w:t>2.5.1</w:t>
      </w:r>
      <w:bookmarkEnd w:id="474"/>
      <w:bookmarkStart w:id="475" w:name="_Toc186431854"/>
      <w:bookmarkStart w:id="476" w:name="_Ref467379807"/>
      <w:bookmarkStart w:id="477" w:name="_Ref467379793"/>
      <w:bookmarkStart w:id="478" w:name="_Toc259093676"/>
      <w:bookmarkStart w:id="479" w:name="_Toc487900357"/>
      <w:bookmarkStart w:id="480" w:name="_Toc279701247"/>
      <w:r>
        <w:rPr>
          <w:rFonts w:hint="eastAsia" w:ascii="宋体" w:hAnsi="宋体" w:cs="宋体"/>
          <w:i w:val="0"/>
          <w:iCs w:val="0"/>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26D7680D">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2.5.2 合同履行期间，甲方有权将履行过程中出现的问题反馈给乙方，双方当事人应以书面形式约定需要完善和改进的内容</w:t>
      </w:r>
      <w:bookmarkEnd w:id="475"/>
      <w:bookmarkStart w:id="481" w:name="_Toc186431855"/>
      <w:r>
        <w:rPr>
          <w:rFonts w:hint="eastAsia" w:ascii="宋体" w:hAnsi="宋体" w:cs="宋体"/>
          <w:i w:val="0"/>
          <w:iCs w:val="0"/>
          <w:color w:val="auto"/>
          <w:sz w:val="24"/>
          <w:highlight w:val="none"/>
        </w:rPr>
        <w:t>。</w:t>
      </w:r>
    </w:p>
    <w:bookmarkEnd w:id="476"/>
    <w:bookmarkEnd w:id="477"/>
    <w:bookmarkEnd w:id="478"/>
    <w:bookmarkEnd w:id="479"/>
    <w:bookmarkEnd w:id="480"/>
    <w:bookmarkEnd w:id="481"/>
    <w:p w14:paraId="77966F3D">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82" w:name="_Toc487900358"/>
      <w:bookmarkStart w:id="483" w:name="_Toc259093677"/>
      <w:bookmarkStart w:id="484" w:name="_Toc279701248"/>
      <w:bookmarkStart w:id="485" w:name="_Ref467379852"/>
      <w:bookmarkStart w:id="486" w:name="_Ref467379923"/>
      <w:bookmarkStart w:id="487" w:name="_Ref467379863"/>
      <w:bookmarkStart w:id="488" w:name="_Toc16110"/>
      <w:bookmarkStart w:id="489" w:name="_Toc774"/>
      <w:bookmarkStart w:id="490" w:name="_Toc3225"/>
      <w:r>
        <w:rPr>
          <w:rFonts w:hint="eastAsia" w:ascii="宋体" w:hAnsi="宋体" w:cs="宋体"/>
          <w:b/>
          <w:i w:val="0"/>
          <w:iCs w:val="0"/>
          <w:color w:val="auto"/>
          <w:sz w:val="24"/>
          <w:highlight w:val="none"/>
        </w:rPr>
        <w:t>2.6 技术资料</w:t>
      </w:r>
      <w:bookmarkEnd w:id="482"/>
      <w:bookmarkEnd w:id="483"/>
      <w:bookmarkEnd w:id="484"/>
      <w:bookmarkEnd w:id="485"/>
      <w:bookmarkEnd w:id="486"/>
      <w:bookmarkEnd w:id="487"/>
      <w:r>
        <w:rPr>
          <w:rFonts w:hint="eastAsia" w:ascii="宋体" w:hAnsi="宋体" w:cs="宋体"/>
          <w:b/>
          <w:i w:val="0"/>
          <w:iCs w:val="0"/>
          <w:color w:val="auto"/>
          <w:sz w:val="24"/>
          <w:highlight w:val="none"/>
        </w:rPr>
        <w:t>和保密义务</w:t>
      </w:r>
      <w:bookmarkEnd w:id="488"/>
      <w:bookmarkEnd w:id="489"/>
      <w:bookmarkEnd w:id="490"/>
    </w:p>
    <w:p w14:paraId="1FE49084">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2.6.1 乙方有权依据合同约定和项目需要，向甲方了解有关情况，调阅有关资料等，甲方应予积极配合；</w:t>
      </w:r>
    </w:p>
    <w:p w14:paraId="67DC020C">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2.6.2 乙方有义务妥善保管和保护由甲方提供的前款信息和资料等；</w:t>
      </w:r>
    </w:p>
    <w:p w14:paraId="68B3217A">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14F75E9">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1" w:name="_Toc7860"/>
      <w:r>
        <w:rPr>
          <w:rFonts w:hint="eastAsia" w:ascii="宋体" w:hAnsi="宋体" w:cs="宋体"/>
          <w:b/>
          <w:i w:val="0"/>
          <w:iCs w:val="0"/>
          <w:color w:val="auto"/>
          <w:sz w:val="24"/>
          <w:highlight w:val="none"/>
        </w:rPr>
        <w:t>2.7 质量保证</w:t>
      </w:r>
      <w:bookmarkEnd w:id="491"/>
    </w:p>
    <w:p w14:paraId="567659C6">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2.7.1 乙方应建立和完善履行合同的内部质量保证体系，并提供相关内部规章制度给甲方，以便甲方进行监督检查；</w:t>
      </w:r>
    </w:p>
    <w:p w14:paraId="04FF754A">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2.7.2 乙方应保证履行合同的人员数量和素质、软件和硬件设备的配置、场地、环境和设施等满足全面履行合同的要求，并应接受甲方的监督检查。</w:t>
      </w:r>
    </w:p>
    <w:p w14:paraId="3242C442">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2" w:name="_Toc17244"/>
      <w:bookmarkStart w:id="493" w:name="_Toc487900362"/>
      <w:bookmarkStart w:id="494" w:name="_Toc259093681"/>
      <w:bookmarkStart w:id="495" w:name="_Toc279701252"/>
      <w:r>
        <w:rPr>
          <w:rFonts w:hint="eastAsia" w:ascii="宋体" w:hAnsi="宋体" w:cs="宋体"/>
          <w:b/>
          <w:i w:val="0"/>
          <w:iCs w:val="0"/>
          <w:color w:val="auto"/>
          <w:sz w:val="24"/>
          <w:highlight w:val="none"/>
        </w:rPr>
        <w:t>2.8 货物的风险负担</w:t>
      </w:r>
      <w:bookmarkEnd w:id="492"/>
    </w:p>
    <w:p w14:paraId="2ED74AA7">
      <w:pPr>
        <w:kinsoku/>
        <w:wordWrap/>
        <w:overflowPunct/>
        <w:topLinePunct w:val="0"/>
        <w:bidi w:val="0"/>
        <w:spacing w:line="560" w:lineRule="exact"/>
        <w:ind w:firstLine="480" w:firstLineChars="200"/>
        <w:outlineLvl w:val="9"/>
        <w:rPr>
          <w:rFonts w:ascii="宋体" w:hAnsi="宋体" w:cs="宋体"/>
          <w:b/>
          <w:i w:val="0"/>
          <w:iCs w:val="0"/>
          <w:color w:val="auto"/>
          <w:sz w:val="24"/>
          <w:highlight w:val="none"/>
        </w:rPr>
      </w:pPr>
      <w:r>
        <w:rPr>
          <w:rFonts w:hint="eastAsia" w:ascii="宋体" w:hAnsi="宋体" w:cs="宋体"/>
          <w:i w:val="0"/>
          <w:iCs w:val="0"/>
          <w:color w:val="auto"/>
          <w:sz w:val="24"/>
          <w:highlight w:val="none"/>
        </w:rPr>
        <w:t>货物或者在途货物或者交付给第一承运人后的货物毁损、灭失的风险负担详见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286C710E">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6" w:name="_Toc14055"/>
      <w:r>
        <w:rPr>
          <w:rFonts w:hint="eastAsia" w:ascii="宋体" w:hAnsi="宋体" w:cs="宋体"/>
          <w:b/>
          <w:i w:val="0"/>
          <w:iCs w:val="0"/>
          <w:color w:val="auto"/>
          <w:sz w:val="24"/>
          <w:highlight w:val="none"/>
        </w:rPr>
        <w:t>2.9 延迟交货</w:t>
      </w:r>
      <w:bookmarkEnd w:id="493"/>
      <w:bookmarkEnd w:id="494"/>
      <w:bookmarkEnd w:id="495"/>
      <w:bookmarkEnd w:id="496"/>
    </w:p>
    <w:p w14:paraId="225CDA80">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i w:val="0"/>
          <w:iCs w:val="0"/>
          <w:color w:val="auto"/>
          <w:sz w:val="24"/>
          <w:highlight w:val="none"/>
        </w:rPr>
        <w:t>甲乙双方签订合同后，乙方应按照合同约定履行合同义务，除不可抗力外，乙方不得延迟交货。</w:t>
      </w:r>
      <w:r>
        <w:rPr>
          <w:rFonts w:hint="eastAsia" w:ascii="宋体" w:hAnsi="宋体" w:cs="宋体"/>
          <w:i w:val="0"/>
          <w:iCs w:val="0"/>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F4D2F33">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7" w:name="_Toc7502"/>
      <w:bookmarkStart w:id="498" w:name="_Ref467378121"/>
      <w:bookmarkStart w:id="499" w:name="_Toc487900364"/>
      <w:bookmarkStart w:id="500" w:name="_Toc279701254"/>
      <w:bookmarkStart w:id="501" w:name="_Toc259093683"/>
      <w:r>
        <w:rPr>
          <w:rFonts w:hint="eastAsia" w:ascii="宋体" w:hAnsi="宋体" w:cs="宋体"/>
          <w:b/>
          <w:i w:val="0"/>
          <w:iCs w:val="0"/>
          <w:color w:val="auto"/>
          <w:sz w:val="24"/>
          <w:highlight w:val="none"/>
        </w:rPr>
        <w:t>2.10 合同变更</w:t>
      </w:r>
      <w:bookmarkEnd w:id="497"/>
    </w:p>
    <w:p w14:paraId="3D35970A">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02" w:name="_Toc487900369"/>
      <w:bookmarkStart w:id="503" w:name="_Toc279701259"/>
      <w:bookmarkStart w:id="504" w:name="_Toc259093688"/>
    </w:p>
    <w:p w14:paraId="24948CC5">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05" w:name="_Toc10366"/>
      <w:bookmarkStart w:id="506" w:name="_Toc22955"/>
      <w:bookmarkStart w:id="507" w:name="_Toc15237"/>
      <w:r>
        <w:rPr>
          <w:rFonts w:hint="eastAsia" w:ascii="宋体" w:hAnsi="宋体" w:cs="宋体"/>
          <w:b/>
          <w:i w:val="0"/>
          <w:iCs w:val="0"/>
          <w:color w:val="auto"/>
          <w:sz w:val="24"/>
          <w:highlight w:val="none"/>
        </w:rPr>
        <w:t>2.11 合同转让</w:t>
      </w:r>
      <w:bookmarkEnd w:id="502"/>
      <w:bookmarkEnd w:id="503"/>
      <w:bookmarkEnd w:id="504"/>
      <w:r>
        <w:rPr>
          <w:rFonts w:hint="eastAsia" w:ascii="宋体" w:hAnsi="宋体" w:cs="宋体"/>
          <w:b/>
          <w:i w:val="0"/>
          <w:iCs w:val="0"/>
          <w:color w:val="auto"/>
          <w:sz w:val="24"/>
          <w:highlight w:val="none"/>
        </w:rPr>
        <w:t>和分包</w:t>
      </w:r>
      <w:bookmarkEnd w:id="505"/>
      <w:bookmarkEnd w:id="506"/>
      <w:bookmarkEnd w:id="507"/>
    </w:p>
    <w:p w14:paraId="49A1CBDC">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072719E">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2.11.2乙方采取分包方式履行合同的，甲方可直接向分包供应商支付款项。</w:t>
      </w:r>
    </w:p>
    <w:p w14:paraId="70BA7B79">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08" w:name="_Toc13566"/>
      <w:bookmarkStart w:id="509" w:name="_Toc14066"/>
      <w:bookmarkStart w:id="510" w:name="_Toc16508"/>
      <w:r>
        <w:rPr>
          <w:rFonts w:hint="eastAsia" w:ascii="宋体" w:hAnsi="宋体" w:cs="宋体"/>
          <w:b/>
          <w:i w:val="0"/>
          <w:iCs w:val="0"/>
          <w:color w:val="auto"/>
          <w:sz w:val="24"/>
          <w:highlight w:val="none"/>
        </w:rPr>
        <w:t>2.12 不可抗力</w:t>
      </w:r>
      <w:bookmarkEnd w:id="508"/>
      <w:bookmarkEnd w:id="509"/>
      <w:bookmarkEnd w:id="510"/>
    </w:p>
    <w:p w14:paraId="03F25F90">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2.12.1如果任何一方遭遇法律规定的不可抗力，致使合同履行受阻时，履行合同的期限应予延长，延长的期限应相当于不可抗力所影响的时间；</w:t>
      </w:r>
    </w:p>
    <w:p w14:paraId="02DC739B">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2.12.2 因不可抗力致使不能实现合同目的的，当事人可以解除合同；</w:t>
      </w:r>
    </w:p>
    <w:p w14:paraId="2FD39977">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2.12.3 因不可抗力致使合同有变更必要的，双方当事人应在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约定时间内以书面形式变更合同；</w:t>
      </w:r>
    </w:p>
    <w:p w14:paraId="57FEA89A">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2.12.4受不可抗力影响的一方在不可抗力发生后，应在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约定时间内以书面形式通知对方当事人，并在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约定时间内，将有关部门出具的证明文件送达对方当事人。</w:t>
      </w:r>
    </w:p>
    <w:p w14:paraId="5F47D481">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11" w:name="_Toc487900365"/>
      <w:bookmarkStart w:id="512" w:name="_Toc259093684"/>
      <w:bookmarkStart w:id="513" w:name="_Toc279701255"/>
      <w:bookmarkStart w:id="514" w:name="_Toc6969"/>
      <w:bookmarkStart w:id="515" w:name="_Toc689"/>
      <w:bookmarkStart w:id="516" w:name="_Toc30676"/>
      <w:r>
        <w:rPr>
          <w:rFonts w:hint="eastAsia" w:ascii="宋体" w:hAnsi="宋体" w:cs="宋体"/>
          <w:b/>
          <w:i w:val="0"/>
          <w:iCs w:val="0"/>
          <w:color w:val="auto"/>
          <w:sz w:val="24"/>
          <w:highlight w:val="none"/>
        </w:rPr>
        <w:t>2.13 税费</w:t>
      </w:r>
      <w:bookmarkEnd w:id="511"/>
      <w:bookmarkEnd w:id="512"/>
      <w:bookmarkEnd w:id="513"/>
      <w:bookmarkEnd w:id="514"/>
      <w:bookmarkEnd w:id="515"/>
      <w:bookmarkEnd w:id="516"/>
    </w:p>
    <w:p w14:paraId="6C3321A2">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与合同有关的一切税费，均按照中华人民共和国法律的相关规定。</w:t>
      </w:r>
    </w:p>
    <w:p w14:paraId="1C7156FF">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17" w:name="_Toc16959"/>
      <w:bookmarkStart w:id="518" w:name="_Toc8298"/>
      <w:bookmarkStart w:id="519" w:name="_Toc279701258"/>
      <w:bookmarkStart w:id="520" w:name="_Toc7102"/>
      <w:bookmarkStart w:id="521" w:name="_Toc259093687"/>
      <w:bookmarkStart w:id="522" w:name="_Toc487900368"/>
      <w:r>
        <w:rPr>
          <w:rFonts w:hint="eastAsia" w:ascii="宋体" w:hAnsi="宋体" w:cs="宋体"/>
          <w:b/>
          <w:i w:val="0"/>
          <w:iCs w:val="0"/>
          <w:color w:val="auto"/>
          <w:sz w:val="24"/>
          <w:highlight w:val="none"/>
        </w:rPr>
        <w:t>2.14乙方破产</w:t>
      </w:r>
      <w:bookmarkEnd w:id="517"/>
      <w:bookmarkEnd w:id="518"/>
      <w:bookmarkEnd w:id="519"/>
      <w:bookmarkEnd w:id="520"/>
      <w:bookmarkEnd w:id="521"/>
      <w:bookmarkEnd w:id="522"/>
    </w:p>
    <w:p w14:paraId="31656717">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0B78534">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23" w:name="_Toc29333"/>
      <w:bookmarkStart w:id="524" w:name="_Toc15387"/>
      <w:bookmarkStart w:id="525" w:name="_Toc6134"/>
      <w:r>
        <w:rPr>
          <w:rFonts w:hint="eastAsia" w:ascii="宋体" w:hAnsi="宋体" w:cs="宋体"/>
          <w:b/>
          <w:i w:val="0"/>
          <w:iCs w:val="0"/>
          <w:color w:val="auto"/>
          <w:sz w:val="24"/>
          <w:highlight w:val="none"/>
        </w:rPr>
        <w:t>2.15 合同中止、终止</w:t>
      </w:r>
      <w:bookmarkEnd w:id="523"/>
      <w:bookmarkEnd w:id="524"/>
      <w:bookmarkEnd w:id="525"/>
    </w:p>
    <w:p w14:paraId="07E1A58D">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2.15.1 双方当事人不得擅自中止或者终止合同；</w:t>
      </w:r>
    </w:p>
    <w:p w14:paraId="4769560D">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5794C3DF">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26" w:name="_Toc6596"/>
      <w:bookmarkStart w:id="527" w:name="_Toc14563"/>
      <w:bookmarkStart w:id="528" w:name="_Toc1125"/>
      <w:r>
        <w:rPr>
          <w:rFonts w:hint="eastAsia" w:ascii="宋体" w:hAnsi="宋体" w:cs="宋体"/>
          <w:b/>
          <w:i w:val="0"/>
          <w:iCs w:val="0"/>
          <w:color w:val="auto"/>
          <w:sz w:val="24"/>
          <w:highlight w:val="none"/>
        </w:rPr>
        <w:t>2.16检验和验收</w:t>
      </w:r>
      <w:bookmarkEnd w:id="526"/>
      <w:bookmarkEnd w:id="527"/>
      <w:bookmarkEnd w:id="528"/>
    </w:p>
    <w:p w14:paraId="3A0B12FD">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约定时间内组织验收，并可依法邀请相关方参加，验收应出具验收书。</w:t>
      </w:r>
    </w:p>
    <w:p w14:paraId="2251E520">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B648AD4">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2.16.3 检验和验收标准、程序等具体内容以及前述验收书的效力详见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bookmarkEnd w:id="498"/>
    <w:bookmarkEnd w:id="499"/>
    <w:bookmarkEnd w:id="500"/>
    <w:bookmarkEnd w:id="501"/>
    <w:p w14:paraId="300BEDD6">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29" w:name="_Toc487900371"/>
      <w:bookmarkStart w:id="530" w:name="_Toc279701261"/>
      <w:bookmarkStart w:id="531" w:name="_Toc259093690"/>
      <w:bookmarkStart w:id="532" w:name="_Toc11284"/>
      <w:bookmarkStart w:id="533" w:name="_Toc25182"/>
      <w:bookmarkStart w:id="534" w:name="_Toc19604"/>
      <w:r>
        <w:rPr>
          <w:rFonts w:hint="eastAsia" w:ascii="宋体" w:hAnsi="宋体" w:cs="宋体"/>
          <w:b/>
          <w:i w:val="0"/>
          <w:iCs w:val="0"/>
          <w:color w:val="auto"/>
          <w:sz w:val="24"/>
          <w:highlight w:val="none"/>
        </w:rPr>
        <w:t>2.17 通知</w:t>
      </w:r>
      <w:bookmarkEnd w:id="529"/>
      <w:bookmarkEnd w:id="530"/>
      <w:bookmarkEnd w:id="531"/>
      <w:r>
        <w:rPr>
          <w:rFonts w:hint="eastAsia" w:ascii="宋体" w:hAnsi="宋体" w:cs="宋体"/>
          <w:b/>
          <w:i w:val="0"/>
          <w:iCs w:val="0"/>
          <w:color w:val="auto"/>
          <w:sz w:val="24"/>
          <w:highlight w:val="none"/>
        </w:rPr>
        <w:t>和送达</w:t>
      </w:r>
      <w:bookmarkEnd w:id="532"/>
      <w:bookmarkEnd w:id="533"/>
      <w:bookmarkEnd w:id="534"/>
    </w:p>
    <w:p w14:paraId="625EEB68">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535" w:name="_Toc6698"/>
      <w:bookmarkStart w:id="536" w:name="_Toc3135"/>
      <w:bookmarkStart w:id="537" w:name="_Toc487900372"/>
      <w:bookmarkStart w:id="538" w:name="_Toc259093691"/>
      <w:bookmarkStart w:id="539" w:name="_Toc279701262"/>
      <w:r>
        <w:rPr>
          <w:rFonts w:hint="eastAsia" w:ascii="宋体" w:hAnsi="宋体" w:cs="宋体"/>
          <w:i w:val="0"/>
          <w:iCs w:val="0"/>
          <w:color w:val="auto"/>
          <w:sz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i w:val="0"/>
          <w:iCs w:val="0"/>
          <w:color w:val="auto"/>
          <w:sz w:val="24"/>
          <w:highlight w:val="none"/>
          <w:u w:val="single"/>
        </w:rPr>
        <w:t>3</w:t>
      </w:r>
      <w:r>
        <w:rPr>
          <w:rFonts w:hint="eastAsia" w:ascii="宋体" w:hAnsi="宋体" w:cs="宋体"/>
          <w:i w:val="0"/>
          <w:iCs w:val="0"/>
          <w:color w:val="auto"/>
          <w:sz w:val="24"/>
          <w:highlight w:val="none"/>
        </w:rPr>
        <w:t>个工作日内书面通知对方当事人，在对方当事人收到有关变更通知之前，变更前的约定送达方式或者地址仍视为有效。</w:t>
      </w:r>
      <w:bookmarkEnd w:id="535"/>
      <w:bookmarkEnd w:id="536"/>
    </w:p>
    <w:p w14:paraId="7A88E6BB">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540" w:name="_Toc23128"/>
      <w:bookmarkStart w:id="541" w:name="_Toc23294"/>
      <w:r>
        <w:rPr>
          <w:rFonts w:hint="eastAsia" w:ascii="宋体" w:hAnsi="宋体" w:cs="宋体"/>
          <w:i w:val="0"/>
          <w:iCs w:val="0"/>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0"/>
      <w:bookmarkEnd w:id="541"/>
    </w:p>
    <w:p w14:paraId="376A894C">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42" w:name="_Toc30599"/>
      <w:bookmarkStart w:id="543" w:name="_Toc18540"/>
      <w:bookmarkStart w:id="544" w:name="_Toc4355"/>
      <w:r>
        <w:rPr>
          <w:rFonts w:hint="eastAsia" w:ascii="宋体" w:hAnsi="宋体" w:cs="宋体"/>
          <w:b/>
          <w:i w:val="0"/>
          <w:iCs w:val="0"/>
          <w:color w:val="auto"/>
          <w:sz w:val="24"/>
          <w:highlight w:val="none"/>
        </w:rPr>
        <w:t>2.18 计量单位</w:t>
      </w:r>
      <w:bookmarkEnd w:id="537"/>
      <w:bookmarkEnd w:id="538"/>
      <w:bookmarkEnd w:id="539"/>
      <w:bookmarkEnd w:id="542"/>
      <w:bookmarkEnd w:id="543"/>
      <w:bookmarkEnd w:id="544"/>
    </w:p>
    <w:p w14:paraId="168DA7E0">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除技术规范中另有规定外,合同的计量单位均使用国家法定计量单位。</w:t>
      </w:r>
    </w:p>
    <w:p w14:paraId="6564B3AA">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45" w:name="_Toc12773"/>
      <w:bookmarkStart w:id="546" w:name="_Toc487900373"/>
      <w:bookmarkStart w:id="547" w:name="_Toc10330"/>
      <w:bookmarkStart w:id="548" w:name="_Toc259093692"/>
      <w:bookmarkStart w:id="549" w:name="_Toc18567"/>
      <w:bookmarkStart w:id="550" w:name="_Toc279701263"/>
      <w:r>
        <w:rPr>
          <w:rFonts w:hint="eastAsia" w:ascii="宋体" w:hAnsi="宋体" w:cs="宋体"/>
          <w:b/>
          <w:i w:val="0"/>
          <w:iCs w:val="0"/>
          <w:color w:val="auto"/>
          <w:sz w:val="24"/>
          <w:highlight w:val="none"/>
        </w:rPr>
        <w:t>2.19 合同使用的文字和适用的法律</w:t>
      </w:r>
      <w:bookmarkEnd w:id="545"/>
      <w:bookmarkEnd w:id="546"/>
      <w:bookmarkEnd w:id="547"/>
      <w:bookmarkEnd w:id="548"/>
      <w:bookmarkEnd w:id="549"/>
      <w:bookmarkEnd w:id="550"/>
    </w:p>
    <w:p w14:paraId="50F0BAA6">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2.19.1 合同使用汉语书就、变更和解释；</w:t>
      </w:r>
    </w:p>
    <w:p w14:paraId="76045359">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2.19.2 合同适用中华人民共和国法律。</w:t>
      </w:r>
    </w:p>
    <w:p w14:paraId="14D0EABB">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51" w:name="_Toc19890"/>
      <w:bookmarkStart w:id="552" w:name="_Toc6885"/>
      <w:bookmarkStart w:id="553" w:name="_Toc14001"/>
      <w:r>
        <w:rPr>
          <w:rFonts w:hint="eastAsia" w:ascii="宋体" w:hAnsi="宋体" w:cs="宋体"/>
          <w:b/>
          <w:i w:val="0"/>
          <w:iCs w:val="0"/>
          <w:color w:val="auto"/>
          <w:sz w:val="24"/>
          <w:highlight w:val="none"/>
        </w:rPr>
        <w:t>2.20 合同份数</w:t>
      </w:r>
      <w:bookmarkEnd w:id="551"/>
      <w:bookmarkEnd w:id="552"/>
      <w:bookmarkEnd w:id="553"/>
    </w:p>
    <w:p w14:paraId="3361AC47">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合同份数按</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规定，每份均具有同等法律效力。</w:t>
      </w:r>
    </w:p>
    <w:p w14:paraId="2EEF8841">
      <w:pPr>
        <w:keepNext w:val="0"/>
        <w:keepLines w:val="0"/>
        <w:pageBreakBefore w:val="0"/>
        <w:widowControl w:val="0"/>
        <w:kinsoku/>
        <w:wordWrap/>
        <w:overflowPunct/>
        <w:topLinePunct w:val="0"/>
        <w:autoSpaceDE/>
        <w:autoSpaceDN/>
        <w:bidi w:val="0"/>
        <w:adjustRightInd/>
        <w:snapToGrid/>
        <w:spacing w:line="360" w:lineRule="auto"/>
        <w:ind w:firstLine="2513" w:firstLineChars="1197"/>
        <w:textAlignment w:val="auto"/>
        <w:outlineLvl w:val="9"/>
        <w:rPr>
          <w:rFonts w:ascii="宋体" w:hAnsi="宋体" w:cs="宋体"/>
          <w:b/>
          <w:color w:val="auto"/>
          <w:highlight w:val="none"/>
        </w:rPr>
      </w:pPr>
      <w:r>
        <w:rPr>
          <w:rFonts w:hint="eastAsia" w:ascii="宋体" w:hAnsi="宋体" w:cs="宋体"/>
          <w:i w:val="0"/>
          <w:iCs w:val="0"/>
          <w:color w:val="auto"/>
          <w:kern w:val="0"/>
          <w:highlight w:val="none"/>
        </w:rPr>
        <w:br w:type="page"/>
      </w:r>
      <w:r>
        <w:rPr>
          <w:rFonts w:hint="eastAsia" w:ascii="宋体" w:hAnsi="宋体" w:cs="宋体"/>
          <w:b/>
          <w:color w:val="auto"/>
          <w:sz w:val="32"/>
          <w:szCs w:val="20"/>
          <w:highlight w:val="none"/>
        </w:rPr>
        <w:t xml:space="preserve"> 第三部分  合同专用条款</w:t>
      </w:r>
    </w:p>
    <w:p w14:paraId="475F0BF9">
      <w:pPr>
        <w:keepNext w:val="0"/>
        <w:keepLines w:val="0"/>
        <w:pageBreakBefore w:val="0"/>
        <w:widowControl w:val="0"/>
        <w:kinsoku/>
        <w:wordWrap/>
        <w:overflowPunct/>
        <w:topLinePunct w:val="0"/>
        <w:autoSpaceDE/>
        <w:autoSpaceDN/>
        <w:bidi w:val="0"/>
        <w:adjustRightInd w:val="0"/>
        <w:snapToGrid/>
        <w:spacing w:line="240" w:lineRule="auto"/>
        <w:ind w:left="-420" w:leftChars="-200" w:right="-420" w:rightChars="-200" w:firstLine="480" w:firstLineChars="200"/>
        <w:textAlignment w:val="auto"/>
        <w:outlineLvl w:val="9"/>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247EC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5" w:type="pct"/>
            <w:tcBorders>
              <w:left w:val="single" w:color="auto" w:sz="4" w:space="0"/>
            </w:tcBorders>
            <w:vAlign w:val="center"/>
          </w:tcPr>
          <w:p w14:paraId="122B7C5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534" w:type="pct"/>
            <w:vAlign w:val="center"/>
          </w:tcPr>
          <w:p w14:paraId="40F4300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7875E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C843A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534" w:type="pct"/>
            <w:vAlign w:val="center"/>
          </w:tcPr>
          <w:p w14:paraId="77F4F50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143C6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EDD752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1.5.1</w:t>
            </w:r>
          </w:p>
        </w:tc>
        <w:tc>
          <w:tcPr>
            <w:tcW w:w="4534" w:type="pct"/>
            <w:vAlign w:val="center"/>
          </w:tcPr>
          <w:p w14:paraId="2607FC5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合同生效且具备实施条件后，七个工作日内支付合同总额的40%作为预付款；（合同签订时乙方主动要求不需要预付款的甲方可以不支付）；</w:t>
            </w:r>
          </w:p>
        </w:tc>
      </w:tr>
      <w:tr w14:paraId="0BC16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E420DB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1.5.2 </w:t>
            </w:r>
          </w:p>
        </w:tc>
        <w:tc>
          <w:tcPr>
            <w:tcW w:w="4534" w:type="pct"/>
            <w:vAlign w:val="center"/>
          </w:tcPr>
          <w:p w14:paraId="2273520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2B8F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8F6D85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1.5.3</w:t>
            </w:r>
          </w:p>
        </w:tc>
        <w:tc>
          <w:tcPr>
            <w:tcW w:w="4534" w:type="pct"/>
            <w:vAlign w:val="center"/>
          </w:tcPr>
          <w:p w14:paraId="48CBD34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4D2E6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1575A9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534" w:type="pct"/>
            <w:vAlign w:val="center"/>
          </w:tcPr>
          <w:p w14:paraId="1DC0C4D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适用于中小微企业：</w:t>
            </w:r>
          </w:p>
          <w:p w14:paraId="22782F1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①合同生效且具备实施条件后，七个工作日内支付合同总额的40%作为预付款；（合同签订时乙方主动要求不需要预付款的甲方可以不支付）；</w:t>
            </w:r>
          </w:p>
          <w:p w14:paraId="2188297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②货到验收合格后七个工作日内一次性付清余款。</w:t>
            </w:r>
          </w:p>
          <w:p w14:paraId="5BCD387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适用于大型企业：</w:t>
            </w:r>
          </w:p>
          <w:p w14:paraId="79F8AA7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①货到验收合格且甲方收到合法有效的发票后15日内付清全款。</w:t>
            </w:r>
          </w:p>
        </w:tc>
      </w:tr>
      <w:tr w14:paraId="0E1C3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C7297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534" w:type="pct"/>
            <w:vAlign w:val="center"/>
          </w:tcPr>
          <w:p w14:paraId="6774430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szCs w:val="24"/>
                <w:highlight w:val="none"/>
                <w:lang w:val="en-US" w:eastAsia="zh-CN"/>
              </w:rPr>
              <w:t>合同签订后</w:t>
            </w: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lang w:val="en-US" w:eastAsia="zh-CN"/>
              </w:rPr>
              <w:t>天内完成交货。</w:t>
            </w:r>
          </w:p>
        </w:tc>
      </w:tr>
      <w:tr w14:paraId="6C89C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FF47A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534" w:type="pct"/>
            <w:vAlign w:val="center"/>
          </w:tcPr>
          <w:p w14:paraId="74D3ED0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地点。</w:t>
            </w:r>
          </w:p>
        </w:tc>
      </w:tr>
      <w:tr w14:paraId="56B1F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82938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534" w:type="pct"/>
            <w:vAlign w:val="center"/>
          </w:tcPr>
          <w:p w14:paraId="52ECCEE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r>
              <w:rPr>
                <w:rFonts w:hint="eastAsia" w:ascii="宋体" w:hAnsi="宋体" w:cs="宋体"/>
                <w:color w:val="auto"/>
                <w:sz w:val="24"/>
                <w:highlight w:val="none"/>
                <w:lang w:val="en-US" w:eastAsia="zh-CN"/>
              </w:rPr>
              <w:t>，现场交货。</w:t>
            </w:r>
          </w:p>
        </w:tc>
      </w:tr>
      <w:tr w14:paraId="08BA8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D0E3AD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1.8.</w:t>
            </w:r>
            <w:r>
              <w:rPr>
                <w:rFonts w:hint="eastAsia" w:ascii="宋体" w:hAnsi="宋体" w:cs="宋体"/>
                <w:color w:val="auto"/>
                <w:sz w:val="24"/>
                <w:highlight w:val="none"/>
                <w:lang w:val="en-US" w:eastAsia="zh-CN"/>
              </w:rPr>
              <w:t>3</w:t>
            </w:r>
          </w:p>
        </w:tc>
        <w:tc>
          <w:tcPr>
            <w:tcW w:w="4534" w:type="pct"/>
            <w:vAlign w:val="center"/>
          </w:tcPr>
          <w:p w14:paraId="7075CFC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14:paraId="0E6C8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0E144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1.9</w:t>
            </w:r>
          </w:p>
        </w:tc>
        <w:tc>
          <w:tcPr>
            <w:tcW w:w="4534" w:type="pct"/>
            <w:vAlign w:val="center"/>
          </w:tcPr>
          <w:p w14:paraId="373D1AD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宁波市</w:t>
            </w:r>
            <w:r>
              <w:rPr>
                <w:rFonts w:hint="eastAsia" w:ascii="宋体" w:hAnsi="宋体" w:cs="宋体"/>
                <w:color w:val="auto"/>
                <w:sz w:val="24"/>
                <w:highlight w:val="none"/>
                <w:lang w:val="en-US" w:eastAsia="zh-CN"/>
              </w:rPr>
              <w:t>宁海县。</w:t>
            </w:r>
          </w:p>
        </w:tc>
      </w:tr>
      <w:tr w14:paraId="0AB28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13760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534" w:type="pct"/>
            <w:vAlign w:val="center"/>
          </w:tcPr>
          <w:p w14:paraId="5475DC2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归甲方所有</w:t>
            </w:r>
            <w:r>
              <w:rPr>
                <w:rFonts w:hint="eastAsia" w:ascii="宋体" w:hAnsi="宋体" w:cs="宋体"/>
                <w:color w:val="auto"/>
                <w:sz w:val="24"/>
                <w:highlight w:val="none"/>
                <w:lang w:val="en-US" w:eastAsia="zh-CN"/>
              </w:rPr>
              <w:t>。</w:t>
            </w:r>
          </w:p>
        </w:tc>
      </w:tr>
      <w:tr w14:paraId="4BEFB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280ADE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2.4.1</w:t>
            </w:r>
          </w:p>
        </w:tc>
        <w:tc>
          <w:tcPr>
            <w:tcW w:w="4534" w:type="pct"/>
            <w:vAlign w:val="center"/>
          </w:tcPr>
          <w:p w14:paraId="7AB92F1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D338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5CB33C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2.4.3</w:t>
            </w:r>
          </w:p>
        </w:tc>
        <w:tc>
          <w:tcPr>
            <w:tcW w:w="4534" w:type="pct"/>
            <w:vAlign w:val="center"/>
          </w:tcPr>
          <w:p w14:paraId="642D64A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r>
              <w:rPr>
                <w:rFonts w:hint="eastAsia" w:ascii="宋体" w:hAnsi="宋体" w:cs="宋体"/>
                <w:color w:val="auto"/>
                <w:sz w:val="24"/>
                <w:highlight w:val="none"/>
                <w:lang w:val="en-US" w:eastAsia="zh-CN"/>
              </w:rPr>
              <w:t>。</w:t>
            </w:r>
          </w:p>
        </w:tc>
      </w:tr>
      <w:tr w14:paraId="70BAB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37A0498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2.8 </w:t>
            </w:r>
          </w:p>
        </w:tc>
        <w:tc>
          <w:tcPr>
            <w:tcW w:w="4534" w:type="pct"/>
          </w:tcPr>
          <w:p w14:paraId="5657220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责任方承担</w:t>
            </w:r>
            <w:r>
              <w:rPr>
                <w:rFonts w:hint="eastAsia" w:ascii="宋体" w:hAnsi="宋体" w:cs="宋体"/>
                <w:color w:val="auto"/>
                <w:sz w:val="24"/>
                <w:highlight w:val="none"/>
                <w:lang w:val="en-US" w:eastAsia="zh-CN"/>
              </w:rPr>
              <w:t>。</w:t>
            </w:r>
          </w:p>
        </w:tc>
      </w:tr>
      <w:tr w14:paraId="168B9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5C935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2.12.3</w:t>
            </w:r>
          </w:p>
        </w:tc>
        <w:tc>
          <w:tcPr>
            <w:tcW w:w="4534" w:type="pct"/>
            <w:vAlign w:val="center"/>
          </w:tcPr>
          <w:p w14:paraId="0B8E244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r>
              <w:rPr>
                <w:rFonts w:hint="eastAsia" w:ascii="宋体" w:hAnsi="宋体" w:eastAsia="宋体" w:cs="宋体"/>
                <w:color w:val="auto"/>
                <w:sz w:val="24"/>
                <w:highlight w:val="none"/>
                <w:lang w:eastAsia="zh-CN"/>
              </w:rPr>
              <w:t>。</w:t>
            </w:r>
          </w:p>
        </w:tc>
      </w:tr>
      <w:tr w14:paraId="057E9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FCEC08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2.12.4</w:t>
            </w:r>
          </w:p>
        </w:tc>
        <w:tc>
          <w:tcPr>
            <w:tcW w:w="4534" w:type="pct"/>
            <w:vAlign w:val="top"/>
          </w:tcPr>
          <w:p w14:paraId="0F8BCDF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p>
        </w:tc>
      </w:tr>
      <w:tr w14:paraId="4B070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572900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2.16.1</w:t>
            </w:r>
          </w:p>
        </w:tc>
        <w:tc>
          <w:tcPr>
            <w:tcW w:w="4534" w:type="pct"/>
            <w:vAlign w:val="center"/>
          </w:tcPr>
          <w:p w14:paraId="3AB1F69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以甲方约定为准</w:t>
            </w:r>
            <w:r>
              <w:rPr>
                <w:rFonts w:hint="eastAsia" w:ascii="宋体" w:hAnsi="宋体" w:cs="宋体"/>
                <w:color w:val="auto"/>
                <w:sz w:val="24"/>
                <w:highlight w:val="none"/>
                <w:lang w:val="en-US" w:eastAsia="zh-CN"/>
              </w:rPr>
              <w:t>。</w:t>
            </w:r>
          </w:p>
        </w:tc>
      </w:tr>
      <w:tr w14:paraId="34483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165AB32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2.16.3</w:t>
            </w:r>
          </w:p>
        </w:tc>
        <w:tc>
          <w:tcPr>
            <w:tcW w:w="4534" w:type="pct"/>
            <w:vAlign w:val="center"/>
          </w:tcPr>
          <w:p w14:paraId="24B9FAF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1）验收标准：与产品原始样本技术数据及标书技术文件一致，符合国家有关技术规范和技术标准。</w:t>
            </w:r>
          </w:p>
          <w:p w14:paraId="23FAF7D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cs="宋体"/>
                <w:color w:val="auto"/>
                <w:sz w:val="24"/>
                <w:highlight w:val="none"/>
                <w:lang w:val="en-US" w:eastAsia="zh-CN"/>
              </w:rPr>
              <w:t>2）安装、验收所产生的一切费用（包括卸货、搬运费等）由乙方负责。</w:t>
            </w:r>
          </w:p>
        </w:tc>
      </w:tr>
      <w:tr w14:paraId="344A5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40F2101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2.20 </w:t>
            </w:r>
          </w:p>
        </w:tc>
        <w:tc>
          <w:tcPr>
            <w:tcW w:w="4534" w:type="pct"/>
            <w:vAlign w:val="top"/>
          </w:tcPr>
          <w:p w14:paraId="4C00FAC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本合同一式   份，甲方执   份，乙方执   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采购办存档一份</w:t>
            </w:r>
            <w:r>
              <w:rPr>
                <w:rFonts w:hint="eastAsia" w:ascii="宋体" w:hAnsi="宋体" w:eastAsia="宋体" w:cs="宋体"/>
                <w:color w:val="auto"/>
                <w:sz w:val="24"/>
                <w:highlight w:val="none"/>
              </w:rPr>
              <w:t>。每份均具有同等法律效力。</w:t>
            </w:r>
          </w:p>
        </w:tc>
      </w:tr>
    </w:tbl>
    <w:p w14:paraId="06BAC144">
      <w:pPr>
        <w:kinsoku/>
        <w:wordWrap/>
        <w:overflowPunct/>
        <w:topLinePunct w:val="0"/>
        <w:bidi w:val="0"/>
        <w:outlineLvl w:val="9"/>
        <w:rPr>
          <w:color w:val="auto"/>
          <w:highlight w:val="none"/>
        </w:rPr>
      </w:pPr>
    </w:p>
    <w:p w14:paraId="0E25D7FE">
      <w:pPr>
        <w:rPr>
          <w:rFonts w:hint="eastAsia" w:ascii="宋体" w:hAnsi="宋体" w:cs="宋体"/>
          <w:b/>
          <w:color w:val="auto"/>
          <w:sz w:val="36"/>
          <w:szCs w:val="20"/>
          <w:highlight w:val="none"/>
        </w:rPr>
      </w:pPr>
      <w:bookmarkStart w:id="554" w:name="_Toc22993"/>
      <w:r>
        <w:rPr>
          <w:rFonts w:hint="eastAsia" w:ascii="宋体" w:hAnsi="宋体" w:cs="宋体"/>
          <w:b/>
          <w:color w:val="auto"/>
          <w:sz w:val="36"/>
          <w:szCs w:val="20"/>
          <w:highlight w:val="none"/>
        </w:rPr>
        <w:br w:type="page"/>
      </w:r>
    </w:p>
    <w:p w14:paraId="58DC4B6D">
      <w:pPr>
        <w:kinsoku/>
        <w:wordWrap/>
        <w:overflowPunct/>
        <w:topLinePunct w:val="0"/>
        <w:bidi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2"/>
      <w:r>
        <w:rPr>
          <w:rFonts w:hint="eastAsia" w:ascii="宋体" w:hAnsi="宋体" w:cs="宋体"/>
          <w:b/>
          <w:color w:val="auto"/>
          <w:sz w:val="36"/>
          <w:szCs w:val="20"/>
          <w:highlight w:val="none"/>
        </w:rPr>
        <w:t xml:space="preserve"> </w:t>
      </w:r>
      <w:bookmarkEnd w:id="403"/>
      <w:r>
        <w:rPr>
          <w:rFonts w:hint="eastAsia" w:ascii="宋体" w:hAnsi="宋体" w:cs="宋体"/>
          <w:b/>
          <w:color w:val="auto"/>
          <w:sz w:val="36"/>
          <w:szCs w:val="20"/>
          <w:highlight w:val="none"/>
        </w:rPr>
        <w:t>应提交的有关格式范例</w:t>
      </w:r>
      <w:bookmarkEnd w:id="554"/>
    </w:p>
    <w:p w14:paraId="57F084B5">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5E460173">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3278FD6">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84DFB55">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16C665A0">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F4E5907">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1D6619E">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D800D86">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D25B21F">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p>
    <w:p w14:paraId="7429A5FE">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2CB71197">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14:paraId="5823C4AA">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5A072C2F">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6856BFA">
      <w:pPr>
        <w:kinsoku/>
        <w:wordWrap/>
        <w:overflowPunct/>
        <w:topLinePunct w:val="0"/>
        <w:bidi w:val="0"/>
        <w:snapToGrid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EA3829C">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714ECBC">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F706A3A">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8CC6BF6">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ADC591B">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BF5500D">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1992FB7">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（二）未被信用中国（www.creditchina.gov.cn)、中国政府采购网（www.ccgp.gov.cn）列入失信被执行人、重大税收违法案件当事人名单、政府采购严重违法失信行为记录名单。未在中国裁判文书网有行贿犯罪相关记录</w:t>
      </w:r>
      <w:r>
        <w:rPr>
          <w:rFonts w:hint="eastAsia" w:ascii="宋体" w:hAnsi="宋体" w:cs="宋体"/>
          <w:color w:val="auto"/>
          <w:sz w:val="24"/>
          <w:highlight w:val="none"/>
          <w:lang w:eastAsia="zh-CN"/>
        </w:rPr>
        <w:t>。</w:t>
      </w:r>
    </w:p>
    <w:p w14:paraId="353F8B90">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（三）不存在以下情况：</w:t>
      </w:r>
    </w:p>
    <w:p w14:paraId="7FB24DF9">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04EBF82">
      <w:pPr>
        <w:kinsoku/>
        <w:wordWrap/>
        <w:overflowPunct/>
        <w:topLinePunct w:val="0"/>
        <w:bidi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DFA5FB0">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p>
    <w:p w14:paraId="265EBB43">
      <w:pPr>
        <w:kinsoku/>
        <w:wordWrap/>
        <w:overflowPunct/>
        <w:topLinePunct w:val="0"/>
        <w:bidi w:val="0"/>
        <w:snapToGrid w:val="0"/>
        <w:spacing w:line="360" w:lineRule="auto"/>
        <w:ind w:firstLine="5520" w:firstLineChars="2300"/>
        <w:outlineLvl w:val="9"/>
        <w:rPr>
          <w:rFonts w:hint="eastAsia" w:ascii="宋体" w:hAnsi="宋体" w:cs="宋体"/>
          <w:color w:val="auto"/>
          <w:kern w:val="0"/>
          <w:sz w:val="24"/>
          <w:highlight w:val="none"/>
          <w:lang w:val="zh-CN"/>
        </w:rPr>
      </w:pPr>
    </w:p>
    <w:p w14:paraId="5617B19B">
      <w:pPr>
        <w:kinsoku/>
        <w:wordWrap/>
        <w:overflowPunct/>
        <w:topLinePunct w:val="0"/>
        <w:bidi w:val="0"/>
        <w:snapToGrid w:val="0"/>
        <w:spacing w:line="360" w:lineRule="auto"/>
        <w:ind w:firstLine="5520" w:firstLineChars="23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6E65D0F1">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6614FDC">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DFE85E6">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41955E2">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2A4BCF1">
      <w:pPr>
        <w:kinsoku/>
        <w:wordWrap/>
        <w:overflowPunct/>
        <w:topLinePunct w:val="0"/>
        <w:bidi w:val="0"/>
        <w:outlineLvl w:val="9"/>
        <w:rPr>
          <w:rFonts w:ascii="宋体" w:hAnsi="宋体" w:cs="宋体"/>
          <w:color w:val="auto"/>
          <w:highlight w:val="none"/>
        </w:rPr>
      </w:pPr>
    </w:p>
    <w:p w14:paraId="17AB9600">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E59098F">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6C654424">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23518DBF">
      <w:pPr>
        <w:widowControl/>
        <w:kinsoku/>
        <w:wordWrap/>
        <w:overflowPunct/>
        <w:topLinePunct w:val="0"/>
        <w:bidi w:val="0"/>
        <w:spacing w:line="360" w:lineRule="auto"/>
        <w:ind w:firstLine="643" w:firstLineChars="20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83CBE6A">
      <w:pPr>
        <w:widowControl/>
        <w:kinsoku/>
        <w:wordWrap/>
        <w:overflowPunct/>
        <w:topLinePunct w:val="0"/>
        <w:bidi w:val="0"/>
        <w:spacing w:line="360" w:lineRule="auto"/>
        <w:ind w:firstLine="482" w:firstLineChars="200"/>
        <w:jc w:val="left"/>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38B33745">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E021D91">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DE6C34A">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560D7CA">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B9A4D5D">
      <w:pPr>
        <w:kinsoku/>
        <w:wordWrap/>
        <w:overflowPunct/>
        <w:topLinePunct w:val="0"/>
        <w:bidi w:val="0"/>
        <w:snapToGrid w:val="0"/>
        <w:spacing w:before="50" w:after="50"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42B5753">
      <w:pPr>
        <w:widowControl/>
        <w:kinsoku/>
        <w:wordWrap/>
        <w:overflowPunct/>
        <w:topLinePunct w:val="0"/>
        <w:bidi w:val="0"/>
        <w:spacing w:line="360" w:lineRule="auto"/>
        <w:ind w:firstLine="480"/>
        <w:jc w:val="left"/>
        <w:outlineLvl w:val="9"/>
        <w:rPr>
          <w:rFonts w:ascii="宋体" w:hAnsi="宋体" w:cs="宋体"/>
          <w:color w:val="auto"/>
          <w:sz w:val="24"/>
          <w:highlight w:val="none"/>
        </w:rPr>
      </w:pPr>
    </w:p>
    <w:p w14:paraId="53382274">
      <w:pPr>
        <w:widowControl/>
        <w:kinsoku/>
        <w:wordWrap/>
        <w:overflowPunct/>
        <w:topLinePunct w:val="0"/>
        <w:bidi w:val="0"/>
        <w:spacing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AE34DF7">
      <w:pPr>
        <w:kinsoku/>
        <w:wordWrap/>
        <w:overflowPunct/>
        <w:topLinePunct w:val="0"/>
        <w:bidi w:val="0"/>
        <w:snapToGrid w:val="0"/>
        <w:spacing w:before="50" w:after="50" w:line="360" w:lineRule="auto"/>
        <w:jc w:val="center"/>
        <w:outlineLvl w:val="9"/>
        <w:rPr>
          <w:rFonts w:ascii="宋体" w:hAnsi="宋体" w:cs="宋体"/>
          <w:color w:val="auto"/>
          <w:sz w:val="24"/>
          <w:highlight w:val="none"/>
        </w:rPr>
      </w:pPr>
      <w:r>
        <w:rPr>
          <w:rFonts w:hint="eastAsia" w:ascii="宋体" w:hAnsi="宋体" w:cs="宋体"/>
          <w:b/>
          <w:color w:val="auto"/>
          <w:sz w:val="24"/>
          <w:highlight w:val="none"/>
        </w:rPr>
        <w:t xml:space="preserve">    </w:t>
      </w:r>
    </w:p>
    <w:p w14:paraId="67FA2886">
      <w:pPr>
        <w:kinsoku/>
        <w:wordWrap/>
        <w:overflowPunct/>
        <w:topLinePunct w:val="0"/>
        <w:bidi w:val="0"/>
        <w:spacing w:line="360" w:lineRule="auto"/>
        <w:ind w:firstLine="482" w:firstLineChars="200"/>
        <w:outlineLvl w:val="9"/>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B130E22">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p>
    <w:p w14:paraId="07403257">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334F7A3">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03CF5D2">
      <w:pPr>
        <w:kinsoku/>
        <w:wordWrap/>
        <w:overflowPunct/>
        <w:topLinePunct w:val="0"/>
        <w:bidi w:val="0"/>
        <w:outlineLvl w:val="9"/>
        <w:rPr>
          <w:rFonts w:ascii="宋体" w:hAnsi="宋体" w:cs="宋体"/>
          <w:color w:val="auto"/>
          <w:highlight w:val="none"/>
        </w:rPr>
      </w:pPr>
    </w:p>
    <w:p w14:paraId="59A672EC">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EF6D848">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166B50B">
      <w:pPr>
        <w:kinsoku/>
        <w:wordWrap/>
        <w:overflowPunct/>
        <w:topLinePunct w:val="0"/>
        <w:bidi w:val="0"/>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6CC517">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355DB6">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35E4DE6">
      <w:pPr>
        <w:kinsoku/>
        <w:wordWrap/>
        <w:overflowPunct/>
        <w:topLinePunct w:val="0"/>
        <w:bidi w:val="0"/>
        <w:snapToGrid w:val="0"/>
        <w:spacing w:line="360" w:lineRule="auto"/>
        <w:ind w:firstLine="480" w:firstLineChars="200"/>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07E1E2D">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AB1DFD0">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12C1608">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5B236260">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0DC15EFE">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72750622">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7F51B771">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2B1A9CB5">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6DC518D6">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7D89D2CA">
      <w:pPr>
        <w:kinsoku/>
        <w:wordWrap/>
        <w:overflowPunct/>
        <w:topLinePunct w:val="0"/>
        <w:bidi w:val="0"/>
        <w:outlineLvl w:val="9"/>
        <w:rPr>
          <w:rFonts w:ascii="宋体" w:hAnsi="宋体" w:cs="宋体"/>
          <w:color w:val="auto"/>
          <w:highlight w:val="none"/>
        </w:rPr>
      </w:pPr>
    </w:p>
    <w:p w14:paraId="2C1C2000">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24566029">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004B5A54">
      <w:pPr>
        <w:tabs>
          <w:tab w:val="left" w:pos="432"/>
        </w:tabs>
        <w:kinsoku/>
        <w:wordWrap/>
        <w:overflowPunct/>
        <w:topLinePunct w:val="0"/>
        <w:bidi w:val="0"/>
        <w:outlineLvl w:val="9"/>
        <w:rPr>
          <w:color w:val="auto"/>
          <w:highlight w:val="none"/>
          <w:lang w:val="en-US"/>
        </w:rPr>
      </w:pPr>
    </w:p>
    <w:p w14:paraId="3C676AA1">
      <w:pPr>
        <w:kinsoku/>
        <w:wordWrap/>
        <w:overflowPunct/>
        <w:topLinePunct w:val="0"/>
        <w:bidi w:val="0"/>
        <w:outlineLvl w:val="9"/>
        <w:rPr>
          <w:color w:val="auto"/>
          <w:highlight w:val="none"/>
        </w:rPr>
      </w:pPr>
    </w:p>
    <w:p w14:paraId="37770013">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4375387E">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43D167DB">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5C720A17">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EB14B14">
      <w:pPr>
        <w:kinsoku/>
        <w:wordWrap/>
        <w:overflowPunct/>
        <w:topLinePunct w:val="0"/>
        <w:bidi w:val="0"/>
        <w:snapToGrid w:val="0"/>
        <w:spacing w:line="360" w:lineRule="auto"/>
        <w:ind w:firstLine="3855" w:firstLineChars="1200"/>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EE2DCC2">
      <w:pPr>
        <w:keepNext w:val="0"/>
        <w:keepLines w:val="0"/>
        <w:pageBreakBefore w:val="0"/>
        <w:widowControl w:val="0"/>
        <w:kinsoku/>
        <w:wordWrap/>
        <w:overflowPunct/>
        <w:topLinePunct w:val="0"/>
        <w:autoSpaceDE/>
        <w:autoSpaceDN/>
        <w:bidi w:val="0"/>
        <w:adjustRightInd w:val="0"/>
        <w:snapToGrid w:val="0"/>
        <w:spacing w:line="312"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2EC19ED0">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162373CB">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2EBE77B">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3D08BF0">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2.1资格文件：</w:t>
      </w:r>
    </w:p>
    <w:p w14:paraId="7FC23D0C">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2.1.1承诺函；</w:t>
      </w:r>
    </w:p>
    <w:p w14:paraId="61E48DA0">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402B2708">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8C14392">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101F31D">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2F0E410">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5A42214">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178165D">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4A30E1D">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44DCB7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BCADBAC">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14:paraId="430198E3">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7EB5E671">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2A4CB53">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2.3.1开标一览表（报价表）</w:t>
      </w:r>
      <w:r>
        <w:rPr>
          <w:rFonts w:hint="eastAsia" w:ascii="宋体" w:hAnsi="宋体" w:cs="宋体"/>
          <w:color w:val="auto"/>
          <w:sz w:val="24"/>
          <w:highlight w:val="none"/>
          <w:lang w:val="en-US" w:eastAsia="zh-CN"/>
        </w:rPr>
        <w:t>、投标分项报价表</w:t>
      </w:r>
      <w:r>
        <w:rPr>
          <w:rFonts w:hint="eastAsia" w:ascii="宋体" w:hAnsi="宋体" w:cs="宋体"/>
          <w:color w:val="auto"/>
          <w:sz w:val="24"/>
          <w:highlight w:val="none"/>
        </w:rPr>
        <w:t>；</w:t>
      </w:r>
    </w:p>
    <w:p w14:paraId="4A80B2AA">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E179B24">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3ABD4A8">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4、如我方中标，我方承诺：</w:t>
      </w:r>
    </w:p>
    <w:p w14:paraId="6D2CF1FB">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47A4FA6">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D2C1659">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87DC7FE">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4.4在合同约定的期限内完成合同规定的全部义务。</w:t>
      </w:r>
    </w:p>
    <w:p w14:paraId="7E8261EF">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4.5</w:t>
      </w:r>
      <w:r>
        <w:rPr>
          <w:rFonts w:hint="eastAsia" w:cs="宋体" w:asciiTheme="minorEastAsia" w:hAnsiTheme="minorEastAsia" w:eastAsiaTheme="minorEastAsia"/>
          <w:color w:val="auto"/>
          <w:sz w:val="24"/>
          <w:highlight w:val="none"/>
          <w:lang w:val="en-US" w:eastAsia="zh-CN"/>
        </w:rPr>
        <w:t>按照招标文件的规定，在中标后向采购代理机构一次性支付招标代理服务费。</w:t>
      </w:r>
      <w:r>
        <w:rPr>
          <w:rFonts w:hint="eastAsia" w:ascii="宋体" w:hAnsi="宋体" w:cs="宋体"/>
          <w:color w:val="auto"/>
          <w:sz w:val="24"/>
          <w:highlight w:val="none"/>
        </w:rPr>
        <w:t xml:space="preserve"> </w:t>
      </w:r>
    </w:p>
    <w:p w14:paraId="3D1240DB">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CB6A161">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outlineLvl w:val="9"/>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名称（电子签名）：                          </w:t>
      </w:r>
    </w:p>
    <w:p w14:paraId="16BCBF27">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80BAC2D">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r>
        <w:rPr>
          <w:rFonts w:ascii="宋体" w:hAnsi="宋体" w:cs="宋体"/>
          <w:b/>
          <w:color w:val="auto"/>
          <w:kern w:val="0"/>
          <w:sz w:val="32"/>
          <w:szCs w:val="32"/>
          <w:highlight w:val="none"/>
        </w:rPr>
        <w:br w:type="page"/>
      </w:r>
    </w:p>
    <w:p w14:paraId="53712231">
      <w:pPr>
        <w:kinsoku/>
        <w:wordWrap/>
        <w:overflowPunct/>
        <w:topLinePunct w:val="0"/>
        <w:bidi w:val="0"/>
        <w:jc w:val="center"/>
        <w:outlineLvl w:val="9"/>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57085FE">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14:paraId="68A22C7B">
      <w:pPr>
        <w:kinsoku/>
        <w:wordWrap/>
        <w:overflowPunct/>
        <w:topLinePunct w:val="0"/>
        <w:bidi w:val="0"/>
        <w:snapToGrid w:val="0"/>
        <w:spacing w:line="360" w:lineRule="auto"/>
        <w:ind w:firstLine="2872" w:firstLineChars="894"/>
        <w:outlineLvl w:val="9"/>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7A13C9B">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889DB76">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935BC1C">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1579303">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C208E3A">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3789E638">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7B06791">
      <w:pPr>
        <w:kinsoku/>
        <w:wordWrap/>
        <w:overflowPunct/>
        <w:topLinePunct w:val="0"/>
        <w:bidi w:val="0"/>
        <w:snapToGrid w:val="0"/>
        <w:spacing w:line="360" w:lineRule="auto"/>
        <w:outlineLvl w:val="9"/>
        <w:rPr>
          <w:rFonts w:ascii="宋体" w:hAnsi="宋体" w:cs="宋体"/>
          <w:color w:val="auto"/>
          <w:sz w:val="24"/>
          <w:highlight w:val="none"/>
        </w:rPr>
      </w:pPr>
    </w:p>
    <w:p w14:paraId="5577F376">
      <w:pPr>
        <w:kinsoku/>
        <w:wordWrap/>
        <w:overflowPunct/>
        <w:topLinePunct w:val="0"/>
        <w:bidi w:val="0"/>
        <w:snapToGrid w:val="0"/>
        <w:spacing w:line="360" w:lineRule="auto"/>
        <w:outlineLvl w:val="9"/>
        <w:rPr>
          <w:rFonts w:ascii="宋体" w:hAnsi="宋体" w:cs="宋体"/>
          <w:color w:val="auto"/>
          <w:sz w:val="24"/>
          <w:highlight w:val="none"/>
        </w:rPr>
      </w:pPr>
    </w:p>
    <w:p w14:paraId="3AD7522F">
      <w:pPr>
        <w:kinsoku/>
        <w:wordWrap/>
        <w:overflowPunct/>
        <w:topLinePunct w:val="0"/>
        <w:bidi w:val="0"/>
        <w:snapToGrid w:val="0"/>
        <w:spacing w:line="360" w:lineRule="auto"/>
        <w:outlineLvl w:val="9"/>
        <w:rPr>
          <w:rFonts w:ascii="宋体" w:hAnsi="宋体" w:cs="宋体"/>
          <w:color w:val="auto"/>
          <w:sz w:val="24"/>
          <w:highlight w:val="none"/>
        </w:rPr>
      </w:pPr>
    </w:p>
    <w:p w14:paraId="7C1A65E3">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5D2CA50">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ADE7F63">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54D8E82">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2E57A11">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0E9D8F1">
      <w:pPr>
        <w:kinsoku/>
        <w:wordWrap/>
        <w:overflowPunct/>
        <w:topLinePunct w:val="0"/>
        <w:bidi w:val="0"/>
        <w:jc w:val="center"/>
        <w:outlineLvl w:val="9"/>
        <w:rPr>
          <w:rFonts w:ascii="宋体" w:hAnsi="宋体" w:cs="宋体"/>
          <w:b/>
          <w:color w:val="auto"/>
          <w:kern w:val="0"/>
          <w:sz w:val="32"/>
          <w:szCs w:val="32"/>
          <w:highlight w:val="none"/>
        </w:rPr>
      </w:pPr>
    </w:p>
    <w:p w14:paraId="3D58BC3A">
      <w:pPr>
        <w:kinsoku/>
        <w:wordWrap/>
        <w:overflowPunct/>
        <w:topLinePunct w:val="0"/>
        <w:bidi w:val="0"/>
        <w:jc w:val="center"/>
        <w:outlineLvl w:val="9"/>
        <w:rPr>
          <w:rFonts w:ascii="宋体" w:hAnsi="宋体" w:cs="宋体"/>
          <w:b/>
          <w:color w:val="auto"/>
          <w:kern w:val="0"/>
          <w:sz w:val="32"/>
          <w:szCs w:val="32"/>
          <w:highlight w:val="none"/>
        </w:rPr>
      </w:pPr>
    </w:p>
    <w:p w14:paraId="7CE8CF58">
      <w:pPr>
        <w:kinsoku/>
        <w:wordWrap/>
        <w:overflowPunct/>
        <w:topLinePunct w:val="0"/>
        <w:bidi w:val="0"/>
        <w:jc w:val="center"/>
        <w:outlineLvl w:val="9"/>
        <w:rPr>
          <w:rFonts w:ascii="宋体" w:hAnsi="宋体" w:cs="宋体"/>
          <w:b/>
          <w:color w:val="auto"/>
          <w:kern w:val="0"/>
          <w:sz w:val="32"/>
          <w:szCs w:val="32"/>
          <w:highlight w:val="none"/>
        </w:rPr>
      </w:pPr>
    </w:p>
    <w:p w14:paraId="5AAA3969">
      <w:pPr>
        <w:kinsoku/>
        <w:wordWrap/>
        <w:overflowPunct/>
        <w:topLinePunct w:val="0"/>
        <w:bidi w:val="0"/>
        <w:outlineLvl w:val="9"/>
        <w:rPr>
          <w:rFonts w:ascii="宋体" w:hAnsi="宋体" w:cs="宋体"/>
          <w:color w:val="auto"/>
          <w:highlight w:val="none"/>
        </w:rPr>
      </w:pPr>
    </w:p>
    <w:p w14:paraId="4D19A655">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CF6F9CD">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D6B32F5">
      <w:pPr>
        <w:kinsoku/>
        <w:wordWrap/>
        <w:overflowPunct/>
        <w:topLinePunct w:val="0"/>
        <w:bidi w:val="0"/>
        <w:snapToGrid w:val="0"/>
        <w:spacing w:line="360" w:lineRule="auto"/>
        <w:ind w:firstLine="5760" w:firstLineChars="2400"/>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57DA61EA">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3191E7B">
      <w:pPr>
        <w:kinsoku/>
        <w:wordWrap/>
        <w:overflowPunct/>
        <w:topLinePunct w:val="0"/>
        <w:autoSpaceDE w:val="0"/>
        <w:autoSpaceDN w:val="0"/>
        <w:bidi w:val="0"/>
        <w:spacing w:line="360" w:lineRule="auto"/>
        <w:jc w:val="center"/>
        <w:outlineLvl w:val="9"/>
        <w:rPr>
          <w:rFonts w:hint="eastAsia" w:ascii="宋体" w:hAnsi="宋体" w:cs="宋体"/>
          <w:b/>
          <w:color w:val="auto"/>
          <w:kern w:val="0"/>
          <w:sz w:val="32"/>
          <w:szCs w:val="32"/>
          <w:highlight w:val="none"/>
          <w:lang w:val="zh-CN"/>
        </w:rPr>
      </w:pPr>
    </w:p>
    <w:p w14:paraId="5233B882">
      <w:pPr>
        <w:kinsoku/>
        <w:wordWrap/>
        <w:overflowPunct/>
        <w:topLinePunct w:val="0"/>
        <w:autoSpaceDE w:val="0"/>
        <w:autoSpaceDN w:val="0"/>
        <w:bidi w:val="0"/>
        <w:spacing w:line="360" w:lineRule="auto"/>
        <w:jc w:val="center"/>
        <w:outlineLvl w:val="9"/>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w:t>
      </w:r>
      <w:r>
        <w:rPr>
          <w:rFonts w:hint="eastAsia" w:ascii="宋体" w:hAnsi="宋体" w:cs="宋体"/>
          <w:b/>
          <w:color w:val="auto"/>
          <w:sz w:val="30"/>
          <w:szCs w:val="30"/>
          <w:highlight w:val="none"/>
          <w:lang w:eastAsia="zh-CN"/>
        </w:rPr>
        <w:t>供应商</w:t>
      </w:r>
      <w:r>
        <w:rPr>
          <w:rFonts w:hint="eastAsia" w:ascii="宋体" w:hAnsi="宋体" w:cs="宋体"/>
          <w:b/>
          <w:color w:val="auto"/>
          <w:sz w:val="30"/>
          <w:szCs w:val="30"/>
          <w:highlight w:val="none"/>
        </w:rPr>
        <w:t>参加投标）</w:t>
      </w:r>
    </w:p>
    <w:p w14:paraId="67B06CC5">
      <w:pPr>
        <w:pStyle w:val="150"/>
        <w:kinsoku/>
        <w:wordWrap/>
        <w:overflowPunct/>
        <w:topLinePunct w:val="0"/>
        <w:bidi w:val="0"/>
        <w:spacing w:line="360" w:lineRule="auto"/>
        <w:outlineLvl w:val="9"/>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61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101F6F0">
            <w:pPr>
              <w:pStyle w:val="150"/>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r>
              <w:rPr>
                <w:rFonts w:hint="eastAsia" w:hAnsi="宋体" w:cs="宋体"/>
                <w:bCs/>
                <w:color w:val="auto"/>
                <w:sz w:val="24"/>
                <w:highlight w:val="none"/>
              </w:rPr>
              <w:t>正面：                                 反面：</w:t>
            </w:r>
          </w:p>
          <w:p w14:paraId="0986857D">
            <w:pPr>
              <w:pStyle w:val="150"/>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p>
        </w:tc>
      </w:tr>
    </w:tbl>
    <w:p w14:paraId="3FD9C953">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F4C11EB">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6CE2152A">
      <w:pPr>
        <w:kinsoku/>
        <w:wordWrap/>
        <w:overflowPunct/>
        <w:topLinePunct w:val="0"/>
        <w:bidi w:val="0"/>
        <w:spacing w:line="360" w:lineRule="auto"/>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17487B3">
      <w:pPr>
        <w:kinsoku/>
        <w:wordWrap/>
        <w:overflowPunct/>
        <w:topLinePunct w:val="0"/>
        <w:bidi w:val="0"/>
        <w:jc w:val="center"/>
        <w:outlineLvl w:val="9"/>
        <w:rPr>
          <w:rFonts w:ascii="宋体" w:hAnsi="宋体" w:cs="宋体"/>
          <w:b/>
          <w:color w:val="auto"/>
          <w:kern w:val="0"/>
          <w:sz w:val="32"/>
          <w:szCs w:val="32"/>
          <w:highlight w:val="none"/>
        </w:rPr>
      </w:pPr>
    </w:p>
    <w:p w14:paraId="76122CFD">
      <w:pPr>
        <w:kinsoku/>
        <w:wordWrap/>
        <w:overflowPunct/>
        <w:topLinePunct w:val="0"/>
        <w:bidi w:val="0"/>
        <w:jc w:val="center"/>
        <w:outlineLvl w:val="9"/>
        <w:rPr>
          <w:rFonts w:ascii="宋体" w:hAnsi="宋体" w:cs="宋体"/>
          <w:b/>
          <w:color w:val="auto"/>
          <w:kern w:val="0"/>
          <w:sz w:val="32"/>
          <w:szCs w:val="32"/>
          <w:highlight w:val="none"/>
        </w:rPr>
      </w:pPr>
    </w:p>
    <w:p w14:paraId="48731625">
      <w:pPr>
        <w:kinsoku/>
        <w:wordWrap/>
        <w:overflowPunct/>
        <w:topLinePunct w:val="0"/>
        <w:bidi w:val="0"/>
        <w:jc w:val="center"/>
        <w:outlineLvl w:val="9"/>
        <w:rPr>
          <w:rFonts w:ascii="宋体" w:hAnsi="宋体" w:cs="宋体"/>
          <w:b/>
          <w:color w:val="auto"/>
          <w:kern w:val="0"/>
          <w:sz w:val="32"/>
          <w:szCs w:val="32"/>
          <w:highlight w:val="none"/>
        </w:rPr>
      </w:pPr>
    </w:p>
    <w:p w14:paraId="2FC21954">
      <w:pPr>
        <w:kinsoku/>
        <w:wordWrap/>
        <w:overflowPunct/>
        <w:topLinePunct w:val="0"/>
        <w:bidi w:val="0"/>
        <w:jc w:val="center"/>
        <w:outlineLvl w:val="9"/>
        <w:rPr>
          <w:rFonts w:ascii="宋体" w:hAnsi="宋体" w:cs="宋体"/>
          <w:b/>
          <w:color w:val="auto"/>
          <w:kern w:val="0"/>
          <w:sz w:val="32"/>
          <w:szCs w:val="32"/>
          <w:highlight w:val="none"/>
        </w:rPr>
      </w:pPr>
    </w:p>
    <w:p w14:paraId="34BB919D">
      <w:pPr>
        <w:kinsoku/>
        <w:wordWrap/>
        <w:overflowPunct/>
        <w:topLinePunct w:val="0"/>
        <w:bidi w:val="0"/>
        <w:jc w:val="center"/>
        <w:outlineLvl w:val="9"/>
        <w:rPr>
          <w:rFonts w:ascii="宋体" w:hAnsi="宋体" w:cs="宋体"/>
          <w:b/>
          <w:color w:val="auto"/>
          <w:kern w:val="0"/>
          <w:sz w:val="32"/>
          <w:szCs w:val="32"/>
          <w:highlight w:val="none"/>
        </w:rPr>
      </w:pPr>
    </w:p>
    <w:p w14:paraId="3BDA6883">
      <w:pPr>
        <w:kinsoku/>
        <w:wordWrap/>
        <w:overflowPunct/>
        <w:topLinePunct w:val="0"/>
        <w:bidi w:val="0"/>
        <w:jc w:val="center"/>
        <w:outlineLvl w:val="9"/>
        <w:rPr>
          <w:rFonts w:ascii="宋体" w:hAnsi="宋体" w:cs="宋体"/>
          <w:b/>
          <w:color w:val="auto"/>
          <w:kern w:val="0"/>
          <w:sz w:val="32"/>
          <w:szCs w:val="32"/>
          <w:highlight w:val="none"/>
        </w:rPr>
      </w:pPr>
    </w:p>
    <w:p w14:paraId="620E97FB">
      <w:pPr>
        <w:kinsoku/>
        <w:wordWrap/>
        <w:overflowPunct/>
        <w:topLinePunct w:val="0"/>
        <w:bidi w:val="0"/>
        <w:jc w:val="center"/>
        <w:outlineLvl w:val="9"/>
        <w:rPr>
          <w:rFonts w:ascii="宋体" w:hAnsi="宋体" w:cs="宋体"/>
          <w:b/>
          <w:color w:val="auto"/>
          <w:kern w:val="0"/>
          <w:sz w:val="32"/>
          <w:szCs w:val="32"/>
          <w:highlight w:val="none"/>
        </w:rPr>
      </w:pPr>
    </w:p>
    <w:p w14:paraId="1510934A">
      <w:pPr>
        <w:kinsoku/>
        <w:wordWrap/>
        <w:overflowPunct/>
        <w:topLinePunct w:val="0"/>
        <w:bidi w:val="0"/>
        <w:jc w:val="center"/>
        <w:outlineLvl w:val="9"/>
        <w:rPr>
          <w:rFonts w:ascii="宋体" w:hAnsi="宋体" w:cs="宋体"/>
          <w:b/>
          <w:color w:val="auto"/>
          <w:kern w:val="0"/>
          <w:sz w:val="32"/>
          <w:szCs w:val="32"/>
          <w:highlight w:val="none"/>
        </w:rPr>
      </w:pPr>
    </w:p>
    <w:p w14:paraId="6BBF6A2C">
      <w:pPr>
        <w:kinsoku/>
        <w:wordWrap/>
        <w:overflowPunct/>
        <w:topLinePunct w:val="0"/>
        <w:bidi w:val="0"/>
        <w:jc w:val="center"/>
        <w:outlineLvl w:val="9"/>
        <w:rPr>
          <w:rFonts w:ascii="宋体" w:hAnsi="宋体" w:cs="宋体"/>
          <w:b/>
          <w:color w:val="auto"/>
          <w:kern w:val="0"/>
          <w:sz w:val="32"/>
          <w:szCs w:val="32"/>
          <w:highlight w:val="none"/>
        </w:rPr>
      </w:pPr>
    </w:p>
    <w:p w14:paraId="3973FD73">
      <w:pPr>
        <w:kinsoku/>
        <w:wordWrap/>
        <w:overflowPunct/>
        <w:topLinePunct w:val="0"/>
        <w:bidi w:val="0"/>
        <w:jc w:val="center"/>
        <w:outlineLvl w:val="9"/>
        <w:rPr>
          <w:rFonts w:ascii="宋体" w:hAnsi="宋体" w:cs="宋体"/>
          <w:b/>
          <w:color w:val="auto"/>
          <w:kern w:val="0"/>
          <w:sz w:val="32"/>
          <w:szCs w:val="32"/>
          <w:highlight w:val="none"/>
        </w:rPr>
      </w:pPr>
    </w:p>
    <w:p w14:paraId="305E859A">
      <w:pPr>
        <w:kinsoku/>
        <w:wordWrap/>
        <w:overflowPunct/>
        <w:topLinePunct w:val="0"/>
        <w:bidi w:val="0"/>
        <w:snapToGrid w:val="0"/>
        <w:spacing w:line="360" w:lineRule="auto"/>
        <w:ind w:right="480"/>
        <w:outlineLvl w:val="9"/>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32F9B016">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FF0C9EA">
      <w:pPr>
        <w:widowControl/>
        <w:kinsoku/>
        <w:wordWrap/>
        <w:overflowPunct/>
        <w:topLinePunct w:val="0"/>
        <w:bidi w:val="0"/>
        <w:spacing w:line="360" w:lineRule="auto"/>
        <w:ind w:firstLine="120" w:firstLineChars="50"/>
        <w:jc w:val="left"/>
        <w:outlineLvl w:val="9"/>
        <w:rPr>
          <w:rFonts w:ascii="宋体" w:hAnsi="宋体" w:cs="宋体"/>
          <w:color w:val="auto"/>
          <w:sz w:val="24"/>
          <w:highlight w:val="none"/>
        </w:rPr>
      </w:pPr>
      <w:bookmarkStart w:id="55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bookmarkEnd w:id="555"/>
    <w:p w14:paraId="12B839FF">
      <w:pPr>
        <w:kinsoku/>
        <w:wordWrap/>
        <w:overflowPunct/>
        <w:topLinePunct w:val="0"/>
        <w:bidi w:val="0"/>
        <w:snapToGrid w:val="0"/>
        <w:spacing w:line="360" w:lineRule="auto"/>
        <w:outlineLvl w:val="9"/>
        <w:rPr>
          <w:rFonts w:ascii="宋体" w:hAnsi="宋体" w:cs="宋体"/>
          <w:color w:val="auto"/>
          <w:kern w:val="0"/>
          <w:sz w:val="24"/>
          <w:highlight w:val="none"/>
        </w:rPr>
      </w:pPr>
    </w:p>
    <w:p w14:paraId="1EFD0584">
      <w:pPr>
        <w:kinsoku/>
        <w:wordWrap/>
        <w:overflowPunct/>
        <w:topLinePunct w:val="0"/>
        <w:bidi w:val="0"/>
        <w:jc w:val="center"/>
        <w:outlineLvl w:val="9"/>
        <w:rPr>
          <w:rFonts w:ascii="宋体" w:hAnsi="宋体" w:cs="宋体"/>
          <w:b/>
          <w:color w:val="auto"/>
          <w:kern w:val="0"/>
          <w:sz w:val="32"/>
          <w:szCs w:val="32"/>
          <w:highlight w:val="none"/>
        </w:rPr>
      </w:pPr>
    </w:p>
    <w:p w14:paraId="486105BA">
      <w:pPr>
        <w:tabs>
          <w:tab w:val="left" w:pos="432"/>
        </w:tabs>
        <w:kinsoku/>
        <w:wordWrap/>
        <w:overflowPunct/>
        <w:topLinePunct w:val="0"/>
        <w:bidi w:val="0"/>
        <w:outlineLvl w:val="9"/>
        <w:rPr>
          <w:color w:val="auto"/>
          <w:highlight w:val="none"/>
          <w:lang w:val="en-US"/>
        </w:rPr>
      </w:pPr>
    </w:p>
    <w:p w14:paraId="1E12CABE">
      <w:pPr>
        <w:kinsoku/>
        <w:wordWrap/>
        <w:overflowPunct/>
        <w:topLinePunct w:val="0"/>
        <w:bidi w:val="0"/>
        <w:outlineLvl w:val="9"/>
        <w:rPr>
          <w:color w:val="auto"/>
          <w:highlight w:val="none"/>
        </w:rPr>
      </w:pPr>
    </w:p>
    <w:p w14:paraId="087E28E3">
      <w:pPr>
        <w:tabs>
          <w:tab w:val="left" w:pos="432"/>
        </w:tabs>
        <w:kinsoku/>
        <w:wordWrap/>
        <w:overflowPunct/>
        <w:topLinePunct w:val="0"/>
        <w:bidi w:val="0"/>
        <w:outlineLvl w:val="9"/>
        <w:rPr>
          <w:color w:val="auto"/>
          <w:highlight w:val="none"/>
          <w:lang w:val="en-US"/>
        </w:rPr>
      </w:pPr>
    </w:p>
    <w:p w14:paraId="02A3708E">
      <w:pPr>
        <w:kinsoku/>
        <w:wordWrap/>
        <w:overflowPunct/>
        <w:topLinePunct w:val="0"/>
        <w:bidi w:val="0"/>
        <w:jc w:val="center"/>
        <w:outlineLvl w:val="9"/>
        <w:rPr>
          <w:rFonts w:ascii="宋体" w:hAnsi="宋体" w:cs="宋体"/>
          <w:b/>
          <w:color w:val="auto"/>
          <w:kern w:val="0"/>
          <w:sz w:val="32"/>
          <w:szCs w:val="32"/>
          <w:highlight w:val="none"/>
        </w:rPr>
      </w:pPr>
    </w:p>
    <w:p w14:paraId="46A59EB8">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F4BFFEE">
      <w:pPr>
        <w:kinsoku/>
        <w:wordWrap/>
        <w:overflowPunct/>
        <w:topLinePunct w:val="0"/>
        <w:bidi w:val="0"/>
        <w:jc w:val="center"/>
        <w:outlineLvl w:val="9"/>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41"/>
        <w:gridCol w:w="3101"/>
        <w:gridCol w:w="1418"/>
      </w:tblGrid>
      <w:tr w14:paraId="0AD0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DA5400F">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4441" w:type="dxa"/>
            <w:vAlign w:val="center"/>
          </w:tcPr>
          <w:p w14:paraId="2F296721">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实质性要求</w:t>
            </w:r>
          </w:p>
        </w:tc>
        <w:tc>
          <w:tcPr>
            <w:tcW w:w="3101" w:type="dxa"/>
            <w:vAlign w:val="center"/>
          </w:tcPr>
          <w:p w14:paraId="0A6D60C0">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1D793A8">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投标文件中的</w:t>
            </w:r>
          </w:p>
          <w:p w14:paraId="6106B68B">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页码位置</w:t>
            </w:r>
          </w:p>
        </w:tc>
      </w:tr>
      <w:tr w14:paraId="091E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BE049C">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1</w:t>
            </w:r>
          </w:p>
        </w:tc>
        <w:tc>
          <w:tcPr>
            <w:tcW w:w="4441" w:type="dxa"/>
            <w:vAlign w:val="center"/>
          </w:tcPr>
          <w:p w14:paraId="715E9F5A">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101" w:type="dxa"/>
            <w:vAlign w:val="center"/>
          </w:tcPr>
          <w:p w14:paraId="4AAA0D66">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2848F52B">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见投标文件</w:t>
            </w:r>
          </w:p>
          <w:p w14:paraId="585902CE">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06C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948087">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2</w:t>
            </w:r>
          </w:p>
        </w:tc>
        <w:tc>
          <w:tcPr>
            <w:tcW w:w="4441" w:type="dxa"/>
            <w:vAlign w:val="center"/>
          </w:tcPr>
          <w:p w14:paraId="7B8D066B">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101" w:type="dxa"/>
            <w:vAlign w:val="center"/>
          </w:tcPr>
          <w:p w14:paraId="22DD3814">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4C52695B">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261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4F2731">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3</w:t>
            </w:r>
          </w:p>
        </w:tc>
        <w:tc>
          <w:tcPr>
            <w:tcW w:w="4441" w:type="dxa"/>
            <w:vAlign w:val="center"/>
          </w:tcPr>
          <w:p w14:paraId="18D48FF2">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101" w:type="dxa"/>
            <w:vAlign w:val="center"/>
          </w:tcPr>
          <w:p w14:paraId="1BEA1F16">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kern w:val="0"/>
                <w:sz w:val="24"/>
                <w:highlight w:val="none"/>
              </w:rPr>
              <w:t>招标文件其它实质性要求相应的材料（“</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系指实质性要求条款，招标文件无其它实质性要求的，无需提供）</w:t>
            </w:r>
          </w:p>
        </w:tc>
        <w:tc>
          <w:tcPr>
            <w:tcW w:w="1418" w:type="dxa"/>
            <w:vAlign w:val="center"/>
          </w:tcPr>
          <w:p w14:paraId="1551BBC9">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4FFEEA7">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3B100C93">
      <w:pPr>
        <w:kinsoku/>
        <w:wordWrap/>
        <w:overflowPunct/>
        <w:topLinePunct w:val="0"/>
        <w:bidi w:val="0"/>
        <w:jc w:val="center"/>
        <w:outlineLvl w:val="9"/>
        <w:rPr>
          <w:rFonts w:ascii="宋体" w:hAnsi="宋体" w:cs="宋体"/>
          <w:b/>
          <w:color w:val="auto"/>
          <w:kern w:val="0"/>
          <w:sz w:val="32"/>
          <w:szCs w:val="32"/>
          <w:highlight w:val="none"/>
        </w:rPr>
      </w:pPr>
    </w:p>
    <w:p w14:paraId="38431723">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2FEAB3B">
      <w:pPr>
        <w:kinsoku/>
        <w:wordWrap/>
        <w:overflowPunct/>
        <w:topLinePunct w:val="0"/>
        <w:bidi w:val="0"/>
        <w:jc w:val="center"/>
        <w:outlineLvl w:val="9"/>
        <w:rPr>
          <w:rFonts w:ascii="宋体" w:hAnsi="宋体" w:cs="宋体"/>
          <w:b/>
          <w:color w:val="auto"/>
          <w:kern w:val="0"/>
          <w:sz w:val="32"/>
          <w:szCs w:val="32"/>
          <w:highlight w:val="none"/>
        </w:rPr>
      </w:pPr>
    </w:p>
    <w:p w14:paraId="3A92D8E2">
      <w:pPr>
        <w:kinsoku/>
        <w:wordWrap/>
        <w:overflowPunct/>
        <w:topLinePunct w:val="0"/>
        <w:bidi w:val="0"/>
        <w:jc w:val="center"/>
        <w:outlineLvl w:val="9"/>
        <w:rPr>
          <w:rFonts w:ascii="宋体" w:hAnsi="宋体" w:cs="宋体"/>
          <w:b/>
          <w:color w:val="auto"/>
          <w:kern w:val="0"/>
          <w:sz w:val="32"/>
          <w:szCs w:val="32"/>
          <w:highlight w:val="none"/>
        </w:rPr>
      </w:pPr>
    </w:p>
    <w:p w14:paraId="59606766">
      <w:pPr>
        <w:kinsoku/>
        <w:wordWrap/>
        <w:overflowPunct/>
        <w:topLinePunct w:val="0"/>
        <w:bidi w:val="0"/>
        <w:jc w:val="center"/>
        <w:outlineLvl w:val="9"/>
        <w:rPr>
          <w:rFonts w:ascii="宋体" w:hAnsi="宋体" w:cs="宋体"/>
          <w:b/>
          <w:color w:val="auto"/>
          <w:kern w:val="0"/>
          <w:sz w:val="32"/>
          <w:szCs w:val="32"/>
          <w:highlight w:val="none"/>
        </w:rPr>
      </w:pPr>
    </w:p>
    <w:p w14:paraId="04918E00">
      <w:pPr>
        <w:kinsoku/>
        <w:wordWrap/>
        <w:overflowPunct/>
        <w:topLinePunct w:val="0"/>
        <w:bidi w:val="0"/>
        <w:jc w:val="center"/>
        <w:outlineLvl w:val="9"/>
        <w:rPr>
          <w:rFonts w:ascii="宋体" w:hAnsi="宋体" w:cs="宋体"/>
          <w:b/>
          <w:color w:val="auto"/>
          <w:kern w:val="0"/>
          <w:sz w:val="32"/>
          <w:szCs w:val="32"/>
          <w:highlight w:val="none"/>
        </w:rPr>
      </w:pPr>
    </w:p>
    <w:p w14:paraId="7FA97E88">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DB357CC">
      <w:pPr>
        <w:kinsoku/>
        <w:wordWrap/>
        <w:overflowPunct/>
        <w:topLinePunct w:val="0"/>
        <w:bidi w:val="0"/>
        <w:jc w:val="center"/>
        <w:outlineLvl w:val="9"/>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DDC7D7D">
      <w:pPr>
        <w:kinsoku/>
        <w:wordWrap/>
        <w:overflowPunct/>
        <w:topLinePunct w:val="0"/>
        <w:bidi w:val="0"/>
        <w:snapToGrid w:val="0"/>
        <w:spacing w:line="360" w:lineRule="auto"/>
        <w:jc w:val="left"/>
        <w:outlineLvl w:val="9"/>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68DFA921">
      <w:pPr>
        <w:kinsoku/>
        <w:wordWrap/>
        <w:overflowPunct/>
        <w:topLinePunct w:val="0"/>
        <w:bidi w:val="0"/>
        <w:jc w:val="center"/>
        <w:outlineLvl w:val="9"/>
        <w:rPr>
          <w:rFonts w:ascii="宋体" w:hAnsi="宋体" w:cs="宋体"/>
          <w:b/>
          <w:color w:val="auto"/>
          <w:kern w:val="0"/>
          <w:sz w:val="32"/>
          <w:szCs w:val="32"/>
          <w:highlight w:val="none"/>
        </w:rPr>
      </w:pPr>
    </w:p>
    <w:p w14:paraId="7BF24B62">
      <w:pPr>
        <w:kinsoku/>
        <w:wordWrap/>
        <w:overflowPunct/>
        <w:topLinePunct w:val="0"/>
        <w:bidi w:val="0"/>
        <w:jc w:val="center"/>
        <w:outlineLvl w:val="9"/>
        <w:rPr>
          <w:rFonts w:ascii="宋体" w:hAnsi="宋体" w:cs="宋体"/>
          <w:b/>
          <w:color w:val="auto"/>
          <w:kern w:val="0"/>
          <w:sz w:val="32"/>
          <w:szCs w:val="32"/>
          <w:highlight w:val="none"/>
        </w:rPr>
      </w:pPr>
    </w:p>
    <w:p w14:paraId="71060946">
      <w:pPr>
        <w:kinsoku/>
        <w:wordWrap/>
        <w:overflowPunct/>
        <w:topLinePunct w:val="0"/>
        <w:bidi w:val="0"/>
        <w:jc w:val="center"/>
        <w:outlineLvl w:val="9"/>
        <w:rPr>
          <w:rFonts w:ascii="宋体" w:hAnsi="宋体" w:cs="宋体"/>
          <w:b/>
          <w:color w:val="auto"/>
          <w:kern w:val="0"/>
          <w:sz w:val="32"/>
          <w:szCs w:val="32"/>
          <w:highlight w:val="none"/>
        </w:rPr>
      </w:pPr>
    </w:p>
    <w:p w14:paraId="6E33DE61">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105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493C8A">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55A309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07152119">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C298CDC">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r>
      <w:tr w14:paraId="5E5E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614D9C">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B9CD2A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515D3D95">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228336B3">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5EDF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1502CB">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3D0801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2B867AF3">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48BFAE7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730C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D71BF0">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2192B59">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1B73F681">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01E0B638">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bl>
    <w:p w14:paraId="3A2098F2">
      <w:pPr>
        <w:kinsoku/>
        <w:wordWrap/>
        <w:overflowPunct/>
        <w:topLinePunct w:val="0"/>
        <w:bidi w:val="0"/>
        <w:jc w:val="left"/>
        <w:outlineLvl w:val="9"/>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保证：除商务技术偏离表列出的偏离外，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响应招标文件的全部要求</w:t>
      </w:r>
    </w:p>
    <w:p w14:paraId="1BACA666">
      <w:pPr>
        <w:kinsoku/>
        <w:wordWrap/>
        <w:overflowPunct/>
        <w:topLinePunct w:val="0"/>
        <w:bidi w:val="0"/>
        <w:jc w:val="center"/>
        <w:outlineLvl w:val="9"/>
        <w:rPr>
          <w:rFonts w:ascii="宋体" w:hAnsi="宋体" w:cs="宋体"/>
          <w:b/>
          <w:color w:val="auto"/>
          <w:kern w:val="0"/>
          <w:sz w:val="32"/>
          <w:szCs w:val="32"/>
          <w:highlight w:val="none"/>
        </w:rPr>
      </w:pPr>
    </w:p>
    <w:p w14:paraId="180F397F">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BA474B">
      <w:pPr>
        <w:kinsoku/>
        <w:wordWrap/>
        <w:overflowPunct/>
        <w:topLinePunct w:val="0"/>
        <w:bidi w:val="0"/>
        <w:ind w:firstLine="1911" w:firstLineChars="595"/>
        <w:outlineLvl w:val="9"/>
        <w:rPr>
          <w:rFonts w:ascii="宋体" w:hAnsi="宋体" w:cs="宋体"/>
          <w:b/>
          <w:bCs/>
          <w:color w:val="auto"/>
          <w:sz w:val="32"/>
          <w:szCs w:val="32"/>
          <w:highlight w:val="none"/>
        </w:rPr>
      </w:pPr>
    </w:p>
    <w:p w14:paraId="6B9B83C3">
      <w:pPr>
        <w:kinsoku/>
        <w:wordWrap/>
        <w:overflowPunct/>
        <w:topLinePunct w:val="0"/>
        <w:bidi w:val="0"/>
        <w:ind w:firstLine="1911" w:firstLineChars="595"/>
        <w:outlineLvl w:val="9"/>
        <w:rPr>
          <w:rFonts w:ascii="宋体" w:hAnsi="宋体" w:cs="宋体"/>
          <w:b/>
          <w:bCs/>
          <w:color w:val="auto"/>
          <w:sz w:val="32"/>
          <w:szCs w:val="32"/>
          <w:highlight w:val="none"/>
        </w:rPr>
      </w:pPr>
    </w:p>
    <w:p w14:paraId="11B89512">
      <w:pPr>
        <w:kinsoku/>
        <w:wordWrap/>
        <w:overflowPunct/>
        <w:topLinePunct w:val="0"/>
        <w:bidi w:val="0"/>
        <w:ind w:firstLine="1911" w:firstLineChars="595"/>
        <w:outlineLvl w:val="9"/>
        <w:rPr>
          <w:rFonts w:ascii="宋体" w:hAnsi="宋体" w:cs="宋体"/>
          <w:b/>
          <w:bCs/>
          <w:color w:val="auto"/>
          <w:sz w:val="32"/>
          <w:szCs w:val="32"/>
          <w:highlight w:val="none"/>
        </w:rPr>
      </w:pPr>
    </w:p>
    <w:p w14:paraId="655FA5FC">
      <w:pPr>
        <w:kinsoku/>
        <w:wordWrap/>
        <w:overflowPunct/>
        <w:topLinePunct w:val="0"/>
        <w:bidi w:val="0"/>
        <w:ind w:firstLine="1911" w:firstLineChars="595"/>
        <w:outlineLvl w:val="9"/>
        <w:rPr>
          <w:rFonts w:ascii="宋体" w:hAnsi="宋体" w:cs="宋体"/>
          <w:b/>
          <w:bCs/>
          <w:color w:val="auto"/>
          <w:sz w:val="32"/>
          <w:szCs w:val="32"/>
          <w:highlight w:val="none"/>
        </w:rPr>
      </w:pPr>
    </w:p>
    <w:p w14:paraId="0A70718B">
      <w:pPr>
        <w:kinsoku/>
        <w:wordWrap/>
        <w:overflowPunct/>
        <w:topLinePunct w:val="0"/>
        <w:bidi w:val="0"/>
        <w:ind w:firstLine="1911" w:firstLineChars="595"/>
        <w:outlineLvl w:val="9"/>
        <w:rPr>
          <w:rFonts w:ascii="宋体" w:hAnsi="宋体" w:cs="宋体"/>
          <w:b/>
          <w:bCs/>
          <w:color w:val="auto"/>
          <w:sz w:val="32"/>
          <w:szCs w:val="32"/>
          <w:highlight w:val="none"/>
        </w:rPr>
      </w:pPr>
    </w:p>
    <w:p w14:paraId="3A81406B">
      <w:pPr>
        <w:widowControl/>
        <w:kinsoku/>
        <w:wordWrap/>
        <w:overflowPunct/>
        <w:topLinePunct w:val="0"/>
        <w:bidi w:val="0"/>
        <w:adjustRightInd/>
        <w:jc w:val="left"/>
        <w:outlineLvl w:val="9"/>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0F1BD5C">
      <w:pPr>
        <w:kinsoku/>
        <w:wordWrap/>
        <w:overflowPunct/>
        <w:topLinePunct w:val="0"/>
        <w:bidi w:val="0"/>
        <w:ind w:firstLine="1911" w:firstLineChars="595"/>
        <w:outlineLvl w:val="9"/>
        <w:rPr>
          <w:rFonts w:ascii="宋体" w:hAnsi="宋体" w:cs="宋体"/>
          <w:b/>
          <w:color w:val="auto"/>
          <w:kern w:val="0"/>
          <w:sz w:val="32"/>
          <w:szCs w:val="32"/>
          <w:highlight w:val="none"/>
        </w:rPr>
      </w:pPr>
      <w:r>
        <w:rPr>
          <w:rFonts w:hint="eastAsia" w:ascii="宋体" w:hAnsi="宋体" w:cs="宋体"/>
          <w:b/>
          <w:bCs/>
          <w:color w:val="auto"/>
          <w:sz w:val="32"/>
          <w:szCs w:val="32"/>
          <w:highlight w:val="none"/>
          <w:lang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E9C0307">
      <w:pPr>
        <w:kinsoku/>
        <w:wordWrap/>
        <w:overflowPunct/>
        <w:topLinePunct w:val="0"/>
        <w:bidi w:val="0"/>
        <w:snapToGrid w:val="0"/>
        <w:spacing w:line="360" w:lineRule="auto"/>
        <w:outlineLvl w:val="9"/>
        <w:rPr>
          <w:rFonts w:ascii="宋体" w:hAnsi="宋体" w:cs="宋体"/>
          <w:color w:val="auto"/>
          <w:sz w:val="24"/>
          <w:highlight w:val="none"/>
        </w:rPr>
      </w:pPr>
    </w:p>
    <w:p w14:paraId="3A14591D">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1AE3B4E">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B017693">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53633AE">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E25E0D7">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D1AC557">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B133F56">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BFB8FF1">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B1E0C43">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C36627B">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0890DA3">
      <w:pPr>
        <w:kinsoku/>
        <w:wordWrap/>
        <w:overflowPunct/>
        <w:topLinePunct w:val="0"/>
        <w:autoSpaceDE w:val="0"/>
        <w:autoSpaceDN w:val="0"/>
        <w:bidi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EDB39EA">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061477AE">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5FB11AC7">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2DA0F49C">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31C1117">
      <w:pPr>
        <w:kinsoku/>
        <w:wordWrap/>
        <w:overflowPunct/>
        <w:topLinePunct w:val="0"/>
        <w:bidi w:val="0"/>
        <w:spacing w:line="360" w:lineRule="auto"/>
        <w:ind w:left="4620" w:leftChars="2200"/>
        <w:outlineLvl w:val="9"/>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EB9A6C1">
      <w:pPr>
        <w:kinsoku/>
        <w:wordWrap/>
        <w:overflowPunct/>
        <w:topLinePunct w:val="0"/>
        <w:bidi w:val="0"/>
        <w:spacing w:line="360" w:lineRule="auto"/>
        <w:jc w:val="center"/>
        <w:outlineLvl w:val="9"/>
        <w:rPr>
          <w:rFonts w:ascii="宋体" w:hAnsi="宋体" w:cs="宋体"/>
          <w:b/>
          <w:bCs/>
          <w:color w:val="auto"/>
          <w:sz w:val="24"/>
          <w:highlight w:val="none"/>
        </w:rPr>
      </w:pPr>
    </w:p>
    <w:p w14:paraId="62358D00">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43FD3A67">
      <w:pPr>
        <w:kinsoku/>
        <w:wordWrap/>
        <w:overflowPunct/>
        <w:topLinePunct w:val="0"/>
        <w:bidi w:val="0"/>
        <w:spacing w:line="360" w:lineRule="auto"/>
        <w:jc w:val="center"/>
        <w:outlineLvl w:val="9"/>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172AFED9">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74EBC20">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2225B3D">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1BED1A21">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（1）开标一览表（报价表）</w:t>
      </w:r>
      <w:r>
        <w:rPr>
          <w:rFonts w:hint="eastAsia" w:ascii="宋体" w:hAnsi="宋体" w:cs="宋体"/>
          <w:color w:val="auto"/>
          <w:sz w:val="24"/>
          <w:highlight w:val="none"/>
          <w:lang w:val="en-US" w:eastAsia="zh-CN"/>
        </w:rPr>
        <w:t>、投标分项报价表</w:t>
      </w:r>
      <w:r>
        <w:rPr>
          <w:rFonts w:hint="eastAsia" w:ascii="宋体" w:hAnsi="宋体" w:cs="宋体"/>
          <w:color w:val="auto"/>
          <w:sz w:val="24"/>
          <w:highlight w:val="none"/>
        </w:rPr>
        <w:t>…………………………………（页码）</w:t>
      </w:r>
    </w:p>
    <w:p w14:paraId="7D5F7162">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（2）中小企业声明函………………………………………………………………（页码）</w:t>
      </w:r>
    </w:p>
    <w:p w14:paraId="4E637AE6">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51B77F0">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516467E">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7D730E0">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0BB98F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6037C4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E20D62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A937635">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D7812F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CD1A2D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7D2DE5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42B5356">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5F2210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E019D0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21BBD5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7B480EB">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3EDFBBE3">
      <w:pPr>
        <w:keepNext w:val="0"/>
        <w:pageBreakBefore w:val="0"/>
        <w:widowControl w:val="0"/>
        <w:kinsoku/>
        <w:wordWrap/>
        <w:overflowPunct/>
        <w:topLinePunct w:val="0"/>
        <w:bidi w:val="0"/>
        <w:adjustRightInd w:val="0"/>
        <w:snapToGrid w:val="0"/>
        <w:spacing w:before="120" w:after="120" w:line="360" w:lineRule="auto"/>
        <w:ind w:firstLine="643"/>
        <w:jc w:val="center"/>
        <w:outlineLvl w:val="9"/>
        <w:rPr>
          <w:rFonts w:ascii="宋体" w:hAnsi="宋体" w:eastAsia="宋体" w:cs="宋体"/>
          <w:b/>
          <w:color w:val="auto"/>
          <w:kern w:val="2"/>
          <w:sz w:val="32"/>
          <w:szCs w:val="32"/>
          <w:highlight w:val="none"/>
          <w:lang w:val="en-US" w:eastAsia="zh-CN" w:bidi="ar-SA"/>
        </w:rPr>
      </w:pPr>
      <w:bookmarkStart w:id="556" w:name="_Toc18859"/>
      <w:bookmarkStart w:id="557" w:name="_Toc26425"/>
      <w:r>
        <w:rPr>
          <w:rFonts w:hint="eastAsia" w:ascii="宋体" w:hAnsi="宋体" w:eastAsia="宋体" w:cs="宋体"/>
          <w:b/>
          <w:color w:val="auto"/>
          <w:kern w:val="2"/>
          <w:sz w:val="32"/>
          <w:szCs w:val="32"/>
          <w:highlight w:val="none"/>
          <w:lang w:val="en-US" w:eastAsia="zh-CN" w:bidi="ar-SA"/>
        </w:rPr>
        <w:t>一、开标一览表（报价表）</w:t>
      </w:r>
    </w:p>
    <w:p w14:paraId="214A5A11">
      <w:pPr>
        <w:kinsoku/>
        <w:wordWrap/>
        <w:overflowPunct/>
        <w:topLinePunct w:val="0"/>
        <w:bidi w:val="0"/>
        <w:snapToGrid w:val="0"/>
        <w:spacing w:line="360" w:lineRule="auto"/>
        <w:outlineLvl w:val="9"/>
        <w:rPr>
          <w:rFonts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BD0FA8D">
      <w:pPr>
        <w:kinsoku/>
        <w:wordWrap/>
        <w:overflowPunct/>
        <w:topLinePunct w:val="0"/>
        <w:bidi w:val="0"/>
        <w:snapToGrid w:val="0"/>
        <w:spacing w:line="360" w:lineRule="auto"/>
        <w:ind w:firstLine="482"/>
        <w:outlineLvl w:val="9"/>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609C4888">
      <w:pPr>
        <w:kinsoku/>
        <w:wordWrap/>
        <w:overflowPunct/>
        <w:topLinePunct w:val="0"/>
        <w:bidi w:val="0"/>
        <w:spacing w:line="360" w:lineRule="auto"/>
        <w:jc w:val="center"/>
        <w:outlineLvl w:val="9"/>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266"/>
        <w:gridCol w:w="5776"/>
      </w:tblGrid>
      <w:tr w14:paraId="36DC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11895046">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标项号</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5127AB07">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货物名称</w:t>
            </w:r>
          </w:p>
        </w:tc>
        <w:tc>
          <w:tcPr>
            <w:tcW w:w="5776" w:type="dxa"/>
            <w:tcBorders>
              <w:top w:val="single" w:color="auto" w:sz="4" w:space="0"/>
              <w:left w:val="single" w:color="auto" w:sz="4" w:space="0"/>
              <w:bottom w:val="single" w:color="auto" w:sz="4" w:space="0"/>
              <w:right w:val="single" w:color="auto" w:sz="4" w:space="0"/>
            </w:tcBorders>
            <w:noWrap w:val="0"/>
            <w:vAlign w:val="center"/>
          </w:tcPr>
          <w:p w14:paraId="42FEC153">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合同履约期限</w:t>
            </w:r>
          </w:p>
        </w:tc>
      </w:tr>
      <w:tr w14:paraId="6204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47BFC3AF">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3923F1EF">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5776" w:type="dxa"/>
            <w:tcBorders>
              <w:top w:val="single" w:color="auto" w:sz="4" w:space="0"/>
              <w:left w:val="single" w:color="auto" w:sz="4" w:space="0"/>
              <w:bottom w:val="single" w:color="auto" w:sz="4" w:space="0"/>
              <w:right w:val="single" w:color="auto" w:sz="4" w:space="0"/>
            </w:tcBorders>
            <w:noWrap w:val="0"/>
            <w:vAlign w:val="center"/>
          </w:tcPr>
          <w:p w14:paraId="230A3C5E">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p>
        </w:tc>
      </w:tr>
      <w:tr w14:paraId="2057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343" w:type="dxa"/>
            <w:gridSpan w:val="2"/>
            <w:tcBorders>
              <w:top w:val="single" w:color="auto" w:sz="4" w:space="0"/>
              <w:left w:val="single" w:color="auto" w:sz="4" w:space="0"/>
              <w:bottom w:val="single" w:color="auto" w:sz="4" w:space="0"/>
              <w:right w:val="single" w:color="auto" w:sz="4" w:space="0"/>
            </w:tcBorders>
            <w:noWrap w:val="0"/>
            <w:vAlign w:val="center"/>
          </w:tcPr>
          <w:p w14:paraId="0E42E5F0">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投标报价</w:t>
            </w:r>
          </w:p>
        </w:tc>
        <w:tc>
          <w:tcPr>
            <w:tcW w:w="5776" w:type="dxa"/>
            <w:tcBorders>
              <w:top w:val="single" w:color="auto" w:sz="4" w:space="0"/>
              <w:left w:val="single" w:color="auto" w:sz="4" w:space="0"/>
              <w:bottom w:val="single" w:color="auto" w:sz="4" w:space="0"/>
              <w:right w:val="single" w:color="auto" w:sz="4" w:space="0"/>
            </w:tcBorders>
            <w:noWrap w:val="0"/>
            <w:vAlign w:val="center"/>
          </w:tcPr>
          <w:p w14:paraId="097006FE">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小写：</w:t>
            </w:r>
          </w:p>
          <w:p w14:paraId="7D95409E">
            <w:pPr>
              <w:keepNext w:val="0"/>
              <w:keepLines w:val="0"/>
              <w:widowControl/>
              <w:suppressLineNumbers w:val="0"/>
              <w:adjustRightInd/>
              <w:spacing w:before="0" w:beforeAutospacing="0" w:after="0" w:afterAutospacing="0" w:line="360" w:lineRule="auto"/>
              <w:ind w:left="0" w:right="0"/>
              <w:jc w:val="both"/>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大写：</w:t>
            </w:r>
          </w:p>
        </w:tc>
      </w:tr>
      <w:tr w14:paraId="2B54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3343" w:type="dxa"/>
            <w:gridSpan w:val="2"/>
            <w:tcBorders>
              <w:top w:val="single" w:color="auto" w:sz="4" w:space="0"/>
              <w:left w:val="single" w:color="auto" w:sz="4" w:space="0"/>
              <w:bottom w:val="single" w:color="auto" w:sz="4" w:space="0"/>
              <w:right w:val="single" w:color="auto" w:sz="4" w:space="0"/>
            </w:tcBorders>
            <w:noWrap w:val="0"/>
            <w:vAlign w:val="center"/>
          </w:tcPr>
          <w:p w14:paraId="320C7203">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投标声明</w:t>
            </w:r>
          </w:p>
        </w:tc>
        <w:tc>
          <w:tcPr>
            <w:tcW w:w="5776" w:type="dxa"/>
            <w:tcBorders>
              <w:top w:val="single" w:color="auto" w:sz="4" w:space="0"/>
              <w:left w:val="single" w:color="auto" w:sz="4" w:space="0"/>
              <w:bottom w:val="single" w:color="auto" w:sz="4" w:space="0"/>
            </w:tcBorders>
            <w:noWrap w:val="0"/>
            <w:vAlign w:val="center"/>
          </w:tcPr>
          <w:p w14:paraId="632656FC">
            <w:pPr>
              <w:keepNext w:val="0"/>
              <w:keepLines w:val="0"/>
              <w:widowControl/>
              <w:suppressLineNumbers w:val="0"/>
              <w:adjustRightInd/>
              <w:spacing w:before="24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bl>
    <w:p w14:paraId="1A7E72E5">
      <w:pPr>
        <w:kinsoku/>
        <w:wordWrap/>
        <w:overflowPunct/>
        <w:topLinePunct w:val="0"/>
        <w:bidi w:val="0"/>
        <w:snapToGrid w:val="0"/>
        <w:spacing w:line="360" w:lineRule="auto"/>
        <w:ind w:left="480"/>
        <w:outlineLvl w:val="9"/>
        <w:rPr>
          <w:rFonts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762A28D5">
      <w:pPr>
        <w:kinsoku/>
        <w:wordWrap/>
        <w:overflowPunct/>
        <w:topLinePunct w:val="0"/>
        <w:bidi w:val="0"/>
        <w:spacing w:line="360" w:lineRule="auto"/>
        <w:ind w:left="-2" w:leftChars="-1" w:firstLine="480" w:firstLineChars="200"/>
        <w:outlineLvl w:val="9"/>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43B3B2B4">
      <w:pPr>
        <w:kinsoku/>
        <w:wordWrap/>
        <w:overflowPunct/>
        <w:topLinePunct w:val="0"/>
        <w:bidi w:val="0"/>
        <w:spacing w:line="360" w:lineRule="auto"/>
        <w:ind w:firstLine="480" w:firstLineChars="200"/>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6C163055">
      <w:pPr>
        <w:kinsoku/>
        <w:wordWrap/>
        <w:overflowPunct/>
        <w:topLinePunct w:val="0"/>
        <w:bidi w:val="0"/>
        <w:snapToGrid w:val="0"/>
        <w:spacing w:line="360" w:lineRule="auto"/>
        <w:ind w:firstLine="480" w:firstLineChars="200"/>
        <w:jc w:val="left"/>
        <w:outlineLvl w:val="9"/>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9A58CA5">
      <w:pPr>
        <w:kinsoku/>
        <w:wordWrap/>
        <w:overflowPunct/>
        <w:topLinePunct w:val="0"/>
        <w:bidi w:val="0"/>
        <w:snapToGrid w:val="0"/>
        <w:spacing w:line="360" w:lineRule="auto"/>
        <w:ind w:firstLine="480" w:firstLineChars="200"/>
        <w:jc w:val="left"/>
        <w:outlineLvl w:val="9"/>
        <w:rPr>
          <w:rFonts w:ascii="宋体" w:hAnsi="宋体" w:eastAsia="宋体" w:cs="宋体"/>
          <w:color w:val="auto"/>
          <w:kern w:val="0"/>
          <w:sz w:val="24"/>
          <w:highlight w:val="none"/>
          <w:lang w:val="zh-CN"/>
        </w:rPr>
      </w:pPr>
      <w:r>
        <w:rPr>
          <w:rFonts w:ascii="宋体" w:hAnsi="宋体" w:eastAsia="宋体" w:cs="宋体"/>
          <w:color w:val="auto"/>
          <w:kern w:val="0"/>
          <w:sz w:val="24"/>
          <w:szCs w:val="22"/>
          <w:highlight w:val="none"/>
          <w:lang w:val="zh-CN"/>
        </w:rPr>
        <w:t>4</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7034952">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6206B14A">
      <w:pPr>
        <w:spacing w:line="360" w:lineRule="auto"/>
        <w:jc w:val="center"/>
        <w:rPr>
          <w:rFonts w:hint="eastAsia" w:ascii="宋体" w:hAnsi="宋体" w:eastAsia="宋体" w:cs="宋体"/>
          <w:b/>
          <w:color w:val="auto"/>
          <w:kern w:val="0"/>
          <w:sz w:val="24"/>
          <w:highlight w:val="none"/>
          <w:lang w:val="zh-CN" w:eastAsia="zh-CN"/>
        </w:rPr>
      </w:pPr>
      <w:r>
        <w:rPr>
          <w:rFonts w:hint="eastAsia" w:ascii="宋体" w:hAnsi="宋体" w:eastAsia="宋体" w:cs="宋体"/>
          <w:b/>
          <w:color w:val="auto"/>
          <w:kern w:val="0"/>
          <w:sz w:val="24"/>
          <w:highlight w:val="none"/>
          <w:lang w:val="zh-CN"/>
        </w:rPr>
        <w:t>投标分项报价表(单位均为人民币元)</w:t>
      </w:r>
    </w:p>
    <w:tbl>
      <w:tblPr>
        <w:tblStyle w:val="63"/>
        <w:tblW w:w="8947" w:type="dxa"/>
        <w:jc w:val="center"/>
        <w:tblLayout w:type="fixed"/>
        <w:tblCellMar>
          <w:top w:w="0" w:type="dxa"/>
          <w:left w:w="108" w:type="dxa"/>
          <w:bottom w:w="0" w:type="dxa"/>
          <w:right w:w="108" w:type="dxa"/>
        </w:tblCellMar>
      </w:tblPr>
      <w:tblGrid>
        <w:gridCol w:w="817"/>
        <w:gridCol w:w="1600"/>
        <w:gridCol w:w="973"/>
        <w:gridCol w:w="1371"/>
        <w:gridCol w:w="1501"/>
        <w:gridCol w:w="1253"/>
        <w:gridCol w:w="1432"/>
      </w:tblGrid>
      <w:tr w14:paraId="32B836B3">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E49AF5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序号</w:t>
            </w:r>
          </w:p>
        </w:tc>
        <w:tc>
          <w:tcPr>
            <w:tcW w:w="1600" w:type="dxa"/>
            <w:tcBorders>
              <w:top w:val="single" w:color="auto" w:sz="4" w:space="0"/>
              <w:left w:val="nil"/>
              <w:bottom w:val="single" w:color="auto" w:sz="4" w:space="0"/>
              <w:right w:val="single" w:color="auto" w:sz="4" w:space="0"/>
            </w:tcBorders>
            <w:noWrap w:val="0"/>
            <w:vAlign w:val="center"/>
          </w:tcPr>
          <w:p w14:paraId="34B75ED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spacing w:val="20"/>
                <w:kern w:val="2"/>
                <w:sz w:val="24"/>
                <w:szCs w:val="24"/>
                <w:highlight w:val="none"/>
                <w:lang w:bidi="ar"/>
              </w:rPr>
              <w:t>项目内容</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59521C4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lang w:val="en-US" w:eastAsia="zh-CN" w:bidi="ar"/>
              </w:rPr>
            </w:pPr>
            <w:r>
              <w:rPr>
                <w:rFonts w:hint="eastAsia" w:ascii="宋体" w:hAnsi="宋体" w:eastAsia="宋体" w:cs="宋体"/>
                <w:b/>
                <w:bCs/>
                <w:color w:val="auto"/>
                <w:spacing w:val="20"/>
                <w:kern w:val="2"/>
                <w:sz w:val="24"/>
                <w:szCs w:val="24"/>
                <w:highlight w:val="none"/>
                <w:lang w:val="en-US" w:eastAsia="zh-CN" w:bidi="ar"/>
              </w:rPr>
              <w:t>产地品牌</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1C4C1E6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default" w:ascii="宋体" w:hAnsi="宋体" w:eastAsia="宋体" w:cs="宋体"/>
                <w:b/>
                <w:bCs/>
                <w:color w:val="auto"/>
                <w:spacing w:val="20"/>
                <w:kern w:val="2"/>
                <w:sz w:val="24"/>
                <w:szCs w:val="24"/>
                <w:highlight w:val="none"/>
                <w:lang w:val="en-US" w:eastAsia="zh-CN" w:bidi="ar"/>
              </w:rPr>
            </w:pPr>
            <w:r>
              <w:rPr>
                <w:rFonts w:hint="eastAsia" w:ascii="宋体" w:hAnsi="宋体" w:eastAsia="宋体" w:cs="宋体"/>
                <w:b/>
                <w:bCs/>
                <w:color w:val="auto"/>
                <w:spacing w:val="20"/>
                <w:kern w:val="2"/>
                <w:sz w:val="24"/>
                <w:szCs w:val="24"/>
                <w:highlight w:val="none"/>
                <w:lang w:val="en-US" w:eastAsia="zh-CN" w:bidi="ar"/>
              </w:rPr>
              <w:t>规格型号</w:t>
            </w:r>
          </w:p>
        </w:tc>
        <w:tc>
          <w:tcPr>
            <w:tcW w:w="1501" w:type="dxa"/>
            <w:tcBorders>
              <w:top w:val="single" w:color="auto" w:sz="4" w:space="0"/>
              <w:left w:val="nil"/>
              <w:bottom w:val="single" w:color="auto" w:sz="4" w:space="0"/>
              <w:right w:val="single" w:color="auto" w:sz="4" w:space="0"/>
            </w:tcBorders>
            <w:noWrap w:val="0"/>
            <w:vAlign w:val="center"/>
          </w:tcPr>
          <w:p w14:paraId="32B551C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单位及数量</w:t>
            </w:r>
          </w:p>
        </w:tc>
        <w:tc>
          <w:tcPr>
            <w:tcW w:w="1253" w:type="dxa"/>
            <w:tcBorders>
              <w:top w:val="single" w:color="auto" w:sz="4" w:space="0"/>
              <w:left w:val="nil"/>
              <w:bottom w:val="single" w:color="auto" w:sz="4" w:space="0"/>
              <w:right w:val="single" w:color="auto" w:sz="4" w:space="0"/>
            </w:tcBorders>
            <w:noWrap w:val="0"/>
            <w:vAlign w:val="center"/>
          </w:tcPr>
          <w:p w14:paraId="24BAE1A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单价（元）</w:t>
            </w:r>
          </w:p>
        </w:tc>
        <w:tc>
          <w:tcPr>
            <w:tcW w:w="1432" w:type="dxa"/>
            <w:tcBorders>
              <w:top w:val="single" w:color="auto" w:sz="4" w:space="0"/>
              <w:left w:val="nil"/>
              <w:bottom w:val="single" w:color="auto" w:sz="4" w:space="0"/>
              <w:right w:val="single" w:color="auto" w:sz="4" w:space="0"/>
            </w:tcBorders>
            <w:noWrap w:val="0"/>
            <w:vAlign w:val="center"/>
          </w:tcPr>
          <w:p w14:paraId="0BA3454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金额（元）</w:t>
            </w:r>
          </w:p>
        </w:tc>
      </w:tr>
      <w:tr w14:paraId="0574C18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C4B839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3C82A78D">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27B6B7B1">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2D364F9A">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4FDD929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253" w:type="dxa"/>
            <w:tcBorders>
              <w:top w:val="single" w:color="auto" w:sz="4" w:space="0"/>
              <w:left w:val="nil"/>
              <w:bottom w:val="single" w:color="auto" w:sz="4" w:space="0"/>
              <w:right w:val="single" w:color="auto" w:sz="4" w:space="0"/>
            </w:tcBorders>
            <w:noWrap w:val="0"/>
            <w:vAlign w:val="center"/>
          </w:tcPr>
          <w:p w14:paraId="32377BD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432" w:type="dxa"/>
            <w:tcBorders>
              <w:top w:val="single" w:color="auto" w:sz="4" w:space="0"/>
              <w:left w:val="nil"/>
              <w:bottom w:val="single" w:color="auto" w:sz="4" w:space="0"/>
              <w:right w:val="single" w:color="auto" w:sz="4" w:space="0"/>
            </w:tcBorders>
            <w:noWrap w:val="0"/>
            <w:vAlign w:val="center"/>
          </w:tcPr>
          <w:p w14:paraId="1A1BF5F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r>
      <w:tr w14:paraId="1DB48FA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B2DB59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4737FD56">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400B939C">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3AE423B7">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102CF75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2218156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57EF299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57408BE7">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F92B3A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71D2932D">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6760C829">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79CE7ADE">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683A70F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29D3807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283D1FB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2E01E9F8">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346CAA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3A0C35DC">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3A7DA9B">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0C6FDFE3">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6DED689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2D520F7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0DD159C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2ECAE94A">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ECA8C9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57580FB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6787BB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4522ECF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50168A7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6CFD5D0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0922A64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3B461BE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D9C63E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37CF762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7E27CF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4542500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2305208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0A616A7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15A0BDA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3502EB8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FE49F1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1B6E212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6BFF1F4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7F104A9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5E10756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6BD3C16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2732E03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74BAED07">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9AE6B1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7F6B480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6B9B43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219C740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6DC0AB9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3D37BEB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6050DBF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69294C29">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9E9B40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01CC4F6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7AD201F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4A8EE57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206B692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56F6CF9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54F530F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4C4DB7BC">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8CAE8B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59FEC50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6097B91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AF6005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567B34E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2CBB73D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77CDB1C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1E64A4F5">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F59968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1EC1B2D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25EC624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469EE4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0037428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223B12F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5549980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003C2513">
        <w:tblPrEx>
          <w:tblCellMar>
            <w:top w:w="0" w:type="dxa"/>
            <w:left w:w="108" w:type="dxa"/>
            <w:bottom w:w="0" w:type="dxa"/>
            <w:right w:w="108" w:type="dxa"/>
          </w:tblCellMar>
        </w:tblPrEx>
        <w:trPr>
          <w:jc w:val="center"/>
        </w:trPr>
        <w:tc>
          <w:tcPr>
            <w:tcW w:w="7515" w:type="dxa"/>
            <w:gridSpan w:val="6"/>
            <w:tcBorders>
              <w:top w:val="single" w:color="auto" w:sz="4" w:space="0"/>
              <w:left w:val="single" w:color="auto" w:sz="4" w:space="0"/>
              <w:bottom w:val="single" w:color="auto" w:sz="4" w:space="0"/>
              <w:right w:val="single" w:color="auto" w:sz="4" w:space="0"/>
            </w:tcBorders>
            <w:noWrap w:val="0"/>
            <w:vAlign w:val="center"/>
          </w:tcPr>
          <w:p w14:paraId="5C60CC2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default" w:ascii="宋体" w:hAnsi="宋体" w:eastAsia="宋体" w:cs="宋体"/>
                <w:color w:val="auto"/>
                <w:spacing w:val="20"/>
                <w:kern w:val="2"/>
                <w:sz w:val="24"/>
                <w:szCs w:val="24"/>
                <w:highlight w:val="none"/>
                <w:lang w:val="en-US" w:eastAsia="zh-CN"/>
              </w:rPr>
            </w:pPr>
            <w:r>
              <w:rPr>
                <w:rFonts w:hint="eastAsia" w:ascii="宋体" w:hAnsi="宋体" w:eastAsia="宋体" w:cs="宋体"/>
                <w:color w:val="auto"/>
                <w:spacing w:val="20"/>
                <w:kern w:val="2"/>
                <w:sz w:val="24"/>
                <w:szCs w:val="24"/>
                <w:highlight w:val="none"/>
                <w:lang w:val="en-US" w:eastAsia="zh-CN"/>
              </w:rPr>
              <w:t>投标报价</w:t>
            </w:r>
          </w:p>
        </w:tc>
        <w:tc>
          <w:tcPr>
            <w:tcW w:w="1432" w:type="dxa"/>
            <w:tcBorders>
              <w:top w:val="single" w:color="auto" w:sz="4" w:space="0"/>
              <w:left w:val="nil"/>
              <w:bottom w:val="single" w:color="auto" w:sz="4" w:space="0"/>
              <w:right w:val="single" w:color="auto" w:sz="4" w:space="0"/>
            </w:tcBorders>
            <w:noWrap w:val="0"/>
            <w:vAlign w:val="center"/>
          </w:tcPr>
          <w:p w14:paraId="68B99EF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bl>
    <w:p w14:paraId="14A5A3C6">
      <w:pPr>
        <w:widowControl/>
        <w:adjustRightInd/>
        <w:ind w:left="420" w:leftChars="200"/>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备注：本表格供参考，供应商可根据项目实际情况自拟表格。</w:t>
      </w:r>
    </w:p>
    <w:p w14:paraId="1AAA8AAD">
      <w:pPr>
        <w:spacing w:after="120" w:afterLines="0"/>
        <w:ind w:left="1140" w:leftChars="200" w:hanging="720" w:hangingChars="343"/>
        <w:rPr>
          <w:rFonts w:hint="eastAsia" w:ascii="Times New Roman" w:hAnsi="宋体" w:eastAsia="宋体" w:cs="宋体"/>
          <w:color w:val="auto"/>
          <w:sz w:val="21"/>
          <w:highlight w:val="none"/>
          <w:lang w:val="en-US" w:eastAsia="zh-CN" w:bidi="ar-SA"/>
        </w:rPr>
      </w:pPr>
    </w:p>
    <w:p w14:paraId="5A8EF626">
      <w:pPr>
        <w:spacing w:after="120" w:afterLines="0"/>
        <w:ind w:left="1140" w:leftChars="200" w:hanging="720" w:hangingChars="343"/>
        <w:rPr>
          <w:rFonts w:hint="eastAsia" w:ascii="Times New Roman" w:hAnsi="Times New Roman" w:eastAsia="宋体" w:cs="Times New Roman"/>
          <w:color w:val="auto"/>
          <w:kern w:val="0"/>
          <w:szCs w:val="20"/>
          <w:highlight w:val="none"/>
        </w:rPr>
      </w:pPr>
    </w:p>
    <w:p w14:paraId="5144A1F3">
      <w:pPr>
        <w:autoSpaceDE w:val="0"/>
        <w:autoSpaceDN w:val="0"/>
        <w:spacing w:line="360" w:lineRule="auto"/>
        <w:ind w:left="2" w:leftChars="1" w:right="1120" w:firstLine="4560" w:firstLineChars="19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860A00B">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4CD8518">
      <w:pPr>
        <w:keepNext w:val="0"/>
        <w:pageBreakBefore w:val="0"/>
        <w:widowControl w:val="0"/>
        <w:kinsoku/>
        <w:wordWrap/>
        <w:overflowPunct/>
        <w:topLinePunct w:val="0"/>
        <w:bidi w:val="0"/>
        <w:adjustRightInd w:val="0"/>
        <w:snapToGrid w:val="0"/>
        <w:spacing w:before="120" w:after="120" w:line="360" w:lineRule="auto"/>
        <w:jc w:val="both"/>
        <w:outlineLvl w:val="9"/>
        <w:rPr>
          <w:rFonts w:ascii="宋体" w:hAnsi="宋体" w:eastAsia="宋体" w:cs="宋体"/>
          <w:b/>
          <w:color w:val="auto"/>
          <w:kern w:val="2"/>
          <w:sz w:val="32"/>
          <w:szCs w:val="32"/>
          <w:highlight w:val="none"/>
          <w:lang w:val="en-US" w:eastAsia="zh-CN" w:bidi="ar-SA"/>
        </w:rPr>
      </w:pPr>
    </w:p>
    <w:p w14:paraId="7612CFD9">
      <w:pPr>
        <w:keepNext w:val="0"/>
        <w:pageBreakBefore w:val="0"/>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bookmarkEnd w:id="556"/>
    <w:bookmarkEnd w:id="557"/>
    <w:p w14:paraId="20D71796">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sz w:val="32"/>
          <w:szCs w:val="32"/>
          <w:highlight w:val="none"/>
        </w:rPr>
      </w:pPr>
      <w:bookmarkStart w:id="558" w:name="_Toc25773"/>
      <w:bookmarkStart w:id="559" w:name="_Toc30621"/>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60" w:name="_Hlk101259491"/>
      <w:r>
        <w:rPr>
          <w:rFonts w:hint="eastAsia" w:ascii="宋体" w:hAnsi="宋体" w:eastAsia="宋体" w:cs="宋体"/>
          <w:color w:val="auto"/>
          <w:sz w:val="32"/>
          <w:szCs w:val="32"/>
          <w:highlight w:val="none"/>
        </w:rPr>
        <w:t>（如果有）</w:t>
      </w:r>
      <w:bookmarkEnd w:id="558"/>
      <w:bookmarkEnd w:id="559"/>
      <w:bookmarkEnd w:id="560"/>
    </w:p>
    <w:p w14:paraId="2EBD4BA7">
      <w:pPr>
        <w:widowControl/>
        <w:kinsoku/>
        <w:wordWrap/>
        <w:overflowPunct/>
        <w:topLinePunct w:val="0"/>
        <w:bidi w:val="0"/>
        <w:spacing w:line="360" w:lineRule="auto"/>
        <w:ind w:firstLine="120" w:firstLineChars="50"/>
        <w:jc w:val="left"/>
        <w:outlineLvl w:val="9"/>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652E593">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b w:val="0"/>
          <w:color w:val="auto"/>
          <w:sz w:val="32"/>
          <w:szCs w:val="32"/>
          <w:highlight w:val="none"/>
        </w:rPr>
      </w:pPr>
    </w:p>
    <w:p w14:paraId="55AE0E91">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555B082D">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1A20B5F0">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44CC5D2">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1ECC144E">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3ABA2CC5">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B86FAC8">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0C3EC6EB">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56F54DFB">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8BE74FF">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073A351B">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26411A4">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3061046">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2F17E98E">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0DBAC19B">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0972970">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36BC7C7D">
      <w:pPr>
        <w:kinsoku/>
        <w:wordWrap/>
        <w:overflowPunct/>
        <w:topLinePunct w:val="0"/>
        <w:bidi w:val="0"/>
        <w:spacing w:line="360" w:lineRule="auto"/>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16E77F3">
      <w:pPr>
        <w:kinsoku/>
        <w:wordWrap/>
        <w:overflowPunct/>
        <w:topLinePunct w:val="0"/>
        <w:bidi w:val="0"/>
        <w:spacing w:line="360" w:lineRule="auto"/>
        <w:jc w:val="center"/>
        <w:outlineLvl w:val="9"/>
        <w:rPr>
          <w:rFonts w:ascii="宋体" w:hAnsi="宋体" w:cs="宋体"/>
          <w:b/>
          <w:color w:val="auto"/>
          <w:spacing w:val="6"/>
          <w:sz w:val="32"/>
          <w:szCs w:val="32"/>
          <w:highlight w:val="none"/>
        </w:rPr>
      </w:pPr>
      <w:bookmarkStart w:id="561" w:name="OLE_LINK13"/>
      <w:bookmarkStart w:id="562" w:name="OLE_LINK14"/>
      <w:r>
        <w:rPr>
          <w:rFonts w:hint="eastAsia" w:ascii="宋体" w:hAnsi="宋体" w:cs="宋体"/>
          <w:b/>
          <w:color w:val="auto"/>
          <w:spacing w:val="6"/>
          <w:sz w:val="32"/>
          <w:szCs w:val="32"/>
          <w:highlight w:val="none"/>
        </w:rPr>
        <w:t>残疾人福利性单位声明函</w:t>
      </w:r>
    </w:p>
    <w:bookmarkEnd w:id="561"/>
    <w:bookmarkEnd w:id="562"/>
    <w:p w14:paraId="4EF53AD5">
      <w:pPr>
        <w:kinsoku/>
        <w:wordWrap/>
        <w:overflowPunct/>
        <w:topLinePunct w:val="0"/>
        <w:bidi w:val="0"/>
        <w:spacing w:line="360" w:lineRule="auto"/>
        <w:outlineLvl w:val="9"/>
        <w:rPr>
          <w:rFonts w:ascii="宋体" w:hAnsi="宋体" w:cs="宋体"/>
          <w:b/>
          <w:color w:val="auto"/>
          <w:spacing w:val="6"/>
          <w:sz w:val="30"/>
          <w:szCs w:val="30"/>
          <w:highlight w:val="none"/>
        </w:rPr>
      </w:pPr>
    </w:p>
    <w:p w14:paraId="1CE234D8">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2331347">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A8B5F82">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592F0C30">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4D0C46F8">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10E8FCDA">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  期：</w:t>
      </w:r>
    </w:p>
    <w:p w14:paraId="1DA97DEC">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72025CB4">
      <w:pPr>
        <w:kinsoku/>
        <w:wordWrap/>
        <w:overflowPunct/>
        <w:topLinePunct w:val="0"/>
        <w:bidi w:val="0"/>
        <w:spacing w:line="360" w:lineRule="auto"/>
        <w:ind w:firstLine="420" w:firstLineChars="200"/>
        <w:outlineLvl w:val="9"/>
        <w:rPr>
          <w:rFonts w:ascii="宋体" w:hAnsi="宋体" w:cs="宋体"/>
          <w:color w:val="auto"/>
          <w:highlight w:val="none"/>
        </w:rPr>
      </w:pPr>
    </w:p>
    <w:p w14:paraId="7D9EDAC2">
      <w:pPr>
        <w:kinsoku/>
        <w:wordWrap/>
        <w:overflowPunct/>
        <w:topLinePunct w:val="0"/>
        <w:bidi w:val="0"/>
        <w:spacing w:line="360" w:lineRule="auto"/>
        <w:ind w:firstLine="420" w:firstLineChars="200"/>
        <w:outlineLvl w:val="9"/>
        <w:rPr>
          <w:rFonts w:ascii="宋体" w:hAnsi="宋体" w:cs="宋体"/>
          <w:color w:val="auto"/>
          <w:highlight w:val="none"/>
        </w:rPr>
      </w:pPr>
    </w:p>
    <w:p w14:paraId="07A73CE5">
      <w:pPr>
        <w:kinsoku/>
        <w:wordWrap/>
        <w:overflowPunct/>
        <w:topLinePunct w:val="0"/>
        <w:bidi w:val="0"/>
        <w:spacing w:line="360" w:lineRule="auto"/>
        <w:ind w:firstLine="420" w:firstLineChars="200"/>
        <w:outlineLvl w:val="9"/>
        <w:rPr>
          <w:rFonts w:ascii="宋体" w:hAnsi="宋体" w:cs="宋体"/>
          <w:color w:val="auto"/>
          <w:highlight w:val="none"/>
        </w:rPr>
      </w:pPr>
    </w:p>
    <w:p w14:paraId="2E052032">
      <w:pPr>
        <w:kinsoku/>
        <w:wordWrap/>
        <w:overflowPunct/>
        <w:topLinePunct w:val="0"/>
        <w:bidi w:val="0"/>
        <w:spacing w:line="360" w:lineRule="auto"/>
        <w:ind w:firstLine="420" w:firstLineChars="200"/>
        <w:outlineLvl w:val="9"/>
        <w:rPr>
          <w:rFonts w:ascii="宋体" w:hAnsi="宋体" w:cs="宋体"/>
          <w:color w:val="auto"/>
          <w:highlight w:val="none"/>
        </w:rPr>
      </w:pPr>
    </w:p>
    <w:p w14:paraId="4C7D16B7">
      <w:pPr>
        <w:kinsoku/>
        <w:wordWrap/>
        <w:overflowPunct/>
        <w:topLinePunct w:val="0"/>
        <w:bidi w:val="0"/>
        <w:spacing w:line="360" w:lineRule="auto"/>
        <w:outlineLvl w:val="9"/>
        <w:rPr>
          <w:rFonts w:ascii="宋体" w:hAnsi="宋体" w:cs="宋体"/>
          <w:b/>
          <w:color w:val="auto"/>
          <w:sz w:val="24"/>
          <w:highlight w:val="none"/>
        </w:rPr>
      </w:pPr>
    </w:p>
    <w:p w14:paraId="3EA7553D">
      <w:pPr>
        <w:kinsoku/>
        <w:wordWrap/>
        <w:overflowPunct/>
        <w:topLinePunct w:val="0"/>
        <w:bidi w:val="0"/>
        <w:spacing w:line="360" w:lineRule="auto"/>
        <w:outlineLvl w:val="9"/>
        <w:rPr>
          <w:rFonts w:ascii="宋体" w:hAnsi="宋体" w:cs="宋体"/>
          <w:b/>
          <w:color w:val="auto"/>
          <w:sz w:val="24"/>
          <w:highlight w:val="none"/>
        </w:rPr>
      </w:pPr>
    </w:p>
    <w:p w14:paraId="11BC0C62">
      <w:pPr>
        <w:kinsoku/>
        <w:wordWrap/>
        <w:overflowPunct/>
        <w:topLinePunct w:val="0"/>
        <w:bidi w:val="0"/>
        <w:spacing w:line="360" w:lineRule="auto"/>
        <w:outlineLvl w:val="9"/>
        <w:rPr>
          <w:rFonts w:ascii="宋体" w:hAnsi="宋体" w:cs="宋体"/>
          <w:b/>
          <w:color w:val="auto"/>
          <w:sz w:val="24"/>
          <w:highlight w:val="none"/>
        </w:rPr>
      </w:pPr>
    </w:p>
    <w:p w14:paraId="29104DBD">
      <w:pPr>
        <w:kinsoku/>
        <w:wordWrap/>
        <w:overflowPunct/>
        <w:topLinePunct w:val="0"/>
        <w:bidi w:val="0"/>
        <w:spacing w:line="360" w:lineRule="auto"/>
        <w:outlineLvl w:val="9"/>
        <w:rPr>
          <w:rFonts w:ascii="宋体" w:hAnsi="宋体" w:cs="宋体"/>
          <w:b/>
          <w:color w:val="auto"/>
          <w:sz w:val="24"/>
          <w:highlight w:val="none"/>
        </w:rPr>
      </w:pPr>
    </w:p>
    <w:p w14:paraId="05DF4287">
      <w:pPr>
        <w:kinsoku/>
        <w:wordWrap/>
        <w:overflowPunct/>
        <w:topLinePunct w:val="0"/>
        <w:bidi w:val="0"/>
        <w:spacing w:line="360" w:lineRule="auto"/>
        <w:outlineLvl w:val="9"/>
        <w:rPr>
          <w:rFonts w:ascii="宋体" w:hAnsi="宋体" w:cs="宋体"/>
          <w:b/>
          <w:color w:val="auto"/>
          <w:sz w:val="24"/>
          <w:highlight w:val="none"/>
        </w:rPr>
      </w:pPr>
    </w:p>
    <w:p w14:paraId="3B3C06A1">
      <w:pPr>
        <w:kinsoku/>
        <w:wordWrap/>
        <w:overflowPunct/>
        <w:topLinePunct w:val="0"/>
        <w:bidi w:val="0"/>
        <w:spacing w:line="360" w:lineRule="auto"/>
        <w:outlineLvl w:val="9"/>
        <w:rPr>
          <w:rFonts w:ascii="宋体" w:hAnsi="宋体" w:cs="宋体"/>
          <w:b/>
          <w:color w:val="auto"/>
          <w:sz w:val="24"/>
          <w:highlight w:val="none"/>
        </w:rPr>
      </w:pPr>
    </w:p>
    <w:p w14:paraId="61B3ABE8">
      <w:pPr>
        <w:kinsoku/>
        <w:wordWrap/>
        <w:overflowPunct/>
        <w:topLinePunct w:val="0"/>
        <w:bidi w:val="0"/>
        <w:spacing w:line="360" w:lineRule="auto"/>
        <w:outlineLvl w:val="9"/>
        <w:rPr>
          <w:rFonts w:ascii="宋体" w:hAnsi="宋体" w:cs="宋体"/>
          <w:b/>
          <w:color w:val="auto"/>
          <w:sz w:val="24"/>
          <w:highlight w:val="none"/>
        </w:rPr>
      </w:pPr>
    </w:p>
    <w:p w14:paraId="67D4C996">
      <w:pPr>
        <w:kinsoku/>
        <w:wordWrap/>
        <w:overflowPunct/>
        <w:topLinePunct w:val="0"/>
        <w:bidi w:val="0"/>
        <w:spacing w:line="360" w:lineRule="auto"/>
        <w:outlineLvl w:val="9"/>
        <w:rPr>
          <w:rFonts w:ascii="宋体" w:hAnsi="宋体" w:cs="宋体"/>
          <w:b/>
          <w:color w:val="auto"/>
          <w:sz w:val="24"/>
          <w:highlight w:val="none"/>
        </w:rPr>
      </w:pPr>
    </w:p>
    <w:p w14:paraId="01D78DA8">
      <w:pPr>
        <w:kinsoku/>
        <w:wordWrap/>
        <w:overflowPunct/>
        <w:topLinePunct w:val="0"/>
        <w:bidi w:val="0"/>
        <w:spacing w:line="360" w:lineRule="auto"/>
        <w:outlineLvl w:val="9"/>
        <w:rPr>
          <w:rFonts w:ascii="宋体" w:hAnsi="宋体" w:cs="宋体"/>
          <w:b/>
          <w:color w:val="auto"/>
          <w:sz w:val="24"/>
          <w:highlight w:val="none"/>
        </w:rPr>
      </w:pPr>
    </w:p>
    <w:p w14:paraId="54B7FE84">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02EFE76B">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6E8C2338">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3F30A3A">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ECEE0C3">
      <w:pPr>
        <w:kinsoku/>
        <w:wordWrap/>
        <w:overflowPunct/>
        <w:topLinePunct w:val="0"/>
        <w:bidi w:val="0"/>
        <w:snapToGrid w:val="0"/>
        <w:spacing w:before="240" w:beforeLines="100"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F72FC30">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11B08C0">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44DA333">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CCB1CC4">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900F0C7">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19EE00E">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E159CBB">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B6D790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B088E30">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E666661">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AD165FD">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获取日期：</w:t>
      </w:r>
      <w:r>
        <w:rPr>
          <w:rFonts w:hint="eastAsia" w:ascii="宋体" w:hAnsi="宋体" w:cs="宋体"/>
          <w:color w:val="auto"/>
          <w:sz w:val="24"/>
          <w:highlight w:val="none"/>
          <w:u w:val="dotted"/>
        </w:rPr>
        <w:t xml:space="preserve">                                           </w:t>
      </w:r>
    </w:p>
    <w:p w14:paraId="29873156">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FB32C8C">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AD9B7DE">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18CE2B0">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3DBD58F">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DE6336B">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53BDDE5">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质疑事项2</w:t>
      </w:r>
    </w:p>
    <w:p w14:paraId="4EF989FE">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p>
    <w:p w14:paraId="3B7B745A">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AD3AC10">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7F08758">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8AF96F5">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032A5A4F">
      <w:pPr>
        <w:kinsoku/>
        <w:wordWrap/>
        <w:overflowPunct/>
        <w:topLinePunct w:val="0"/>
        <w:bidi w:val="0"/>
        <w:spacing w:line="360" w:lineRule="auto"/>
        <w:jc w:val="center"/>
        <w:outlineLvl w:val="9"/>
        <w:rPr>
          <w:rFonts w:ascii="宋体" w:hAnsi="宋体" w:cs="宋体"/>
          <w:b/>
          <w:bCs/>
          <w:color w:val="auto"/>
          <w:sz w:val="24"/>
          <w:highlight w:val="none"/>
        </w:rPr>
      </w:pPr>
    </w:p>
    <w:p w14:paraId="71A6AC84">
      <w:pPr>
        <w:kinsoku/>
        <w:wordWrap/>
        <w:overflowPunct/>
        <w:topLinePunct w:val="0"/>
        <w:bidi w:val="0"/>
        <w:spacing w:line="360" w:lineRule="auto"/>
        <w:outlineLvl w:val="9"/>
        <w:rPr>
          <w:rFonts w:ascii="宋体" w:hAnsi="宋体" w:cs="宋体"/>
          <w:b/>
          <w:color w:val="auto"/>
          <w:sz w:val="24"/>
          <w:highlight w:val="none"/>
        </w:rPr>
      </w:pPr>
    </w:p>
    <w:p w14:paraId="2745ADDB">
      <w:pPr>
        <w:kinsoku/>
        <w:wordWrap/>
        <w:overflowPunct/>
        <w:topLinePunct w:val="0"/>
        <w:bidi w:val="0"/>
        <w:spacing w:line="360" w:lineRule="auto"/>
        <w:outlineLvl w:val="9"/>
        <w:rPr>
          <w:rFonts w:ascii="宋体" w:hAnsi="宋体" w:cs="宋体"/>
          <w:b/>
          <w:color w:val="auto"/>
          <w:sz w:val="24"/>
          <w:highlight w:val="none"/>
        </w:rPr>
      </w:pPr>
    </w:p>
    <w:p w14:paraId="55813350">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质疑函制作说明：</w:t>
      </w:r>
    </w:p>
    <w:p w14:paraId="165CE353">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B72658A">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B34C7CE">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142DB6A">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23DA841">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A74AA99">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76C2C83">
      <w:pPr>
        <w:widowControl/>
        <w:kinsoku/>
        <w:wordWrap/>
        <w:overflowPunct/>
        <w:topLinePunct w:val="0"/>
        <w:bidi w:val="0"/>
        <w:spacing w:line="360" w:lineRule="auto"/>
        <w:ind w:firstLine="600" w:firstLineChars="200"/>
        <w:jc w:val="left"/>
        <w:outlineLvl w:val="9"/>
        <w:rPr>
          <w:rFonts w:ascii="宋体" w:hAnsi="宋体" w:cs="宋体"/>
          <w:color w:val="auto"/>
          <w:sz w:val="30"/>
          <w:szCs w:val="30"/>
          <w:highlight w:val="none"/>
        </w:rPr>
      </w:pPr>
    </w:p>
    <w:p w14:paraId="0E40C856">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2808664">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46A1F21">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5B7155D">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25D2DEA">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5EB3730">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15CABD50">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05F33367">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4B29D9A">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6A8AAE6">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8F41F19">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DAB9572">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04F3D7A">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0C625B58">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086F894C">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B657EE6">
      <w:pPr>
        <w:kinsoku/>
        <w:wordWrap/>
        <w:overflowPunct/>
        <w:topLinePunct w:val="0"/>
        <w:bidi w:val="0"/>
        <w:spacing w:line="360" w:lineRule="auto"/>
        <w:jc w:val="center"/>
        <w:outlineLvl w:val="9"/>
        <w:rPr>
          <w:rFonts w:ascii="宋体" w:hAnsi="宋体" w:cs="宋体"/>
          <w:b/>
          <w:color w:val="auto"/>
          <w:sz w:val="24"/>
          <w:highlight w:val="none"/>
        </w:rPr>
      </w:pPr>
    </w:p>
    <w:p w14:paraId="5D0D454B">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424B426">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2F28687">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45E7ACE">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B30B54">
      <w:pPr>
        <w:tabs>
          <w:tab w:val="left" w:pos="6510"/>
        </w:tabs>
        <w:kinsoku/>
        <w:wordWrap/>
        <w:overflowPunct/>
        <w:topLinePunct w:val="0"/>
        <w:bidi w:val="0"/>
        <w:spacing w:line="360" w:lineRule="auto"/>
        <w:jc w:val="left"/>
        <w:outlineLvl w:val="9"/>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E359887">
      <w:pPr>
        <w:tabs>
          <w:tab w:val="left" w:pos="6510"/>
        </w:tabs>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452A190">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752229D">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1DE815D">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5CEB9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43533D">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984B3B">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被投诉人2</w:t>
      </w:r>
    </w:p>
    <w:p w14:paraId="5C3838B1">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52740590">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463686D">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DFADBF">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180EA8">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二、投诉项目基本情况</w:t>
      </w:r>
    </w:p>
    <w:p w14:paraId="6B86796E">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DA3DA31">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D7FE214">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C06BBD">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EE252C6">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20A9C73">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E6F7007">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三、质疑基本情况</w:t>
      </w:r>
    </w:p>
    <w:p w14:paraId="7D7C97D6">
      <w:pPr>
        <w:kinsoku/>
        <w:wordWrap/>
        <w:overflowPunct/>
        <w:topLinePunct w:val="0"/>
        <w:bidi w:val="0"/>
        <w:spacing w:line="360" w:lineRule="auto"/>
        <w:ind w:firstLine="480" w:firstLineChars="200"/>
        <w:outlineLvl w:val="9"/>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3984CC0">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99DD08C">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D08D411">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四、投诉事项具体内容</w:t>
      </w:r>
    </w:p>
    <w:p w14:paraId="3FED21BC">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342A7EB">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F5D4BEC">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4EA6FA7">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57BF928">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0EED3DF">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投诉事项2</w:t>
      </w:r>
    </w:p>
    <w:p w14:paraId="330F6467">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227195B9">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438E675">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C0B3ECC">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5BBC721">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E0325BD">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3D24EC1D">
      <w:pPr>
        <w:kinsoku/>
        <w:wordWrap/>
        <w:overflowPunct/>
        <w:topLinePunct w:val="0"/>
        <w:bidi w:val="0"/>
        <w:spacing w:line="360" w:lineRule="auto"/>
        <w:outlineLvl w:val="9"/>
        <w:rPr>
          <w:rFonts w:ascii="宋体" w:hAnsi="宋体" w:cs="宋体"/>
          <w:b/>
          <w:color w:val="auto"/>
          <w:sz w:val="24"/>
          <w:highlight w:val="none"/>
        </w:rPr>
      </w:pPr>
    </w:p>
    <w:p w14:paraId="794FED43">
      <w:pPr>
        <w:kinsoku/>
        <w:wordWrap/>
        <w:overflowPunct/>
        <w:topLinePunct w:val="0"/>
        <w:bidi w:val="0"/>
        <w:spacing w:line="360" w:lineRule="auto"/>
        <w:outlineLvl w:val="9"/>
        <w:rPr>
          <w:rFonts w:ascii="宋体" w:hAnsi="宋体" w:cs="宋体"/>
          <w:b/>
          <w:color w:val="auto"/>
          <w:sz w:val="24"/>
          <w:highlight w:val="none"/>
        </w:rPr>
      </w:pPr>
    </w:p>
    <w:p w14:paraId="1FF94F52">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投诉书制作说明：</w:t>
      </w:r>
    </w:p>
    <w:p w14:paraId="57D820A2">
      <w:pPr>
        <w:widowControl/>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57381A6">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9A5A3BB">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C7F1390">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A0E0F6F">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3E8FCA0">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754F615">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17ACE0E">
      <w:pPr>
        <w:kinsoku/>
        <w:wordWrap/>
        <w:overflowPunct/>
        <w:topLinePunct w:val="0"/>
        <w:bidi w:val="0"/>
        <w:spacing w:line="360" w:lineRule="auto"/>
        <w:outlineLvl w:val="9"/>
        <w:rPr>
          <w:rFonts w:ascii="宋体" w:hAnsi="宋体" w:cs="宋体"/>
          <w:b/>
          <w:color w:val="auto"/>
          <w:sz w:val="24"/>
          <w:highlight w:val="none"/>
        </w:rPr>
      </w:pPr>
    </w:p>
    <w:p w14:paraId="3B097FF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9536279">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F6600E3">
      <w:pPr>
        <w:kinsoku/>
        <w:wordWrap/>
        <w:overflowPunct/>
        <w:topLinePunct w:val="0"/>
        <w:autoSpaceDE w:val="0"/>
        <w:autoSpaceDN w:val="0"/>
        <w:bidi w:val="0"/>
        <w:jc w:val="center"/>
        <w:outlineLvl w:val="9"/>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84CB9C2">
      <w:pPr>
        <w:kinsoku/>
        <w:wordWrap/>
        <w:overflowPunct/>
        <w:topLinePunct w:val="0"/>
        <w:bidi w:val="0"/>
        <w:spacing w:line="360" w:lineRule="auto"/>
        <w:outlineLvl w:val="9"/>
        <w:rPr>
          <w:rFonts w:ascii="宋体" w:hAnsi="宋体" w:cs="宋体"/>
          <w:color w:val="auto"/>
          <w:sz w:val="24"/>
          <w:highlight w:val="none"/>
          <w:u w:val="single"/>
        </w:rPr>
      </w:pPr>
    </w:p>
    <w:p w14:paraId="2E205B18">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E1D4726">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F3E5008">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特此说明。</w:t>
      </w:r>
    </w:p>
    <w:p w14:paraId="737AAD2A">
      <w:pPr>
        <w:kinsoku/>
        <w:wordWrap/>
        <w:overflowPunct/>
        <w:topLinePunct w:val="0"/>
        <w:bidi w:val="0"/>
        <w:spacing w:line="360" w:lineRule="auto"/>
        <w:ind w:firstLine="494"/>
        <w:outlineLvl w:val="9"/>
        <w:rPr>
          <w:rFonts w:ascii="宋体" w:hAnsi="宋体" w:cs="宋体"/>
          <w:color w:val="auto"/>
          <w:sz w:val="24"/>
          <w:highlight w:val="none"/>
        </w:rPr>
      </w:pPr>
    </w:p>
    <w:p w14:paraId="18BE1B98">
      <w:pPr>
        <w:kinsoku/>
        <w:wordWrap/>
        <w:overflowPunct/>
        <w:topLinePunct w:val="0"/>
        <w:bidi w:val="0"/>
        <w:spacing w:line="360" w:lineRule="auto"/>
        <w:ind w:firstLine="494"/>
        <w:outlineLvl w:val="9"/>
        <w:rPr>
          <w:rFonts w:ascii="宋体" w:hAnsi="宋体" w:cs="宋体"/>
          <w:color w:val="auto"/>
          <w:sz w:val="24"/>
          <w:highlight w:val="none"/>
        </w:rPr>
      </w:pPr>
    </w:p>
    <w:p w14:paraId="085D209A">
      <w:pPr>
        <w:kinsoku/>
        <w:wordWrap/>
        <w:overflowPunct/>
        <w:topLinePunct w:val="0"/>
        <w:bidi w:val="0"/>
        <w:spacing w:line="360" w:lineRule="auto"/>
        <w:ind w:firstLine="494"/>
        <w:outlineLvl w:val="9"/>
        <w:rPr>
          <w:rFonts w:ascii="宋体" w:hAnsi="宋体" w:cs="宋体"/>
          <w:color w:val="auto"/>
          <w:sz w:val="24"/>
          <w:highlight w:val="none"/>
        </w:rPr>
      </w:pPr>
    </w:p>
    <w:p w14:paraId="7A39D5B4">
      <w:pPr>
        <w:kinsoku/>
        <w:wordWrap/>
        <w:overflowPunct/>
        <w:topLinePunct w:val="0"/>
        <w:bidi w:val="0"/>
        <w:spacing w:line="360" w:lineRule="auto"/>
        <w:ind w:right="480" w:firstLine="4080" w:firstLineChars="1700"/>
        <w:outlineLvl w:val="9"/>
        <w:rPr>
          <w:rFonts w:ascii="宋体" w:hAnsi="宋体" w:cs="宋体"/>
          <w:color w:val="auto"/>
          <w:sz w:val="24"/>
          <w:highlight w:val="none"/>
        </w:rPr>
      </w:pPr>
      <w:r>
        <w:rPr>
          <w:rFonts w:hint="eastAsia" w:ascii="宋体" w:hAnsi="宋体" w:cs="宋体"/>
          <w:color w:val="auto"/>
          <w:sz w:val="24"/>
          <w:highlight w:val="none"/>
        </w:rPr>
        <w:t>投标单位（法定名称章）：</w:t>
      </w:r>
    </w:p>
    <w:p w14:paraId="19BFBE17">
      <w:pPr>
        <w:kinsoku/>
        <w:wordWrap/>
        <w:overflowPunct/>
        <w:topLinePunct w:val="0"/>
        <w:bidi w:val="0"/>
        <w:ind w:right="1440" w:firstLine="494"/>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E27BF6F">
      <w:pPr>
        <w:kinsoku/>
        <w:wordWrap/>
        <w:overflowPunct/>
        <w:topLinePunct w:val="0"/>
        <w:bidi w:val="0"/>
        <w:outlineLvl w:val="9"/>
        <w:rPr>
          <w:rFonts w:ascii="宋体" w:hAnsi="宋体" w:cs="宋体"/>
          <w:color w:val="auto"/>
          <w:sz w:val="24"/>
          <w:highlight w:val="none"/>
        </w:rPr>
      </w:pPr>
      <w:r>
        <w:rPr>
          <w:rFonts w:hint="eastAsia" w:ascii="宋体" w:hAnsi="宋体" w:cs="宋体"/>
          <w:b/>
          <w:bCs/>
          <w:color w:val="auto"/>
          <w:sz w:val="24"/>
          <w:highlight w:val="none"/>
        </w:rPr>
        <w:t>附：</w:t>
      </w:r>
    </w:p>
    <w:p w14:paraId="5265694C">
      <w:pPr>
        <w:kinsoku/>
        <w:wordWrap/>
        <w:overflowPunct/>
        <w:topLinePunct w:val="0"/>
        <w:bidi w:val="0"/>
        <w:spacing w:line="360" w:lineRule="auto"/>
        <w:outlineLvl w:val="9"/>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74D6DE55">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74D6DE55">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0583C60D">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0583C60D">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719C1B7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D8CA383">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888C47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90FFE7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C94337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A75FB7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3B1C15A">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CC82C21">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72959BE">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F663FB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112307F">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F242B96">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35048BC">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05723D4">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9D07AA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1C1EDD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927E39C">
      <w:pPr>
        <w:kinsoku/>
        <w:wordWrap/>
        <w:overflowPunct/>
        <w:topLinePunct w:val="0"/>
        <w:bidi w:val="0"/>
        <w:snapToGrid w:val="0"/>
        <w:spacing w:line="360" w:lineRule="auto"/>
        <w:jc w:val="center"/>
        <w:outlineLvl w:val="9"/>
        <w:rPr>
          <w:rFonts w:hint="eastAsia" w:ascii="宋体" w:hAnsi="宋体" w:cs="宋体"/>
          <w:b/>
          <w:color w:val="auto"/>
          <w:kern w:val="0"/>
          <w:sz w:val="32"/>
          <w:szCs w:val="32"/>
          <w:highlight w:val="none"/>
        </w:rPr>
      </w:pPr>
    </w:p>
    <w:p w14:paraId="550D56F3">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3E4FE90A">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4925319D">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6E7C7E1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D08F1E3">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91A85F4">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13B9D5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bookmarkStart w:id="56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EA8D098">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DE927CA">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63"/>
    <w:p w14:paraId="742B93DE">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B18279E">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CB24DB8">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589AD28D">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7ACE8C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E1D927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325326F">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ED7B384">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0FEFF68">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7FC3A16">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F343C9A">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8B76D64">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3C2C75F">
      <w:pPr>
        <w:kinsoku/>
        <w:wordWrap/>
        <w:overflowPunct/>
        <w:topLinePunct w:val="0"/>
        <w:bidi w:val="0"/>
        <w:snapToGrid w:val="0"/>
        <w:spacing w:line="360" w:lineRule="auto"/>
        <w:jc w:val="both"/>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0D2A960">
      <w:pPr>
        <w:kinsoku/>
        <w:wordWrap/>
        <w:overflowPunct/>
        <w:topLinePunct w:val="0"/>
        <w:bidi w:val="0"/>
        <w:outlineLvl w:val="9"/>
        <w:rPr>
          <w:rFonts w:hint="eastAsia" w:ascii="宋体" w:hAnsi="宋体" w:cs="宋体"/>
          <w:color w:val="auto"/>
          <w:sz w:val="24"/>
          <w:highlight w:val="none"/>
        </w:rPr>
      </w:pPr>
      <w:r>
        <w:rPr>
          <w:rFonts w:hint="eastAsia" w:ascii="宋体" w:hAnsi="宋体" w:cs="宋体"/>
          <w:color w:val="auto"/>
          <w:sz w:val="24"/>
          <w:highlight w:val="none"/>
        </w:rPr>
        <w:br w:type="page"/>
      </w:r>
    </w:p>
    <w:p w14:paraId="1B4F761E">
      <w:pPr>
        <w:pageBreakBefore w:val="0"/>
        <w:kinsoku/>
        <w:wordWrap/>
        <w:overflowPunct/>
        <w:topLinePunct w:val="0"/>
        <w:autoSpaceDE/>
        <w:autoSpaceDN/>
        <w:bidi w:val="0"/>
        <w:snapToGrid w:val="0"/>
        <w:spacing w:line="312" w:lineRule="auto"/>
        <w:jc w:val="center"/>
        <w:textAlignment w:val="auto"/>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3B69F988">
      <w:pPr>
        <w:pageBreakBefore w:val="0"/>
        <w:widowControl/>
        <w:kinsoku/>
        <w:wordWrap/>
        <w:overflowPunct/>
        <w:topLinePunct w:val="0"/>
        <w:autoSpaceDE/>
        <w:autoSpaceDN/>
        <w:bidi w:val="0"/>
        <w:spacing w:line="312" w:lineRule="auto"/>
        <w:ind w:firstLine="120" w:firstLineChars="5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p w14:paraId="0499D2D1">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1860E3C">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776BF60">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9A8E590">
      <w:pPr>
        <w:pageBreakBefore w:val="0"/>
        <w:tabs>
          <w:tab w:val="left" w:pos="432"/>
        </w:tabs>
        <w:kinsoku/>
        <w:wordWrap/>
        <w:overflowPunct/>
        <w:topLinePunct w:val="0"/>
        <w:autoSpaceDE/>
        <w:autoSpaceDN/>
        <w:bidi w:val="0"/>
        <w:spacing w:line="312" w:lineRule="auto"/>
        <w:ind w:left="664" w:leftChars="316" w:firstLine="228" w:firstLineChars="95"/>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8038178">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1284B1A">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32F9EDB">
      <w:pPr>
        <w:pageBreakBefore w:val="0"/>
        <w:kinsoku/>
        <w:wordWrap/>
        <w:overflowPunct/>
        <w:topLinePunct w:val="0"/>
        <w:autoSpaceDE/>
        <w:autoSpaceDN/>
        <w:bidi w:val="0"/>
        <w:spacing w:line="312" w:lineRule="auto"/>
        <w:ind w:firstLine="480" w:firstLineChars="200"/>
        <w:textAlignment w:val="auto"/>
        <w:outlineLvl w:val="9"/>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6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64"/>
    </w:p>
    <w:p w14:paraId="716DFE8F">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9FCF1E1">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highlight w:val="none"/>
          <w:u w:val="single"/>
        </w:rPr>
      </w:pPr>
      <w:r>
        <w:rPr>
          <w:rFonts w:hint="eastAsia" w:ascii="宋体" w:hAnsi="宋体" w:cs="宋体"/>
          <w:color w:val="auto"/>
          <w:highlight w:val="none"/>
          <w:u w:val="single"/>
        </w:rPr>
        <w:t xml:space="preserve">                                                                                  </w:t>
      </w:r>
    </w:p>
    <w:p w14:paraId="6D5E1178">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FEAED50">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87D7EF8">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F18C56D">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A256DBA">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474D781">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E4B3A1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A9ACEBB">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B234ADB">
      <w:pPr>
        <w:pageBreakBefore w:val="0"/>
        <w:kinsoku/>
        <w:wordWrap/>
        <w:overflowPunct/>
        <w:topLinePunct w:val="0"/>
        <w:autoSpaceDE/>
        <w:autoSpaceDN/>
        <w:bidi w:val="0"/>
        <w:snapToGrid w:val="0"/>
        <w:spacing w:line="312" w:lineRule="auto"/>
        <w:ind w:left="5758" w:leftChars="342" w:hanging="5040" w:hanging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7A9FCAA9">
      <w:pPr>
        <w:pageBreakBefore w:val="0"/>
        <w:kinsoku/>
        <w:wordWrap/>
        <w:overflowPunct/>
        <w:topLinePunct w:val="0"/>
        <w:autoSpaceDE/>
        <w:autoSpaceDN/>
        <w:bidi w:val="0"/>
        <w:snapToGrid w:val="0"/>
        <w:spacing w:line="312"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39FF133">
      <w:pPr>
        <w:pageBreakBefore w:val="0"/>
        <w:kinsoku/>
        <w:wordWrap/>
        <w:overflowPunct/>
        <w:topLinePunct w:val="0"/>
        <w:autoSpaceDE/>
        <w:autoSpaceDN/>
        <w:bidi w:val="0"/>
        <w:snapToGrid w:val="0"/>
        <w:spacing w:line="312" w:lineRule="auto"/>
        <w:ind w:firstLine="5760" w:firstLineChars="2400"/>
        <w:textAlignment w:val="auto"/>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1EA8DA43">
      <w:pPr>
        <w:pageBreakBefore w:val="0"/>
        <w:kinsoku/>
        <w:wordWrap/>
        <w:overflowPunct/>
        <w:topLinePunct w:val="0"/>
        <w:autoSpaceDE/>
        <w:autoSpaceDN/>
        <w:bidi w:val="0"/>
        <w:spacing w:line="312" w:lineRule="auto"/>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0999A0A">
      <w:pPr>
        <w:widowControl/>
        <w:kinsoku/>
        <w:wordWrap/>
        <w:overflowPunct/>
        <w:topLinePunct w:val="0"/>
        <w:bidi w:val="0"/>
        <w:adjustRightInd/>
        <w:jc w:val="left"/>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E0DB47F">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9AE07E4">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5BE072B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53A8574E">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09B9D46D">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CT球管</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lang w:eastAsia="zh-CN"/>
        </w:rPr>
        <w:br w:type="textWrapping"/>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14:paraId="5BA59E1F">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32B60AE">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B77B281">
      <w:pPr>
        <w:keepNext w:val="0"/>
        <w:keepLines w:val="0"/>
        <w:pageBreakBefore w:val="0"/>
        <w:widowControl w:val="0"/>
        <w:kinsoku/>
        <w:wordWrap/>
        <w:overflowPunct/>
        <w:topLinePunct w:val="0"/>
        <w:autoSpaceDE/>
        <w:autoSpaceDN/>
        <w:bidi w:val="0"/>
        <w:adjustRightInd w:val="0"/>
        <w:snapToGrid w:val="0"/>
        <w:spacing w:line="288" w:lineRule="auto"/>
        <w:ind w:firstLine="5160" w:firstLineChars="215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FAE3D14">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CF25D62">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56FF812C">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注：</w:t>
      </w:r>
    </w:p>
    <w:p w14:paraId="7526A900">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中明确的所属行业”依据招标文件第二部分</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3A7F6532">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提供由省级以上监狱管理局、戒毒管理局（含新疆生产建设兵团）出具的属于监狱企业证明文件的，视同为小型和微型企业。</w:t>
      </w:r>
    </w:p>
    <w:p w14:paraId="0B812524">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cs="宋体"/>
          <w:bCs/>
          <w:color w:val="auto"/>
          <w:sz w:val="24"/>
          <w:highlight w:val="none"/>
        </w:rPr>
      </w:pPr>
      <w:r>
        <w:rPr>
          <w:rFonts w:hint="eastAsia" w:ascii="宋体" w:hAnsi="宋体" w:cs="宋体"/>
          <w:color w:val="auto"/>
          <w:sz w:val="24"/>
          <w:highlight w:val="none"/>
          <w:lang w:val="en-US" w:eastAsia="zh-CN"/>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FF59C">
    <w:pPr>
      <w:pStyle w:val="39"/>
      <w:framePr w:wrap="around" w:vAnchor="text" w:hAnchor="margin" w:xAlign="right" w:y="1"/>
      <w:rPr>
        <w:rStyle w:val="73"/>
      </w:rPr>
    </w:pPr>
    <w:r>
      <w:fldChar w:fldCharType="begin"/>
    </w:r>
    <w:r>
      <w:rPr>
        <w:rStyle w:val="73"/>
      </w:rPr>
      <w:instrText xml:space="preserve">PAGE  </w:instrText>
    </w:r>
    <w:r>
      <w:fldChar w:fldCharType="end"/>
    </w:r>
  </w:p>
  <w:p w14:paraId="1A03B543">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81F88">
    <w:pPr>
      <w:pStyle w:val="39"/>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77B3F">
                          <w:pPr>
                            <w:pStyle w:val="3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FB77B3F">
                    <w:pPr>
                      <w:pStyle w:val="3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86FEE">
    <w:pPr>
      <w:pStyle w:val="39"/>
      <w:framePr w:wrap="around" w:vAnchor="text" w:hAnchor="margin" w:xAlign="right" w:y="1"/>
      <w:rPr>
        <w:rStyle w:val="73"/>
      </w:rPr>
    </w:pPr>
    <w:r>
      <w:fldChar w:fldCharType="begin"/>
    </w:r>
    <w:r>
      <w:rPr>
        <w:rStyle w:val="73"/>
      </w:rPr>
      <w:instrText xml:space="preserve">PAGE  </w:instrText>
    </w:r>
    <w:r>
      <w:fldChar w:fldCharType="end"/>
    </w:r>
  </w:p>
  <w:p w14:paraId="7547334B">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6862A">
    <w:pPr>
      <w:pStyle w:val="39"/>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63668">
                          <w:pPr>
                            <w:pStyle w:val="3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9663668">
                    <w:pPr>
                      <w:pStyle w:val="3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73F0B">
    <w:pPr>
      <w:pStyle w:val="39"/>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DFF29">
                          <w:pPr>
                            <w:pStyle w:val="3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2DFF29">
                    <w:pPr>
                      <w:pStyle w:val="3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A6056">
    <w:pPr>
      <w:pStyle w:val="39"/>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F47D3">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50F47D3">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17F8E">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E5DC2">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AAE5DC2">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A44AF">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58671">
                          <w:pPr>
                            <w:pStyle w:val="3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FF58671">
                    <w:pPr>
                      <w:pStyle w:val="3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629E9">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EB2B60">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0EB2B60">
                    <w:pPr>
                      <w:pStyle w:val="3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63AAC">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A177E">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7DA177E">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CB42C">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AF14C">
                          <w:pPr>
                            <w:pStyle w:val="3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D3AF14C">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55113">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F109D">
                          <w:pPr>
                            <w:pStyle w:val="3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3AF109D">
                    <w:pPr>
                      <w:pStyle w:val="3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EC8B6">
    <w:pPr>
      <w:pStyle w:val="40"/>
      <w:pBdr>
        <w:bottom w:val="single" w:color="auto" w:sz="6" w:space="4"/>
      </w:pBdr>
      <w:jc w:val="right"/>
    </w:pPr>
    <w:r>
      <w:t></w:t>
    </w:r>
    <w:r>
      <w:rPr>
        <w:rFonts w:hint="eastAsia"/>
      </w:rPr>
      <w:t xml:space="preserve">           </w:t>
    </w:r>
  </w:p>
  <w:p w14:paraId="5EA792EF">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59C02">
    <w:pPr>
      <w:pStyle w:val="4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7AF6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C2FA5">
    <w:pPr>
      <w:pStyle w:val="40"/>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DE3E7">
    <w:pPr>
      <w:pStyle w:val="40"/>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89BD2">
    <w:pPr>
      <w:pStyle w:val="40"/>
      <w:rPr>
        <w:rFonts w:ascii="仿宋_GB2312" w:eastAsia="仿宋_GB2312"/>
        <w:b/>
        <w:i/>
        <w:u w:val="single"/>
      </w:rPr>
    </w:pPr>
    <w:r>
      <w:t></w:t>
    </w:r>
    <w:r>
      <w:rPr>
        <w:rFonts w:hint="eastAsia"/>
      </w:rPr>
      <w:t xml:space="preserve">                                                </w:t>
    </w:r>
    <w:r>
      <w:t xml:space="preserve"> </w:t>
    </w:r>
  </w:p>
  <w:p w14:paraId="4F619E1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531F6">
    <w:pPr>
      <w:pStyle w:val="40"/>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B0398">
    <w:pPr>
      <w:pStyle w:val="40"/>
      <w:jc w:val="right"/>
      <w:rPr>
        <w:rFonts w:ascii="仿宋_GB2312" w:eastAsia="仿宋_GB2312"/>
        <w:b/>
        <w:i/>
        <w:u w:val="single"/>
      </w:rPr>
    </w:pPr>
  </w:p>
  <w:p w14:paraId="698479F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C60B4">
    <w:pPr>
      <w:pStyle w:val="4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CCEB4">
    <w:pPr>
      <w:pStyle w:val="40"/>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89ECE"/>
    <w:multiLevelType w:val="singleLevel"/>
    <w:tmpl w:val="9E189ECE"/>
    <w:lvl w:ilvl="0" w:tentative="0">
      <w:start w:val="2"/>
      <w:numFmt w:val="decimal"/>
      <w:suff w:val="nothing"/>
      <w:lvlText w:val="%1、"/>
      <w:lvlJc w:val="left"/>
    </w:lvl>
  </w:abstractNum>
  <w:abstractNum w:abstractNumId="1">
    <w:nsid w:val="017D444C"/>
    <w:multiLevelType w:val="singleLevel"/>
    <w:tmpl w:val="017D444C"/>
    <w:lvl w:ilvl="0" w:tentative="0">
      <w:start w:val="2"/>
      <w:numFmt w:val="chineseCounting"/>
      <w:suff w:val="nothing"/>
      <w:lvlText w:val="%1、"/>
      <w:lvlJc w:val="left"/>
      <w:rPr>
        <w:rFonts w:hint="eastAsia"/>
      </w:rPr>
    </w:lvl>
  </w:abstractNum>
  <w:abstractNum w:abstractNumId="2">
    <w:nsid w:val="5C3647FD"/>
    <w:multiLevelType w:val="singleLevel"/>
    <w:tmpl w:val="5C3647FD"/>
    <w:lvl w:ilvl="0" w:tentative="0">
      <w:start w:val="1"/>
      <w:numFmt w:val="decimal"/>
      <w:suff w:val="nothing"/>
      <w:lvlText w:val="（%1）"/>
      <w:lvlJc w:val="left"/>
    </w:lvl>
  </w:abstractNum>
  <w:abstractNum w:abstractNumId="3">
    <w:nsid w:val="6A90DB4D"/>
    <w:multiLevelType w:val="singleLevel"/>
    <w:tmpl w:val="6A90DB4D"/>
    <w:lvl w:ilvl="0" w:tentative="0">
      <w:start w:val="4"/>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NDI0OTFhZGFlZDc0OTlhZjI2NTdiOTJhMDU4Z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F1"/>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6D"/>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453C2"/>
    <w:rsid w:val="013E5467"/>
    <w:rsid w:val="01565C22"/>
    <w:rsid w:val="018A1427"/>
    <w:rsid w:val="019F7441"/>
    <w:rsid w:val="01B37585"/>
    <w:rsid w:val="01C0753F"/>
    <w:rsid w:val="01C47407"/>
    <w:rsid w:val="01D55165"/>
    <w:rsid w:val="01DF6BF8"/>
    <w:rsid w:val="01EC2C57"/>
    <w:rsid w:val="020A1642"/>
    <w:rsid w:val="0229382C"/>
    <w:rsid w:val="025431CD"/>
    <w:rsid w:val="02590923"/>
    <w:rsid w:val="025F0711"/>
    <w:rsid w:val="026B2E25"/>
    <w:rsid w:val="02824D4D"/>
    <w:rsid w:val="02914086"/>
    <w:rsid w:val="029B75CA"/>
    <w:rsid w:val="02DC4B10"/>
    <w:rsid w:val="02DD76CE"/>
    <w:rsid w:val="02F36323"/>
    <w:rsid w:val="02F5619C"/>
    <w:rsid w:val="02FC45A7"/>
    <w:rsid w:val="0326446A"/>
    <w:rsid w:val="032D5555"/>
    <w:rsid w:val="036634D2"/>
    <w:rsid w:val="03DD35E4"/>
    <w:rsid w:val="04076900"/>
    <w:rsid w:val="041A5A3B"/>
    <w:rsid w:val="042311BA"/>
    <w:rsid w:val="042B157A"/>
    <w:rsid w:val="048605CC"/>
    <w:rsid w:val="048F763B"/>
    <w:rsid w:val="04956A61"/>
    <w:rsid w:val="049F330E"/>
    <w:rsid w:val="04AA775C"/>
    <w:rsid w:val="04AF1889"/>
    <w:rsid w:val="04BC33D8"/>
    <w:rsid w:val="04F66F48"/>
    <w:rsid w:val="05251E14"/>
    <w:rsid w:val="0542404E"/>
    <w:rsid w:val="058B39C0"/>
    <w:rsid w:val="059B00A7"/>
    <w:rsid w:val="05A16594"/>
    <w:rsid w:val="05A7762D"/>
    <w:rsid w:val="060E5941"/>
    <w:rsid w:val="06110FAF"/>
    <w:rsid w:val="06436049"/>
    <w:rsid w:val="06493CA7"/>
    <w:rsid w:val="065A6178"/>
    <w:rsid w:val="065C3F39"/>
    <w:rsid w:val="06605C46"/>
    <w:rsid w:val="066F1CF3"/>
    <w:rsid w:val="067A7832"/>
    <w:rsid w:val="06930BB8"/>
    <w:rsid w:val="06C50397"/>
    <w:rsid w:val="070059CA"/>
    <w:rsid w:val="070E62E0"/>
    <w:rsid w:val="0717375D"/>
    <w:rsid w:val="07245D42"/>
    <w:rsid w:val="07261BF2"/>
    <w:rsid w:val="07264C62"/>
    <w:rsid w:val="07686CD0"/>
    <w:rsid w:val="0779354C"/>
    <w:rsid w:val="08061376"/>
    <w:rsid w:val="080A0D72"/>
    <w:rsid w:val="081927FC"/>
    <w:rsid w:val="08452D77"/>
    <w:rsid w:val="086401F8"/>
    <w:rsid w:val="08751CAA"/>
    <w:rsid w:val="0878647D"/>
    <w:rsid w:val="087B3CF2"/>
    <w:rsid w:val="087E4C40"/>
    <w:rsid w:val="088C1544"/>
    <w:rsid w:val="08A871D0"/>
    <w:rsid w:val="08D66AD6"/>
    <w:rsid w:val="08DA33A3"/>
    <w:rsid w:val="08E80F13"/>
    <w:rsid w:val="09195007"/>
    <w:rsid w:val="09335624"/>
    <w:rsid w:val="0944690F"/>
    <w:rsid w:val="09535675"/>
    <w:rsid w:val="095F057D"/>
    <w:rsid w:val="09642282"/>
    <w:rsid w:val="09673F90"/>
    <w:rsid w:val="09733572"/>
    <w:rsid w:val="09772C16"/>
    <w:rsid w:val="098353B5"/>
    <w:rsid w:val="098F7F12"/>
    <w:rsid w:val="099861CA"/>
    <w:rsid w:val="09A92330"/>
    <w:rsid w:val="09B06B87"/>
    <w:rsid w:val="09B3464E"/>
    <w:rsid w:val="09C13146"/>
    <w:rsid w:val="09D709B0"/>
    <w:rsid w:val="09E04166"/>
    <w:rsid w:val="0A195A3E"/>
    <w:rsid w:val="0A1C0718"/>
    <w:rsid w:val="0A1E12A6"/>
    <w:rsid w:val="0A2A40B5"/>
    <w:rsid w:val="0A3E7710"/>
    <w:rsid w:val="0A5B7E63"/>
    <w:rsid w:val="0A791D33"/>
    <w:rsid w:val="0AA374A5"/>
    <w:rsid w:val="0AA74B5F"/>
    <w:rsid w:val="0AAB7649"/>
    <w:rsid w:val="0ABC5606"/>
    <w:rsid w:val="0ACB0B13"/>
    <w:rsid w:val="0B280C46"/>
    <w:rsid w:val="0B30404E"/>
    <w:rsid w:val="0B4C6C14"/>
    <w:rsid w:val="0B547599"/>
    <w:rsid w:val="0B631A88"/>
    <w:rsid w:val="0B683D45"/>
    <w:rsid w:val="0B7F3F11"/>
    <w:rsid w:val="0B884417"/>
    <w:rsid w:val="0BF6188C"/>
    <w:rsid w:val="0BF73C91"/>
    <w:rsid w:val="0C061354"/>
    <w:rsid w:val="0C170175"/>
    <w:rsid w:val="0C2E1EF2"/>
    <w:rsid w:val="0C571A41"/>
    <w:rsid w:val="0C5C1171"/>
    <w:rsid w:val="0C5E1CBC"/>
    <w:rsid w:val="0C615B50"/>
    <w:rsid w:val="0C8445DA"/>
    <w:rsid w:val="0C87121B"/>
    <w:rsid w:val="0CBC19AB"/>
    <w:rsid w:val="0CC007F7"/>
    <w:rsid w:val="0CC617AC"/>
    <w:rsid w:val="0CE618DF"/>
    <w:rsid w:val="0CFE707A"/>
    <w:rsid w:val="0D063BDA"/>
    <w:rsid w:val="0D08375F"/>
    <w:rsid w:val="0D184CFB"/>
    <w:rsid w:val="0D2546FA"/>
    <w:rsid w:val="0D4A7419"/>
    <w:rsid w:val="0D5F5E5E"/>
    <w:rsid w:val="0D67257C"/>
    <w:rsid w:val="0D787B4E"/>
    <w:rsid w:val="0D827401"/>
    <w:rsid w:val="0D84094E"/>
    <w:rsid w:val="0D8A00E9"/>
    <w:rsid w:val="0D8D589E"/>
    <w:rsid w:val="0D920070"/>
    <w:rsid w:val="0DA01C73"/>
    <w:rsid w:val="0DD63300"/>
    <w:rsid w:val="0DDC55E4"/>
    <w:rsid w:val="0DF50604"/>
    <w:rsid w:val="0DF702FE"/>
    <w:rsid w:val="0E060E51"/>
    <w:rsid w:val="0E1409F6"/>
    <w:rsid w:val="0E5604B2"/>
    <w:rsid w:val="0E6D5D79"/>
    <w:rsid w:val="0E9A03FC"/>
    <w:rsid w:val="0E9D0089"/>
    <w:rsid w:val="0EB4779A"/>
    <w:rsid w:val="0EB803EE"/>
    <w:rsid w:val="0ECC7523"/>
    <w:rsid w:val="0ED55496"/>
    <w:rsid w:val="0EF94D4B"/>
    <w:rsid w:val="0F110A9B"/>
    <w:rsid w:val="0F4958DC"/>
    <w:rsid w:val="0F515DF7"/>
    <w:rsid w:val="0F596BA8"/>
    <w:rsid w:val="0F6248D2"/>
    <w:rsid w:val="0F693536"/>
    <w:rsid w:val="0F7B0511"/>
    <w:rsid w:val="0F7B76D9"/>
    <w:rsid w:val="0F816ACD"/>
    <w:rsid w:val="0F8B4F2A"/>
    <w:rsid w:val="0F9832DB"/>
    <w:rsid w:val="0FBF3FD2"/>
    <w:rsid w:val="0FBF7FF3"/>
    <w:rsid w:val="104447E9"/>
    <w:rsid w:val="10521CAA"/>
    <w:rsid w:val="10646583"/>
    <w:rsid w:val="107D4B15"/>
    <w:rsid w:val="108A3C80"/>
    <w:rsid w:val="10C02B10"/>
    <w:rsid w:val="10C26171"/>
    <w:rsid w:val="10F33360"/>
    <w:rsid w:val="10FC16EA"/>
    <w:rsid w:val="110F1D40"/>
    <w:rsid w:val="111451B1"/>
    <w:rsid w:val="11266F33"/>
    <w:rsid w:val="11362358"/>
    <w:rsid w:val="114F5196"/>
    <w:rsid w:val="118963A1"/>
    <w:rsid w:val="119D5A3B"/>
    <w:rsid w:val="11C6522A"/>
    <w:rsid w:val="11D015CA"/>
    <w:rsid w:val="11D067E4"/>
    <w:rsid w:val="11E104CC"/>
    <w:rsid w:val="11E20309"/>
    <w:rsid w:val="11FA43A7"/>
    <w:rsid w:val="1201785C"/>
    <w:rsid w:val="120A6276"/>
    <w:rsid w:val="12255233"/>
    <w:rsid w:val="12530213"/>
    <w:rsid w:val="125C296C"/>
    <w:rsid w:val="127723A9"/>
    <w:rsid w:val="12862074"/>
    <w:rsid w:val="12883966"/>
    <w:rsid w:val="129E45B4"/>
    <w:rsid w:val="12A90552"/>
    <w:rsid w:val="12D81596"/>
    <w:rsid w:val="12E60488"/>
    <w:rsid w:val="13072A44"/>
    <w:rsid w:val="1346119F"/>
    <w:rsid w:val="135F4BE2"/>
    <w:rsid w:val="13815EDF"/>
    <w:rsid w:val="139B1A0A"/>
    <w:rsid w:val="139D25C7"/>
    <w:rsid w:val="13B660AC"/>
    <w:rsid w:val="13BF3CE4"/>
    <w:rsid w:val="13CA16CE"/>
    <w:rsid w:val="141008D8"/>
    <w:rsid w:val="14125FE6"/>
    <w:rsid w:val="142E20E6"/>
    <w:rsid w:val="146D271E"/>
    <w:rsid w:val="147B31CB"/>
    <w:rsid w:val="14982588"/>
    <w:rsid w:val="149A5AD9"/>
    <w:rsid w:val="14A7619D"/>
    <w:rsid w:val="14ED5D0A"/>
    <w:rsid w:val="150536C3"/>
    <w:rsid w:val="150C1963"/>
    <w:rsid w:val="151447A0"/>
    <w:rsid w:val="152D1B5C"/>
    <w:rsid w:val="1534302D"/>
    <w:rsid w:val="15431BC1"/>
    <w:rsid w:val="154A6454"/>
    <w:rsid w:val="157306F8"/>
    <w:rsid w:val="15762120"/>
    <w:rsid w:val="157E577E"/>
    <w:rsid w:val="159B75F1"/>
    <w:rsid w:val="15D157AE"/>
    <w:rsid w:val="15F80BFE"/>
    <w:rsid w:val="162163A6"/>
    <w:rsid w:val="16294E54"/>
    <w:rsid w:val="16384EDA"/>
    <w:rsid w:val="16775FC6"/>
    <w:rsid w:val="16A8729C"/>
    <w:rsid w:val="16B33777"/>
    <w:rsid w:val="16BC70A7"/>
    <w:rsid w:val="16C6339E"/>
    <w:rsid w:val="16E34270"/>
    <w:rsid w:val="17200358"/>
    <w:rsid w:val="172F2D79"/>
    <w:rsid w:val="17557BEF"/>
    <w:rsid w:val="175B488E"/>
    <w:rsid w:val="17BB323B"/>
    <w:rsid w:val="17D349C1"/>
    <w:rsid w:val="18244F26"/>
    <w:rsid w:val="1830729E"/>
    <w:rsid w:val="186453D5"/>
    <w:rsid w:val="1870062C"/>
    <w:rsid w:val="18817102"/>
    <w:rsid w:val="18830A15"/>
    <w:rsid w:val="18852B28"/>
    <w:rsid w:val="188B5321"/>
    <w:rsid w:val="189967BF"/>
    <w:rsid w:val="18CD45C3"/>
    <w:rsid w:val="18D36267"/>
    <w:rsid w:val="18E84F59"/>
    <w:rsid w:val="18EA3E18"/>
    <w:rsid w:val="191A0E8B"/>
    <w:rsid w:val="192F2C4C"/>
    <w:rsid w:val="19932372"/>
    <w:rsid w:val="19A20DD5"/>
    <w:rsid w:val="19AE03F1"/>
    <w:rsid w:val="19C6669B"/>
    <w:rsid w:val="19E52AA1"/>
    <w:rsid w:val="1A071A03"/>
    <w:rsid w:val="1A1F16AE"/>
    <w:rsid w:val="1A3B5C77"/>
    <w:rsid w:val="1A984BAD"/>
    <w:rsid w:val="1AB8220E"/>
    <w:rsid w:val="1ABC5F3F"/>
    <w:rsid w:val="1AE4166C"/>
    <w:rsid w:val="1AF06CFB"/>
    <w:rsid w:val="1AF11B8D"/>
    <w:rsid w:val="1B11359C"/>
    <w:rsid w:val="1B2A271F"/>
    <w:rsid w:val="1B530544"/>
    <w:rsid w:val="1B713184"/>
    <w:rsid w:val="1BA209CF"/>
    <w:rsid w:val="1BB4777D"/>
    <w:rsid w:val="1BBE4697"/>
    <w:rsid w:val="1BD75AB8"/>
    <w:rsid w:val="1BE30016"/>
    <w:rsid w:val="1C0459C2"/>
    <w:rsid w:val="1C1B3B4A"/>
    <w:rsid w:val="1C88086E"/>
    <w:rsid w:val="1C9A47BD"/>
    <w:rsid w:val="1CC1038E"/>
    <w:rsid w:val="1D012130"/>
    <w:rsid w:val="1D1E62D0"/>
    <w:rsid w:val="1D266CE1"/>
    <w:rsid w:val="1D2C5AC6"/>
    <w:rsid w:val="1D3963AF"/>
    <w:rsid w:val="1D6A673C"/>
    <w:rsid w:val="1D9247AE"/>
    <w:rsid w:val="1DAC5E21"/>
    <w:rsid w:val="1DB567EC"/>
    <w:rsid w:val="1DD27F86"/>
    <w:rsid w:val="1DF339D8"/>
    <w:rsid w:val="1DF51A98"/>
    <w:rsid w:val="1E051CD9"/>
    <w:rsid w:val="1E3D060F"/>
    <w:rsid w:val="1E3F7D2E"/>
    <w:rsid w:val="1E401394"/>
    <w:rsid w:val="1E4134E4"/>
    <w:rsid w:val="1E5062B3"/>
    <w:rsid w:val="1E523514"/>
    <w:rsid w:val="1E714A66"/>
    <w:rsid w:val="1E802593"/>
    <w:rsid w:val="1E8B6156"/>
    <w:rsid w:val="1EA703CC"/>
    <w:rsid w:val="1EB631C5"/>
    <w:rsid w:val="1EB7330C"/>
    <w:rsid w:val="1F0A0FF3"/>
    <w:rsid w:val="1F47684D"/>
    <w:rsid w:val="1F5771FF"/>
    <w:rsid w:val="1FD52574"/>
    <w:rsid w:val="1FE868A9"/>
    <w:rsid w:val="20034907"/>
    <w:rsid w:val="20173E4B"/>
    <w:rsid w:val="204213F3"/>
    <w:rsid w:val="204E48BC"/>
    <w:rsid w:val="208921B3"/>
    <w:rsid w:val="20973DEB"/>
    <w:rsid w:val="20B26522"/>
    <w:rsid w:val="20B44310"/>
    <w:rsid w:val="21035A46"/>
    <w:rsid w:val="211116EB"/>
    <w:rsid w:val="21354AB4"/>
    <w:rsid w:val="216133FC"/>
    <w:rsid w:val="21786F46"/>
    <w:rsid w:val="219501D3"/>
    <w:rsid w:val="219D6918"/>
    <w:rsid w:val="21D56769"/>
    <w:rsid w:val="21E52EF3"/>
    <w:rsid w:val="21F42677"/>
    <w:rsid w:val="21FB5D7B"/>
    <w:rsid w:val="22015E94"/>
    <w:rsid w:val="220B1C3D"/>
    <w:rsid w:val="221D1D20"/>
    <w:rsid w:val="222D7E81"/>
    <w:rsid w:val="22334A87"/>
    <w:rsid w:val="223F4A8D"/>
    <w:rsid w:val="22B365D8"/>
    <w:rsid w:val="22BE6801"/>
    <w:rsid w:val="22C75BE0"/>
    <w:rsid w:val="233500BF"/>
    <w:rsid w:val="23377FF7"/>
    <w:rsid w:val="235002CB"/>
    <w:rsid w:val="236B425F"/>
    <w:rsid w:val="23836192"/>
    <w:rsid w:val="23901F29"/>
    <w:rsid w:val="239C0061"/>
    <w:rsid w:val="23B908A4"/>
    <w:rsid w:val="23E95BEF"/>
    <w:rsid w:val="23FD0064"/>
    <w:rsid w:val="244514B2"/>
    <w:rsid w:val="245375B0"/>
    <w:rsid w:val="245B6DB7"/>
    <w:rsid w:val="24642C0A"/>
    <w:rsid w:val="2466767A"/>
    <w:rsid w:val="24B22173"/>
    <w:rsid w:val="24B95AD9"/>
    <w:rsid w:val="24B97DE8"/>
    <w:rsid w:val="24BE24DA"/>
    <w:rsid w:val="24CF5825"/>
    <w:rsid w:val="24D171E9"/>
    <w:rsid w:val="24D663E6"/>
    <w:rsid w:val="24D757B6"/>
    <w:rsid w:val="24D77F2B"/>
    <w:rsid w:val="24DA6E2F"/>
    <w:rsid w:val="24EC4023"/>
    <w:rsid w:val="251D2E07"/>
    <w:rsid w:val="258B00E2"/>
    <w:rsid w:val="25A4045A"/>
    <w:rsid w:val="25A917A6"/>
    <w:rsid w:val="25BE27CC"/>
    <w:rsid w:val="25CD79B1"/>
    <w:rsid w:val="25F74A5C"/>
    <w:rsid w:val="2600779A"/>
    <w:rsid w:val="26233510"/>
    <w:rsid w:val="2628662C"/>
    <w:rsid w:val="262D45DE"/>
    <w:rsid w:val="267D594A"/>
    <w:rsid w:val="26871DC8"/>
    <w:rsid w:val="26A53EF9"/>
    <w:rsid w:val="26A94201"/>
    <w:rsid w:val="26AC274F"/>
    <w:rsid w:val="26B80C9A"/>
    <w:rsid w:val="26D22DA5"/>
    <w:rsid w:val="26DB434F"/>
    <w:rsid w:val="26FB0042"/>
    <w:rsid w:val="27044A29"/>
    <w:rsid w:val="271B34F6"/>
    <w:rsid w:val="271D34C8"/>
    <w:rsid w:val="276142BF"/>
    <w:rsid w:val="27783712"/>
    <w:rsid w:val="278E13C2"/>
    <w:rsid w:val="27907362"/>
    <w:rsid w:val="279F537D"/>
    <w:rsid w:val="27B0758A"/>
    <w:rsid w:val="28333E1D"/>
    <w:rsid w:val="283B3793"/>
    <w:rsid w:val="28454BD6"/>
    <w:rsid w:val="28455253"/>
    <w:rsid w:val="28551971"/>
    <w:rsid w:val="285B1C53"/>
    <w:rsid w:val="289F7086"/>
    <w:rsid w:val="28C32028"/>
    <w:rsid w:val="28C55834"/>
    <w:rsid w:val="28CC490F"/>
    <w:rsid w:val="28DE40AA"/>
    <w:rsid w:val="2927387C"/>
    <w:rsid w:val="29345E77"/>
    <w:rsid w:val="294C65AD"/>
    <w:rsid w:val="295B52D4"/>
    <w:rsid w:val="2965010A"/>
    <w:rsid w:val="296E14AB"/>
    <w:rsid w:val="29713AED"/>
    <w:rsid w:val="297B3BC8"/>
    <w:rsid w:val="29806583"/>
    <w:rsid w:val="298B3C4C"/>
    <w:rsid w:val="298F27C5"/>
    <w:rsid w:val="29930F11"/>
    <w:rsid w:val="299A1A87"/>
    <w:rsid w:val="29AC483C"/>
    <w:rsid w:val="29E452C9"/>
    <w:rsid w:val="29F26D24"/>
    <w:rsid w:val="2A15033F"/>
    <w:rsid w:val="2A1662C1"/>
    <w:rsid w:val="2A1C7367"/>
    <w:rsid w:val="2A2815FA"/>
    <w:rsid w:val="2A6D6092"/>
    <w:rsid w:val="2A7D76B4"/>
    <w:rsid w:val="2B07396C"/>
    <w:rsid w:val="2B09293F"/>
    <w:rsid w:val="2B326787"/>
    <w:rsid w:val="2B437463"/>
    <w:rsid w:val="2B7807EE"/>
    <w:rsid w:val="2B7B1C0B"/>
    <w:rsid w:val="2BA50BF7"/>
    <w:rsid w:val="2BAB6961"/>
    <w:rsid w:val="2BAB7BED"/>
    <w:rsid w:val="2BBF00EC"/>
    <w:rsid w:val="2BC37CFD"/>
    <w:rsid w:val="2BD5237F"/>
    <w:rsid w:val="2BD70597"/>
    <w:rsid w:val="2BE536CE"/>
    <w:rsid w:val="2BE758D9"/>
    <w:rsid w:val="2BE90CC2"/>
    <w:rsid w:val="2BF346BB"/>
    <w:rsid w:val="2BFA11C0"/>
    <w:rsid w:val="2C043A01"/>
    <w:rsid w:val="2C09049E"/>
    <w:rsid w:val="2C0A653C"/>
    <w:rsid w:val="2C191F85"/>
    <w:rsid w:val="2C751549"/>
    <w:rsid w:val="2C92725E"/>
    <w:rsid w:val="2CBE4367"/>
    <w:rsid w:val="2CE35D0C"/>
    <w:rsid w:val="2CE82D6F"/>
    <w:rsid w:val="2D0B5263"/>
    <w:rsid w:val="2D137721"/>
    <w:rsid w:val="2D18662B"/>
    <w:rsid w:val="2D244788"/>
    <w:rsid w:val="2D343236"/>
    <w:rsid w:val="2D575011"/>
    <w:rsid w:val="2D657E96"/>
    <w:rsid w:val="2D872B3B"/>
    <w:rsid w:val="2D8A43D9"/>
    <w:rsid w:val="2DAC5EA2"/>
    <w:rsid w:val="2DBF0527"/>
    <w:rsid w:val="2DD15014"/>
    <w:rsid w:val="2DDD45F4"/>
    <w:rsid w:val="2DEC04BA"/>
    <w:rsid w:val="2DF72DE4"/>
    <w:rsid w:val="2E0220AF"/>
    <w:rsid w:val="2E262354"/>
    <w:rsid w:val="2E4B082A"/>
    <w:rsid w:val="2E5D4E86"/>
    <w:rsid w:val="2E5D790B"/>
    <w:rsid w:val="2E8E6ACF"/>
    <w:rsid w:val="2E9A3C18"/>
    <w:rsid w:val="2EBB0FEE"/>
    <w:rsid w:val="2EC63002"/>
    <w:rsid w:val="2EE55AE5"/>
    <w:rsid w:val="2F0A6B38"/>
    <w:rsid w:val="2F594063"/>
    <w:rsid w:val="2F7760A6"/>
    <w:rsid w:val="2F827A5E"/>
    <w:rsid w:val="2F946CCB"/>
    <w:rsid w:val="2F9C2DF8"/>
    <w:rsid w:val="2FC63E6A"/>
    <w:rsid w:val="2FD25781"/>
    <w:rsid w:val="2FDC745C"/>
    <w:rsid w:val="2FFD7934"/>
    <w:rsid w:val="30733ACD"/>
    <w:rsid w:val="3080081B"/>
    <w:rsid w:val="308C3862"/>
    <w:rsid w:val="309379D8"/>
    <w:rsid w:val="30A270F7"/>
    <w:rsid w:val="30B654E5"/>
    <w:rsid w:val="30DF1478"/>
    <w:rsid w:val="30EC586F"/>
    <w:rsid w:val="319C6071"/>
    <w:rsid w:val="31AC537E"/>
    <w:rsid w:val="31AE2A82"/>
    <w:rsid w:val="31E3679B"/>
    <w:rsid w:val="31E732FD"/>
    <w:rsid w:val="32517576"/>
    <w:rsid w:val="32BE5C2C"/>
    <w:rsid w:val="32D03654"/>
    <w:rsid w:val="32E71A40"/>
    <w:rsid w:val="32FB6478"/>
    <w:rsid w:val="33160FD7"/>
    <w:rsid w:val="33263B3F"/>
    <w:rsid w:val="336963EB"/>
    <w:rsid w:val="337C3B78"/>
    <w:rsid w:val="33816EEB"/>
    <w:rsid w:val="33A930DF"/>
    <w:rsid w:val="33EB55CD"/>
    <w:rsid w:val="33EC4C02"/>
    <w:rsid w:val="340D2360"/>
    <w:rsid w:val="3410665D"/>
    <w:rsid w:val="34211214"/>
    <w:rsid w:val="34297BBD"/>
    <w:rsid w:val="342E63AB"/>
    <w:rsid w:val="34321327"/>
    <w:rsid w:val="34723791"/>
    <w:rsid w:val="34945B3E"/>
    <w:rsid w:val="34950E68"/>
    <w:rsid w:val="34986E94"/>
    <w:rsid w:val="34AF62C9"/>
    <w:rsid w:val="34C71A6F"/>
    <w:rsid w:val="34CB4388"/>
    <w:rsid w:val="34F67558"/>
    <w:rsid w:val="34FA6E12"/>
    <w:rsid w:val="35045912"/>
    <w:rsid w:val="354D7158"/>
    <w:rsid w:val="357B2720"/>
    <w:rsid w:val="35803E13"/>
    <w:rsid w:val="358D5588"/>
    <w:rsid w:val="359009FB"/>
    <w:rsid w:val="35D02F4E"/>
    <w:rsid w:val="363A3B40"/>
    <w:rsid w:val="363B0967"/>
    <w:rsid w:val="36413AA3"/>
    <w:rsid w:val="3643455C"/>
    <w:rsid w:val="365302AE"/>
    <w:rsid w:val="36592B9B"/>
    <w:rsid w:val="36607A0A"/>
    <w:rsid w:val="366E227C"/>
    <w:rsid w:val="366F2E0D"/>
    <w:rsid w:val="367B6A5C"/>
    <w:rsid w:val="36A74ADA"/>
    <w:rsid w:val="36AD60D5"/>
    <w:rsid w:val="36B224F9"/>
    <w:rsid w:val="36EC0CC9"/>
    <w:rsid w:val="36FB5E78"/>
    <w:rsid w:val="372A4537"/>
    <w:rsid w:val="373F410B"/>
    <w:rsid w:val="37655546"/>
    <w:rsid w:val="378665E9"/>
    <w:rsid w:val="37AD7642"/>
    <w:rsid w:val="37EE7094"/>
    <w:rsid w:val="38296C89"/>
    <w:rsid w:val="382F62A9"/>
    <w:rsid w:val="383002EB"/>
    <w:rsid w:val="384855BD"/>
    <w:rsid w:val="38586797"/>
    <w:rsid w:val="385D15DF"/>
    <w:rsid w:val="386D241A"/>
    <w:rsid w:val="38BC0149"/>
    <w:rsid w:val="38D87D1C"/>
    <w:rsid w:val="394A3E0E"/>
    <w:rsid w:val="39636459"/>
    <w:rsid w:val="396B7F6C"/>
    <w:rsid w:val="39AD58C4"/>
    <w:rsid w:val="39B137C2"/>
    <w:rsid w:val="39B34CB8"/>
    <w:rsid w:val="39B417A9"/>
    <w:rsid w:val="39C600D4"/>
    <w:rsid w:val="39FC5695"/>
    <w:rsid w:val="3A006D8E"/>
    <w:rsid w:val="3A25040D"/>
    <w:rsid w:val="3A3651E5"/>
    <w:rsid w:val="3A5C70FE"/>
    <w:rsid w:val="3A744481"/>
    <w:rsid w:val="3A854C95"/>
    <w:rsid w:val="3A8C7BEF"/>
    <w:rsid w:val="3A906246"/>
    <w:rsid w:val="3B131EB2"/>
    <w:rsid w:val="3B1D4650"/>
    <w:rsid w:val="3B2349B7"/>
    <w:rsid w:val="3B616CFF"/>
    <w:rsid w:val="3B6259F6"/>
    <w:rsid w:val="3B976654"/>
    <w:rsid w:val="3BAC751F"/>
    <w:rsid w:val="3BC01EFC"/>
    <w:rsid w:val="3BC84AB3"/>
    <w:rsid w:val="3BCA786A"/>
    <w:rsid w:val="3BD31E2F"/>
    <w:rsid w:val="3BF15831"/>
    <w:rsid w:val="3C105946"/>
    <w:rsid w:val="3C471448"/>
    <w:rsid w:val="3C536A3E"/>
    <w:rsid w:val="3C5F759A"/>
    <w:rsid w:val="3C6C525A"/>
    <w:rsid w:val="3C762E6D"/>
    <w:rsid w:val="3C881F8E"/>
    <w:rsid w:val="3CA01523"/>
    <w:rsid w:val="3CC639DF"/>
    <w:rsid w:val="3CCE23CB"/>
    <w:rsid w:val="3CD17D17"/>
    <w:rsid w:val="3CE6175C"/>
    <w:rsid w:val="3D2D6B2F"/>
    <w:rsid w:val="3D3C7F39"/>
    <w:rsid w:val="3D440F09"/>
    <w:rsid w:val="3D4504A0"/>
    <w:rsid w:val="3D600CB3"/>
    <w:rsid w:val="3D6066C5"/>
    <w:rsid w:val="3D6830C4"/>
    <w:rsid w:val="3D751FBE"/>
    <w:rsid w:val="3D8734BB"/>
    <w:rsid w:val="3D977A9D"/>
    <w:rsid w:val="3D9A11D4"/>
    <w:rsid w:val="3D9C3AD8"/>
    <w:rsid w:val="3DA16D89"/>
    <w:rsid w:val="3DA364BE"/>
    <w:rsid w:val="3DE041CB"/>
    <w:rsid w:val="3E0D48F6"/>
    <w:rsid w:val="3E1868B4"/>
    <w:rsid w:val="3E2F6B34"/>
    <w:rsid w:val="3E377251"/>
    <w:rsid w:val="3E3F72C8"/>
    <w:rsid w:val="3E42664B"/>
    <w:rsid w:val="3E5A7334"/>
    <w:rsid w:val="3E7B5D6B"/>
    <w:rsid w:val="3E817133"/>
    <w:rsid w:val="3E843E66"/>
    <w:rsid w:val="3E8F51FE"/>
    <w:rsid w:val="3E926F87"/>
    <w:rsid w:val="3E9A59DE"/>
    <w:rsid w:val="3EAF4836"/>
    <w:rsid w:val="3EC33DFA"/>
    <w:rsid w:val="3EF9316D"/>
    <w:rsid w:val="3EFB0D9E"/>
    <w:rsid w:val="3F060E16"/>
    <w:rsid w:val="3F067638"/>
    <w:rsid w:val="3F087854"/>
    <w:rsid w:val="3F1D1096"/>
    <w:rsid w:val="3F203316"/>
    <w:rsid w:val="3F2F0234"/>
    <w:rsid w:val="3F6363FE"/>
    <w:rsid w:val="3F756B8F"/>
    <w:rsid w:val="3F850EA5"/>
    <w:rsid w:val="3F95482B"/>
    <w:rsid w:val="3F9D1D4A"/>
    <w:rsid w:val="3FB86B84"/>
    <w:rsid w:val="3FFF45F6"/>
    <w:rsid w:val="40183027"/>
    <w:rsid w:val="4019356B"/>
    <w:rsid w:val="40491ED2"/>
    <w:rsid w:val="40526FD9"/>
    <w:rsid w:val="40592157"/>
    <w:rsid w:val="406E1CAE"/>
    <w:rsid w:val="407F3FF1"/>
    <w:rsid w:val="40A0133A"/>
    <w:rsid w:val="40C31A53"/>
    <w:rsid w:val="40C96B6F"/>
    <w:rsid w:val="40FF545D"/>
    <w:rsid w:val="410067C8"/>
    <w:rsid w:val="410323DD"/>
    <w:rsid w:val="410B3266"/>
    <w:rsid w:val="41285739"/>
    <w:rsid w:val="41863C89"/>
    <w:rsid w:val="418F0D2A"/>
    <w:rsid w:val="41D01505"/>
    <w:rsid w:val="41FF75F5"/>
    <w:rsid w:val="422C1AAB"/>
    <w:rsid w:val="42474939"/>
    <w:rsid w:val="424C3C57"/>
    <w:rsid w:val="42613FF3"/>
    <w:rsid w:val="42660D96"/>
    <w:rsid w:val="428667D2"/>
    <w:rsid w:val="42CD1CE0"/>
    <w:rsid w:val="42D208FA"/>
    <w:rsid w:val="42E1381E"/>
    <w:rsid w:val="42ED6459"/>
    <w:rsid w:val="42FE58DD"/>
    <w:rsid w:val="43174B3D"/>
    <w:rsid w:val="433F0CA0"/>
    <w:rsid w:val="434B790E"/>
    <w:rsid w:val="43567416"/>
    <w:rsid w:val="43601A0D"/>
    <w:rsid w:val="4360274F"/>
    <w:rsid w:val="43977AB6"/>
    <w:rsid w:val="43994596"/>
    <w:rsid w:val="43A3342B"/>
    <w:rsid w:val="43C77C27"/>
    <w:rsid w:val="43DE09EE"/>
    <w:rsid w:val="44002FAD"/>
    <w:rsid w:val="449007B6"/>
    <w:rsid w:val="449101DD"/>
    <w:rsid w:val="4497145E"/>
    <w:rsid w:val="44C95366"/>
    <w:rsid w:val="44DE1391"/>
    <w:rsid w:val="44E548AE"/>
    <w:rsid w:val="451B225C"/>
    <w:rsid w:val="452151CC"/>
    <w:rsid w:val="452410C9"/>
    <w:rsid w:val="45317DFB"/>
    <w:rsid w:val="456D3CE4"/>
    <w:rsid w:val="4579042C"/>
    <w:rsid w:val="457F0571"/>
    <w:rsid w:val="45851176"/>
    <w:rsid w:val="45A86918"/>
    <w:rsid w:val="45C63B94"/>
    <w:rsid w:val="45E858D0"/>
    <w:rsid w:val="4609638B"/>
    <w:rsid w:val="460E7DA5"/>
    <w:rsid w:val="46422483"/>
    <w:rsid w:val="4647199E"/>
    <w:rsid w:val="4659254A"/>
    <w:rsid w:val="465B0637"/>
    <w:rsid w:val="465E3F0D"/>
    <w:rsid w:val="466A16E6"/>
    <w:rsid w:val="46893F2B"/>
    <w:rsid w:val="469D0882"/>
    <w:rsid w:val="46C4686E"/>
    <w:rsid w:val="46E2098A"/>
    <w:rsid w:val="46E6681C"/>
    <w:rsid w:val="46EE10DD"/>
    <w:rsid w:val="47397975"/>
    <w:rsid w:val="477B778F"/>
    <w:rsid w:val="478203EC"/>
    <w:rsid w:val="478A1A03"/>
    <w:rsid w:val="47B025FA"/>
    <w:rsid w:val="480159E9"/>
    <w:rsid w:val="4809698F"/>
    <w:rsid w:val="480C3F11"/>
    <w:rsid w:val="4811697D"/>
    <w:rsid w:val="4812283E"/>
    <w:rsid w:val="48535EE5"/>
    <w:rsid w:val="486677BF"/>
    <w:rsid w:val="487A3E25"/>
    <w:rsid w:val="488B5503"/>
    <w:rsid w:val="48937E21"/>
    <w:rsid w:val="489A0361"/>
    <w:rsid w:val="48B94FF3"/>
    <w:rsid w:val="48E37AAB"/>
    <w:rsid w:val="48FD4B4C"/>
    <w:rsid w:val="490A68E0"/>
    <w:rsid w:val="491055FE"/>
    <w:rsid w:val="49267254"/>
    <w:rsid w:val="495F5B3E"/>
    <w:rsid w:val="496F77D7"/>
    <w:rsid w:val="497654FD"/>
    <w:rsid w:val="49B64211"/>
    <w:rsid w:val="49F6167F"/>
    <w:rsid w:val="4A064FA0"/>
    <w:rsid w:val="4A0A432F"/>
    <w:rsid w:val="4A16615C"/>
    <w:rsid w:val="4A4424D7"/>
    <w:rsid w:val="4A5B5E8E"/>
    <w:rsid w:val="4AB82D0F"/>
    <w:rsid w:val="4AEB7664"/>
    <w:rsid w:val="4AFD7C19"/>
    <w:rsid w:val="4B0567D1"/>
    <w:rsid w:val="4B236AAE"/>
    <w:rsid w:val="4B412124"/>
    <w:rsid w:val="4B707271"/>
    <w:rsid w:val="4B9739F7"/>
    <w:rsid w:val="4BAD1567"/>
    <w:rsid w:val="4BBF5506"/>
    <w:rsid w:val="4BC31A99"/>
    <w:rsid w:val="4BC44A01"/>
    <w:rsid w:val="4BE86A43"/>
    <w:rsid w:val="4BEE2503"/>
    <w:rsid w:val="4BF06BB2"/>
    <w:rsid w:val="4BF90C50"/>
    <w:rsid w:val="4C245A30"/>
    <w:rsid w:val="4C352698"/>
    <w:rsid w:val="4C847C9F"/>
    <w:rsid w:val="4C974B11"/>
    <w:rsid w:val="4C983FC5"/>
    <w:rsid w:val="4CB6685F"/>
    <w:rsid w:val="4CC367FE"/>
    <w:rsid w:val="4CC76658"/>
    <w:rsid w:val="4CDF41F0"/>
    <w:rsid w:val="4D077F3C"/>
    <w:rsid w:val="4D0C4366"/>
    <w:rsid w:val="4D123355"/>
    <w:rsid w:val="4D203FBB"/>
    <w:rsid w:val="4D21213D"/>
    <w:rsid w:val="4D2A3B31"/>
    <w:rsid w:val="4D312C52"/>
    <w:rsid w:val="4D7C3C4A"/>
    <w:rsid w:val="4D822DD2"/>
    <w:rsid w:val="4D905305"/>
    <w:rsid w:val="4D964A72"/>
    <w:rsid w:val="4D9C1254"/>
    <w:rsid w:val="4DC46E97"/>
    <w:rsid w:val="4DC80709"/>
    <w:rsid w:val="4DCA5775"/>
    <w:rsid w:val="4DCB4CA4"/>
    <w:rsid w:val="4DD21759"/>
    <w:rsid w:val="4E121FED"/>
    <w:rsid w:val="4E21448E"/>
    <w:rsid w:val="4E5926A7"/>
    <w:rsid w:val="4E793892"/>
    <w:rsid w:val="4E800872"/>
    <w:rsid w:val="4E930FA3"/>
    <w:rsid w:val="4E936C9C"/>
    <w:rsid w:val="4EC569ED"/>
    <w:rsid w:val="4ED50EA1"/>
    <w:rsid w:val="4EEC050C"/>
    <w:rsid w:val="4F104EC3"/>
    <w:rsid w:val="4F22401A"/>
    <w:rsid w:val="4F47354A"/>
    <w:rsid w:val="4F911C54"/>
    <w:rsid w:val="4FC5018F"/>
    <w:rsid w:val="4FD0722D"/>
    <w:rsid w:val="4FE625E0"/>
    <w:rsid w:val="5021480F"/>
    <w:rsid w:val="5023139E"/>
    <w:rsid w:val="50253C24"/>
    <w:rsid w:val="50962ECB"/>
    <w:rsid w:val="50A42E38"/>
    <w:rsid w:val="50A4577F"/>
    <w:rsid w:val="50B73D1F"/>
    <w:rsid w:val="50BD5BC9"/>
    <w:rsid w:val="50C11EEE"/>
    <w:rsid w:val="50E97CFC"/>
    <w:rsid w:val="50FA4028"/>
    <w:rsid w:val="510D65B7"/>
    <w:rsid w:val="511157AB"/>
    <w:rsid w:val="511B6F73"/>
    <w:rsid w:val="5142540C"/>
    <w:rsid w:val="51510BE7"/>
    <w:rsid w:val="518832C8"/>
    <w:rsid w:val="519D3C50"/>
    <w:rsid w:val="51A0432A"/>
    <w:rsid w:val="51A86090"/>
    <w:rsid w:val="51B568D7"/>
    <w:rsid w:val="51B7396D"/>
    <w:rsid w:val="51BB20EF"/>
    <w:rsid w:val="51C045ED"/>
    <w:rsid w:val="51E32D2F"/>
    <w:rsid w:val="51FE1F11"/>
    <w:rsid w:val="520C4862"/>
    <w:rsid w:val="52263AC6"/>
    <w:rsid w:val="52295D9F"/>
    <w:rsid w:val="522E4CC3"/>
    <w:rsid w:val="5244713B"/>
    <w:rsid w:val="52615633"/>
    <w:rsid w:val="526E5242"/>
    <w:rsid w:val="526F4DE4"/>
    <w:rsid w:val="52721B97"/>
    <w:rsid w:val="52977FD4"/>
    <w:rsid w:val="52A25790"/>
    <w:rsid w:val="52A96B6F"/>
    <w:rsid w:val="52B45975"/>
    <w:rsid w:val="52D94AA4"/>
    <w:rsid w:val="52E023E7"/>
    <w:rsid w:val="52EA3A62"/>
    <w:rsid w:val="52ED34E5"/>
    <w:rsid w:val="52F50BB8"/>
    <w:rsid w:val="5305542D"/>
    <w:rsid w:val="53097272"/>
    <w:rsid w:val="532D11DF"/>
    <w:rsid w:val="53544462"/>
    <w:rsid w:val="5397158E"/>
    <w:rsid w:val="53A875C4"/>
    <w:rsid w:val="53AA0A2F"/>
    <w:rsid w:val="53D200D5"/>
    <w:rsid w:val="53EA44B8"/>
    <w:rsid w:val="54013861"/>
    <w:rsid w:val="54487265"/>
    <w:rsid w:val="544D6070"/>
    <w:rsid w:val="54605E1E"/>
    <w:rsid w:val="54745F93"/>
    <w:rsid w:val="549A4A45"/>
    <w:rsid w:val="54B3506A"/>
    <w:rsid w:val="54C97AC2"/>
    <w:rsid w:val="54CA0D16"/>
    <w:rsid w:val="54DD4057"/>
    <w:rsid w:val="54E7490F"/>
    <w:rsid w:val="550764A4"/>
    <w:rsid w:val="550B2BF6"/>
    <w:rsid w:val="551B39E5"/>
    <w:rsid w:val="55214EB5"/>
    <w:rsid w:val="55364EFD"/>
    <w:rsid w:val="555D4828"/>
    <w:rsid w:val="556C45C4"/>
    <w:rsid w:val="55757C5B"/>
    <w:rsid w:val="557A4C8B"/>
    <w:rsid w:val="558931E1"/>
    <w:rsid w:val="55923347"/>
    <w:rsid w:val="55925180"/>
    <w:rsid w:val="55983B1B"/>
    <w:rsid w:val="55A8376B"/>
    <w:rsid w:val="55B611EB"/>
    <w:rsid w:val="55DC29B6"/>
    <w:rsid w:val="55DD4241"/>
    <w:rsid w:val="55F169BF"/>
    <w:rsid w:val="562C4789"/>
    <w:rsid w:val="566B6D1E"/>
    <w:rsid w:val="568D1D06"/>
    <w:rsid w:val="57032A2C"/>
    <w:rsid w:val="570F5219"/>
    <w:rsid w:val="57574A7D"/>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E7831"/>
    <w:rsid w:val="58490869"/>
    <w:rsid w:val="585E4F1E"/>
    <w:rsid w:val="58917D2F"/>
    <w:rsid w:val="5894085C"/>
    <w:rsid w:val="58AE4F0C"/>
    <w:rsid w:val="58B85899"/>
    <w:rsid w:val="58CC55CF"/>
    <w:rsid w:val="58E363A9"/>
    <w:rsid w:val="590B1FC3"/>
    <w:rsid w:val="59166304"/>
    <w:rsid w:val="595E1678"/>
    <w:rsid w:val="596A1D3C"/>
    <w:rsid w:val="596D5BD4"/>
    <w:rsid w:val="597E3DD8"/>
    <w:rsid w:val="59AC5554"/>
    <w:rsid w:val="59B352CD"/>
    <w:rsid w:val="59EF245F"/>
    <w:rsid w:val="59F80043"/>
    <w:rsid w:val="5A09252F"/>
    <w:rsid w:val="5A0B2778"/>
    <w:rsid w:val="5A2A7C7B"/>
    <w:rsid w:val="5A3E2560"/>
    <w:rsid w:val="5A5D3B6E"/>
    <w:rsid w:val="5A637A76"/>
    <w:rsid w:val="5A6D33BA"/>
    <w:rsid w:val="5A792B1F"/>
    <w:rsid w:val="5A83754C"/>
    <w:rsid w:val="5A874767"/>
    <w:rsid w:val="5AA85BE2"/>
    <w:rsid w:val="5AAD6F28"/>
    <w:rsid w:val="5AD63A24"/>
    <w:rsid w:val="5B223F25"/>
    <w:rsid w:val="5B2E1A1D"/>
    <w:rsid w:val="5B843A1C"/>
    <w:rsid w:val="5B873E3F"/>
    <w:rsid w:val="5B9D14DA"/>
    <w:rsid w:val="5BF9099D"/>
    <w:rsid w:val="5BFB00CD"/>
    <w:rsid w:val="5C02690E"/>
    <w:rsid w:val="5C196DA7"/>
    <w:rsid w:val="5C2A013C"/>
    <w:rsid w:val="5C2A048C"/>
    <w:rsid w:val="5C2C3CDA"/>
    <w:rsid w:val="5C460490"/>
    <w:rsid w:val="5C80234E"/>
    <w:rsid w:val="5C8A680C"/>
    <w:rsid w:val="5CAB62A2"/>
    <w:rsid w:val="5CDD6B6F"/>
    <w:rsid w:val="5CFA1A85"/>
    <w:rsid w:val="5D0C4701"/>
    <w:rsid w:val="5D0F0395"/>
    <w:rsid w:val="5D221076"/>
    <w:rsid w:val="5D397964"/>
    <w:rsid w:val="5D47128C"/>
    <w:rsid w:val="5D5A391C"/>
    <w:rsid w:val="5D5F10C0"/>
    <w:rsid w:val="5D79574D"/>
    <w:rsid w:val="5D891B7B"/>
    <w:rsid w:val="5D902A97"/>
    <w:rsid w:val="5DAD38EE"/>
    <w:rsid w:val="5DE43148"/>
    <w:rsid w:val="5E006862"/>
    <w:rsid w:val="5E0207B9"/>
    <w:rsid w:val="5E1834A1"/>
    <w:rsid w:val="5E261785"/>
    <w:rsid w:val="5E285F9C"/>
    <w:rsid w:val="5E4A7017"/>
    <w:rsid w:val="5E552BBA"/>
    <w:rsid w:val="5E5646F0"/>
    <w:rsid w:val="5E611C10"/>
    <w:rsid w:val="5E762B94"/>
    <w:rsid w:val="5E7A0F3F"/>
    <w:rsid w:val="5E9A1E1F"/>
    <w:rsid w:val="5EB24909"/>
    <w:rsid w:val="5EB332BF"/>
    <w:rsid w:val="5ED27BE1"/>
    <w:rsid w:val="5EFC7377"/>
    <w:rsid w:val="5F0454EA"/>
    <w:rsid w:val="5F06174D"/>
    <w:rsid w:val="5F0C439F"/>
    <w:rsid w:val="5F3A3602"/>
    <w:rsid w:val="5F45733B"/>
    <w:rsid w:val="5F553F98"/>
    <w:rsid w:val="5F6277C6"/>
    <w:rsid w:val="5F6D0B1D"/>
    <w:rsid w:val="5F7A39FE"/>
    <w:rsid w:val="5F8D0B82"/>
    <w:rsid w:val="5FC067D0"/>
    <w:rsid w:val="5FCC5339"/>
    <w:rsid w:val="5FCE540F"/>
    <w:rsid w:val="5FE34A5B"/>
    <w:rsid w:val="5FFE1E36"/>
    <w:rsid w:val="60196D73"/>
    <w:rsid w:val="60232584"/>
    <w:rsid w:val="60713D92"/>
    <w:rsid w:val="607330CE"/>
    <w:rsid w:val="60825176"/>
    <w:rsid w:val="608A5EC3"/>
    <w:rsid w:val="609F2AC4"/>
    <w:rsid w:val="60E8352E"/>
    <w:rsid w:val="60FA2EE8"/>
    <w:rsid w:val="61054A27"/>
    <w:rsid w:val="610A52BC"/>
    <w:rsid w:val="611B6CD6"/>
    <w:rsid w:val="611D2366"/>
    <w:rsid w:val="61421856"/>
    <w:rsid w:val="6146029C"/>
    <w:rsid w:val="615227C4"/>
    <w:rsid w:val="61551709"/>
    <w:rsid w:val="61654E3F"/>
    <w:rsid w:val="61671D60"/>
    <w:rsid w:val="616E7593"/>
    <w:rsid w:val="61730B8F"/>
    <w:rsid w:val="61744FF9"/>
    <w:rsid w:val="6182292A"/>
    <w:rsid w:val="619C2CA1"/>
    <w:rsid w:val="619F7F92"/>
    <w:rsid w:val="61C3343B"/>
    <w:rsid w:val="61C807BC"/>
    <w:rsid w:val="61E81EE3"/>
    <w:rsid w:val="61F94C26"/>
    <w:rsid w:val="62000E56"/>
    <w:rsid w:val="62487121"/>
    <w:rsid w:val="624F3E49"/>
    <w:rsid w:val="62632286"/>
    <w:rsid w:val="62656D70"/>
    <w:rsid w:val="62885958"/>
    <w:rsid w:val="62C7476E"/>
    <w:rsid w:val="62DA1D5D"/>
    <w:rsid w:val="62F12229"/>
    <w:rsid w:val="62F17359"/>
    <w:rsid w:val="62F31C3F"/>
    <w:rsid w:val="62F40B65"/>
    <w:rsid w:val="62FC2CFE"/>
    <w:rsid w:val="63024505"/>
    <w:rsid w:val="633B16F7"/>
    <w:rsid w:val="635600A5"/>
    <w:rsid w:val="635B1DB5"/>
    <w:rsid w:val="635C3B47"/>
    <w:rsid w:val="63711FED"/>
    <w:rsid w:val="63880DDC"/>
    <w:rsid w:val="638D750D"/>
    <w:rsid w:val="63AC6CC0"/>
    <w:rsid w:val="63FE69AC"/>
    <w:rsid w:val="64055776"/>
    <w:rsid w:val="64240056"/>
    <w:rsid w:val="643E143A"/>
    <w:rsid w:val="64460353"/>
    <w:rsid w:val="64491666"/>
    <w:rsid w:val="645312BC"/>
    <w:rsid w:val="645816F0"/>
    <w:rsid w:val="648B6EEF"/>
    <w:rsid w:val="64921AB7"/>
    <w:rsid w:val="64C158BF"/>
    <w:rsid w:val="64CE2EAA"/>
    <w:rsid w:val="651971E4"/>
    <w:rsid w:val="65294F03"/>
    <w:rsid w:val="653C3090"/>
    <w:rsid w:val="65854376"/>
    <w:rsid w:val="658767BE"/>
    <w:rsid w:val="65892531"/>
    <w:rsid w:val="65CD0069"/>
    <w:rsid w:val="66195831"/>
    <w:rsid w:val="661B0E4D"/>
    <w:rsid w:val="662E75B1"/>
    <w:rsid w:val="66342C2E"/>
    <w:rsid w:val="663E784C"/>
    <w:rsid w:val="664A36FF"/>
    <w:rsid w:val="66811B16"/>
    <w:rsid w:val="668B6A45"/>
    <w:rsid w:val="66BA34A1"/>
    <w:rsid w:val="66C11D12"/>
    <w:rsid w:val="66D165FA"/>
    <w:rsid w:val="670A285C"/>
    <w:rsid w:val="672F3F24"/>
    <w:rsid w:val="673E055F"/>
    <w:rsid w:val="6751439C"/>
    <w:rsid w:val="67551CE3"/>
    <w:rsid w:val="676A4358"/>
    <w:rsid w:val="67A22552"/>
    <w:rsid w:val="67B22DCC"/>
    <w:rsid w:val="67BE71AA"/>
    <w:rsid w:val="67D90273"/>
    <w:rsid w:val="67DC5685"/>
    <w:rsid w:val="67DE5875"/>
    <w:rsid w:val="67E55852"/>
    <w:rsid w:val="67EB1AB4"/>
    <w:rsid w:val="67EF6A97"/>
    <w:rsid w:val="67FA1285"/>
    <w:rsid w:val="681F15E7"/>
    <w:rsid w:val="682129E5"/>
    <w:rsid w:val="68270D00"/>
    <w:rsid w:val="68551F4F"/>
    <w:rsid w:val="687C10C9"/>
    <w:rsid w:val="68840C16"/>
    <w:rsid w:val="68876EFB"/>
    <w:rsid w:val="68884654"/>
    <w:rsid w:val="689F444F"/>
    <w:rsid w:val="68B96DBB"/>
    <w:rsid w:val="68CA2805"/>
    <w:rsid w:val="68E937A3"/>
    <w:rsid w:val="68F933EA"/>
    <w:rsid w:val="69303AFB"/>
    <w:rsid w:val="693E15D3"/>
    <w:rsid w:val="69627681"/>
    <w:rsid w:val="6977531D"/>
    <w:rsid w:val="69797303"/>
    <w:rsid w:val="697B45FB"/>
    <w:rsid w:val="69851F0A"/>
    <w:rsid w:val="69CC2BFF"/>
    <w:rsid w:val="69FD55B8"/>
    <w:rsid w:val="6A0B1C62"/>
    <w:rsid w:val="6A127209"/>
    <w:rsid w:val="6A2406C8"/>
    <w:rsid w:val="6A987242"/>
    <w:rsid w:val="6ADD735F"/>
    <w:rsid w:val="6ADE0BD1"/>
    <w:rsid w:val="6AE96859"/>
    <w:rsid w:val="6B147746"/>
    <w:rsid w:val="6B24787C"/>
    <w:rsid w:val="6B573233"/>
    <w:rsid w:val="6B5B6274"/>
    <w:rsid w:val="6B615D5C"/>
    <w:rsid w:val="6B847F5E"/>
    <w:rsid w:val="6B935D53"/>
    <w:rsid w:val="6BC02799"/>
    <w:rsid w:val="6BD149A6"/>
    <w:rsid w:val="6C196F71"/>
    <w:rsid w:val="6C226FCB"/>
    <w:rsid w:val="6C31226F"/>
    <w:rsid w:val="6C552F0B"/>
    <w:rsid w:val="6C8C67B7"/>
    <w:rsid w:val="6C9D744C"/>
    <w:rsid w:val="6D167928"/>
    <w:rsid w:val="6D260D22"/>
    <w:rsid w:val="6D26299B"/>
    <w:rsid w:val="6D32233D"/>
    <w:rsid w:val="6D4772EC"/>
    <w:rsid w:val="6D516379"/>
    <w:rsid w:val="6D5C224E"/>
    <w:rsid w:val="6D65184A"/>
    <w:rsid w:val="6D857B13"/>
    <w:rsid w:val="6D9078AF"/>
    <w:rsid w:val="6DAA3FEF"/>
    <w:rsid w:val="6DB8406F"/>
    <w:rsid w:val="6DBB3B60"/>
    <w:rsid w:val="6DC0172B"/>
    <w:rsid w:val="6DCB690C"/>
    <w:rsid w:val="6DD41A5B"/>
    <w:rsid w:val="6DDF4FB0"/>
    <w:rsid w:val="6DF43C2E"/>
    <w:rsid w:val="6DF51CA3"/>
    <w:rsid w:val="6E101FDB"/>
    <w:rsid w:val="6E681920"/>
    <w:rsid w:val="6E781728"/>
    <w:rsid w:val="6E805800"/>
    <w:rsid w:val="6E8335BD"/>
    <w:rsid w:val="6E8E12EF"/>
    <w:rsid w:val="6E972936"/>
    <w:rsid w:val="6EB40202"/>
    <w:rsid w:val="6ED30A35"/>
    <w:rsid w:val="6ED446C5"/>
    <w:rsid w:val="6F130D38"/>
    <w:rsid w:val="6F250095"/>
    <w:rsid w:val="6F2A7D94"/>
    <w:rsid w:val="6F377216"/>
    <w:rsid w:val="6F55769C"/>
    <w:rsid w:val="6F5B208E"/>
    <w:rsid w:val="6F8331F1"/>
    <w:rsid w:val="6FA31ECE"/>
    <w:rsid w:val="6FAE1A09"/>
    <w:rsid w:val="6FD75BF8"/>
    <w:rsid w:val="6FF922DA"/>
    <w:rsid w:val="700D583A"/>
    <w:rsid w:val="703E5095"/>
    <w:rsid w:val="7060279C"/>
    <w:rsid w:val="707723D0"/>
    <w:rsid w:val="70985552"/>
    <w:rsid w:val="709D12FB"/>
    <w:rsid w:val="70AE62DA"/>
    <w:rsid w:val="70B4699F"/>
    <w:rsid w:val="70F4178D"/>
    <w:rsid w:val="70F5661B"/>
    <w:rsid w:val="71360107"/>
    <w:rsid w:val="713A2FED"/>
    <w:rsid w:val="713B688E"/>
    <w:rsid w:val="71461992"/>
    <w:rsid w:val="71A6677C"/>
    <w:rsid w:val="71A8324B"/>
    <w:rsid w:val="71D43752"/>
    <w:rsid w:val="71DE1BCB"/>
    <w:rsid w:val="71F1796A"/>
    <w:rsid w:val="72154626"/>
    <w:rsid w:val="72262B5D"/>
    <w:rsid w:val="72283FF7"/>
    <w:rsid w:val="722E7212"/>
    <w:rsid w:val="723A0474"/>
    <w:rsid w:val="725923E4"/>
    <w:rsid w:val="725F5415"/>
    <w:rsid w:val="72766AE8"/>
    <w:rsid w:val="72864BF7"/>
    <w:rsid w:val="729023FC"/>
    <w:rsid w:val="729C3F60"/>
    <w:rsid w:val="72E04B6D"/>
    <w:rsid w:val="732301DD"/>
    <w:rsid w:val="732A727E"/>
    <w:rsid w:val="733454E7"/>
    <w:rsid w:val="73C0646E"/>
    <w:rsid w:val="742222F5"/>
    <w:rsid w:val="74391E01"/>
    <w:rsid w:val="74476126"/>
    <w:rsid w:val="74706664"/>
    <w:rsid w:val="747F3682"/>
    <w:rsid w:val="749018A2"/>
    <w:rsid w:val="74930F19"/>
    <w:rsid w:val="749C4185"/>
    <w:rsid w:val="75067759"/>
    <w:rsid w:val="750E27C7"/>
    <w:rsid w:val="751F199D"/>
    <w:rsid w:val="752E6DCD"/>
    <w:rsid w:val="7551380D"/>
    <w:rsid w:val="755771A3"/>
    <w:rsid w:val="75600BE5"/>
    <w:rsid w:val="7564475C"/>
    <w:rsid w:val="7583797F"/>
    <w:rsid w:val="75917B29"/>
    <w:rsid w:val="75A679D1"/>
    <w:rsid w:val="75CF09D8"/>
    <w:rsid w:val="75D20F1D"/>
    <w:rsid w:val="75DA2C18"/>
    <w:rsid w:val="75F54412"/>
    <w:rsid w:val="761D08E0"/>
    <w:rsid w:val="761E6A3A"/>
    <w:rsid w:val="765468FF"/>
    <w:rsid w:val="765D347C"/>
    <w:rsid w:val="76826699"/>
    <w:rsid w:val="76A10A5E"/>
    <w:rsid w:val="76A870A5"/>
    <w:rsid w:val="76C87133"/>
    <w:rsid w:val="76CD08D5"/>
    <w:rsid w:val="76DB4B92"/>
    <w:rsid w:val="76FE0619"/>
    <w:rsid w:val="77052AA4"/>
    <w:rsid w:val="77136511"/>
    <w:rsid w:val="771A18F7"/>
    <w:rsid w:val="77340A39"/>
    <w:rsid w:val="77351FD0"/>
    <w:rsid w:val="77472422"/>
    <w:rsid w:val="777F31F2"/>
    <w:rsid w:val="77AB3955"/>
    <w:rsid w:val="77D1700D"/>
    <w:rsid w:val="77EC04CC"/>
    <w:rsid w:val="780E4529"/>
    <w:rsid w:val="782D0D9A"/>
    <w:rsid w:val="78520C1D"/>
    <w:rsid w:val="78775729"/>
    <w:rsid w:val="78A42DB0"/>
    <w:rsid w:val="78A656AB"/>
    <w:rsid w:val="78B2245C"/>
    <w:rsid w:val="78B81351"/>
    <w:rsid w:val="78D24798"/>
    <w:rsid w:val="78E172CC"/>
    <w:rsid w:val="78EA1D1F"/>
    <w:rsid w:val="78F527D1"/>
    <w:rsid w:val="7904172F"/>
    <w:rsid w:val="790F7E27"/>
    <w:rsid w:val="792A231A"/>
    <w:rsid w:val="792C76C0"/>
    <w:rsid w:val="79316829"/>
    <w:rsid w:val="797E66A9"/>
    <w:rsid w:val="798518A4"/>
    <w:rsid w:val="79951709"/>
    <w:rsid w:val="79A97383"/>
    <w:rsid w:val="79E27E8B"/>
    <w:rsid w:val="79F850CE"/>
    <w:rsid w:val="79FD443C"/>
    <w:rsid w:val="7A1D1975"/>
    <w:rsid w:val="7A3E5150"/>
    <w:rsid w:val="7A4670D6"/>
    <w:rsid w:val="7A534B63"/>
    <w:rsid w:val="7A615382"/>
    <w:rsid w:val="7A67303B"/>
    <w:rsid w:val="7AAB1D04"/>
    <w:rsid w:val="7ABA4368"/>
    <w:rsid w:val="7ABB43DA"/>
    <w:rsid w:val="7AC9522D"/>
    <w:rsid w:val="7AD05746"/>
    <w:rsid w:val="7B220D7A"/>
    <w:rsid w:val="7B257FFD"/>
    <w:rsid w:val="7B343476"/>
    <w:rsid w:val="7B5A2978"/>
    <w:rsid w:val="7B5A7B6A"/>
    <w:rsid w:val="7B5A7E4C"/>
    <w:rsid w:val="7B66335D"/>
    <w:rsid w:val="7B667AF9"/>
    <w:rsid w:val="7B7468F8"/>
    <w:rsid w:val="7BA75723"/>
    <w:rsid w:val="7BDE77D6"/>
    <w:rsid w:val="7BEE0103"/>
    <w:rsid w:val="7C0A0FE4"/>
    <w:rsid w:val="7C254906"/>
    <w:rsid w:val="7C395948"/>
    <w:rsid w:val="7C590818"/>
    <w:rsid w:val="7C7C10F6"/>
    <w:rsid w:val="7C814A8D"/>
    <w:rsid w:val="7C853BEA"/>
    <w:rsid w:val="7C881368"/>
    <w:rsid w:val="7C8820A3"/>
    <w:rsid w:val="7C916173"/>
    <w:rsid w:val="7C944A9A"/>
    <w:rsid w:val="7CB31CF4"/>
    <w:rsid w:val="7CE27788"/>
    <w:rsid w:val="7D0C32F1"/>
    <w:rsid w:val="7D0F408D"/>
    <w:rsid w:val="7D28392F"/>
    <w:rsid w:val="7D491C6C"/>
    <w:rsid w:val="7D5429C0"/>
    <w:rsid w:val="7D6E6D43"/>
    <w:rsid w:val="7D747887"/>
    <w:rsid w:val="7DB57A34"/>
    <w:rsid w:val="7DBA7990"/>
    <w:rsid w:val="7DBD2FDC"/>
    <w:rsid w:val="7DE60973"/>
    <w:rsid w:val="7DEF0916"/>
    <w:rsid w:val="7E0E3838"/>
    <w:rsid w:val="7E1E5218"/>
    <w:rsid w:val="7E9A4E1F"/>
    <w:rsid w:val="7EA7723A"/>
    <w:rsid w:val="7EE527EB"/>
    <w:rsid w:val="7EF56FBB"/>
    <w:rsid w:val="7F01514B"/>
    <w:rsid w:val="7F0768EB"/>
    <w:rsid w:val="7F143BEC"/>
    <w:rsid w:val="7F56725F"/>
    <w:rsid w:val="7F6477A9"/>
    <w:rsid w:val="7F715AF2"/>
    <w:rsid w:val="7F7D2300"/>
    <w:rsid w:val="7F841183"/>
    <w:rsid w:val="7F886E69"/>
    <w:rsid w:val="7FFF5B2E"/>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3"/>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toc 5"/>
    <w:basedOn w:val="1"/>
    <w:next w:val="1"/>
    <w:autoRedefine/>
    <w:qFormat/>
    <w:uiPriority w:val="0"/>
    <w:pPr>
      <w:ind w:left="1680" w:leftChars="800"/>
    </w:pPr>
  </w:style>
  <w:style w:type="paragraph" w:styleId="25">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2"/>
    <w:autoRedefine/>
    <w:qFormat/>
    <w:uiPriority w:val="0"/>
    <w:pPr>
      <w:ind w:left="100" w:leftChars="2500"/>
    </w:pPr>
    <w:rPr>
      <w:rFonts w:ascii="宋体"/>
      <w:sz w:val="24"/>
      <w:szCs w:val="21"/>
      <w:lang w:val="zh-CN"/>
    </w:rPr>
  </w:style>
  <w:style w:type="paragraph" w:styleId="36">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0"/>
    <w:autoRedefine/>
    <w:qFormat/>
    <w:uiPriority w:val="0"/>
    <w:rPr>
      <w:lang w:val="zh-CN"/>
    </w:rPr>
  </w:style>
  <w:style w:type="paragraph" w:styleId="38">
    <w:name w:val="Balloon Text"/>
    <w:basedOn w:val="1"/>
    <w:link w:val="189"/>
    <w:autoRedefine/>
    <w:qFormat/>
    <w:uiPriority w:val="0"/>
    <w:rPr>
      <w:sz w:val="18"/>
      <w:szCs w:val="18"/>
    </w:rPr>
  </w:style>
  <w:style w:type="paragraph" w:styleId="39">
    <w:name w:val="footer"/>
    <w:basedOn w:val="1"/>
    <w:link w:val="383"/>
    <w:autoRedefine/>
    <w:qFormat/>
    <w:uiPriority w:val="99"/>
    <w:pPr>
      <w:tabs>
        <w:tab w:val="center" w:pos="4153"/>
        <w:tab w:val="right" w:pos="8306"/>
      </w:tabs>
      <w:snapToGrid w:val="0"/>
      <w:jc w:val="left"/>
    </w:pPr>
    <w:rPr>
      <w:sz w:val="18"/>
      <w:szCs w:val="18"/>
    </w:rPr>
  </w:style>
  <w:style w:type="paragraph" w:styleId="40">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5"/>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2"/>
    <w:autoRedefine/>
    <w:qFormat/>
    <w:uiPriority w:val="0"/>
    <w:pPr>
      <w:spacing w:after="120" w:line="480" w:lineRule="auto"/>
    </w:pPr>
  </w:style>
  <w:style w:type="paragraph" w:styleId="56">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autoRedefine/>
    <w:qFormat/>
    <w:uiPriority w:val="0"/>
    <w:rPr>
      <w:b/>
      <w:bCs/>
    </w:rPr>
  </w:style>
  <w:style w:type="paragraph" w:styleId="60">
    <w:name w:val="Body Text First Indent"/>
    <w:basedOn w:val="23"/>
    <w:next w:val="50"/>
    <w:link w:val="321"/>
    <w:autoRedefine/>
    <w:qFormat/>
    <w:uiPriority w:val="0"/>
    <w:pPr>
      <w:ind w:firstLine="420"/>
    </w:pPr>
    <w:rPr>
      <w:rFonts w:hAnsi="Calibri" w:cs="Times New Roman"/>
      <w:snapToGrid/>
      <w:szCs w:val="20"/>
    </w:rPr>
  </w:style>
  <w:style w:type="paragraph" w:styleId="61">
    <w:name w:val="Body Text First Indent 2"/>
    <w:basedOn w:val="25"/>
    <w:next w:val="62"/>
    <w:link w:val="122"/>
    <w:autoRedefine/>
    <w:qFormat/>
    <w:uiPriority w:val="0"/>
    <w:pPr>
      <w:adjustRightInd/>
      <w:spacing w:after="120" w:line="240" w:lineRule="auto"/>
      <w:ind w:left="420" w:leftChars="200" w:firstLine="210"/>
    </w:pPr>
    <w:rPr>
      <w:sz w:val="21"/>
    </w:rPr>
  </w:style>
  <w:style w:type="paragraph" w:customStyle="1" w:styleId="62">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样式3"/>
    <w:basedOn w:val="81"/>
    <w:next w:val="1"/>
    <w:autoRedefine/>
    <w:qFormat/>
    <w:uiPriority w:val="0"/>
    <w:pPr>
      <w:tabs>
        <w:tab w:val="left" w:pos="2790"/>
        <w:tab w:val="left" w:pos="4230"/>
      </w:tabs>
      <w:spacing w:before="312" w:beforeLines="100"/>
      <w:jc w:val="left"/>
    </w:pPr>
  </w:style>
  <w:style w:type="paragraph" w:customStyle="1" w:styleId="8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styleId="82">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59"/>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1"/>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0"/>
    <w:autoRedefine/>
    <w:qFormat/>
    <w:uiPriority w:val="0"/>
    <w:rPr>
      <w:rFonts w:ascii="Arial" w:hAnsi="Arial" w:eastAsia="黑体" w:cs="Arial"/>
      <w:snapToGrid w:val="0"/>
      <w:kern w:val="0"/>
      <w:szCs w:val="21"/>
    </w:rPr>
  </w:style>
  <w:style w:type="character" w:customStyle="1" w:styleId="126">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6"/>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8"/>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3"/>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5"/>
    <w:autoRedefine/>
    <w:qFormat/>
    <w:uiPriority w:val="0"/>
    <w:rPr>
      <w:rFonts w:ascii="宋体"/>
      <w:kern w:val="2"/>
      <w:sz w:val="24"/>
      <w:szCs w:val="21"/>
      <w:lang w:val="zh-CN"/>
    </w:rPr>
  </w:style>
  <w:style w:type="character" w:customStyle="1" w:styleId="183">
    <w:name w:val="标题 9 Char"/>
    <w:link w:val="11"/>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0"/>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38"/>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18"/>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0"/>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0"/>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6"/>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6"/>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82"/>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8"/>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6"/>
    <w:autoRedefine/>
    <w:qFormat/>
    <w:uiPriority w:val="0"/>
    <w:rPr>
      <w:rFonts w:ascii="黑体" w:hAnsi="Courier New" w:eastAsia="黑体"/>
    </w:rPr>
  </w:style>
  <w:style w:type="character" w:customStyle="1" w:styleId="302">
    <w:name w:val="正文文本 2 Char1"/>
    <w:link w:val="55"/>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9"/>
    <w:autoRedefine/>
    <w:qFormat/>
    <w:uiPriority w:val="0"/>
    <w:rPr>
      <w:b/>
      <w:bCs/>
      <w:kern w:val="2"/>
      <w:sz w:val="24"/>
      <w:szCs w:val="24"/>
    </w:rPr>
  </w:style>
  <w:style w:type="character" w:customStyle="1" w:styleId="308">
    <w:name w:val="正文文本缩进 2 Char"/>
    <w:link w:val="36"/>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49"/>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0"/>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0"/>
    <w:rPr>
      <w:kern w:val="2"/>
      <w:sz w:val="21"/>
      <w:szCs w:val="24"/>
    </w:rPr>
  </w:style>
  <w:style w:type="character" w:customStyle="1" w:styleId="345">
    <w:name w:val="签名 Char"/>
    <w:link w:val="41"/>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2"/>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39"/>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0"/>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7"/>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6"/>
    <w:next w:val="236"/>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6"/>
    <w:next w:val="236"/>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2"/>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autoRedefine/>
    <w:qFormat/>
    <w:uiPriority w:val="0"/>
    <w:pPr>
      <w:tabs>
        <w:tab w:val="left" w:pos="1080"/>
      </w:tabs>
      <w:ind w:left="1080" w:hanging="1080"/>
    </w:pPr>
  </w:style>
  <w:style w:type="paragraph" w:customStyle="1" w:styleId="895">
    <w:name w:val="数字标题1"/>
    <w:basedOn w:val="2"/>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3"/>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7"/>
    <w:autoRedefine/>
    <w:qFormat/>
    <w:uiPriority w:val="0"/>
    <w:rPr>
      <w:kern w:val="2"/>
      <w:sz w:val="21"/>
      <w:szCs w:val="24"/>
      <w:lang w:val="zh-CN"/>
    </w:rPr>
  </w:style>
  <w:style w:type="character" w:customStyle="1" w:styleId="931">
    <w:name w:val="无间隔 Char"/>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82"/>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64">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autoRedefine/>
    <w:qFormat/>
    <w:uiPriority w:val="0"/>
    <w:pPr>
      <w:ind w:leftChars="0"/>
    </w:pPr>
    <w:rPr>
      <w:rFonts w:ascii="Times New Roman" w:hAnsi="Times New Roman" w:eastAsia="宋体" w:cs="Times New Roman"/>
      <w:sz w:val="20"/>
      <w:szCs w:val="20"/>
    </w:rPr>
  </w:style>
  <w:style w:type="character" w:customStyle="1" w:styleId="966">
    <w:name w:val="标题 1 Char1"/>
    <w:autoRedefine/>
    <w:qFormat/>
    <w:uiPriority w:val="0"/>
    <w:rPr>
      <w:rFonts w:ascii="Times New Roman" w:hAnsi="Times New Roman" w:eastAsia="宋体" w:cs="Times New Roman"/>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27995</Words>
  <Characters>29820</Characters>
  <Lines>1</Lines>
  <Paragraphs>1</Paragraphs>
  <TotalTime>27</TotalTime>
  <ScaleCrop>false</ScaleCrop>
  <LinksUpToDate>false</LinksUpToDate>
  <CharactersWithSpaces>31260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s</cp:lastModifiedBy>
  <cp:lastPrinted>2023-03-28T06:19:00Z</cp:lastPrinted>
  <dcterms:modified xsi:type="dcterms:W3CDTF">2025-02-12T06:42:44Z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1AD11853D6FF4A81AE3E18CB246E3228_13</vt:lpwstr>
  </property>
  <property fmtid="{D5CDD505-2E9C-101B-9397-08002B2CF9AE}" pid="5" name="KSOTemplateDocerSaveRecord">
    <vt:lpwstr>eyJoZGlkIjoiNjRlYzk5NzcxMWQ2ZTJiZDRmNjc0NjczNmJhOWZjYzIiLCJ1c2VySWQiOiIxNTIwNDAyNjc2In0=</vt:lpwstr>
  </property>
</Properties>
</file>