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C1A77">
      <w:pPr>
        <w:tabs>
          <w:tab w:val="left" w:pos="1633"/>
          <w:tab w:val="center" w:pos="4850"/>
        </w:tabs>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b/>
      </w:r>
      <w:r>
        <w:rPr>
          <w:rFonts w:hint="eastAsia" w:ascii="仿宋" w:hAnsi="仿宋" w:eastAsia="仿宋" w:cs="仿宋"/>
          <w:b/>
          <w:color w:val="000000" w:themeColor="text1"/>
          <w:sz w:val="24"/>
          <w:highlight w:val="none"/>
          <w14:textFill>
            <w14:solidFill>
              <w14:schemeClr w14:val="tx1"/>
            </w14:solidFill>
          </w14:textFill>
        </w:rPr>
        <w:tab/>
      </w:r>
      <w:r>
        <w:rPr>
          <w:rFonts w:hint="eastAsia" w:ascii="仿宋" w:hAnsi="仿宋" w:eastAsia="仿宋" w:cs="仿宋"/>
          <w:b/>
          <w:color w:val="000000" w:themeColor="text1"/>
          <w:sz w:val="24"/>
          <w:highlight w:val="none"/>
          <w14:textFill>
            <w14:solidFill>
              <w14:schemeClr w14:val="tx1"/>
            </w14:solidFill>
          </w14:textFill>
        </w:rPr>
        <w:t xml:space="preserve"> </w:t>
      </w:r>
    </w:p>
    <w:p w14:paraId="5C982F0A">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0D2FC79C">
      <w:pPr>
        <w:adjustRightInd/>
        <w:spacing w:line="360" w:lineRule="auto"/>
        <w:jc w:val="center"/>
        <w:rPr>
          <w:rFonts w:hint="eastAsia" w:ascii="仿宋" w:hAnsi="仿宋" w:eastAsia="仿宋" w:cs="仿宋"/>
          <w:b/>
          <w:color w:val="FF0000"/>
          <w:sz w:val="44"/>
          <w:szCs w:val="44"/>
          <w:highlight w:val="none"/>
        </w:rPr>
      </w:pPr>
      <w:r>
        <w:rPr>
          <w:rFonts w:hint="eastAsia" w:ascii="仿宋" w:hAnsi="仿宋" w:eastAsia="仿宋" w:cs="仿宋"/>
          <w:b/>
          <w:sz w:val="44"/>
          <w:szCs w:val="44"/>
          <w:highlight w:val="none"/>
        </w:rPr>
        <w:t>杭州市临安区小型水库和山塘运行维修养护管理服务</w:t>
      </w:r>
    </w:p>
    <w:p w14:paraId="3B4F3426">
      <w:pPr>
        <w:rPr>
          <w:highlight w:val="none"/>
        </w:rPr>
      </w:pPr>
    </w:p>
    <w:p w14:paraId="192C0232">
      <w:pPr>
        <w:adjustRightInd/>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w w:val="95"/>
          <w:sz w:val="72"/>
          <w:szCs w:val="72"/>
          <w:highlight w:val="none"/>
          <w:lang w:val="zh-CN"/>
          <w14:textFill>
            <w14:solidFill>
              <w14:schemeClr w14:val="tx1"/>
            </w14:solidFill>
          </w14:textFill>
        </w:rPr>
        <w:t>竞争性磋商</w:t>
      </w:r>
      <w:r>
        <w:rPr>
          <w:rFonts w:hint="eastAsia" w:ascii="仿宋" w:hAnsi="仿宋" w:eastAsia="仿宋" w:cs="仿宋"/>
          <w:b/>
          <w:color w:val="000000" w:themeColor="text1"/>
          <w:sz w:val="72"/>
          <w:szCs w:val="72"/>
          <w:highlight w:val="none"/>
          <w14:textFill>
            <w14:solidFill>
              <w14:schemeClr w14:val="tx1"/>
            </w14:solidFill>
          </w14:textFill>
        </w:rPr>
        <w:t>文件</w:t>
      </w:r>
    </w:p>
    <w:p w14:paraId="1464E200">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（电子交易）</w:t>
      </w:r>
    </w:p>
    <w:p w14:paraId="4A0B3F1B">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p>
    <w:p w14:paraId="310BB563">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项目编号:临[2025]17号</w:t>
      </w:r>
    </w:p>
    <w:p w14:paraId="0F3E353C">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14:paraId="22A96EA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3CED09A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F784663">
      <w:pPr>
        <w:pStyle w:val="196"/>
        <w:widowControl w:val="0"/>
        <w:spacing w:before="0" w:beforeAutospacing="0" w:after="0" w:afterAutospacing="0" w:line="360" w:lineRule="auto"/>
        <w:textAlignment w:val="auto"/>
        <w:rPr>
          <w:rFonts w:ascii="仿宋" w:hAnsi="仿宋" w:eastAsia="仿宋" w:cs="仿宋"/>
          <w:color w:val="000000" w:themeColor="text1"/>
          <w:kern w:val="2"/>
          <w:highlight w:val="none"/>
          <w14:textFill>
            <w14:solidFill>
              <w14:schemeClr w14:val="tx1"/>
            </w14:solidFill>
          </w14:textFill>
        </w:rPr>
      </w:pPr>
    </w:p>
    <w:p w14:paraId="4CBC4742">
      <w:pPr>
        <w:pStyle w:val="196"/>
        <w:widowControl w:val="0"/>
        <w:spacing w:before="0" w:beforeAutospacing="0" w:after="0" w:afterAutospacing="0" w:line="360" w:lineRule="auto"/>
        <w:textAlignment w:val="auto"/>
        <w:rPr>
          <w:rFonts w:ascii="仿宋" w:hAnsi="仿宋" w:eastAsia="仿宋" w:cs="仿宋"/>
          <w:color w:val="000000" w:themeColor="text1"/>
          <w:kern w:val="2"/>
          <w:highlight w:val="none"/>
          <w14:textFill>
            <w14:solidFill>
              <w14:schemeClr w14:val="tx1"/>
            </w14:solidFill>
          </w14:textFill>
        </w:rPr>
      </w:pPr>
    </w:p>
    <w:p w14:paraId="7B8453D6">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10951FF7">
      <w:pP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p w14:paraId="4FB8B625">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采购人：</w:t>
      </w:r>
      <w:r>
        <w:rPr>
          <w:rFonts w:hint="eastAsia" w:ascii="仿宋" w:hAnsi="仿宋" w:eastAsia="仿宋" w:cs="仿宋"/>
          <w:bCs/>
          <w:color w:val="000000" w:themeColor="text1"/>
          <w:sz w:val="32"/>
          <w:szCs w:val="32"/>
          <w:highlight w:val="none"/>
          <w14:textFill>
            <w14:solidFill>
              <w14:schemeClr w14:val="tx1"/>
            </w14:solidFill>
          </w14:textFill>
        </w:rPr>
        <w:t>杭州市临安区水利水电局</w:t>
      </w:r>
    </w:p>
    <w:p w14:paraId="623D7C84">
      <w:pPr>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采购代理机构：浙江中瑞工程管理有限公司</w:t>
      </w:r>
    </w:p>
    <w:p w14:paraId="3BBAB283">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二〇二五年一月二十四日</w:t>
      </w:r>
    </w:p>
    <w:p w14:paraId="065BB2F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14:paraId="2E9C8CF4">
      <w:pPr>
        <w:tabs>
          <w:tab w:val="left" w:pos="2268"/>
        </w:tabs>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4EA63EE6">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1B1E1F0C">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68FDA685">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7A0983E5">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邀请供应商</w:t>
      </w:r>
    </w:p>
    <w:p w14:paraId="1AFA3DC1">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竞争性磋商流程</w:t>
      </w:r>
    </w:p>
    <w:p w14:paraId="262ABAC3">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供应商须知</w:t>
      </w:r>
    </w:p>
    <w:p w14:paraId="7DA162C5">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采购需求</w:t>
      </w:r>
    </w:p>
    <w:p w14:paraId="40DAD4F7">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评审方法及评审标准</w:t>
      </w:r>
    </w:p>
    <w:p w14:paraId="6E99B2B0">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拟签订的合同文本</w:t>
      </w:r>
    </w:p>
    <w:p w14:paraId="32BDADF1">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第七部分      应提交的有关格式范例</w:t>
      </w:r>
    </w:p>
    <w:p w14:paraId="0804EE52">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第八部分      最后报价格式</w:t>
      </w:r>
    </w:p>
    <w:p w14:paraId="49E17757">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14:paraId="3F0E8033">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4E8E7349">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665AA94">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695B38E">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4E113EB">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2E32B3E">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3558A00">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0160538">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40179FDF">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045CBCD">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484DC1CA">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4AAC2A5">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bookmarkEnd w:id="2"/>
    <w:p w14:paraId="07C59BF5">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000000" w:themeColor="text1"/>
          <w:sz w:val="36"/>
          <w:szCs w:val="20"/>
          <w:highlight w:val="none"/>
          <w14:textFill>
            <w14:solidFill>
              <w14:schemeClr w14:val="tx1"/>
            </w14:solidFill>
          </w14:textFill>
        </w:rPr>
        <w:t>第一部分  邀请供应商</w:t>
      </w:r>
    </w:p>
    <w:p w14:paraId="72762B37">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竞争性磋商邀请公告</w:t>
      </w:r>
    </w:p>
    <w:p w14:paraId="61832FE5">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416DED4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1B62876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rPr>
        <w:t>杭州市临安区小型水库和山塘运行维修养护管理服务</w:t>
      </w:r>
      <w:r>
        <w:rPr>
          <w:rFonts w:hint="eastAsia" w:ascii="仿宋" w:hAnsi="仿宋" w:eastAsia="仿宋" w:cs="仿宋"/>
          <w:sz w:val="24"/>
          <w:highlight w:val="none"/>
        </w:rPr>
        <w:t>采购项目的潜在供应商应在</w:t>
      </w:r>
      <w:r>
        <w:rPr>
          <w:rFonts w:hint="eastAsia" w:ascii="仿宋" w:hAnsi="仿宋" w:eastAsia="仿宋" w:cs="仿宋"/>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ascii="仿宋" w:hAnsi="仿宋" w:eastAsia="仿宋" w:cs="仿宋"/>
          <w:color w:val="auto"/>
          <w:sz w:val="24"/>
          <w:highlight w:val="none"/>
          <w:u w:val="single"/>
        </w:rPr>
        <w:t>https://www.zcygov.cn/</w:t>
      </w:r>
      <w:r>
        <w:rPr>
          <w:rStyle w:val="69"/>
          <w:rFonts w:hint="eastAsia" w:ascii="仿宋" w:hAnsi="仿宋" w:eastAsia="仿宋" w:cs="仿宋"/>
          <w:color w:val="auto"/>
          <w:sz w:val="24"/>
          <w:highlight w:val="none"/>
          <w:u w:val="single"/>
        </w:rPr>
        <w:fldChar w:fldCharType="end"/>
      </w:r>
      <w:r>
        <w:rPr>
          <w:rFonts w:hint="eastAsia" w:ascii="仿宋" w:hAnsi="仿宋" w:eastAsia="仿宋" w:cs="仿宋"/>
          <w:sz w:val="24"/>
          <w:highlight w:val="none"/>
          <w:u w:val="single"/>
        </w:rPr>
        <w:t>）</w:t>
      </w:r>
      <w:r>
        <w:rPr>
          <w:rFonts w:hint="eastAsia" w:ascii="仿宋" w:hAnsi="仿宋" w:eastAsia="仿宋" w:cs="仿宋"/>
          <w:sz w:val="24"/>
          <w:highlight w:val="none"/>
        </w:rPr>
        <w:t>获取采购文件，并于</w:t>
      </w:r>
      <w:r>
        <w:rPr>
          <w:rFonts w:hint="eastAsia" w:ascii="仿宋" w:hAnsi="仿宋" w:eastAsia="仿宋" w:cs="仿宋"/>
          <w:sz w:val="24"/>
          <w:highlight w:val="none"/>
          <w:u w:val="single"/>
        </w:rPr>
        <w:t>2025</w:t>
      </w:r>
      <w:r>
        <w:rPr>
          <w:rFonts w:hint="eastAsia" w:ascii="仿宋" w:hAnsi="仿宋" w:eastAsia="仿宋" w:cs="仿宋"/>
          <w:bCs/>
          <w:sz w:val="24"/>
          <w:highlight w:val="none"/>
          <w:u w:val="single"/>
        </w:rPr>
        <w:t>年2月12日14点00分00秒</w:t>
      </w:r>
      <w:r>
        <w:rPr>
          <w:rFonts w:hint="eastAsia" w:ascii="仿宋" w:hAnsi="仿宋" w:eastAsia="仿宋" w:cs="仿宋"/>
          <w:bCs/>
          <w:sz w:val="24"/>
          <w:highlight w:val="none"/>
        </w:rPr>
        <w:t>（北京时间）前提交响应文件</w:t>
      </w:r>
      <w:r>
        <w:rPr>
          <w:rFonts w:hint="eastAsia" w:ascii="仿宋" w:hAnsi="仿宋" w:eastAsia="仿宋" w:cs="仿宋"/>
          <w:sz w:val="24"/>
          <w:highlight w:val="none"/>
        </w:rPr>
        <w:t>。</w:t>
      </w:r>
    </w:p>
    <w:p w14:paraId="36BA84BB">
      <w:pPr>
        <w:spacing w:line="360" w:lineRule="auto"/>
        <w:rPr>
          <w:rFonts w:hint="eastAsia" w:ascii="仿宋" w:hAnsi="仿宋" w:eastAsia="仿宋" w:cs="仿宋"/>
          <w:sz w:val="24"/>
          <w:highlight w:val="none"/>
        </w:rPr>
      </w:pPr>
    </w:p>
    <w:p w14:paraId="2E2CFF41">
      <w:pPr>
        <w:pStyle w:val="3"/>
        <w:tabs>
          <w:tab w:val="left" w:pos="432"/>
        </w:tabs>
        <w:ind w:left="432" w:hanging="432"/>
        <w:rPr>
          <w:rFonts w:hint="eastAsia" w:ascii="仿宋" w:hAnsi="仿宋" w:eastAsia="仿宋" w:cs="仿宋"/>
          <w:sz w:val="24"/>
          <w:szCs w:val="24"/>
          <w:highlight w:val="none"/>
        </w:rPr>
      </w:pPr>
      <w:bookmarkStart w:id="10" w:name="_Toc28359089"/>
      <w:bookmarkStart w:id="11" w:name="_Toc28359012"/>
      <w:bookmarkStart w:id="12" w:name="_Toc35393798"/>
      <w:bookmarkStart w:id="13" w:name="_Toc35393629"/>
      <w:r>
        <w:rPr>
          <w:rFonts w:hint="eastAsia" w:ascii="仿宋" w:hAnsi="仿宋" w:eastAsia="仿宋" w:cs="仿宋"/>
          <w:sz w:val="24"/>
          <w:szCs w:val="24"/>
          <w:highlight w:val="none"/>
        </w:rPr>
        <w:t>一、项目基本情况</w:t>
      </w:r>
      <w:bookmarkEnd w:id="10"/>
      <w:bookmarkEnd w:id="11"/>
      <w:bookmarkEnd w:id="12"/>
      <w:bookmarkEnd w:id="13"/>
    </w:p>
    <w:p w14:paraId="27881112">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项目编号：</w:t>
      </w:r>
      <w:r>
        <w:rPr>
          <w:rFonts w:hint="eastAsia" w:ascii="仿宋" w:hAnsi="仿宋" w:eastAsia="仿宋" w:cs="仿宋"/>
          <w:bCs/>
          <w:sz w:val="24"/>
          <w:highlight w:val="none"/>
        </w:rPr>
        <w:t>临[2025]17号</w:t>
      </w:r>
    </w:p>
    <w:p w14:paraId="1D194FB9">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项目名称：</w:t>
      </w:r>
      <w:r>
        <w:rPr>
          <w:rFonts w:hint="eastAsia" w:ascii="仿宋" w:hAnsi="仿宋" w:eastAsia="仿宋" w:cs="仿宋"/>
          <w:sz w:val="24"/>
          <w:highlight w:val="none"/>
        </w:rPr>
        <w:t>杭州市临安区小型水库和山塘运行维修养护管理服务</w:t>
      </w:r>
    </w:p>
    <w:p w14:paraId="4B7CF174">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采购方式：</w:t>
      </w:r>
      <w:r>
        <w:rPr>
          <w:rFonts w:hint="eastAsia" w:ascii="仿宋" w:hAnsi="仿宋" w:eastAsia="仿宋" w:cs="仿宋"/>
          <w:color w:val="000000" w:themeColor="text1"/>
          <w:sz w:val="24"/>
          <w:highlight w:val="none"/>
          <w14:textFill>
            <w14:solidFill>
              <w14:schemeClr w14:val="tx1"/>
            </w14:solidFill>
          </w14:textFill>
        </w:rPr>
        <w:t>竞争性磋商</w:t>
      </w:r>
    </w:p>
    <w:p w14:paraId="052F93A3">
      <w:pPr>
        <w:spacing w:line="360" w:lineRule="auto"/>
        <w:ind w:firstLine="482" w:firstLineChars="200"/>
        <w:rPr>
          <w:rFonts w:eastAsia="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预算金额（元）：1180000</w:t>
      </w:r>
    </w:p>
    <w:p w14:paraId="6F714B97">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最高限价（元）：1180000</w:t>
      </w:r>
    </w:p>
    <w:p w14:paraId="4E5B0340">
      <w:pPr>
        <w:spacing w:line="360" w:lineRule="auto"/>
        <w:ind w:firstLine="482" w:firstLineChars="200"/>
        <w:jc w:val="left"/>
        <w:rPr>
          <w:rFonts w:hint="eastAsia" w:ascii="仿宋" w:hAnsi="仿宋" w:eastAsia="仿宋" w:cs="仿宋"/>
          <w:bCs/>
          <w:color w:val="auto"/>
          <w:sz w:val="24"/>
          <w:highlight w:val="none"/>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bCs/>
          <w:color w:val="auto"/>
          <w:sz w:val="24"/>
          <w:highlight w:val="none"/>
        </w:rPr>
        <w:t>主要内容包括（但不限于）：组建管理团队，落实管理机制，协助完成贯彻落实水库山塘维修养护政策方针和标准规定，协助组织采购库塘日常管护企业，协助区水利水电局做好库塘维养区级统管项目的全过程组织实施工作，协助考核库塘日常管护企业及支付流程的发起，协助编报和实施库塘维护年度计划，协助做好全区库塘运维信息档案的收集整理汇总，建设运用维养全过程信息化管理平台等，详见磋商文件。</w:t>
      </w:r>
    </w:p>
    <w:p w14:paraId="4BBE7B72">
      <w:pPr>
        <w:widowControl/>
        <w:adjustRightInd/>
        <w:spacing w:line="360" w:lineRule="auto"/>
        <w:ind w:firstLine="482" w:firstLineChars="200"/>
        <w:rPr>
          <w:rFonts w:hint="eastAsia" w:ascii="仿宋" w:hAnsi="仿宋" w:eastAsia="仿宋" w:cs="宋体"/>
          <w:bCs/>
          <w:snapToGrid w:val="0"/>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合同履行期限</w:t>
      </w:r>
      <w:r>
        <w:rPr>
          <w:rFonts w:hint="eastAsia" w:ascii="仿宋" w:hAnsi="仿宋" w:eastAsia="仿宋" w:cs="仿宋"/>
          <w:color w:val="000000" w:themeColor="text1"/>
          <w:sz w:val="24"/>
          <w:highlight w:val="none"/>
          <w14:textFill>
            <w14:solidFill>
              <w14:schemeClr w14:val="tx1"/>
            </w14:solidFill>
          </w14:textFill>
        </w:rPr>
        <w:t>：合同签订后15个月（2025年1月1日至2026年3月31日）（2025年1月1日至本项目合同签订之日止已产生的服务费用在签订合同后,由中标单位按比例支付给原服务单位。具体以招标文件第四部分采购需求为准）</w:t>
      </w:r>
      <w:r>
        <w:rPr>
          <w:rFonts w:hint="eastAsia" w:ascii="仿宋" w:hAnsi="仿宋" w:eastAsia="仿宋" w:cs="仿宋"/>
          <w:sz w:val="24"/>
          <w:highlight w:val="none"/>
        </w:rPr>
        <w:t>。</w:t>
      </w:r>
    </w:p>
    <w:p w14:paraId="64F41F1D">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sdt>
        <w:sdtPr>
          <w:rPr>
            <w:rFonts w:hint="eastAsia" w:ascii="仿宋" w:hAnsi="仿宋" w:eastAsia="仿宋" w:cs="仿宋"/>
            <w:b/>
            <w:color w:val="000000" w:themeColor="text1"/>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 w:hAnsi="仿宋" w:eastAsia="仿宋" w:cs="仿宋"/>
            <w:b/>
            <w:color w:val="000000" w:themeColor="text1"/>
            <w:sz w:val="24"/>
            <w:highlight w:val="none"/>
            <w14:textFill>
              <w14:solidFill>
                <w14:schemeClr w14:val="tx1"/>
              </w14:solidFill>
            </w14:textFill>
          </w:rPr>
        </w:sdtEndPr>
        <w:sdtContent>
          <w:r>
            <w:rPr>
              <w:rFonts w:hint="eastAsia" w:ascii="MS Gothic" w:hAnsi="MS Gothic" w:eastAsia="仿宋" w:cs="仿宋"/>
              <w:b/>
              <w:color w:val="000000" w:themeColor="text1"/>
              <w:sz w:val="24"/>
              <w:highlight w:val="none"/>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b/>
            <w:color w:val="000000" w:themeColor="text1"/>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 w:hAnsi="仿宋" w:eastAsia="仿宋" w:cs="仿宋"/>
            <w:b/>
            <w:color w:val="000000" w:themeColor="text1"/>
            <w:sz w:val="24"/>
            <w:highlight w:val="none"/>
            <w14:textFill>
              <w14:solidFill>
                <w14:schemeClr w14:val="tx1"/>
              </w14:solidFill>
            </w14:textFill>
          </w:rPr>
        </w:sdtEndPr>
        <w:sdtContent>
          <w:r>
            <w:rPr>
              <w:rFonts w:hint="eastAsia" w:ascii="Wingdings" w:hAnsi="Wingdings" w:eastAsia="仿宋" w:cs="仿宋"/>
              <w:b/>
              <w:color w:val="000000" w:themeColor="text1"/>
              <w:sz w:val="24"/>
              <w:highlight w:val="none"/>
              <w14:textFill>
                <w14:solidFill>
                  <w14:schemeClr w14:val="tx1"/>
                </w14:solidFill>
              </w14:textFill>
            </w:rPr>
            <w:t>þ</w:t>
          </w:r>
        </w:sdtContent>
      </w:sdt>
      <w:r>
        <w:rPr>
          <w:rFonts w:hint="eastAsia" w:ascii="仿宋" w:hAnsi="仿宋" w:eastAsia="仿宋" w:cs="仿宋"/>
          <w:b/>
          <w:color w:val="000000" w:themeColor="text1"/>
          <w:sz w:val="24"/>
          <w:highlight w:val="none"/>
          <w14:textFill>
            <w14:solidFill>
              <w14:schemeClr w14:val="tx1"/>
            </w14:solidFill>
          </w14:textFill>
        </w:rPr>
        <w:t>否。</w:t>
      </w:r>
    </w:p>
    <w:p w14:paraId="061A45E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4" w:name="_Toc28359090"/>
      <w:bookmarkStart w:id="15" w:name="_Toc35393630"/>
      <w:bookmarkStart w:id="16" w:name="_Toc35393799"/>
      <w:bookmarkStart w:id="17" w:name="_Toc28359013"/>
      <w:r>
        <w:rPr>
          <w:rFonts w:hint="eastAsia" w:ascii="仿宋" w:hAnsi="仿宋" w:eastAsia="仿宋" w:cs="仿宋"/>
          <w:color w:val="000000" w:themeColor="text1"/>
          <w:sz w:val="24"/>
          <w:highlight w:val="none"/>
          <w14:textFill>
            <w14:solidFill>
              <w14:schemeClr w14:val="tx1"/>
            </w14:solidFill>
          </w14:textFill>
        </w:rPr>
        <w:t>二、申请人的资格要求：</w:t>
      </w:r>
      <w:bookmarkEnd w:id="14"/>
      <w:bookmarkEnd w:id="15"/>
      <w:bookmarkEnd w:id="16"/>
      <w:bookmarkEnd w:id="17"/>
    </w:p>
    <w:p w14:paraId="74CABE66">
      <w:pPr>
        <w:spacing w:line="360" w:lineRule="auto"/>
        <w:ind w:firstLine="48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CE81E72">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 xml:space="preserve">    2.</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highlight w:val="none"/>
          <w14:textFill>
            <w14:solidFill>
              <w14:schemeClr w14:val="tx1"/>
            </w14:solidFill>
          </w14:textFill>
        </w:rPr>
        <w:t>以联合体形式响应的，提供联合协议(本项目不接受联合体响应或者供应商不以联合体形式响应的，则不需要提供) ；</w:t>
      </w:r>
    </w:p>
    <w:p w14:paraId="527B56F4">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3.落实政府采购政策需满足的资格要求：</w:t>
      </w:r>
    </w:p>
    <w:p w14:paraId="049853F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highlight w:val="none"/>
          <w14:textFill>
            <w14:solidFill>
              <w14:schemeClr w14:val="tx1"/>
            </w14:solidFill>
          </w14:textFill>
        </w:rPr>
        <w:t>（注：不得限制大中型企业与小微企业组成联合体参与响应）</w:t>
      </w:r>
      <w:r>
        <w:rPr>
          <w:rFonts w:hint="eastAsia" w:ascii="仿宋" w:hAnsi="仿宋" w:eastAsia="仿宋" w:cs="仿宋"/>
          <w:color w:val="000000" w:themeColor="text1"/>
          <w:sz w:val="24"/>
          <w:highlight w:val="none"/>
          <w14:textFill>
            <w14:solidFill>
              <w14:schemeClr w14:val="tx1"/>
            </w14:solidFill>
          </w14:textFill>
        </w:rPr>
        <w:t>；</w:t>
      </w:r>
    </w:p>
    <w:p w14:paraId="5A57CEF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40BBCA76">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14:paraId="592AE414">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服务全部由符合政策要求的小微企业承接，提供中小企业声明函；</w:t>
      </w:r>
    </w:p>
    <w:p w14:paraId="639DAD39">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p w14:paraId="4F6F6E57">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14:paraId="0648AFCA">
      <w:pPr>
        <w:numPr>
          <w:ilvl w:val="0"/>
          <w:numId w:val="6"/>
        </w:num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本项目的特定资格要求：</w:t>
      </w:r>
    </w:p>
    <w:p w14:paraId="06AE17E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407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无</w:t>
      </w:r>
    </w:p>
    <w:p w14:paraId="5138AFEE">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288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有特定资格要求:</w:t>
      </w:r>
      <w:r>
        <w:rPr>
          <w:rFonts w:hint="eastAsia" w:ascii="仿宋" w:hAnsi="仿宋" w:eastAsia="仿宋" w:cs="仿宋"/>
          <w:color w:val="000000" w:themeColor="text1"/>
          <w:kern w:val="0"/>
          <w:sz w:val="24"/>
          <w:highlight w:val="none"/>
          <w:u w:val="single"/>
          <w14:textFill>
            <w14:solidFill>
              <w14:schemeClr w14:val="tx1"/>
            </w14:solidFill>
          </w14:textFill>
        </w:rPr>
        <w:t xml:space="preserve"> 无</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该特定条件的法律法规依据：</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D6102D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94528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8" w:name="_Toc28359091"/>
      <w:bookmarkStart w:id="19" w:name="_Toc35393800"/>
      <w:bookmarkStart w:id="20" w:name="_Toc35393631"/>
      <w:bookmarkStart w:id="21" w:name="_Toc28359014"/>
      <w:r>
        <w:rPr>
          <w:rFonts w:hint="eastAsia" w:ascii="仿宋" w:hAnsi="仿宋" w:eastAsia="仿宋" w:cs="仿宋"/>
          <w:color w:val="000000" w:themeColor="text1"/>
          <w:sz w:val="24"/>
          <w:highlight w:val="none"/>
          <w14:textFill>
            <w14:solidFill>
              <w14:schemeClr w14:val="tx1"/>
            </w14:solidFill>
          </w14:textFill>
        </w:rPr>
        <w:t>三、获取（下载）采购文件</w:t>
      </w:r>
      <w:bookmarkEnd w:id="18"/>
      <w:bookmarkEnd w:id="19"/>
      <w:bookmarkEnd w:id="20"/>
      <w:bookmarkEnd w:id="21"/>
    </w:p>
    <w:p w14:paraId="57B1DF2A">
      <w:pPr>
        <w:spacing w:line="360" w:lineRule="auto"/>
        <w:ind w:firstLine="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/至2025年2月12日，每天上午00:00至12:00 ，下午12:00至23:59（北京时间，线上获取法定节假日均可，线下获取文件法定节假日除外）；</w:t>
      </w:r>
    </w:p>
    <w:p w14:paraId="2C192CF5">
      <w:pPr>
        <w:spacing w:line="360" w:lineRule="auto"/>
        <w:ind w:firstLine="54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ascii="仿宋" w:hAnsi="仿宋" w:eastAsia="仿宋" w:cs="仿宋"/>
          <w:b/>
          <w:color w:val="000000" w:themeColor="text1"/>
          <w:sz w:val="24"/>
          <w:szCs w:val="24"/>
          <w:highlight w:val="none"/>
          <w14:textFill>
            <w14:solidFill>
              <w14:schemeClr w14:val="tx1"/>
            </w14:solidFill>
          </w14:textFill>
        </w:rPr>
        <w:t>https://www.zcygov.cn/</w:t>
      </w:r>
      <w:r>
        <w:rPr>
          <w:rStyle w:val="69"/>
          <w:rFonts w:hint="eastAsia" w:ascii="仿宋" w:hAnsi="仿宋" w:eastAsia="仿宋" w:cs="仿宋"/>
          <w:b/>
          <w:color w:val="000000" w:themeColor="text1"/>
          <w:sz w:val="24"/>
          <w:szCs w:val="24"/>
          <w:highlight w:val="none"/>
          <w14:textFill>
            <w14:solidFill>
              <w14:schemeClr w14:val="tx1"/>
            </w14:solidFill>
          </w14:textFill>
        </w:rPr>
        <w:fldChar w:fldCharType="end"/>
      </w:r>
      <w:r>
        <w:rPr>
          <w:rFonts w:hint="eastAsia" w:ascii="仿宋" w:hAnsi="仿宋" w:eastAsia="仿宋" w:cs="仿宋"/>
          <w:b/>
          <w:color w:val="000000" w:themeColor="text1"/>
          <w:sz w:val="24"/>
          <w:highlight w:val="none"/>
          <w14:textFill>
            <w14:solidFill>
              <w14:schemeClr w14:val="tx1"/>
            </w14:solidFill>
          </w14:textFill>
        </w:rPr>
        <w:t>）</w:t>
      </w:r>
    </w:p>
    <w:p w14:paraId="2248E291">
      <w:pPr>
        <w:spacing w:line="360" w:lineRule="auto"/>
        <w:ind w:firstLine="54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36F30A2C">
      <w:pPr>
        <w:spacing w:line="360" w:lineRule="auto"/>
        <w:ind w:firstLine="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w:t>
      </w:r>
      <w:r>
        <w:rPr>
          <w:rFonts w:hint="eastAsia" w:ascii="仿宋" w:hAnsi="仿宋" w:eastAsia="仿宋" w:cs="仿宋"/>
          <w:color w:val="000000" w:themeColor="text1"/>
          <w:sz w:val="24"/>
          <w:highlight w:val="none"/>
          <w14:textFill>
            <w14:solidFill>
              <w14:schemeClr w14:val="tx1"/>
            </w14:solidFill>
          </w14:textFill>
        </w:rPr>
        <w:t>免费。</w:t>
      </w:r>
    </w:p>
    <w:p w14:paraId="223E2E83">
      <w:pPr>
        <w:pStyle w:val="3"/>
        <w:tabs>
          <w:tab w:val="left" w:pos="432"/>
        </w:tabs>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22" w:name="_Toc35393801"/>
      <w:bookmarkStart w:id="23" w:name="_Toc28359015"/>
      <w:bookmarkStart w:id="24" w:name="_Toc28359092"/>
      <w:bookmarkStart w:id="25" w:name="_Toc35393632"/>
      <w:r>
        <w:rPr>
          <w:rFonts w:hint="eastAsia" w:ascii="仿宋" w:hAnsi="仿宋" w:eastAsia="仿宋" w:cs="仿宋"/>
          <w:color w:val="000000" w:themeColor="text1"/>
          <w:sz w:val="24"/>
          <w:szCs w:val="24"/>
          <w:highlight w:val="none"/>
          <w14:textFill>
            <w14:solidFill>
              <w14:schemeClr w14:val="tx1"/>
            </w14:solidFill>
          </w14:textFill>
        </w:rPr>
        <w:t>四、响应文件提交</w:t>
      </w:r>
      <w:bookmarkEnd w:id="22"/>
      <w:bookmarkEnd w:id="23"/>
      <w:bookmarkEnd w:id="24"/>
      <w:bookmarkEnd w:id="25"/>
      <w:r>
        <w:rPr>
          <w:rFonts w:hint="eastAsia" w:ascii="仿宋" w:hAnsi="仿宋" w:eastAsia="仿宋" w:cs="仿宋"/>
          <w:color w:val="000000" w:themeColor="text1"/>
          <w:sz w:val="24"/>
          <w:szCs w:val="24"/>
          <w:highlight w:val="none"/>
          <w14:textFill>
            <w14:solidFill>
              <w14:schemeClr w14:val="tx1"/>
            </w14:solidFill>
          </w14:textFill>
        </w:rPr>
        <w:t>（上传）</w:t>
      </w:r>
    </w:p>
    <w:p w14:paraId="2C1D38A8">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截止时间：</w:t>
      </w:r>
      <w:r>
        <w:rPr>
          <w:rFonts w:hint="eastAsia" w:ascii="仿宋" w:hAnsi="仿宋" w:eastAsia="仿宋" w:cs="仿宋"/>
          <w:color w:val="000000" w:themeColor="text1"/>
          <w:sz w:val="24"/>
          <w:highlight w:val="none"/>
          <w:u w:val="single"/>
          <w14:textFill>
            <w14:solidFill>
              <w14:schemeClr w14:val="tx1"/>
            </w14:solidFill>
          </w14:textFill>
        </w:rPr>
        <w:t>2025</w:t>
      </w:r>
      <w:r>
        <w:rPr>
          <w:rFonts w:hint="eastAsia" w:ascii="仿宋" w:hAnsi="仿宋" w:eastAsia="仿宋" w:cs="仿宋"/>
          <w:bCs/>
          <w:color w:val="000000" w:themeColor="text1"/>
          <w:sz w:val="24"/>
          <w:highlight w:val="none"/>
          <w:u w:val="single"/>
          <w14:textFill>
            <w14:solidFill>
              <w14:schemeClr w14:val="tx1"/>
            </w14:solidFill>
          </w14:textFill>
        </w:rPr>
        <w:t>年2月12日14点</w:t>
      </w:r>
      <w:r>
        <w:rPr>
          <w:rFonts w:hint="eastAsia" w:ascii="仿宋" w:hAnsi="仿宋" w:eastAsia="仿宋" w:cs="仿宋"/>
          <w:color w:val="000000" w:themeColor="text1"/>
          <w:sz w:val="24"/>
          <w:highlight w:val="none"/>
          <w:u w:val="single"/>
          <w14:textFill>
            <w14:solidFill>
              <w14:schemeClr w14:val="tx1"/>
            </w14:solidFill>
          </w14:textFill>
        </w:rPr>
        <w:t>00分</w:t>
      </w:r>
      <w:r>
        <w:rPr>
          <w:rFonts w:hint="eastAsia" w:ascii="仿宋" w:hAnsi="仿宋" w:eastAsia="仿宋" w:cs="仿宋"/>
          <w:bCs/>
          <w:color w:val="000000" w:themeColor="text1"/>
          <w:sz w:val="24"/>
          <w:highlight w:val="none"/>
          <w:u w:val="single"/>
          <w14:textFill>
            <w14:solidFill>
              <w14:schemeClr w14:val="tx1"/>
            </w14:solidFill>
          </w14:textFill>
        </w:rPr>
        <w:t>00秒</w:t>
      </w:r>
      <w:r>
        <w:rPr>
          <w:rFonts w:hint="eastAsia" w:ascii="仿宋" w:hAnsi="仿宋" w:eastAsia="仿宋" w:cs="仿宋"/>
          <w:bCs/>
          <w:color w:val="000000" w:themeColor="text1"/>
          <w:sz w:val="24"/>
          <w:highlight w:val="none"/>
          <w14:textFill>
            <w14:solidFill>
              <w14:schemeClr w14:val="tx1"/>
            </w14:solidFill>
          </w14:textFill>
        </w:rPr>
        <w:t>（北京时间）</w:t>
      </w:r>
    </w:p>
    <w:p w14:paraId="333108EC">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b/>
          <w:color w:val="000000" w:themeColor="text1"/>
          <w:sz w:val="24"/>
          <w:highlight w:val="none"/>
          <w14:textFill>
            <w14:solidFill>
              <w14:schemeClr w14:val="tx1"/>
            </w14:solidFill>
          </w14:textFill>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ascii="仿宋" w:hAnsi="仿宋" w:eastAsia="仿宋" w:cs="仿宋"/>
          <w:b/>
          <w:color w:val="000000" w:themeColor="text1"/>
          <w:kern w:val="2"/>
          <w:sz w:val="24"/>
          <w:szCs w:val="24"/>
          <w:highlight w:val="none"/>
          <w14:textFill>
            <w14:solidFill>
              <w14:schemeClr w14:val="tx1"/>
            </w14:solidFill>
          </w14:textFill>
        </w:rPr>
        <w:t>https://www.zcygov.cn/</w:t>
      </w:r>
      <w:r>
        <w:rPr>
          <w:rStyle w:val="69"/>
          <w:rFonts w:hint="eastAsia" w:ascii="仿宋" w:hAnsi="仿宋" w:eastAsia="仿宋" w:cs="仿宋"/>
          <w:b/>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
          <w:color w:val="000000" w:themeColor="text1"/>
          <w:sz w:val="24"/>
          <w:highlight w:val="none"/>
          <w14:textFill>
            <w14:solidFill>
              <w14:schemeClr w14:val="tx1"/>
            </w14:solidFill>
          </w14:textFill>
        </w:rPr>
        <w:t>）。</w:t>
      </w:r>
    </w:p>
    <w:p w14:paraId="70ED10C0">
      <w:pPr>
        <w:pStyle w:val="3"/>
        <w:tabs>
          <w:tab w:val="left" w:pos="432"/>
        </w:tabs>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26" w:name="_Toc28359016"/>
      <w:bookmarkStart w:id="27" w:name="_Toc28359093"/>
      <w:bookmarkStart w:id="28" w:name="_Toc35393802"/>
      <w:bookmarkStart w:id="29" w:name="_Toc35393633"/>
      <w:r>
        <w:rPr>
          <w:rFonts w:hint="eastAsia" w:ascii="仿宋" w:hAnsi="仿宋" w:eastAsia="仿宋" w:cs="仿宋"/>
          <w:color w:val="000000" w:themeColor="text1"/>
          <w:sz w:val="24"/>
          <w:szCs w:val="24"/>
          <w:highlight w:val="none"/>
          <w14:textFill>
            <w14:solidFill>
              <w14:schemeClr w14:val="tx1"/>
            </w14:solidFill>
          </w14:textFill>
        </w:rPr>
        <w:t>五、响应文件开启</w:t>
      </w:r>
      <w:bookmarkEnd w:id="26"/>
      <w:bookmarkEnd w:id="27"/>
      <w:bookmarkEnd w:id="28"/>
      <w:bookmarkEnd w:id="29"/>
    </w:p>
    <w:p w14:paraId="269C812F">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2025</w:t>
      </w:r>
      <w:r>
        <w:rPr>
          <w:rFonts w:hint="eastAsia" w:ascii="仿宋" w:hAnsi="仿宋" w:eastAsia="仿宋" w:cs="仿宋"/>
          <w:bCs/>
          <w:color w:val="000000" w:themeColor="text1"/>
          <w:sz w:val="24"/>
          <w:highlight w:val="none"/>
          <w:u w:val="single"/>
          <w14:textFill>
            <w14:solidFill>
              <w14:schemeClr w14:val="tx1"/>
            </w14:solidFill>
          </w14:textFill>
        </w:rPr>
        <w:t>年2月12日14点</w:t>
      </w:r>
      <w:r>
        <w:rPr>
          <w:rFonts w:hint="eastAsia" w:ascii="仿宋" w:hAnsi="仿宋" w:eastAsia="仿宋" w:cs="仿宋"/>
          <w:color w:val="000000" w:themeColor="text1"/>
          <w:sz w:val="24"/>
          <w:highlight w:val="none"/>
          <w:u w:val="single"/>
          <w14:textFill>
            <w14:solidFill>
              <w14:schemeClr w14:val="tx1"/>
            </w14:solidFill>
          </w14:textFill>
        </w:rPr>
        <w:t>00分</w:t>
      </w:r>
      <w:r>
        <w:rPr>
          <w:rFonts w:hint="eastAsia" w:ascii="仿宋" w:hAnsi="仿宋" w:eastAsia="仿宋" w:cs="仿宋"/>
          <w:bCs/>
          <w:color w:val="000000" w:themeColor="text1"/>
          <w:sz w:val="24"/>
          <w:highlight w:val="none"/>
          <w:u w:val="single"/>
          <w14:textFill>
            <w14:solidFill>
              <w14:schemeClr w14:val="tx1"/>
            </w14:solidFill>
          </w14:textFill>
        </w:rPr>
        <w:t>00秒</w:t>
      </w:r>
      <w:r>
        <w:rPr>
          <w:rFonts w:hint="eastAsia" w:ascii="仿宋" w:hAnsi="仿宋" w:eastAsia="仿宋" w:cs="仿宋"/>
          <w:bCs/>
          <w:color w:val="000000" w:themeColor="text1"/>
          <w:sz w:val="24"/>
          <w:highlight w:val="none"/>
          <w14:textFill>
            <w14:solidFill>
              <w14:schemeClr w14:val="tx1"/>
            </w14:solidFill>
          </w14:textFill>
        </w:rPr>
        <w:t>（北京时间）</w:t>
      </w:r>
    </w:p>
    <w:p w14:paraId="4BB05711">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地点：政采云平台（https://www.zcygov.cn/）。</w:t>
      </w:r>
    </w:p>
    <w:p w14:paraId="4D1293E1">
      <w:pPr>
        <w:pStyle w:val="3"/>
        <w:tabs>
          <w:tab w:val="left" w:pos="432"/>
        </w:tabs>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30" w:name="_Toc28359017"/>
      <w:bookmarkStart w:id="31" w:name="_Toc35393634"/>
      <w:bookmarkStart w:id="32" w:name="_Toc35393803"/>
      <w:bookmarkStart w:id="33" w:name="_Toc28359094"/>
      <w:r>
        <w:rPr>
          <w:rFonts w:hint="eastAsia" w:ascii="仿宋" w:hAnsi="仿宋" w:eastAsia="仿宋" w:cs="仿宋"/>
          <w:color w:val="000000" w:themeColor="text1"/>
          <w:sz w:val="24"/>
          <w:szCs w:val="24"/>
          <w:highlight w:val="none"/>
          <w14:textFill>
            <w14:solidFill>
              <w14:schemeClr w14:val="tx1"/>
            </w14:solidFill>
          </w14:textFill>
        </w:rPr>
        <w:t>六、公告期限</w:t>
      </w:r>
      <w:bookmarkEnd w:id="30"/>
      <w:bookmarkEnd w:id="31"/>
      <w:bookmarkEnd w:id="32"/>
      <w:bookmarkEnd w:id="33"/>
    </w:p>
    <w:p w14:paraId="3380626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自本公告发布之日起3个工作日。</w:t>
      </w:r>
    </w:p>
    <w:p w14:paraId="671CC47E">
      <w:pPr>
        <w:pStyle w:val="3"/>
        <w:tabs>
          <w:tab w:val="left" w:pos="432"/>
        </w:tabs>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34" w:name="_Toc35393635"/>
      <w:bookmarkStart w:id="35" w:name="_Toc35393804"/>
      <w:r>
        <w:rPr>
          <w:rFonts w:hint="eastAsia" w:ascii="仿宋" w:hAnsi="仿宋" w:eastAsia="仿宋" w:cs="仿宋"/>
          <w:color w:val="000000" w:themeColor="text1"/>
          <w:sz w:val="24"/>
          <w:szCs w:val="24"/>
          <w:highlight w:val="none"/>
          <w14:textFill>
            <w14:solidFill>
              <w14:schemeClr w14:val="tx1"/>
            </w14:solidFill>
          </w14:textFill>
        </w:rPr>
        <w:t>七、其他补充事宜</w:t>
      </w:r>
      <w:bookmarkEnd w:id="34"/>
      <w:bookmarkEnd w:id="35"/>
    </w:p>
    <w:p w14:paraId="77659A2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5E6EC3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D0CD0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3551BB">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4. 其他事项：（1）需要落实的政府采购政策：</w:t>
      </w:r>
      <w:r>
        <w:rPr>
          <w:rFonts w:hint="eastAsia" w:ascii="仿宋" w:hAnsi="仿宋" w:eastAsia="仿宋" w:cs="仿宋"/>
          <w:color w:val="000000" w:themeColor="text1"/>
          <w:kern w:val="0"/>
          <w:sz w:val="24"/>
          <w:highlight w:val="none"/>
          <w14:textFill>
            <w14:solidFill>
              <w14:schemeClr w14:val="tx1"/>
            </w14:solidFill>
          </w14:textFill>
        </w:rPr>
        <w:t>包括节约资源、保护环境、</w:t>
      </w:r>
      <w:r>
        <w:rPr>
          <w:rFonts w:hint="eastAsia" w:ascii="仿宋" w:hAnsi="仿宋" w:eastAsia="仿宋" w:cs="仿宋"/>
          <w:color w:val="000000" w:themeColor="text1"/>
          <w:sz w:val="24"/>
          <w:highlight w:val="none"/>
          <w14:textFill>
            <w14:solidFill>
              <w14:schemeClr w14:val="tx1"/>
            </w14:solidFill>
          </w14:textFill>
        </w:rPr>
        <w:t>支持创新、</w:t>
      </w:r>
      <w:r>
        <w:rPr>
          <w:rFonts w:hint="eastAsia" w:ascii="仿宋" w:hAnsi="仿宋" w:eastAsia="仿宋" w:cs="仿宋"/>
          <w:color w:val="000000" w:themeColor="text1"/>
          <w:kern w:val="0"/>
          <w:sz w:val="24"/>
          <w:highlight w:val="none"/>
          <w14:textFill>
            <w14:solidFill>
              <w14:schemeClr w14:val="tx1"/>
            </w14:solidFill>
          </w14:textFill>
        </w:rPr>
        <w:t>促进中小企业发展等，详见磋商文件第三部分。</w:t>
      </w:r>
      <w:r>
        <w:rPr>
          <w:rFonts w:hint="eastAsia" w:ascii="仿宋" w:hAnsi="仿宋" w:eastAsia="仿宋" w:cs="仿宋"/>
          <w:b/>
          <w:color w:val="000000" w:themeColor="text1"/>
          <w:kern w:val="0"/>
          <w:sz w:val="24"/>
          <w:highlight w:val="none"/>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电子交易的说明: 1）电子交易：</w:t>
      </w:r>
      <w:r>
        <w:rPr>
          <w:rFonts w:hint="eastAsia" w:ascii="仿宋" w:hAnsi="仿宋" w:eastAsia="仿宋" w:cs="仿宋"/>
          <w:color w:val="000000" w:themeColor="text1"/>
          <w:sz w:val="24"/>
          <w:highlight w:val="none"/>
          <w14:textFill>
            <w14:solidFill>
              <w14:schemeClr w14:val="tx1"/>
            </w14:solidFill>
          </w14:textFill>
        </w:rPr>
        <w:t>本项目以数据电文形式，依托“政府采购云平台（www.zcygov.cn）”进行采购活动，不接受纸质响应文件。</w:t>
      </w:r>
      <w:r>
        <w:rPr>
          <w:rFonts w:hint="eastAsia" w:ascii="仿宋" w:hAnsi="仿宋" w:eastAsia="仿宋" w:cs="仿宋"/>
          <w:b/>
          <w:color w:val="000000" w:themeColor="text1"/>
          <w:sz w:val="24"/>
          <w:highlight w:val="none"/>
          <w14:textFill>
            <w14:solidFill>
              <w14:schemeClr w14:val="tx1"/>
            </w14:solidFill>
          </w14:textFill>
        </w:rPr>
        <w:t>2）响应准备：</w:t>
      </w:r>
      <w:r>
        <w:rPr>
          <w:rFonts w:hint="eastAsia" w:ascii="仿宋" w:hAnsi="仿宋" w:eastAsia="仿宋" w:cs="仿宋"/>
          <w:color w:val="000000" w:themeColor="text1"/>
          <w:sz w:val="24"/>
          <w:highlight w:val="none"/>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000000" w:themeColor="text1"/>
          <w:sz w:val="24"/>
          <w:highlight w:val="none"/>
          <w14:textFill>
            <w14:solidFill>
              <w14:schemeClr w14:val="tx1"/>
            </w14:solidFill>
          </w14:textFill>
        </w:rPr>
        <w:t>3）磋商文件的获取：</w:t>
      </w:r>
      <w:r>
        <w:rPr>
          <w:rFonts w:hint="eastAsia" w:ascii="仿宋" w:hAnsi="仿宋" w:eastAsia="仿宋" w:cs="仿宋"/>
          <w:color w:val="000000" w:themeColor="text1"/>
          <w:sz w:val="24"/>
          <w:highlight w:val="none"/>
          <w14:textFill>
            <w14:solidFill>
              <w14:schemeClr w14:val="tx1"/>
            </w14:solidFill>
          </w14:textFill>
        </w:rPr>
        <w:t>使用账号登录或者使用CA登录政采云平台；进入“项目采购”应用，在获取采购文件菜单中选择项目，获取磋商文件。</w:t>
      </w:r>
      <w:r>
        <w:rPr>
          <w:rFonts w:hint="eastAsia" w:ascii="仿宋" w:hAnsi="仿宋" w:eastAsia="仿宋" w:cs="仿宋"/>
          <w:b/>
          <w:color w:val="000000" w:themeColor="text1"/>
          <w:sz w:val="24"/>
          <w:highlight w:val="none"/>
          <w14:textFill>
            <w14:solidFill>
              <w14:schemeClr w14:val="tx1"/>
            </w14:solidFill>
          </w14:textFill>
        </w:rPr>
        <w:t>4）响应文件的制作：</w:t>
      </w:r>
      <w:r>
        <w:rPr>
          <w:rFonts w:hint="eastAsia" w:ascii="仿宋" w:hAnsi="仿宋" w:eastAsia="仿宋" w:cs="仿宋"/>
          <w:color w:val="000000" w:themeColor="text1"/>
          <w:sz w:val="24"/>
          <w:highlight w:val="none"/>
          <w14:textFill>
            <w14:solidFill>
              <w14:schemeClr w14:val="tx1"/>
            </w14:solidFill>
          </w14:textFill>
        </w:rPr>
        <w:t>在“政采云电子交易客户端”中完成“填写基本信息”、“导入投标文件”、“标书关联”、“标书检查”、“电子签名”、“生成电子标书”等操作。</w:t>
      </w:r>
      <w:r>
        <w:rPr>
          <w:rFonts w:hint="eastAsia" w:ascii="仿宋" w:hAnsi="仿宋" w:eastAsia="仿宋" w:cs="仿宋"/>
          <w:b/>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对未按上述方式获取磋商文件的供应商对该文件提出的质疑，采购人或采购代理机构将不予处理</w:t>
      </w:r>
      <w:r>
        <w:rPr>
          <w:rFonts w:hint="eastAsia" w:ascii="仿宋" w:hAnsi="仿宋" w:eastAsia="仿宋" w:cs="仿宋"/>
          <w:b/>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不提供磋商文件纸质版；</w:t>
      </w:r>
      <w:r>
        <w:rPr>
          <w:rFonts w:hint="eastAsia" w:ascii="仿宋" w:hAnsi="仿宋" w:eastAsia="仿宋" w:cs="仿宋"/>
          <w:b/>
          <w:color w:val="000000" w:themeColor="text1"/>
          <w:sz w:val="24"/>
          <w:highlight w:val="none"/>
          <w14:textFill>
            <w14:solidFill>
              <w14:schemeClr w14:val="tx1"/>
            </w14:solidFill>
          </w14:textFill>
        </w:rPr>
        <w:t>8）响应文件的传输提交：</w:t>
      </w:r>
      <w:r>
        <w:rPr>
          <w:rFonts w:hint="eastAsia" w:ascii="仿宋" w:hAnsi="仿宋" w:eastAsia="仿宋" w:cs="仿宋"/>
          <w:color w:val="000000" w:themeColor="text1"/>
          <w:sz w:val="24"/>
          <w:highlight w:val="none"/>
          <w14:textFill>
            <w14:solidFill>
              <w14:schemeClr w14:val="tx1"/>
            </w14:solidFill>
          </w14:textFill>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000000" w:themeColor="text1"/>
          <w:sz w:val="24"/>
          <w:highlight w:val="none"/>
          <w14:textFill>
            <w14:solidFill>
              <w14:schemeClr w14:val="tx1"/>
            </w14:solidFill>
          </w14:textFill>
        </w:rPr>
        <w:t>9）响应文件的解密：</w:t>
      </w:r>
      <w:r>
        <w:rPr>
          <w:rFonts w:hint="eastAsia" w:ascii="仿宋" w:hAnsi="仿宋" w:eastAsia="仿宋" w:cs="仿宋"/>
          <w:color w:val="000000" w:themeColor="text1"/>
          <w:sz w:val="24"/>
          <w:highlight w:val="none"/>
          <w14:textFill>
            <w14:solidFill>
              <w14:schemeClr w14:val="tx1"/>
            </w14:solidFill>
          </w14:textFill>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000000" w:themeColor="text1"/>
          <w:sz w:val="24"/>
          <w:highlight w:val="none"/>
          <w14:textFill>
            <w14:solidFill>
              <w14:schemeClr w14:val="tx1"/>
            </w14:solidFill>
          </w14:textFill>
        </w:rPr>
        <w:t>）具体操作指南</w:t>
      </w:r>
      <w:r>
        <w:rPr>
          <w:rFonts w:hint="eastAsia" w:ascii="仿宋" w:hAnsi="仿宋" w:eastAsia="仿宋" w:cs="仿宋"/>
          <w:color w:val="000000" w:themeColor="text1"/>
          <w:sz w:val="24"/>
          <w:highlight w:val="none"/>
          <w14:textFill>
            <w14:solidFill>
              <w14:schemeClr w14:val="tx1"/>
            </w14:solidFill>
          </w14:textFill>
        </w:rPr>
        <w:t>：详见政采云平台“服务中心-帮助文档-项目采购-操作流程-电子招投标-政府采购项目电子交易管理操作指南-供应商”。（3）磋商文件公告期限与磋商公告的公告期限一致。</w:t>
      </w:r>
    </w:p>
    <w:p w14:paraId="6C121490">
      <w:pPr>
        <w:pStyle w:val="3"/>
        <w:tabs>
          <w:tab w:val="left" w:pos="432"/>
        </w:tabs>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36" w:name="_Toc35393805"/>
      <w:bookmarkStart w:id="37" w:name="_Toc28359018"/>
      <w:bookmarkStart w:id="38" w:name="_Toc35393636"/>
      <w:bookmarkStart w:id="39" w:name="_Toc28359095"/>
      <w:r>
        <w:rPr>
          <w:rFonts w:hint="eastAsia" w:ascii="仿宋" w:hAnsi="仿宋" w:eastAsia="仿宋" w:cs="仿宋"/>
          <w:color w:val="000000" w:themeColor="text1"/>
          <w:sz w:val="24"/>
          <w:szCs w:val="24"/>
          <w:highlight w:val="none"/>
          <w14:textFill>
            <w14:solidFill>
              <w14:schemeClr w14:val="tx1"/>
            </w14:solidFill>
          </w14:textFill>
        </w:rPr>
        <w:t>八、凡对本次采购提出询问</w:t>
      </w:r>
      <w:r>
        <w:rPr>
          <w:rFonts w:hint="eastAsia" w:ascii="仿宋" w:hAnsi="仿宋" w:eastAsia="仿宋" w:cs="仿宋"/>
          <w:bCs w:val="0"/>
          <w:color w:val="000000" w:themeColor="text1"/>
          <w:sz w:val="24"/>
          <w:szCs w:val="24"/>
          <w:highlight w:val="none"/>
          <w14:textFill>
            <w14:solidFill>
              <w14:schemeClr w14:val="tx1"/>
            </w14:solidFill>
          </w14:textFill>
        </w:rPr>
        <w:t>、质疑、投诉</w:t>
      </w:r>
      <w:r>
        <w:rPr>
          <w:rFonts w:hint="eastAsia" w:ascii="仿宋" w:hAnsi="仿宋" w:eastAsia="仿宋" w:cs="仿宋"/>
          <w:color w:val="000000" w:themeColor="text1"/>
          <w:sz w:val="24"/>
          <w:szCs w:val="24"/>
          <w:highlight w:val="none"/>
          <w14:textFill>
            <w14:solidFill>
              <w14:schemeClr w14:val="tx1"/>
            </w14:solidFill>
          </w14:textFill>
        </w:rPr>
        <w:t>，请按以下方式联系</w:t>
      </w:r>
      <w:bookmarkEnd w:id="36"/>
      <w:bookmarkEnd w:id="37"/>
      <w:bookmarkEnd w:id="38"/>
      <w:bookmarkEnd w:id="39"/>
    </w:p>
    <w:p w14:paraId="2CDDFEA3">
      <w:pPr>
        <w:pStyle w:val="3"/>
        <w:tabs>
          <w:tab w:val="left" w:pos="432"/>
        </w:tabs>
        <w:ind w:left="432" w:hanging="432"/>
        <w:rPr>
          <w:rFonts w:hint="eastAsia" w:ascii="仿宋" w:hAnsi="仿宋" w:eastAsia="仿宋" w:cs="仿宋"/>
          <w:color w:val="000000" w:themeColor="text1"/>
          <w:sz w:val="24"/>
          <w:szCs w:val="24"/>
          <w:highlight w:val="none"/>
          <w14:textFill>
            <w14:solidFill>
              <w14:schemeClr w14:val="tx1"/>
            </w14:solidFill>
          </w14:textFill>
        </w:rPr>
      </w:pPr>
      <w:bookmarkStart w:id="40" w:name="_Toc28359019"/>
      <w:bookmarkStart w:id="41" w:name="_Toc35393637"/>
      <w:bookmarkStart w:id="42" w:name="_Toc35393806"/>
      <w:bookmarkStart w:id="43" w:name="_Toc28359096"/>
      <w:r>
        <w:rPr>
          <w:rFonts w:hint="eastAsia" w:ascii="仿宋" w:hAnsi="仿宋" w:eastAsia="仿宋" w:cs="仿宋"/>
          <w:color w:val="000000" w:themeColor="text1"/>
          <w:sz w:val="24"/>
          <w:szCs w:val="24"/>
          <w:highlight w:val="none"/>
          <w14:textFill>
            <w14:solidFill>
              <w14:schemeClr w14:val="tx1"/>
            </w14:solidFill>
          </w14:textFill>
        </w:rPr>
        <w:t>1.采购人信息</w:t>
      </w:r>
      <w:bookmarkEnd w:id="40"/>
      <w:bookmarkEnd w:id="41"/>
      <w:bookmarkEnd w:id="42"/>
      <w:bookmarkEnd w:id="43"/>
      <w:r>
        <w:rPr>
          <w:rFonts w:hint="eastAsia" w:ascii="仿宋" w:hAnsi="仿宋" w:eastAsia="仿宋" w:cs="仿宋"/>
          <w:color w:val="000000" w:themeColor="text1"/>
          <w:sz w:val="24"/>
          <w:szCs w:val="24"/>
          <w:highlight w:val="none"/>
          <w14:textFill>
            <w14:solidFill>
              <w14:schemeClr w14:val="tx1"/>
            </w14:solidFill>
          </w14:textFill>
        </w:rPr>
        <w:t>：</w:t>
      </w:r>
    </w:p>
    <w:p w14:paraId="5401959F">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 xml:space="preserve">名    称：杭州市临安区水利水电局 </w:t>
      </w:r>
    </w:p>
    <w:p w14:paraId="5482A65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    址：</w:t>
      </w:r>
      <w:bookmarkStart w:id="44" w:name="_Toc28359097"/>
      <w:bookmarkStart w:id="45" w:name="_Toc35393807"/>
      <w:bookmarkStart w:id="46" w:name="_Toc35393638"/>
      <w:bookmarkStart w:id="47" w:name="_Toc28359020"/>
      <w:r>
        <w:rPr>
          <w:rFonts w:hint="eastAsia" w:ascii="仿宋" w:hAnsi="仿宋" w:eastAsia="仿宋" w:cs="仿宋"/>
          <w:sz w:val="24"/>
          <w:highlight w:val="none"/>
        </w:rPr>
        <w:t>杭州市临安区锦城街道城中街249号</w:t>
      </w:r>
    </w:p>
    <w:p w14:paraId="7A27E37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项目联系人（询问）：陈彬 </w:t>
      </w:r>
    </w:p>
    <w:p w14:paraId="04AA4ED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项目联系方式（询问）：0571-89541563</w:t>
      </w:r>
    </w:p>
    <w:p w14:paraId="3932B2A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质疑联系人:刘勇</w:t>
      </w:r>
    </w:p>
    <w:p w14:paraId="3C1D0AD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质疑联系方式：0571-89541530</w:t>
      </w:r>
    </w:p>
    <w:p w14:paraId="74136E1E">
      <w:pPr>
        <w:pStyle w:val="3"/>
        <w:tabs>
          <w:tab w:val="left" w:pos="432"/>
        </w:tabs>
        <w:ind w:left="432" w:hanging="43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2.采购代理机构信息</w:t>
      </w:r>
      <w:bookmarkEnd w:id="44"/>
      <w:bookmarkEnd w:id="45"/>
      <w:bookmarkEnd w:id="46"/>
      <w:bookmarkEnd w:id="47"/>
      <w:r>
        <w:rPr>
          <w:rFonts w:hint="eastAsia" w:ascii="仿宋" w:hAnsi="仿宋" w:eastAsia="仿宋" w:cs="仿宋"/>
          <w:color w:val="000000" w:themeColor="text1"/>
          <w:sz w:val="24"/>
          <w:szCs w:val="24"/>
          <w:highlight w:val="none"/>
          <w14:textFill>
            <w14:solidFill>
              <w14:schemeClr w14:val="tx1"/>
            </w14:solidFill>
          </w14:textFill>
        </w:rPr>
        <w:t>：</w:t>
      </w:r>
    </w:p>
    <w:p w14:paraId="28FE227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称：浙江中瑞工程管理有限公司</w:t>
      </w:r>
    </w:p>
    <w:p w14:paraId="4EA23B3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bookmarkStart w:id="48" w:name="_Toc28359021"/>
      <w:bookmarkStart w:id="49" w:name="_Toc28359098"/>
      <w:bookmarkStart w:id="50" w:name="_Toc35393639"/>
      <w:bookmarkStart w:id="51" w:name="_Toc35393808"/>
      <w:r>
        <w:rPr>
          <w:rFonts w:hint="eastAsia" w:ascii="仿宋" w:hAnsi="仿宋" w:eastAsia="仿宋" w:cs="仿宋"/>
          <w:color w:val="000000" w:themeColor="text1"/>
          <w:sz w:val="24"/>
          <w:highlight w:val="none"/>
          <w14:textFill>
            <w14:solidFill>
              <w14:schemeClr w14:val="tx1"/>
            </w14:solidFill>
          </w14:textFill>
        </w:rPr>
        <w:t xml:space="preserve">杭州市临安区锦北街道西墅街560号  </w:t>
      </w:r>
    </w:p>
    <w:p w14:paraId="6BBFDB2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13B53E9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项目联系人（询问）：周工</w:t>
      </w:r>
    </w:p>
    <w:p w14:paraId="77F5AD7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项目联系方式（询问）：18267184377</w:t>
      </w:r>
    </w:p>
    <w:p w14:paraId="003D6FF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质疑联系人：何工  </w:t>
      </w:r>
    </w:p>
    <w:p w14:paraId="79D6D16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质疑联系方式：13758196112</w:t>
      </w:r>
    </w:p>
    <w:p w14:paraId="65A3802D">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 xml:space="preserve"> 同级政府采购监督管理部门：            </w:t>
      </w:r>
    </w:p>
    <w:bookmarkEnd w:id="48"/>
    <w:bookmarkEnd w:id="49"/>
    <w:bookmarkEnd w:id="50"/>
    <w:bookmarkEnd w:id="51"/>
    <w:p w14:paraId="7EC6FF3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名    称：杭州市临安区财政局政府采购监督管理科    </w:t>
      </w:r>
    </w:p>
    <w:p w14:paraId="049797B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址：杭州市临安区锦城街道临天路1950号财政大楼411室</w:t>
      </w:r>
    </w:p>
    <w:p w14:paraId="25E6C99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    真：0571-89541600 </w:t>
      </w:r>
    </w:p>
    <w:p w14:paraId="561AC66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联系人 ：赵女士 </w:t>
      </w:r>
    </w:p>
    <w:p w14:paraId="4DCC328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监督投诉电话：0571-89541692、89541691、89541697</w:t>
      </w:r>
    </w:p>
    <w:p w14:paraId="2FF0F90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48640B4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14:paraId="2A666F07">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14:paraId="0DF5F959">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14:paraId="13B836D4">
      <w:pP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40437031">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 竞争性磋商流程</w:t>
      </w:r>
    </w:p>
    <w:p w14:paraId="362AABF3">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1.征集供应商</w:t>
      </w:r>
    </w:p>
    <w:p w14:paraId="162312DE">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1.1邀请供应商。</w:t>
      </w:r>
    </w:p>
    <w:p w14:paraId="66520234">
      <w:pPr>
        <w:pStyle w:val="404"/>
        <w:numPr>
          <w:ilvl w:val="0"/>
          <w:numId w:val="7"/>
        </w:numPr>
        <w:spacing w:before="0"/>
        <w:ind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采用公告方式邀请供应商的，</w:t>
      </w:r>
      <w:r>
        <w:rPr>
          <w:rFonts w:hint="eastAsia" w:ascii="仿宋" w:hAnsi="仿宋" w:eastAsia="仿宋" w:cs="仿宋"/>
          <w:color w:val="000000" w:themeColor="text1"/>
          <w:szCs w:val="24"/>
          <w:highlight w:val="none"/>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14:paraId="79683E41">
      <w:pPr>
        <w:pStyle w:val="404"/>
        <w:numPr>
          <w:ilvl w:val="0"/>
          <w:numId w:val="7"/>
        </w:numPr>
        <w:spacing w:before="0"/>
        <w:ind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采用随机抽取方式邀请供应商的，</w:t>
      </w:r>
      <w:r>
        <w:rPr>
          <w:rFonts w:hint="eastAsia" w:ascii="仿宋" w:hAnsi="仿宋" w:eastAsia="仿宋" w:cs="仿宋"/>
          <w:color w:val="000000" w:themeColor="text1"/>
          <w:szCs w:val="24"/>
          <w:highlight w:val="none"/>
          <w14:textFill>
            <w14:solidFill>
              <w14:schemeClr w14:val="tx1"/>
            </w14:solidFill>
          </w14:textFill>
        </w:rPr>
        <w:t>由采购人、采购代理机构从省级以上财政部门建立的供应商库中随机抽取不少于3家符合相应资格条件的供应商参与竞争性磋商采购活动。</w:t>
      </w:r>
    </w:p>
    <w:p w14:paraId="6E41EA37">
      <w:pPr>
        <w:pStyle w:val="404"/>
        <w:numPr>
          <w:ilvl w:val="0"/>
          <w:numId w:val="7"/>
        </w:numPr>
        <w:spacing w:before="0"/>
        <w:ind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采用书面推荐方式邀请供应商的，</w:t>
      </w:r>
      <w:r>
        <w:rPr>
          <w:rFonts w:hint="eastAsia" w:ascii="仿宋" w:hAnsi="仿宋" w:eastAsia="仿宋" w:cs="仿宋"/>
          <w:color w:val="000000" w:themeColor="text1"/>
          <w:szCs w:val="24"/>
          <w:highlight w:val="none"/>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A9DC6CC">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1.2供应商获取磋商文件。</w:t>
      </w:r>
    </w:p>
    <w:p w14:paraId="17499B51">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1.3组织现场考察或召开答疑会（如果有）。</w:t>
      </w:r>
    </w:p>
    <w:p w14:paraId="2C4059A4">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1.4发布更正（延期）公告，澄清或修改磋商文件（如果有）。</w:t>
      </w:r>
    </w:p>
    <w:p w14:paraId="29699439">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1.5供应商按磋商文件要求编制响应文件。</w:t>
      </w:r>
    </w:p>
    <w:p w14:paraId="189C2448">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2.响应文件开启与信用信息查询</w:t>
      </w:r>
    </w:p>
    <w:p w14:paraId="567830E9">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14:paraId="5BC84453">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2.2</w:t>
      </w:r>
      <w:r>
        <w:rPr>
          <w:rFonts w:hint="eastAsia" w:ascii="仿宋" w:hAnsi="仿宋" w:eastAsia="仿宋" w:cs="仿宋"/>
          <w:color w:val="000000" w:themeColor="text1"/>
          <w:kern w:val="0"/>
          <w:szCs w:val="24"/>
          <w:highlight w:val="none"/>
          <w14:textFill>
            <w14:solidFill>
              <w14:schemeClr w14:val="tx1"/>
            </w14:solidFill>
          </w14:textFill>
        </w:rPr>
        <w:t>采购代理机构将通过“信用中国”网站(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9"/>
          <w:rFonts w:hint="eastAsia" w:ascii="仿宋" w:hAnsi="仿宋" w:eastAsia="仿宋" w:cs="仿宋"/>
          <w:snapToGrid/>
          <w:color w:val="000000" w:themeColor="text1"/>
          <w:sz w:val="24"/>
          <w:szCs w:val="24"/>
          <w:highlight w:val="none"/>
          <w14:textFill>
            <w14:solidFill>
              <w14:schemeClr w14:val="tx1"/>
            </w14:solidFill>
          </w14:textFill>
        </w:rPr>
        <w:t>www.creditchina.gov.cn</w:t>
      </w:r>
      <w:r>
        <w:rPr>
          <w:rStyle w:val="69"/>
          <w:rFonts w:hint="eastAsia" w:ascii="仿宋" w:hAnsi="仿宋" w:eastAsia="仿宋" w:cs="仿宋"/>
          <w:snapToGrid/>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Cs w:val="24"/>
          <w:highlight w:val="none"/>
          <w14:textFill>
            <w14:solidFill>
              <w14:schemeClr w14:val="tx1"/>
            </w14:solidFill>
          </w14:textFill>
        </w:rPr>
        <w:t>)和中国政府采购网(www.ccgp.gov.cn)渠道查询供应商响应截止时间当日的信用记录。</w:t>
      </w:r>
    </w:p>
    <w:p w14:paraId="478D0022">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3.磋商与评审</w:t>
      </w:r>
    </w:p>
    <w:p w14:paraId="1AAD3196">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3.1磋商小组签到。</w:t>
      </w:r>
    </w:p>
    <w:p w14:paraId="654FE218">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3.2采购代理机构宣布有关纪律以及磋商、评审工作程序。</w:t>
      </w:r>
    </w:p>
    <w:p w14:paraId="52CF8ECF">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3.3磋商小组审查确认磋商文件。磋商文件内容违反国家有关强制性规定的，磋商小组应当停止评审并向采购代理机构说明情况。</w:t>
      </w:r>
    </w:p>
    <w:p w14:paraId="066657DE">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3.4磋商小组对供应商的资格进行审查。</w:t>
      </w:r>
    </w:p>
    <w:p w14:paraId="5FBD671E">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3.5磋商小组审查响应文件。</w:t>
      </w:r>
    </w:p>
    <w:p w14:paraId="581E6E90">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3.6对于未实质性响应磋商文件的响应文件由磋商小组认定响应无效，并告知该供应商。</w:t>
      </w:r>
    </w:p>
    <w:p w14:paraId="48305BE7">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485C2C5">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3楼讲标室通过视频会议系统或自备CA数字证书、笔记本电脑等开展磋商活动。</w:t>
      </w:r>
    </w:p>
    <w:p w14:paraId="0F14711C">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4E12947B">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1F984E8">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3.11磋商小组按照下列方式确定提交最后报价的供应商，有特殊规定的从其规定：</w:t>
      </w:r>
    </w:p>
    <w:p w14:paraId="352BB5A9">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24365946">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D1699EE">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3.12确定进入最后报价的供应商在规定时间内提交最后报价。</w:t>
      </w:r>
    </w:p>
    <w:p w14:paraId="5B02216C">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3.13采购代理机构唱价。</w:t>
      </w:r>
    </w:p>
    <w:p w14:paraId="1E95A75B">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20E8067">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3.15磋商小组应当根据综合评分情况，按照评审得分由高到低顺序推荐3名以上成交候选供应商，并编写评审报告。</w:t>
      </w:r>
    </w:p>
    <w:p w14:paraId="0C693646">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4. 成交</w:t>
      </w:r>
    </w:p>
    <w:p w14:paraId="495A1C97">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1E569AD">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408F697">
      <w:pPr>
        <w:pStyle w:val="404"/>
        <w:spacing w:before="0"/>
        <w:ind w:firstLine="0" w:firstLineChars="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5.合同及履约验收</w:t>
      </w:r>
    </w:p>
    <w:p w14:paraId="43DD8D67">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5.1采购人与成交供应商应当在成交通知书发出之日起10个工作日内签订政府采购合同。</w:t>
      </w:r>
    </w:p>
    <w:p w14:paraId="5AFA2C0D">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5.2成交供应商按照政策要求及合同约定缴纳履约保证金。</w:t>
      </w:r>
    </w:p>
    <w:p w14:paraId="67DB195F">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5.3合同履约。</w:t>
      </w:r>
    </w:p>
    <w:p w14:paraId="27F6E087">
      <w:pPr>
        <w:pStyle w:val="40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5.4采购人组织验收。</w:t>
      </w:r>
    </w:p>
    <w:p w14:paraId="40F7FE90">
      <w:pPr>
        <w:widowControl/>
        <w:adjustRightInd/>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347905A1">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6.竞争性磋商流程图</w:t>
      </w:r>
    </w:p>
    <w:p w14:paraId="1B654160">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1B2617AF">
      <w:pPr>
        <w:widowControl/>
        <w:adjustRightInd/>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2DC00C7">
      <w:pPr>
        <w:widowControl/>
        <w:adjustRightInd/>
        <w:jc w:val="left"/>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F7DCA">
                            <w:pPr>
                              <w:rPr>
                                <w:rFonts w:hint="eastAsia" w:asciiTheme="minorEastAsia" w:hAnsiTheme="minorEastAsia" w:eastAsiaTheme="minorEastAsia"/>
                              </w:rPr>
                            </w:pPr>
                            <w:r>
                              <w:rPr>
                                <w:rFonts w:hint="eastAsia" w:asciiTheme="minorEastAsia" w:hAnsiTheme="minorEastAsia" w:eastAsiaTheme="minorEastAsia"/>
                              </w:rPr>
                              <w:t>验收</w:t>
                            </w:r>
                          </w:p>
                          <w:p w14:paraId="6923BCEA">
                            <w:pPr>
                              <w:rPr>
                                <w:rFonts w:ascii="仿宋_GB2312" w:eastAsia="仿宋_GB2312"/>
                              </w:rPr>
                            </w:pPr>
                            <w:r>
                              <w:rPr>
                                <w:rFonts w:hint="eastAsia" w:ascii="仿宋_GB2312" w:eastAsia="仿宋_GB2312"/>
                              </w:rPr>
                              <w:t>立项</w:t>
                            </w:r>
                          </w:p>
                          <w:p w14:paraId="05ACAC0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6AFF7DCA">
                      <w:pPr>
                        <w:rPr>
                          <w:rFonts w:hint="eastAsia" w:asciiTheme="minorEastAsia" w:hAnsiTheme="minorEastAsia" w:eastAsiaTheme="minorEastAsia"/>
                        </w:rPr>
                      </w:pPr>
                      <w:r>
                        <w:rPr>
                          <w:rFonts w:hint="eastAsia" w:asciiTheme="minorEastAsia" w:hAnsiTheme="minorEastAsia" w:eastAsiaTheme="minorEastAsia"/>
                        </w:rPr>
                        <w:t>验收</w:t>
                      </w:r>
                    </w:p>
                    <w:p w14:paraId="6923BCEA">
                      <w:pPr>
                        <w:rPr>
                          <w:rFonts w:ascii="仿宋_GB2312" w:eastAsia="仿宋_GB2312"/>
                        </w:rPr>
                      </w:pPr>
                      <w:r>
                        <w:rPr>
                          <w:rFonts w:hint="eastAsia" w:ascii="仿宋_GB2312" w:eastAsia="仿宋_GB2312"/>
                        </w:rPr>
                        <w:t>立项</w:t>
                      </w:r>
                    </w:p>
                    <w:p w14:paraId="05ACAC08">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B2CF52">
                            <w:pPr>
                              <w:rPr>
                                <w:rFonts w:hint="eastAsia" w:asciiTheme="minorEastAsia" w:hAnsiTheme="minorEastAsia" w:eastAsiaTheme="minorEastAsia"/>
                              </w:rPr>
                            </w:pPr>
                            <w:r>
                              <w:rPr>
                                <w:rFonts w:hint="eastAsia" w:asciiTheme="minorEastAsia" w:hAnsiTheme="minorEastAsia" w:eastAsiaTheme="minorEastAsia"/>
                              </w:rPr>
                              <w:t>履约</w:t>
                            </w:r>
                          </w:p>
                          <w:p w14:paraId="735DBBFD">
                            <w:pPr>
                              <w:rPr>
                                <w:rFonts w:ascii="仿宋_GB2312" w:eastAsia="仿宋_GB2312"/>
                              </w:rPr>
                            </w:pPr>
                            <w:r>
                              <w:rPr>
                                <w:rFonts w:hint="eastAsia" w:ascii="仿宋_GB2312" w:eastAsia="仿宋_GB2312"/>
                              </w:rPr>
                              <w:t>立项</w:t>
                            </w:r>
                          </w:p>
                          <w:p w14:paraId="628BF99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DB2CF52">
                      <w:pPr>
                        <w:rPr>
                          <w:rFonts w:hint="eastAsia" w:asciiTheme="minorEastAsia" w:hAnsiTheme="minorEastAsia" w:eastAsiaTheme="minorEastAsia"/>
                        </w:rPr>
                      </w:pPr>
                      <w:r>
                        <w:rPr>
                          <w:rFonts w:hint="eastAsia" w:asciiTheme="minorEastAsia" w:hAnsiTheme="minorEastAsia" w:eastAsiaTheme="minorEastAsia"/>
                        </w:rPr>
                        <w:t>履约</w:t>
                      </w:r>
                    </w:p>
                    <w:p w14:paraId="735DBBFD">
                      <w:pPr>
                        <w:rPr>
                          <w:rFonts w:ascii="仿宋_GB2312" w:eastAsia="仿宋_GB2312"/>
                        </w:rPr>
                      </w:pPr>
                      <w:r>
                        <w:rPr>
                          <w:rFonts w:hint="eastAsia" w:ascii="仿宋_GB2312" w:eastAsia="仿宋_GB2312"/>
                        </w:rPr>
                        <w:t>立项</w:t>
                      </w:r>
                    </w:p>
                    <w:p w14:paraId="628BF99B">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DB97C4">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24839CEA">
                            <w:pPr>
                              <w:rPr>
                                <w:rFonts w:ascii="仿宋_GB2312" w:eastAsia="仿宋_GB2312"/>
                              </w:rPr>
                            </w:pPr>
                            <w:r>
                              <w:rPr>
                                <w:rFonts w:hint="eastAsia" w:ascii="仿宋_GB2312" w:eastAsia="仿宋_GB2312"/>
                              </w:rPr>
                              <w:t>立项</w:t>
                            </w:r>
                          </w:p>
                          <w:p w14:paraId="731E038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8DB97C4">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24839CEA">
                      <w:pPr>
                        <w:rPr>
                          <w:rFonts w:ascii="仿宋_GB2312" w:eastAsia="仿宋_GB2312"/>
                        </w:rPr>
                      </w:pPr>
                      <w:r>
                        <w:rPr>
                          <w:rFonts w:hint="eastAsia" w:ascii="仿宋_GB2312" w:eastAsia="仿宋_GB2312"/>
                        </w:rPr>
                        <w:t>立项</w:t>
                      </w:r>
                    </w:p>
                    <w:p w14:paraId="731E0383">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D4583">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54A1D2A8">
                            <w:pPr>
                              <w:rPr>
                                <w:rFonts w:ascii="仿宋_GB2312" w:eastAsia="仿宋_GB2312"/>
                              </w:rPr>
                            </w:pPr>
                            <w:r>
                              <w:rPr>
                                <w:rFonts w:hint="eastAsia" w:ascii="仿宋_GB2312" w:eastAsia="仿宋_GB2312"/>
                              </w:rPr>
                              <w:t>立项</w:t>
                            </w:r>
                          </w:p>
                          <w:p w14:paraId="4A1DF21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E1D4583">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54A1D2A8">
                      <w:pPr>
                        <w:rPr>
                          <w:rFonts w:ascii="仿宋_GB2312" w:eastAsia="仿宋_GB2312"/>
                        </w:rPr>
                      </w:pPr>
                      <w:r>
                        <w:rPr>
                          <w:rFonts w:hint="eastAsia" w:ascii="仿宋_GB2312" w:eastAsia="仿宋_GB2312"/>
                        </w:rPr>
                        <w:t>立项</w:t>
                      </w:r>
                    </w:p>
                    <w:p w14:paraId="4A1DF21F">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5EF227">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0D5A36C">
                            <w:pPr>
                              <w:rPr>
                                <w:rFonts w:ascii="仿宋_GB2312" w:eastAsia="仿宋_GB2312"/>
                              </w:rPr>
                            </w:pPr>
                            <w:r>
                              <w:rPr>
                                <w:rFonts w:hint="eastAsia" w:ascii="仿宋_GB2312" w:eastAsia="仿宋_GB2312"/>
                              </w:rPr>
                              <w:t>立项</w:t>
                            </w:r>
                          </w:p>
                          <w:p w14:paraId="16EDC8D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15EF227">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0D5A36C">
                      <w:pPr>
                        <w:rPr>
                          <w:rFonts w:ascii="仿宋_GB2312" w:eastAsia="仿宋_GB2312"/>
                        </w:rPr>
                      </w:pPr>
                      <w:r>
                        <w:rPr>
                          <w:rFonts w:hint="eastAsia" w:ascii="仿宋_GB2312" w:eastAsia="仿宋_GB2312"/>
                        </w:rPr>
                        <w:t>立项</w:t>
                      </w:r>
                    </w:p>
                    <w:p w14:paraId="16EDC8D7">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1D802F">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4A8D1C5B">
                            <w:pPr>
                              <w:rPr>
                                <w:rFonts w:ascii="仿宋_GB2312" w:eastAsia="仿宋_GB2312"/>
                              </w:rPr>
                            </w:pPr>
                            <w:r>
                              <w:rPr>
                                <w:rFonts w:hint="eastAsia" w:ascii="仿宋_GB2312" w:eastAsia="仿宋_GB2312"/>
                              </w:rPr>
                              <w:t>立项</w:t>
                            </w:r>
                          </w:p>
                          <w:p w14:paraId="0BF734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C1D802F">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4A8D1C5B">
                      <w:pPr>
                        <w:rPr>
                          <w:rFonts w:ascii="仿宋_GB2312" w:eastAsia="仿宋_GB2312"/>
                        </w:rPr>
                      </w:pPr>
                      <w:r>
                        <w:rPr>
                          <w:rFonts w:hint="eastAsia" w:ascii="仿宋_GB2312" w:eastAsia="仿宋_GB2312"/>
                        </w:rPr>
                        <w:t>立项</w:t>
                      </w:r>
                    </w:p>
                    <w:p w14:paraId="0BF734D2">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644F7">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7BF97E15">
                            <w:pPr>
                              <w:rPr>
                                <w:rFonts w:ascii="仿宋_GB2312" w:eastAsia="仿宋_GB2312"/>
                              </w:rPr>
                            </w:pPr>
                            <w:r>
                              <w:rPr>
                                <w:rFonts w:hint="eastAsia" w:ascii="仿宋_GB2312" w:eastAsia="仿宋_GB2312"/>
                              </w:rPr>
                              <w:t>立项</w:t>
                            </w:r>
                          </w:p>
                          <w:p w14:paraId="639456E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EE644F7">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7BF97E15">
                      <w:pPr>
                        <w:rPr>
                          <w:rFonts w:ascii="仿宋_GB2312" w:eastAsia="仿宋_GB2312"/>
                        </w:rPr>
                      </w:pPr>
                      <w:r>
                        <w:rPr>
                          <w:rFonts w:hint="eastAsia" w:ascii="仿宋_GB2312" w:eastAsia="仿宋_GB2312"/>
                        </w:rPr>
                        <w:t>立项</w:t>
                      </w:r>
                    </w:p>
                    <w:p w14:paraId="639456EA">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D8E7BB">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7D8E7BB">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76F22E">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25BC80D4">
                            <w:pPr>
                              <w:jc w:val="center"/>
                              <w:rPr>
                                <w:rFonts w:ascii="仿宋_GB2312" w:eastAsia="仿宋_GB2312"/>
                              </w:rPr>
                            </w:pPr>
                          </w:p>
                          <w:p w14:paraId="36DA0D11">
                            <w:pPr>
                              <w:rPr>
                                <w:rFonts w:ascii="仿宋_GB2312" w:eastAsia="仿宋_GB2312"/>
                              </w:rPr>
                            </w:pPr>
                            <w:r>
                              <w:rPr>
                                <w:rFonts w:hint="eastAsia" w:ascii="仿宋_GB2312" w:eastAsia="仿宋_GB2312"/>
                              </w:rPr>
                              <w:t>立项</w:t>
                            </w:r>
                          </w:p>
                          <w:p w14:paraId="2745CD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4276F22E">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25BC80D4">
                      <w:pPr>
                        <w:jc w:val="center"/>
                        <w:rPr>
                          <w:rFonts w:ascii="仿宋_GB2312" w:eastAsia="仿宋_GB2312"/>
                        </w:rPr>
                      </w:pPr>
                    </w:p>
                    <w:p w14:paraId="36DA0D11">
                      <w:pPr>
                        <w:rPr>
                          <w:rFonts w:ascii="仿宋_GB2312" w:eastAsia="仿宋_GB2312"/>
                        </w:rPr>
                      </w:pPr>
                      <w:r>
                        <w:rPr>
                          <w:rFonts w:hint="eastAsia" w:ascii="仿宋_GB2312" w:eastAsia="仿宋_GB2312"/>
                        </w:rPr>
                        <w:t>立项</w:t>
                      </w:r>
                    </w:p>
                    <w:p w14:paraId="2745CD7B">
                      <w:pPr>
                        <w:rPr>
                          <w:rFonts w:ascii="仿宋_GB2312" w:eastAsia="仿宋_GB2312"/>
                        </w:rPr>
                      </w:pPr>
                    </w:p>
                  </w:txbxContent>
                </v:textbox>
              </v:shape>
            </w:pict>
          </mc:Fallback>
        </mc:AlternateContent>
      </w: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D03B82">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25D03B82">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C5E11">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18ABA59B">
                            <w:pPr>
                              <w:rPr>
                                <w:rFonts w:ascii="仿宋_GB2312" w:eastAsia="仿宋_GB2312"/>
                              </w:rPr>
                            </w:pPr>
                            <w:r>
                              <w:rPr>
                                <w:rFonts w:hint="eastAsia" w:ascii="仿宋_GB2312" w:eastAsia="仿宋_GB2312"/>
                              </w:rPr>
                              <w:t>立项</w:t>
                            </w:r>
                          </w:p>
                          <w:p w14:paraId="35AA911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C6C5E11">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18ABA59B">
                      <w:pPr>
                        <w:rPr>
                          <w:rFonts w:ascii="仿宋_GB2312" w:eastAsia="仿宋_GB2312"/>
                        </w:rPr>
                      </w:pPr>
                      <w:r>
                        <w:rPr>
                          <w:rFonts w:hint="eastAsia" w:ascii="仿宋_GB2312" w:eastAsia="仿宋_GB2312"/>
                        </w:rPr>
                        <w:t>立项</w:t>
                      </w:r>
                    </w:p>
                    <w:p w14:paraId="35AA9115">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6BFA87">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71F30C8C">
                            <w:pPr>
                              <w:rPr>
                                <w:rFonts w:ascii="仿宋_GB2312" w:eastAsia="仿宋_GB2312"/>
                              </w:rPr>
                            </w:pPr>
                            <w:r>
                              <w:rPr>
                                <w:rFonts w:hint="eastAsia" w:ascii="仿宋_GB2312" w:eastAsia="仿宋_GB2312"/>
                              </w:rPr>
                              <w:t>立项</w:t>
                            </w:r>
                          </w:p>
                          <w:p w14:paraId="0B6B39E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46BFA87">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71F30C8C">
                      <w:pPr>
                        <w:rPr>
                          <w:rFonts w:ascii="仿宋_GB2312" w:eastAsia="仿宋_GB2312"/>
                        </w:rPr>
                      </w:pPr>
                      <w:r>
                        <w:rPr>
                          <w:rFonts w:hint="eastAsia" w:ascii="仿宋_GB2312" w:eastAsia="仿宋_GB2312"/>
                        </w:rPr>
                        <w:t>立项</w:t>
                      </w:r>
                    </w:p>
                    <w:p w14:paraId="0B6B39EA">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w:br w:type="page"/>
      </w:r>
    </w:p>
    <w:p w14:paraId="41475610">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第三部分</w:t>
      </w:r>
      <w:bookmarkEnd w:id="7"/>
      <w:r>
        <w:rPr>
          <w:rFonts w:hint="eastAsia" w:ascii="仿宋" w:hAnsi="仿宋" w:eastAsia="仿宋" w:cs="仿宋"/>
          <w:b/>
          <w:color w:val="000000" w:themeColor="text1"/>
          <w:sz w:val="36"/>
          <w:szCs w:val="20"/>
          <w:highlight w:val="none"/>
          <w14:textFill>
            <w14:solidFill>
              <w14:schemeClr w14:val="tx1"/>
            </w14:solidFill>
          </w14:textFill>
        </w:rPr>
        <w:t xml:space="preserve">  供应商须知</w:t>
      </w:r>
      <w:bookmarkEnd w:id="8"/>
    </w:p>
    <w:p w14:paraId="0CE57088">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5267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AD06DA">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AD4B282">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B1CC612">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0CE70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6D51F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D0B0817">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FFC32F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服务类。</w:t>
            </w:r>
          </w:p>
        </w:tc>
      </w:tr>
      <w:tr w14:paraId="77ADD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B92C9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E1DE7BD">
            <w:pPr>
              <w:snapToGrid w:val="0"/>
              <w:spacing w:line="360" w:lineRule="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A5E82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（1）标的：</w:t>
            </w:r>
            <w:r>
              <w:rPr>
                <w:rFonts w:hint="eastAsia" w:ascii="仿宋" w:hAnsi="仿宋" w:eastAsia="仿宋" w:cs="仿宋"/>
                <w:color w:val="000000" w:themeColor="text1"/>
                <w:kern w:val="0"/>
                <w:sz w:val="24"/>
                <w:highlight w:val="none"/>
                <w:u w:val="single"/>
                <w14:textFill>
                  <w14:solidFill>
                    <w14:schemeClr w14:val="tx1"/>
                  </w14:solidFill>
                </w14:textFill>
              </w:rPr>
              <w:t>杭州市临安区小型水库和山塘运行维修养护管理服务</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其他未列明</w:t>
            </w:r>
            <w:r>
              <w:rPr>
                <w:rFonts w:hint="eastAsia" w:ascii="仿宋" w:hAnsi="仿宋" w:eastAsia="仿宋" w:cs="仿宋"/>
                <w:color w:val="000000" w:themeColor="text1"/>
                <w:kern w:val="0"/>
                <w:sz w:val="24"/>
                <w:highlight w:val="none"/>
                <w14:textFill>
                  <w14:solidFill>
                    <w14:schemeClr w14:val="tx1"/>
                  </w14:solidFill>
                </w14:textFill>
              </w:rPr>
              <w:t>行业；</w:t>
            </w:r>
          </w:p>
        </w:tc>
      </w:tr>
      <w:tr w14:paraId="409C8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E0706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7C7147A">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DE28D9">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14:paraId="77371EF6">
            <w:pPr>
              <w:spacing w:line="360" w:lineRule="auto"/>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可以就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采购进口产品。</w:t>
            </w:r>
          </w:p>
        </w:tc>
      </w:tr>
      <w:tr w14:paraId="14D34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02B2D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6DB54CF">
            <w:pP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CED5110">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工作分包。</w:t>
            </w:r>
          </w:p>
          <w:p w14:paraId="32D00B75">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p w14:paraId="397E0AEC">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注：不得限制大中型企业向小微企业合理分包。</w:t>
            </w:r>
          </w:p>
        </w:tc>
      </w:tr>
      <w:tr w14:paraId="741A0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AD990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AA795ED">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7CB4BDE">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571C2A64">
            <w:pPr>
              <w:spacing w:line="360" w:lineRule="auto"/>
              <w:rPr>
                <w:rFonts w:hint="eastAsia" w:ascii="仿宋" w:hAnsi="仿宋" w:eastAsia="仿宋" w:cs="仿宋"/>
                <w:color w:val="000000" w:themeColor="text1"/>
                <w:sz w:val="24"/>
                <w:szCs w:val="20"/>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tc>
      </w:tr>
      <w:tr w14:paraId="0FAB3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1D778E">
            <w:pPr>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9D24949">
            <w:pPr>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FC32A9E">
            <w:pPr>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44B61293">
            <w:pPr>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p>
          <w:p w14:paraId="7E32743F">
            <w:pP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2386F61C">
            <w:pP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101A33AB">
            <w:pP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评审标准</w:t>
            </w:r>
            <w:r>
              <w:rPr>
                <w:rFonts w:hint="eastAsia" w:ascii="仿宋" w:hAnsi="仿宋" w:eastAsia="仿宋" w:cs="仿宋"/>
                <w:color w:val="000000" w:themeColor="text1"/>
                <w:kern w:val="0"/>
                <w:sz w:val="24"/>
                <w:highlight w:val="none"/>
                <w14:textFill>
                  <w14:solidFill>
                    <w14:schemeClr w14:val="tx1"/>
                  </w14:solidFill>
                </w14:textFill>
              </w:rPr>
              <w:t>；</w:t>
            </w:r>
          </w:p>
          <w:p w14:paraId="12E613D7">
            <w:pP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（4）是否需要随样品提交检测报告：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21C1517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1E365E0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C957C52">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（7）制作、运输、安装和保管样品所发生的一切费用由供应商自理。</w:t>
            </w:r>
          </w:p>
        </w:tc>
      </w:tr>
      <w:tr w14:paraId="77BC8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50397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CF209B7">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8E74C20">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73B56AA2">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p>
          <w:p w14:paraId="29208CA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（1）在评审时安排每个供应商进行方案讲解演示。每个供应商时间不超过</w:t>
            </w:r>
            <w:r>
              <w:rPr>
                <w:rFonts w:hint="eastAsia" w:ascii="仿宋" w:hAnsi="仿宋" w:eastAsia="仿宋" w:cs="仿宋"/>
                <w:color w:val="000000" w:themeColor="text1"/>
                <w:kern w:val="0"/>
                <w:sz w:val="24"/>
                <w:highlight w:val="none"/>
                <w:u w:val="single"/>
                <w14:textFill>
                  <w14:solidFill>
                    <w14:schemeClr w14:val="tx1"/>
                  </w14:solidFill>
                </w14:textFill>
              </w:rPr>
              <w:t>10</w:t>
            </w:r>
            <w:r>
              <w:rPr>
                <w:rFonts w:hint="eastAsia" w:ascii="仿宋" w:hAnsi="仿宋" w:eastAsia="仿宋" w:cs="仿宋"/>
                <w:color w:val="000000" w:themeColor="text1"/>
                <w:kern w:val="0"/>
                <w:sz w:val="24"/>
                <w:highlight w:val="none"/>
                <w14:textFill>
                  <w14:solidFill>
                    <w14:schemeClr w14:val="tx1"/>
                  </w14:solidFill>
                </w14:textFill>
              </w:rPr>
              <w:t>分钟，讲解次序以响应文件解密时间先后次序为准，讲解演示人员不超过</w:t>
            </w:r>
            <w:r>
              <w:rPr>
                <w:rFonts w:hint="eastAsia" w:ascii="仿宋" w:hAnsi="仿宋" w:eastAsia="仿宋" w:cs="仿宋"/>
                <w:color w:val="000000" w:themeColor="text1"/>
                <w:kern w:val="0"/>
                <w:sz w:val="24"/>
                <w:highlight w:val="none"/>
                <w:u w:val="singl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人。讲解演示结束后按要求解答评标委员会提问。</w:t>
            </w:r>
          </w:p>
          <w:p w14:paraId="3467C62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（2）方案讲解演示可选择以下其中一种方式：</w:t>
            </w:r>
          </w:p>
          <w:p w14:paraId="0AFF709E">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一：投标人事先录制演示视频（时间不超过10分钟），在响应文件提交截止时间前递交一份演示视频电子文件，可邮寄，以U盘、光盘等介质存储并且密封包装（外包装上要求标注项目名称、项目编号、“演示视频电子文件”字样），发生泄露、遗失、损坏或延期送达等情况的，由投标人自行负责。也可将演示视频电子文件在响应文件提交截止时间前发送至邮箱：</w:t>
            </w:r>
            <w:r>
              <w:rPr>
                <w:highlight w:val="none"/>
              </w:rPr>
              <w:fldChar w:fldCharType="begin"/>
            </w:r>
            <w:r>
              <w:rPr>
                <w:highlight w:val="none"/>
              </w:rPr>
              <w:instrText xml:space="preserve"> HYPERLINK "mailto:1731967951@qq.com。" </w:instrText>
            </w:r>
            <w:r>
              <w:rPr>
                <w:highlight w:val="none"/>
              </w:rPr>
              <w:fldChar w:fldCharType="separate"/>
            </w:r>
            <w:r>
              <w:rPr>
                <w:rStyle w:val="69"/>
                <w:rFonts w:hint="eastAsia" w:ascii="仿宋" w:hAnsi="仿宋" w:eastAsia="仿宋" w:cs="仿宋"/>
                <w:color w:val="000000" w:themeColor="text1"/>
                <w:sz w:val="24"/>
                <w:highlight w:val="none"/>
                <w14:textFill>
                  <w14:solidFill>
                    <w14:schemeClr w14:val="tx1"/>
                  </w14:solidFill>
                </w14:textFill>
              </w:rPr>
              <w:t>541983336@qq.com。</w:t>
            </w:r>
            <w:r>
              <w:rPr>
                <w:rStyle w:val="69"/>
                <w:rFonts w:hint="eastAsia" w:ascii="仿宋" w:hAnsi="仿宋" w:eastAsia="仿宋" w:cs="仿宋"/>
                <w:color w:val="000000" w:themeColor="text1"/>
                <w:sz w:val="24"/>
                <w:highlight w:val="none"/>
                <w14:textFill>
                  <w14:solidFill>
                    <w14:schemeClr w14:val="tx1"/>
                  </w14:solidFill>
                </w14:textFill>
              </w:rPr>
              <w:fldChar w:fldCharType="end"/>
            </w:r>
          </w:p>
          <w:p w14:paraId="018D4D5A">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方式二：代理公司现场讲解演示。现场讲解地点为</w:t>
            </w:r>
            <w:r>
              <w:rPr>
                <w:rFonts w:hint="eastAsia" w:ascii="仿宋" w:hAnsi="仿宋" w:eastAsia="仿宋" w:cs="仿宋"/>
                <w:color w:val="000000" w:themeColor="text1"/>
                <w:kern w:val="0"/>
                <w:sz w:val="24"/>
                <w:highlight w:val="none"/>
                <w:u w:val="single"/>
                <w14:textFill>
                  <w14:solidFill>
                    <w14:schemeClr w14:val="tx1"/>
                  </w14:solidFill>
                </w14:textFill>
              </w:rPr>
              <w:t>杭州市临安区锦北街道西墅街560号</w:t>
            </w:r>
            <w:r>
              <w:rPr>
                <w:rFonts w:hint="eastAsia" w:ascii="仿宋" w:hAnsi="仿宋" w:eastAsia="仿宋" w:cs="仿宋"/>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499C0965">
            <w:pPr>
              <w:snapToGrid w:val="0"/>
              <w:spacing w:line="360" w:lineRule="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40C77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22F8F5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5127DCA9">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46EE28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（1）资格证明文件：见招标文件第三部分。</w:t>
            </w:r>
          </w:p>
          <w:p w14:paraId="51CA6114">
            <w:pPr>
              <w:spacing w:line="360" w:lineRule="auto"/>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供应商未提供有效的资格证明文件的，视为供应商不具备磋商文件中规定的资格要求，响应无效。</w:t>
            </w:r>
          </w:p>
        </w:tc>
      </w:tr>
      <w:tr w14:paraId="2BC24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C4E7BA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32C8D4CB">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0569A8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（2）资信证明文件：根据磋商文件第五部分评审标准提供。</w:t>
            </w:r>
          </w:p>
        </w:tc>
      </w:tr>
      <w:tr w14:paraId="6BCE1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2911D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B07565D">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1475B8">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00D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EE80C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0A60529">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C8A3D3B">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有关本项目实施所需的所有费用（含税费）均计入最后报价。《最后报价</w:t>
            </w:r>
            <w:r>
              <w:rPr>
                <w:rFonts w:hint="eastAsia" w:ascii="仿宋" w:hAnsi="仿宋" w:eastAsia="仿宋" w:cs="仿宋"/>
                <w:color w:val="000000" w:themeColor="text1"/>
                <w:sz w:val="24"/>
                <w:highlight w:val="none"/>
                <w14:textFill>
                  <w14:solidFill>
                    <w14:schemeClr w14:val="tx1"/>
                  </w14:solidFill>
                </w14:textFill>
              </w:rPr>
              <w:t>一览表（报价表）</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是最后报价的唯一载体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。磋商文件中价格全部采用人民币报价。磋商文件未列明，而供应商认为必需的费用也需列入报价。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提醒：验收时检测费用由采购人承担，不包含在最后报价中。</w:t>
            </w:r>
          </w:p>
          <w:p w14:paraId="1EC9D8FE">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最后报价出现下列情形的，响应无效：</w:t>
            </w:r>
          </w:p>
          <w:p w14:paraId="5033FD5F">
            <w:pPr>
              <w:snapToGrid w:val="0"/>
              <w:spacing w:line="360" w:lineRule="auto"/>
              <w:ind w:firstLine="241" w:firstLineChars="10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响应文件出现不是唯一的、有选择性的最后报价的；</w:t>
            </w:r>
          </w:p>
          <w:p w14:paraId="44149F93">
            <w:pPr>
              <w:snapToGrid w:val="0"/>
              <w:spacing w:line="360" w:lineRule="auto"/>
              <w:ind w:firstLine="241"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最后报价超过磋商文件中规定的预算金额或者最高限价的；</w:t>
            </w:r>
          </w:p>
          <w:p w14:paraId="31C80EEE">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10E24D24">
            <w:pPr>
              <w:spacing w:line="360" w:lineRule="auto"/>
              <w:ind w:firstLine="241"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供应商对根据修正原则修正后的报价不确认的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16857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4008FC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48DF4C07">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53B6DE65">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1.供应商成交后也可在“政采云”平台申请政采贷：操作路径：登录政采云平台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FF90BA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2.凡已在浙江政府采购网网上注册入库，并取得临安区政府采购合同的中小企业供应商，均可申请政府采购信用融资。</w:t>
            </w:r>
          </w:p>
        </w:tc>
      </w:tr>
      <w:tr w14:paraId="55B56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763BB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1BEEDC5">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82CB738">
            <w:pPr>
              <w:pStyle w:val="35"/>
              <w:spacing w:line="360" w:lineRule="auto"/>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color w:val="000000" w:themeColor="text1"/>
                <w:sz w:val="24"/>
                <w:highlight w:val="none"/>
                <w:u w:val="single"/>
                <w14:textFill>
                  <w14:solidFill>
                    <w14:schemeClr w14:val="tx1"/>
                  </w14:solidFill>
                </w14:textFill>
              </w:rPr>
              <w:t>杭州市临安区锦北街道西墅街560号</w:t>
            </w: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s="仿宋"/>
                <w:color w:val="000000" w:themeColor="text1"/>
                <w:sz w:val="24"/>
                <w:highlight w:val="none"/>
                <w:u w:val="single"/>
                <w14:textFill>
                  <w14:solidFill>
                    <w14:schemeClr w14:val="tx1"/>
                  </w14:solidFill>
                </w14:textFill>
              </w:rPr>
              <w:t>18267184377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采购人、采购代理机构不强制或变相强制投标人提交备份投标文件。</w:t>
            </w:r>
          </w:p>
        </w:tc>
      </w:tr>
      <w:tr w14:paraId="1019A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000000" w:sz="8" w:space="0"/>
              <w:right w:val="single" w:color="000000" w:sz="2" w:space="0"/>
            </w:tcBorders>
            <w:vAlign w:val="center"/>
          </w:tcPr>
          <w:p w14:paraId="4D81BCE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1A5ECFA3">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004B59A">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联合体投标的，联合体各方分别提供与联合体协议中规定的分工内容相应的业绩证明材料，业绩数量以提供材料较少的一方为准。招标文件第五部分评审方法及评审标准有其他规定的，从其规定。</w:t>
            </w:r>
          </w:p>
        </w:tc>
      </w:tr>
      <w:tr w14:paraId="42786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right w:val="single" w:color="000000" w:sz="2" w:space="0"/>
            </w:tcBorders>
            <w:vAlign w:val="center"/>
          </w:tcPr>
          <w:p w14:paraId="0614ED1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742598EA">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B9F9AE1">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联合体响应的，联合体各方均需按磋商文件第五部分评审标准要求提供资信证明文件，否则视为不符合相关要求。</w:t>
            </w:r>
          </w:p>
          <w:p w14:paraId="71909ECD">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3231189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联合体响应的，联合体中有一方或者联合体成员根据分工按磋商文件第五部分评审标准要求提供资信证明文件的，视为符合了相关要求。招标文件第五部分评审方法及评审标准有其他规定的，从其规定。</w:t>
            </w:r>
          </w:p>
        </w:tc>
      </w:tr>
      <w:tr w14:paraId="41CFC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right w:val="single" w:color="000000" w:sz="2" w:space="0"/>
            </w:tcBorders>
            <w:vAlign w:val="center"/>
          </w:tcPr>
          <w:p w14:paraId="0CC1DEA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3B7BDFA9">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3243563">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w:t>
            </w:r>
            <w:r>
              <w:rPr>
                <w:rFonts w:hint="eastAsia" w:ascii="仿宋" w:hAnsi="仿宋" w:eastAsia="仿宋" w:cs="仿宋"/>
                <w:snapToGrid w:val="0"/>
                <w:color w:val="000000" w:themeColor="text1"/>
                <w:kern w:val="28"/>
                <w:sz w:val="24"/>
                <w:highlight w:val="none"/>
                <w14:textFill>
                  <w14:solidFill>
                    <w14:schemeClr w14:val="tx1"/>
                  </w14:solidFill>
                </w14:textFill>
              </w:rPr>
              <w:t>第五部分评审方法及评审标准</w:t>
            </w:r>
            <w:r>
              <w:rPr>
                <w:rFonts w:hint="eastAsia" w:ascii="仿宋" w:hAnsi="仿宋" w:eastAsia="仿宋" w:cs="仿宋"/>
                <w:color w:val="000000" w:themeColor="text1"/>
                <w:kern w:val="0"/>
                <w:sz w:val="24"/>
                <w:highlight w:val="none"/>
                <w14:textFill>
                  <w14:solidFill>
                    <w14:schemeClr w14:val="tx1"/>
                  </w14:solidFill>
                </w14:textFill>
              </w:rPr>
              <w:t>对应的要求及第六部分采购合同的内容视为采购需求的一部分。</w:t>
            </w:r>
          </w:p>
        </w:tc>
      </w:tr>
      <w:tr w14:paraId="77DAE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right w:val="single" w:color="000000" w:sz="2" w:space="0"/>
            </w:tcBorders>
            <w:vAlign w:val="center"/>
          </w:tcPr>
          <w:p w14:paraId="5490081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0FAD14F5">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2C4913D">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中标单位在领取中标通知书时须提供与电子投标文件一致的纸质投标文件一正三副。</w:t>
            </w:r>
          </w:p>
        </w:tc>
      </w:tr>
      <w:tr w14:paraId="3405C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bottom w:val="single" w:color="auto" w:sz="4" w:space="0"/>
              <w:right w:val="single" w:color="000000" w:sz="2" w:space="0"/>
            </w:tcBorders>
            <w:vAlign w:val="center"/>
          </w:tcPr>
          <w:p w14:paraId="3DAF458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70078A8D">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727FE49">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解密开启后30分钟内，投标供应商将填写完整且经授权代表签署的《政府采购活动现场确认声明书》原件扫描件发送至邮箱：541983336@qq.com（格式见附件6）</w:t>
            </w:r>
          </w:p>
        </w:tc>
      </w:tr>
      <w:tr w14:paraId="33D8C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000000" w:sz="2" w:space="0"/>
            </w:tcBorders>
            <w:vAlign w:val="center"/>
          </w:tcPr>
          <w:p w14:paraId="0BEB730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2A30D1B5">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招标代理费</w:t>
            </w:r>
          </w:p>
        </w:tc>
        <w:tc>
          <w:tcPr>
            <w:tcW w:w="6095" w:type="dxa"/>
            <w:tcBorders>
              <w:top w:val="single" w:color="000000" w:sz="8" w:space="0"/>
              <w:left w:val="single" w:color="auto" w:sz="4" w:space="0"/>
              <w:bottom w:val="single" w:color="000000" w:sz="8" w:space="0"/>
              <w:right w:val="single" w:color="000000" w:sz="8" w:space="0"/>
            </w:tcBorders>
            <w:vAlign w:val="center"/>
          </w:tcPr>
          <w:p w14:paraId="63B22DAC">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14:paraId="56920797">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 xml:space="preserve">收款单位（户名）: 浙江中瑞工程管理有限公司临安区分公司 </w:t>
            </w:r>
          </w:p>
          <w:p w14:paraId="3912F771">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开户银行：杭州银行临安支行</w:t>
            </w:r>
          </w:p>
          <w:p w14:paraId="1B514A7D">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银行账号：3301041060000156608</w:t>
            </w:r>
          </w:p>
          <w:p w14:paraId="3C193379">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备注：放弃中标（成交）资格的供应商，须承担本项目招标代理费和专家评审费等费用。</w:t>
            </w:r>
          </w:p>
        </w:tc>
      </w:tr>
    </w:tbl>
    <w:p w14:paraId="51A02CE7">
      <w:pPr>
        <w:snapToGrid w:val="0"/>
        <w:jc w:val="center"/>
        <w:rPr>
          <w:rFonts w:hint="eastAsia" w:ascii="仿宋" w:hAnsi="仿宋" w:eastAsia="仿宋" w:cs="仿宋"/>
          <w:b/>
          <w:color w:val="000000" w:themeColor="text1"/>
          <w:sz w:val="32"/>
          <w:szCs w:val="20"/>
          <w:highlight w:val="none"/>
          <w14:textFill>
            <w14:solidFill>
              <w14:schemeClr w14:val="tx1"/>
            </w14:solidFill>
          </w14:textFill>
        </w:rPr>
      </w:pPr>
    </w:p>
    <w:p w14:paraId="75430E86">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二、总则</w:t>
      </w:r>
    </w:p>
    <w:p w14:paraId="42638619">
      <w:pPr>
        <w:snapToGrid w:val="0"/>
        <w:spacing w:line="360" w:lineRule="auto"/>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712C9308">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4B416043">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14:paraId="37F27C5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“采购人”系指磋商邀请公告中载明的本项目的采购人。</w:t>
      </w:r>
    </w:p>
    <w:p w14:paraId="385EA05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“采购代理机构”系指磋商邀请公告中载明的本项目的采购代理机构。</w:t>
      </w:r>
    </w:p>
    <w:p w14:paraId="3CB7FFD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“供应商”系指响应磋商、参加本次竞争的法人、其他组织或自然人。</w:t>
      </w:r>
    </w:p>
    <w:p w14:paraId="0B63262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704FFF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 “成交人”系指经评审确定的成交供应商。</w:t>
      </w:r>
    </w:p>
    <w:p w14:paraId="68C0DC6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2.6“响应文件”系指供应商提交的商务技术文件。供应商提交最后报价后，最后报价是供应商响应文件的有效组成部分。</w:t>
      </w:r>
    </w:p>
    <w:p w14:paraId="3F2C41C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2.7“电子交易平台”系指本项目政府采购活动所依托的政府采购云平台（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ascii="仿宋" w:hAnsi="仿宋" w:eastAsia="仿宋" w:cs="仿宋"/>
          <w:snapToGrid/>
          <w:color w:val="000000" w:themeColor="text1"/>
          <w:kern w:val="2"/>
          <w:sz w:val="24"/>
          <w:szCs w:val="24"/>
          <w:highlight w:val="none"/>
          <w14:textFill>
            <w14:solidFill>
              <w14:schemeClr w14:val="tx1"/>
            </w14:solidFill>
          </w14:textFill>
        </w:rPr>
        <w:t>https://www.zcygov.cn/</w:t>
      </w:r>
      <w:r>
        <w:rPr>
          <w:rStyle w:val="69"/>
          <w:rFonts w:hint="eastAsia" w:ascii="仿宋" w:hAnsi="仿宋" w:eastAsia="仿宋" w:cs="仿宋"/>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w:t>
      </w:r>
    </w:p>
    <w:p w14:paraId="4172692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F7DFE1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2.9 “书面形式”包括数据电文形式与纸质形式。数据电文形式与纸质形式的采购活动具有同等法律效力。</w:t>
      </w:r>
    </w:p>
    <w:p w14:paraId="3E1A630D">
      <w:pPr>
        <w:snapToGrid w:val="0"/>
        <w:spacing w:line="360" w:lineRule="auto"/>
        <w:ind w:firstLine="480"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 “▲” 系指实质性要求条款， “※”系指磋商过程中可能实质性变动的内容， “</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 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14:paraId="5D185736">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响应有效期</w:t>
      </w:r>
    </w:p>
    <w:p w14:paraId="030B6029">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▲3.1</w:t>
      </w:r>
      <w:r>
        <w:rPr>
          <w:rFonts w:hint="eastAsia" w:ascii="仿宋" w:hAnsi="仿宋" w:eastAsia="仿宋" w:cs="仿宋"/>
          <w:b/>
          <w:color w:val="000000" w:themeColor="text1"/>
          <w:sz w:val="24"/>
          <w:szCs w:val="20"/>
          <w:highlight w:val="none"/>
          <w14:textFill>
            <w14:solidFill>
              <w14:schemeClr w14:val="tx1"/>
            </w14:solidFill>
          </w14:textFill>
        </w:rPr>
        <w:t>响应有效期为从提交响应文件的截止之日起90天。供应商的响应文件中承</w:t>
      </w:r>
      <w:r>
        <w:rPr>
          <w:rFonts w:hint="eastAsia" w:ascii="仿宋" w:hAnsi="仿宋" w:eastAsia="仿宋" w:cs="仿宋"/>
          <w:b/>
          <w:color w:val="000000" w:themeColor="text1"/>
          <w:sz w:val="24"/>
          <w:szCs w:val="21"/>
          <w:highlight w:val="none"/>
          <w14:textFill>
            <w14:solidFill>
              <w14:schemeClr w14:val="tx1"/>
            </w14:solidFill>
          </w14:textFill>
        </w:rPr>
        <w:t>诺的响应有效期少于磋商文件中载明的磋商有效期的，响应无效。</w:t>
      </w:r>
    </w:p>
    <w:p w14:paraId="2196AC55">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3.2响应文件合格提交后，自响应截止日期起，在响应有效期内有效。</w:t>
      </w:r>
    </w:p>
    <w:p w14:paraId="43F5AA6F">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color w:val="000000" w:themeColor="text1"/>
          <w:szCs w:val="24"/>
          <w:highlight w:val="none"/>
          <w14:textFill>
            <w14:solidFill>
              <w14:schemeClr w14:val="tx1"/>
            </w14:solidFill>
          </w14:textFill>
        </w:rPr>
        <w:t>拒绝延长磋商有效期的供应商不得再参与该项目后续采购活动。</w:t>
      </w:r>
    </w:p>
    <w:p w14:paraId="5F50D2CB">
      <w:pPr>
        <w:tabs>
          <w:tab w:val="left" w:pos="378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4．响应费用</w:t>
      </w:r>
    </w:p>
    <w:p w14:paraId="7B35925D">
      <w:pPr>
        <w:pStyle w:val="35"/>
        <w:spacing w:line="360" w:lineRule="auto"/>
        <w:ind w:firstLine="360" w:firstLineChars="15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供应商需自行承担涉及响应的一切费用</w:t>
      </w:r>
      <w:r>
        <w:rPr>
          <w:rFonts w:hint="eastAsia" w:ascii="仿宋" w:hAnsi="仿宋" w:eastAsia="仿宋" w:cs="仿宋"/>
          <w:color w:val="000000" w:themeColor="text1"/>
          <w:sz w:val="24"/>
          <w:highlight w:val="none"/>
          <w:lang w:val="zh-CN"/>
          <w14:textFill>
            <w14:solidFill>
              <w14:schemeClr w14:val="tx1"/>
            </w14:solidFill>
          </w14:textFill>
        </w:rPr>
        <w:t>。</w:t>
      </w:r>
    </w:p>
    <w:p w14:paraId="2C97F3A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7F2C8EC2">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三、需要落实的政府采购政策</w:t>
      </w:r>
    </w:p>
    <w:p w14:paraId="67A5C8CD">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1.是否允许采购进口产品要求</w:t>
      </w:r>
    </w:p>
    <w:p w14:paraId="2C265F9F">
      <w:pPr>
        <w:pStyle w:val="35"/>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5CFE4FF9">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2.支持绿色发展</w:t>
      </w:r>
    </w:p>
    <w:p w14:paraId="5AA85B70">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62BD50B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14:paraId="743A713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FC2CEE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1453290">
      <w:pPr>
        <w:pStyle w:val="35"/>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3.支持中小企业发展。</w:t>
      </w:r>
    </w:p>
    <w:p w14:paraId="04518E3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09696C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2E60E42C">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3.2</w:t>
      </w:r>
      <w:r>
        <w:rPr>
          <w:rFonts w:hint="eastAsia" w:ascii="仿宋" w:hAnsi="仿宋" w:eastAsia="仿宋" w:cs="仿宋"/>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145B5674">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C8F32D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扣除，用扣除后的价格参加评审。组成联合体或者接受分包的小微企业与联合体内其他企业、分包企业之间存在直接控股、管理关系的，不享受价格扣除优惠政策。</w:t>
      </w:r>
    </w:p>
    <w:p w14:paraId="666D5C5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3.4符合《关于促进残疾人就业政府采购政策的通知》（财库〔2017〕141号）规定的条件并提供《残疾人福利性单位声明函》（附件3）的残疾人福利性单位视同小型、微型企业；</w:t>
      </w:r>
    </w:p>
    <w:p w14:paraId="6C1D624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FAC49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CD9E80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5F999187">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sz w:val="24"/>
          <w:highlight w:val="none"/>
          <w14:textFill>
            <w14:solidFill>
              <w14:schemeClr w14:val="tx1"/>
            </w14:solidFill>
          </w14:textFill>
        </w:rPr>
        <w:t>支持创新发展</w:t>
      </w:r>
    </w:p>
    <w:p w14:paraId="6E14560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 采购人优先采购被认定为首台套产品和“制造精品”的自主创新产品。</w:t>
      </w:r>
    </w:p>
    <w:p w14:paraId="4669053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41D85CE">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5.平等对待内外资企业和符合条件的破产重整企业</w:t>
      </w:r>
    </w:p>
    <w:p w14:paraId="0F743AA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34A5C63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73DC539">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四、询问、质疑与投诉</w:t>
      </w:r>
    </w:p>
    <w:p w14:paraId="46E8CDF2">
      <w:pPr>
        <w:pStyle w:val="35"/>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1.在线询问、质疑、投诉</w:t>
      </w:r>
    </w:p>
    <w:p w14:paraId="1CA28889">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407DA6">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供应商询问</w:t>
      </w:r>
    </w:p>
    <w:p w14:paraId="534E265C">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75AC6E">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供应商质疑</w:t>
      </w:r>
    </w:p>
    <w:p w14:paraId="39EAE158">
      <w:pPr>
        <w:pStyle w:val="35"/>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.1质疑提出时效</w:t>
      </w:r>
    </w:p>
    <w:p w14:paraId="406B7A0F">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199DDDD3">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F24CA6A">
      <w:pPr>
        <w:pStyle w:val="17"/>
        <w:spacing w:line="360" w:lineRule="auto"/>
        <w:ind w:firstLine="434" w:firstLineChars="181"/>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7CDAC296">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3.1.2.2对采购过程提出质疑的，质疑期限为各采购程序环节结束之日起计算。</w:t>
      </w:r>
    </w:p>
    <w:p w14:paraId="53880BED">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3.1.2.3对采购结果提出质疑的，质疑期限自采购结果公告期限届满之日起计算。</w:t>
      </w:r>
    </w:p>
    <w:p w14:paraId="3067E0CE">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3.1.2.4对同一采购程序环节的质疑，供应商须一次性提出。</w:t>
      </w:r>
    </w:p>
    <w:p w14:paraId="20FFA6FA">
      <w:pPr>
        <w:pStyle w:val="35"/>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3.2质疑答复</w:t>
      </w:r>
    </w:p>
    <w:p w14:paraId="04F5B919">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3.2.1根据采购人与采购代理机构签订的《杭州市集中采购委托协议》的规定，质疑答复责任主体如下：</w:t>
      </w:r>
    </w:p>
    <w:p w14:paraId="66A39B57">
      <w:pPr>
        <w:widowControl/>
        <w:adjustRightInd/>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质疑答复责任主体一览表</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4140"/>
        <w:gridCol w:w="2049"/>
      </w:tblGrid>
      <w:tr w14:paraId="4850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6" w:type="dxa"/>
            <w:gridSpan w:val="2"/>
            <w:vAlign w:val="center"/>
          </w:tcPr>
          <w:p w14:paraId="4D51D300">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质疑内容</w:t>
            </w:r>
          </w:p>
        </w:tc>
        <w:tc>
          <w:tcPr>
            <w:tcW w:w="2049" w:type="dxa"/>
            <w:vAlign w:val="center"/>
          </w:tcPr>
          <w:p w14:paraId="006546FA">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质疑答复责任主体</w:t>
            </w:r>
          </w:p>
        </w:tc>
      </w:tr>
      <w:tr w14:paraId="7336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restart"/>
            <w:vAlign w:val="center"/>
          </w:tcPr>
          <w:p w14:paraId="375DDBA6">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对采购文件提出质疑</w:t>
            </w:r>
          </w:p>
        </w:tc>
        <w:tc>
          <w:tcPr>
            <w:tcW w:w="4140" w:type="dxa"/>
            <w:vAlign w:val="center"/>
          </w:tcPr>
          <w:p w14:paraId="66E8E554">
            <w:pPr>
              <w:pStyle w:val="35"/>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对采购文件中特定资格条件、采购需求、评审办法、评审标准提出的质疑</w:t>
            </w:r>
          </w:p>
        </w:tc>
        <w:tc>
          <w:tcPr>
            <w:tcW w:w="2049" w:type="dxa"/>
            <w:vAlign w:val="center"/>
          </w:tcPr>
          <w:p w14:paraId="2446AE24">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w:t>
            </w:r>
          </w:p>
        </w:tc>
      </w:tr>
      <w:tr w14:paraId="7D6A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continue"/>
            <w:vAlign w:val="center"/>
          </w:tcPr>
          <w:p w14:paraId="005F9BAA">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4140" w:type="dxa"/>
            <w:vAlign w:val="center"/>
          </w:tcPr>
          <w:p w14:paraId="48EF012A">
            <w:pPr>
              <w:pStyle w:val="35"/>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对采购文件中其他内容提出的质疑</w:t>
            </w:r>
          </w:p>
        </w:tc>
        <w:tc>
          <w:tcPr>
            <w:tcW w:w="2049" w:type="dxa"/>
            <w:vAlign w:val="center"/>
          </w:tcPr>
          <w:p w14:paraId="6CE5A504">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采购代理机构</w:t>
            </w:r>
          </w:p>
        </w:tc>
      </w:tr>
      <w:tr w14:paraId="4290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restart"/>
            <w:vAlign w:val="center"/>
          </w:tcPr>
          <w:p w14:paraId="2D5023F9">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对采购过程提出质疑</w:t>
            </w:r>
          </w:p>
        </w:tc>
        <w:tc>
          <w:tcPr>
            <w:tcW w:w="4140" w:type="dxa"/>
            <w:vAlign w:val="center"/>
          </w:tcPr>
          <w:p w14:paraId="450A2A81">
            <w:pPr>
              <w:pStyle w:val="35"/>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有关现场考察或开启响应文件前答疑会事项提出的质疑</w:t>
            </w:r>
          </w:p>
        </w:tc>
        <w:tc>
          <w:tcPr>
            <w:tcW w:w="2049" w:type="dxa"/>
            <w:vAlign w:val="center"/>
          </w:tcPr>
          <w:p w14:paraId="7F3C7991">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w:t>
            </w:r>
          </w:p>
        </w:tc>
      </w:tr>
      <w:tr w14:paraId="1E89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continue"/>
            <w:vAlign w:val="center"/>
          </w:tcPr>
          <w:p w14:paraId="2AE51D03">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4140" w:type="dxa"/>
            <w:vAlign w:val="center"/>
          </w:tcPr>
          <w:p w14:paraId="6BBF794D">
            <w:pPr>
              <w:pStyle w:val="35"/>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对采购过程中其它事项提出的质疑</w:t>
            </w:r>
          </w:p>
        </w:tc>
        <w:tc>
          <w:tcPr>
            <w:tcW w:w="2049" w:type="dxa"/>
            <w:vAlign w:val="center"/>
          </w:tcPr>
          <w:p w14:paraId="77B60E5C">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采购代理机构</w:t>
            </w:r>
          </w:p>
        </w:tc>
      </w:tr>
      <w:tr w14:paraId="5EE2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Align w:val="center"/>
          </w:tcPr>
          <w:p w14:paraId="10CE032F">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对采购结果提出质疑</w:t>
            </w:r>
          </w:p>
        </w:tc>
        <w:tc>
          <w:tcPr>
            <w:tcW w:w="4140" w:type="dxa"/>
            <w:vAlign w:val="center"/>
          </w:tcPr>
          <w:p w14:paraId="23B40B5A">
            <w:pPr>
              <w:pStyle w:val="35"/>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对采购结果提出的质疑</w:t>
            </w:r>
          </w:p>
        </w:tc>
        <w:tc>
          <w:tcPr>
            <w:tcW w:w="2049" w:type="dxa"/>
            <w:vAlign w:val="center"/>
          </w:tcPr>
          <w:p w14:paraId="3AE82D2D">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采购代理机构</w:t>
            </w:r>
          </w:p>
        </w:tc>
      </w:tr>
    </w:tbl>
    <w:p w14:paraId="709A2E2B">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A236A46">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 2.3询问或者质疑事项可能影响采购结果的，采购人应当暂停签订合同，已经签订合同的，应当中止履行合同。</w:t>
      </w:r>
    </w:p>
    <w:p w14:paraId="02034392">
      <w:pPr>
        <w:pStyle w:val="35"/>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3.3质疑函</w:t>
      </w:r>
    </w:p>
    <w:p w14:paraId="09E44914">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3.3.1供应商提出质疑应当提交质疑函和必要的证明材料。质疑函应当包括下列内容：</w:t>
      </w:r>
    </w:p>
    <w:p w14:paraId="70C881BA">
      <w:pPr>
        <w:pStyle w:val="35"/>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供应商的姓名或者名称、地址、邮编、联系人及联系电话；</w:t>
      </w:r>
    </w:p>
    <w:p w14:paraId="43BAAEDE">
      <w:pPr>
        <w:pStyle w:val="35"/>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质疑项目的名称、编号；</w:t>
      </w:r>
    </w:p>
    <w:p w14:paraId="10A25E52">
      <w:pPr>
        <w:pStyle w:val="35"/>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具体、明确的质疑事项和与质疑事项相关的请求；</w:t>
      </w:r>
    </w:p>
    <w:p w14:paraId="23BE97F2">
      <w:pPr>
        <w:pStyle w:val="35"/>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p>
    <w:p w14:paraId="31503D30">
      <w:pPr>
        <w:pStyle w:val="35"/>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必要的法律依据；</w:t>
      </w:r>
    </w:p>
    <w:p w14:paraId="237BCE73">
      <w:pPr>
        <w:pStyle w:val="35"/>
        <w:numPr>
          <w:ilvl w:val="0"/>
          <w:numId w:val="3"/>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提出质疑的日期。</w:t>
      </w:r>
    </w:p>
    <w:p w14:paraId="68EA4682">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0373CAA">
      <w:pPr>
        <w:pStyle w:val="35"/>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质疑函范本及制作说明详见附件1。</w:t>
      </w:r>
    </w:p>
    <w:p w14:paraId="0B9C87FC">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4.供应商投诉</w:t>
      </w:r>
    </w:p>
    <w:p w14:paraId="6E7F9271">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4.1质疑供应商对采购人、采购代理机构的答复不满意或者采购人、采购代理机构未在规定的时间内作出答复的，可以在答复期满后十五个工作日内向同级政府采购监督管理部门提出投诉。</w:t>
      </w:r>
    </w:p>
    <w:p w14:paraId="1194A1A5">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4.2供应商投诉的事项不得超出已质疑事项的范围，基于质疑答复内容提出的投诉事项除外。</w:t>
      </w:r>
    </w:p>
    <w:p w14:paraId="3151E715">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4.3供应商投诉应当有明确的请求和必要的证明材料。</w:t>
      </w:r>
    </w:p>
    <w:p w14:paraId="15976E0D">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4.4以联合体形式参加政府采购活动的，其投诉应当由组成联合体的所有供应商共同提出。</w:t>
      </w:r>
    </w:p>
    <w:p w14:paraId="1B88E529">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w:t>
      </w:r>
      <w:r>
        <w:rPr>
          <w:rFonts w:hint="eastAsia" w:ascii="仿宋" w:hAnsi="仿宋" w:eastAsia="仿宋" w:cs="仿宋"/>
          <w:color w:val="000000" w:themeColor="text1"/>
          <w:sz w:val="24"/>
          <w:szCs w:val="24"/>
          <w:highlight w:val="none"/>
          <w14:textFill>
            <w14:solidFill>
              <w14:schemeClr w14:val="tx1"/>
            </w14:solidFill>
          </w14:textFill>
        </w:rPr>
        <w:t>根据政府采购行政裁决省市区三级联动试点工作安排，杭州市本级、拱墅区、富阳区政府采购项目投诉材料可寄送至浙江省政府采购行政裁决服务中心（杭州），地址：杭州市上城区清泰街549号城建综合大楼11楼，收件人：朱女士、王女士，电话：0571-87227671,0571-87800218。</w:t>
      </w:r>
    </w:p>
    <w:p w14:paraId="31FCA039">
      <w:pPr>
        <w:pStyle w:val="35"/>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投诉书范本及制作说明详见附件2。</w:t>
      </w:r>
    </w:p>
    <w:p w14:paraId="624555AD">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5804A870">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五、磋商文件构成、修改、解释</w:t>
      </w:r>
    </w:p>
    <w:p w14:paraId="7286C69B">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1．磋商文件的构成</w:t>
      </w:r>
    </w:p>
    <w:p w14:paraId="65B9D383">
      <w:pPr>
        <w:pStyle w:val="35"/>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磋商文件包括下列文件及附件</w:t>
      </w:r>
    </w:p>
    <w:p w14:paraId="395AAB91">
      <w:pPr>
        <w:pStyle w:val="35"/>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第一部分  供应商邀请</w:t>
      </w:r>
    </w:p>
    <w:p w14:paraId="2FC92821">
      <w:pPr>
        <w:pStyle w:val="35"/>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第二部分  竞争性磋商流程</w:t>
      </w:r>
    </w:p>
    <w:p w14:paraId="2686CFDE">
      <w:pPr>
        <w:pStyle w:val="35"/>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第三部分  供应商须知</w:t>
      </w:r>
    </w:p>
    <w:p w14:paraId="301FEF32">
      <w:pPr>
        <w:pStyle w:val="35"/>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第四部分  采购需求</w:t>
      </w:r>
    </w:p>
    <w:p w14:paraId="322B7FAF">
      <w:pPr>
        <w:pStyle w:val="35"/>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第五部分  评审方法及评审标准</w:t>
      </w:r>
    </w:p>
    <w:p w14:paraId="412F2704">
      <w:pPr>
        <w:pStyle w:val="35"/>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第六部分  拟签订的合同文本</w:t>
      </w:r>
    </w:p>
    <w:p w14:paraId="0E9DA3AF">
      <w:pPr>
        <w:pStyle w:val="35"/>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第七部分  应提交的有关格式范例</w:t>
      </w:r>
    </w:p>
    <w:p w14:paraId="29D22C08">
      <w:pPr>
        <w:pStyle w:val="35"/>
        <w:numPr>
          <w:ilvl w:val="0"/>
          <w:numId w:val="3"/>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第八部分  最后报价格式</w:t>
      </w:r>
    </w:p>
    <w:p w14:paraId="50CD25E6">
      <w:pPr>
        <w:pStyle w:val="35"/>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1.2 </w:t>
      </w:r>
      <w:r>
        <w:rPr>
          <w:rFonts w:hint="eastAsia" w:ascii="仿宋" w:hAnsi="仿宋" w:eastAsia="仿宋" w:cs="仿宋"/>
          <w:color w:val="000000" w:themeColor="text1"/>
          <w:sz w:val="24"/>
          <w:highlight w:val="none"/>
          <w14:textFill>
            <w14:solidFill>
              <w14:schemeClr w14:val="tx1"/>
            </w14:solidFill>
          </w14:textFill>
        </w:rPr>
        <w:t>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澄清或者修改的内容为磋商文件的组成部分</w:t>
      </w:r>
      <w:r>
        <w:rPr>
          <w:rFonts w:hint="eastAsia" w:ascii="仿宋" w:hAnsi="仿宋" w:eastAsia="仿宋" w:cs="仿宋"/>
          <w:color w:val="000000" w:themeColor="text1"/>
          <w:sz w:val="24"/>
          <w:highlight w:val="none"/>
          <w14:textFill>
            <w14:solidFill>
              <w14:schemeClr w14:val="tx1"/>
            </w14:solidFill>
          </w14:textFill>
        </w:rPr>
        <w:t>。</w:t>
      </w:r>
    </w:p>
    <w:p w14:paraId="181DC138">
      <w:pPr>
        <w:pStyle w:val="35"/>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磋商文件的澄清、修改</w:t>
      </w:r>
    </w:p>
    <w:p w14:paraId="66CDE140">
      <w:pPr>
        <w:pStyle w:val="40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2.1已获取磋商文件的潜在供应商，若有问题需要澄清，应于提交首次响应文件截止时间前，以书面形式向采购代理机构提出。</w:t>
      </w:r>
    </w:p>
    <w:p w14:paraId="55487A7F">
      <w:pPr>
        <w:pStyle w:val="40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17BC8B65">
      <w:pPr>
        <w:pStyle w:val="40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4961DC58">
      <w:pPr>
        <w:pStyle w:val="404"/>
        <w:snapToGrid w:val="0"/>
        <w:spacing w:before="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响应文件未按磋商文件的澄清、修改的内容编制，又不符合实质性要求的，响应无效。</w:t>
      </w:r>
    </w:p>
    <w:p w14:paraId="642C108A">
      <w:pPr>
        <w:pStyle w:val="24"/>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7862AF92">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六、响应文件的编制</w:t>
      </w:r>
    </w:p>
    <w:p w14:paraId="480B2FB4">
      <w:pPr>
        <w:pStyle w:val="35"/>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响应文件的语言</w:t>
      </w:r>
    </w:p>
    <w:p w14:paraId="6B19EBCD">
      <w:pPr>
        <w:pStyle w:val="35"/>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响应文件及供应商与采购有关的来往通知、函件和文件均应使用中文。</w:t>
      </w:r>
    </w:p>
    <w:p w14:paraId="6951F808">
      <w:pPr>
        <w:pStyle w:val="35"/>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响应文件的组成</w:t>
      </w:r>
    </w:p>
    <w:p w14:paraId="73D1F62A">
      <w:pPr>
        <w:pStyle w:val="35"/>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响应文件应当包括以下主要内容：</w:t>
      </w:r>
    </w:p>
    <w:p w14:paraId="6DFDFB08">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（1）响应函</w:t>
      </w:r>
    </w:p>
    <w:p w14:paraId="0D79EA67">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（2）资格文件</w:t>
      </w:r>
    </w:p>
    <w:p w14:paraId="060DE5CD">
      <w:pPr>
        <w:pStyle w:val="35"/>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A、符合参加政府采购活动应当具备的一般条件的承诺函（如以联合体形式参加政府采购活动的，联合体各方均应提交该承诺函）；</w:t>
      </w:r>
    </w:p>
    <w:p w14:paraId="13CFD677">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B、联合协议（如果有）；</w:t>
      </w:r>
    </w:p>
    <w:p w14:paraId="3548D151">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C、落实政府采购政策需满足的资格要求</w:t>
      </w:r>
      <w:r>
        <w:rPr>
          <w:rFonts w:hint="eastAsia" w:ascii="仿宋" w:hAnsi="仿宋" w:eastAsia="仿宋" w:cs="仿宋"/>
          <w:snapToGrid w:val="0"/>
          <w:color w:val="000000" w:themeColor="text1"/>
          <w:kern w:val="28"/>
          <w:sz w:val="24"/>
          <w:highlight w:val="none"/>
          <w14:textFill>
            <w14:solidFill>
              <w14:schemeClr w14:val="tx1"/>
            </w14:solidFill>
          </w14:textFill>
        </w:rPr>
        <w:t>（如果有)；</w:t>
      </w:r>
    </w:p>
    <w:p w14:paraId="3F02DE14">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D、符合特定资格条件的有关证明材料（如果有）。</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 xml:space="preserve"> </w:t>
      </w:r>
    </w:p>
    <w:p w14:paraId="37FDCE10">
      <w:pPr>
        <w:pStyle w:val="35"/>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（3）授权委托书或法定代表人（单位负责人、自然人本人）身份证明；</w:t>
      </w:r>
    </w:p>
    <w:p w14:paraId="311C3618">
      <w:pPr>
        <w:pStyle w:val="35"/>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分包意向协议</w:t>
      </w:r>
      <w:r>
        <w:rPr>
          <w:rFonts w:hint="eastAsia" w:ascii="仿宋" w:hAnsi="仿宋" w:eastAsia="仿宋" w:cs="仿宋"/>
          <w:snapToGrid w:val="0"/>
          <w:color w:val="000000" w:themeColor="text1"/>
          <w:kern w:val="28"/>
          <w:sz w:val="24"/>
          <w:highlight w:val="none"/>
          <w14:textFill>
            <w14:solidFill>
              <w14:schemeClr w14:val="tx1"/>
            </w14:solidFill>
          </w14:textFill>
        </w:rPr>
        <w:t>（如果有)</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F118B9D">
      <w:pPr>
        <w:pStyle w:val="35"/>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（5）所有资信文件</w:t>
      </w:r>
      <w:r>
        <w:rPr>
          <w:rFonts w:hint="eastAsia" w:ascii="仿宋" w:hAnsi="仿宋" w:eastAsia="仿宋" w:cs="仿宋"/>
          <w:color w:val="000000" w:themeColor="text1"/>
          <w:kern w:val="0"/>
          <w:sz w:val="24"/>
          <w:highlight w:val="none"/>
          <w14:textFill>
            <w14:solidFill>
              <w14:schemeClr w14:val="tx1"/>
            </w14:solidFill>
          </w14:textFill>
        </w:rPr>
        <w:t>（如果有）；</w:t>
      </w:r>
    </w:p>
    <w:p w14:paraId="23202066">
      <w:pPr>
        <w:pStyle w:val="35"/>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B99E437">
      <w:pPr>
        <w:pStyle w:val="35"/>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（7）</w:t>
      </w:r>
      <w:r>
        <w:rPr>
          <w:rFonts w:hint="eastAsia" w:ascii="仿宋" w:hAnsi="仿宋" w:eastAsia="仿宋" w:cs="仿宋"/>
          <w:color w:val="000000" w:themeColor="text1"/>
          <w:kern w:val="0"/>
          <w:sz w:val="24"/>
          <w:highlight w:val="none"/>
          <w:lang w:val="zh-CN"/>
          <w14:textFill>
            <w14:solidFill>
              <w14:schemeClr w14:val="tx1"/>
            </w14:solidFill>
          </w14:textFill>
        </w:rPr>
        <w:t>关于对磋商文件中有关条款的拒绝声明 (如果有)</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023C68DC">
      <w:pPr>
        <w:pStyle w:val="35"/>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kern w:val="0"/>
          <w:sz w:val="24"/>
          <w:highlight w:val="none"/>
          <w:lang w:val="zh-CN"/>
          <w14:textFill>
            <w14:solidFill>
              <w14:schemeClr w14:val="tx1"/>
            </w14:solidFill>
          </w14:textFill>
        </w:rPr>
        <w:t>认为需要的其他商务文件或说明 (如果有) ；</w:t>
      </w:r>
    </w:p>
    <w:p w14:paraId="4DA1123B">
      <w:pPr>
        <w:pStyle w:val="35"/>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（9）</w:t>
      </w:r>
      <w:r>
        <w:rPr>
          <w:rFonts w:hint="eastAsia" w:ascii="仿宋" w:hAnsi="仿宋" w:eastAsia="仿宋" w:cs="仿宋"/>
          <w:color w:val="000000" w:themeColor="text1"/>
          <w:sz w:val="24"/>
          <w:highlight w:val="none"/>
          <w:lang w:val="zh-CN"/>
          <w14:textFill>
            <w14:solidFill>
              <w14:schemeClr w14:val="tx1"/>
            </w14:solidFill>
          </w14:textFill>
        </w:rPr>
        <w:t>技术解决方案。针对本项目的完整技术解决方案和实施方案；详细阐述项目方案的实现思路及关键技术；符合本项目对当前和未来发展的要求；以及对功能设计和实施计划的建议；</w:t>
      </w:r>
    </w:p>
    <w:p w14:paraId="134395BC">
      <w:pPr>
        <w:pStyle w:val="35"/>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（10）组织实施方案。本项目详细工作实施组织方案，包括(但不限于)以下内容：组织机构、工作时间进度表、工作程序和步骤、管理和协调方法、关键步骤的思路和要点；</w:t>
      </w:r>
    </w:p>
    <w:p w14:paraId="64C95CCF">
      <w:pPr>
        <w:pStyle w:val="35"/>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维保期内均提供免费上门服务；</w:t>
      </w:r>
    </w:p>
    <w:p w14:paraId="7CB0F3F0">
      <w:pPr>
        <w:pStyle w:val="35"/>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173A4F0E">
      <w:pPr>
        <w:pStyle w:val="35"/>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（13）优惠条件及特殊承诺；</w:t>
      </w:r>
    </w:p>
    <w:p w14:paraId="7BDD59CC">
      <w:pPr>
        <w:pStyle w:val="35"/>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r>
        <w:rPr>
          <w:rFonts w:hint="eastAsia" w:ascii="仿宋" w:hAnsi="仿宋" w:eastAsia="仿宋" w:cs="仿宋"/>
          <w:color w:val="000000" w:themeColor="text1"/>
          <w:kern w:val="0"/>
          <w:sz w:val="24"/>
          <w:highlight w:val="none"/>
          <w:lang w:val="zh-CN"/>
          <w14:textFill>
            <w14:solidFill>
              <w14:schemeClr w14:val="tx1"/>
            </w14:solidFill>
          </w14:textFill>
        </w:rPr>
        <w:t>培训计划（如果有）；</w:t>
      </w:r>
    </w:p>
    <w:p w14:paraId="57AB32F3">
      <w:pPr>
        <w:pStyle w:val="35"/>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（15）随机特殊工具和</w:t>
      </w:r>
      <w:r>
        <w:rPr>
          <w:rFonts w:hint="eastAsia" w:ascii="仿宋" w:hAnsi="仿宋" w:eastAsia="仿宋" w:cs="仿宋"/>
          <w:color w:val="000000" w:themeColor="text1"/>
          <w:kern w:val="0"/>
          <w:sz w:val="24"/>
          <w:highlight w:val="none"/>
          <w:lang w:val="zh-CN"/>
          <w14:textFill>
            <w14:solidFill>
              <w14:schemeClr w14:val="tx1"/>
            </w14:solidFill>
          </w14:textFill>
        </w:rPr>
        <w:t>备品备件清单（含随机自带的备品备件和维保期后供采购人选择的备品备件及配套零部件，明细备品备件及价格，且供货价格不高于成交价格；成交货物设备应提供易损部件的备件和整机备品）（如果有）；</w:t>
      </w:r>
    </w:p>
    <w:p w14:paraId="317E0430">
      <w:pPr>
        <w:pStyle w:val="35"/>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w:t>
      </w:r>
      <w:r>
        <w:rPr>
          <w:rFonts w:hint="eastAsia" w:ascii="仿宋" w:hAnsi="仿宋" w:eastAsia="仿宋" w:cs="仿宋"/>
          <w:color w:val="000000" w:themeColor="text1"/>
          <w:kern w:val="0"/>
          <w:sz w:val="24"/>
          <w:szCs w:val="24"/>
          <w:highlight w:val="none"/>
          <w:lang w:val="zh-CN"/>
          <w14:textFill>
            <w14:solidFill>
              <w14:schemeClr w14:val="tx1"/>
            </w14:solidFill>
          </w14:textFill>
        </w:rPr>
        <w:t>供应商认为需要的其他技术文件或说明（如果有）；</w:t>
      </w:r>
    </w:p>
    <w:p w14:paraId="6EA27BFA">
      <w:pPr>
        <w:pStyle w:val="35"/>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w:t>
      </w:r>
      <w:r>
        <w:rPr>
          <w:rFonts w:hint="eastAsia" w:ascii="仿宋" w:hAnsi="仿宋" w:eastAsia="仿宋" w:cs="仿宋"/>
          <w:color w:val="000000" w:themeColor="text1"/>
          <w:kern w:val="0"/>
          <w:sz w:val="24"/>
          <w:highlight w:val="none"/>
          <w:lang w:val="zh-CN"/>
          <w14:textFill>
            <w14:solidFill>
              <w14:schemeClr w14:val="tx1"/>
            </w14:solidFill>
          </w14:textFill>
        </w:rPr>
        <w:t>政府采购供应商廉洁自律承诺书。</w:t>
      </w:r>
    </w:p>
    <w:p w14:paraId="44F0D9EF">
      <w:pPr>
        <w:pStyle w:val="35"/>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响应文件的编制和签署</w:t>
      </w:r>
    </w:p>
    <w:p w14:paraId="346D9723">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0AA32C7A">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3E98E0B4">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519C6A5F">
      <w:pPr>
        <w:pStyle w:val="404"/>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3.4响应文件按照磋商文件第七部分格式要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▲供应商的响应文件未按照磋商文件要求签署、盖章的，其响应无效</w:t>
      </w:r>
      <w:r>
        <w:rPr>
          <w:rFonts w:hint="eastAsia" w:ascii="仿宋" w:hAnsi="仿宋" w:eastAsia="仿宋" w:cs="仿宋"/>
          <w:color w:val="000000" w:themeColor="text1"/>
          <w:szCs w:val="24"/>
          <w:highlight w:val="none"/>
          <w14:textFill>
            <w14:solidFill>
              <w14:schemeClr w14:val="tx1"/>
            </w14:solidFill>
          </w14:textFill>
        </w:rPr>
        <w:t>。</w:t>
      </w:r>
    </w:p>
    <w:p w14:paraId="52BED5F0">
      <w:pPr>
        <w:pStyle w:val="40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3796185F">
      <w:pPr>
        <w:pStyle w:val="404"/>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3.6磋商文件对响应文件签署、盖章的要求适用于电子签名。</w:t>
      </w:r>
    </w:p>
    <w:p w14:paraId="7B0275E3">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079D5B0F">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七、</w:t>
      </w:r>
      <w:r>
        <w:rPr>
          <w:rFonts w:hint="eastAsia" w:ascii="仿宋" w:hAnsi="仿宋" w:eastAsia="仿宋" w:cs="仿宋"/>
          <w:b/>
          <w:color w:val="000000" w:themeColor="text1"/>
          <w:sz w:val="32"/>
          <w:szCs w:val="32"/>
          <w:highlight w:val="none"/>
          <w14:textFill>
            <w14:solidFill>
              <w14:schemeClr w14:val="tx1"/>
            </w14:solidFill>
          </w14:textFill>
        </w:rPr>
        <w:t>响应</w:t>
      </w:r>
      <w:r>
        <w:rPr>
          <w:rFonts w:hint="eastAsia" w:ascii="仿宋" w:hAnsi="仿宋" w:eastAsia="仿宋" w:cs="仿宋"/>
          <w:b/>
          <w:color w:val="000000" w:themeColor="text1"/>
          <w:sz w:val="32"/>
          <w:szCs w:val="20"/>
          <w:highlight w:val="none"/>
          <w14:textFill>
            <w14:solidFill>
              <w14:schemeClr w14:val="tx1"/>
            </w14:solidFill>
          </w14:textFill>
        </w:rPr>
        <w:t>文件的提交和备份</w:t>
      </w:r>
    </w:p>
    <w:p w14:paraId="49A9DA6B">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1.响应文件的提交、补充、修改、撤回</w:t>
      </w:r>
    </w:p>
    <w:p w14:paraId="4BDC004A">
      <w:pPr>
        <w:pStyle w:val="404"/>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211BA1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在响应截止时间以后，不能补充、修改响应文件。</w:t>
      </w:r>
    </w:p>
    <w:p w14:paraId="458216B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在提交“最后报价”后，供应商不能退出磋商。</w:t>
      </w:r>
    </w:p>
    <w:p w14:paraId="7635EE5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2CB8014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14:paraId="18740213">
      <w:pPr>
        <w:pStyle w:val="35"/>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2.备份响应文件</w:t>
      </w:r>
    </w:p>
    <w:p w14:paraId="62C84A49">
      <w:pPr>
        <w:pStyle w:val="35"/>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ascii="仿宋" w:hAnsi="仿宋" w:eastAsia="仿宋" w:cs="仿宋"/>
          <w:b/>
          <w:color w:val="000000" w:themeColor="text1"/>
          <w:sz w:val="24"/>
          <w:szCs w:val="24"/>
          <w:highlight w:val="none"/>
          <w14:textFill>
            <w14:solidFill>
              <w14:schemeClr w14:val="tx1"/>
            </w14:solidFill>
          </w14:textFill>
        </w:rPr>
        <w:t>但采购人、采购代理机构不强制或变相强制供应商提交备份响应文件。</w:t>
      </w:r>
    </w:p>
    <w:p w14:paraId="66DDF5AE">
      <w:pPr>
        <w:pStyle w:val="35"/>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备份响应文件须在“政采云投标客户端”制作生成，并储存在不可修改的</w:t>
      </w:r>
      <w:r>
        <w:rPr>
          <w:rFonts w:hint="eastAsia" w:ascii="仿宋" w:hAnsi="仿宋" w:eastAsia="仿宋" w:cs="仿宋"/>
          <w:b/>
          <w:color w:val="000000" w:themeColor="text1"/>
          <w:sz w:val="24"/>
          <w:highlight w:val="none"/>
          <w:u w:val="single"/>
          <w14:textFill>
            <w14:solidFill>
              <w14:schemeClr w14:val="tx1"/>
            </w14:solidFill>
          </w14:textFill>
        </w:rPr>
        <w:t>电子光盘等存储介质</w:t>
      </w:r>
      <w:r>
        <w:rPr>
          <w:rFonts w:hint="eastAsia" w:ascii="仿宋" w:hAnsi="仿宋" w:eastAsia="仿宋" w:cs="仿宋"/>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存储、密封规定的备份响应文件将被视为无效或者被拒绝接收。</w:t>
      </w:r>
    </w:p>
    <w:p w14:paraId="2139F794">
      <w:pPr>
        <w:pStyle w:val="35"/>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直接提交备份响应文件的，供应商应于响应截止时间前在磋商公告中载明的开启响应文件的地点将备份响应文件提交给采购代理机构，采购代理机构将拒绝接受逾期送达的备份响应文件。</w:t>
      </w:r>
    </w:p>
    <w:p w14:paraId="539D3BE4">
      <w:pPr>
        <w:pStyle w:val="35"/>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70830D33">
      <w:pPr>
        <w:pStyle w:val="35"/>
        <w:spacing w:line="360" w:lineRule="auto"/>
        <w:ind w:firstLine="361"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2.5 </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供应商仅提交备份响应文件，未在电子交易平台传输提交响应文件的，响应无效。</w:t>
      </w:r>
    </w:p>
    <w:p w14:paraId="5EBCEC81">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71140EA9">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八、</w:t>
      </w:r>
      <w:r>
        <w:rPr>
          <w:rFonts w:hint="eastAsia" w:ascii="仿宋" w:hAnsi="仿宋" w:eastAsia="仿宋" w:cs="仿宋"/>
          <w:b/>
          <w:color w:val="000000" w:themeColor="text1"/>
          <w:sz w:val="32"/>
          <w:szCs w:val="32"/>
          <w:highlight w:val="none"/>
          <w14:textFill>
            <w14:solidFill>
              <w14:schemeClr w14:val="tx1"/>
            </w14:solidFill>
          </w14:textFill>
        </w:rPr>
        <w:t>开启响应文件与信用信息查询</w:t>
      </w:r>
    </w:p>
    <w:p w14:paraId="60309158">
      <w:pPr>
        <w:pStyle w:val="35"/>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开启响应文件</w:t>
      </w:r>
    </w:p>
    <w:p w14:paraId="19BA5DCB">
      <w:pPr>
        <w:pStyle w:val="35"/>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采购代理机构按照磋商文件规定的时间通过电子交易平台组织响应文件开启，所有供应商均应当准时在线参加。</w:t>
      </w:r>
      <w:r>
        <w:rPr>
          <w:rFonts w:hint="eastAsia" w:ascii="仿宋" w:hAnsi="仿宋" w:eastAsia="仿宋" w:cs="仿宋"/>
          <w:b/>
          <w:color w:val="000000" w:themeColor="text1"/>
          <w:sz w:val="24"/>
          <w:szCs w:val="24"/>
          <w:highlight w:val="none"/>
          <w14:textFill>
            <w14:solidFill>
              <w14:schemeClr w14:val="tx1"/>
            </w14:solidFill>
          </w14:textFill>
        </w:rPr>
        <w:t>供应商数量不符合规定的，不得开启响应文件。</w:t>
      </w:r>
    </w:p>
    <w:p w14:paraId="555F3B8A">
      <w:pPr>
        <w:pStyle w:val="35"/>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14:paraId="0990AD20">
      <w:pPr>
        <w:pStyle w:val="35"/>
        <w:spacing w:line="360" w:lineRule="auto"/>
        <w:ind w:firstLine="361"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48BD0973">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2.信用信息查询</w:t>
      </w:r>
    </w:p>
    <w:p w14:paraId="5871A78A">
      <w:pPr>
        <w:pStyle w:val="40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2.1信用信息查询渠道及截止时间：采购代理机构将通过“信用中国”网站(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9"/>
          <w:rFonts w:hint="eastAsia" w:ascii="仿宋" w:hAnsi="仿宋" w:eastAsia="仿宋" w:cs="仿宋"/>
          <w:snapToGrid/>
          <w:color w:val="000000" w:themeColor="text1"/>
          <w:sz w:val="24"/>
          <w:szCs w:val="24"/>
          <w:highlight w:val="none"/>
          <w14:textFill>
            <w14:solidFill>
              <w14:schemeClr w14:val="tx1"/>
            </w14:solidFill>
          </w14:textFill>
        </w:rPr>
        <w:t>www.creditchina.gov.cn</w:t>
      </w:r>
      <w:r>
        <w:rPr>
          <w:rStyle w:val="69"/>
          <w:rFonts w:hint="eastAsia" w:ascii="仿宋" w:hAnsi="仿宋" w:eastAsia="仿宋" w:cs="仿宋"/>
          <w:snapToGrid/>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Cs w:val="24"/>
          <w:highlight w:val="none"/>
          <w14:textFill>
            <w14:solidFill>
              <w14:schemeClr w14:val="tx1"/>
            </w14:solidFill>
          </w14:textFill>
        </w:rPr>
        <w:t>)、中国政府采购网(www.ccgp.gov.cn)渠道查询供应商响应截止时间前的信用记录。</w:t>
      </w:r>
    </w:p>
    <w:p w14:paraId="7CF07BD3">
      <w:pPr>
        <w:pStyle w:val="40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2.2信用信息查询记录和证据留存的具体方式：现场查询的供应商的信用记录、查询结果经确认后存档。</w:t>
      </w:r>
    </w:p>
    <w:p w14:paraId="76148D63">
      <w:pPr>
        <w:pStyle w:val="40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5C685074">
      <w:pPr>
        <w:pStyle w:val="40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4322E88">
      <w:pPr>
        <w:pStyle w:val="35"/>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4CA36517">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w:t>
      </w:r>
      <w:r>
        <w:rPr>
          <w:rFonts w:hint="eastAsia" w:ascii="仿宋" w:hAnsi="仿宋" w:eastAsia="仿宋" w:cs="仿宋"/>
          <w:b/>
          <w:color w:val="000000" w:themeColor="text1"/>
          <w:sz w:val="32"/>
          <w:szCs w:val="20"/>
          <w:highlight w:val="none"/>
          <w14:textFill>
            <w14:solidFill>
              <w14:schemeClr w14:val="tx1"/>
            </w14:solidFill>
          </w14:textFill>
        </w:rPr>
        <w:t>、提交</w:t>
      </w:r>
      <w:r>
        <w:rPr>
          <w:rFonts w:hint="eastAsia" w:ascii="仿宋" w:hAnsi="仿宋" w:eastAsia="仿宋" w:cs="仿宋"/>
          <w:b/>
          <w:color w:val="000000" w:themeColor="text1"/>
          <w:sz w:val="32"/>
          <w:szCs w:val="32"/>
          <w:highlight w:val="none"/>
          <w14:textFill>
            <w14:solidFill>
              <w14:schemeClr w14:val="tx1"/>
            </w14:solidFill>
          </w14:textFill>
        </w:rPr>
        <w:t>最后报价</w:t>
      </w:r>
    </w:p>
    <w:p w14:paraId="450C20AB">
      <w:pPr>
        <w:snapToGrid w:val="0"/>
        <w:spacing w:line="360" w:lineRule="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供应商的</w:t>
      </w:r>
      <w:r>
        <w:rPr>
          <w:rFonts w:hint="eastAsia" w:ascii="仿宋" w:hAnsi="仿宋" w:eastAsia="仿宋" w:cs="仿宋"/>
          <w:b/>
          <w:color w:val="000000" w:themeColor="text1"/>
          <w:sz w:val="24"/>
          <w:highlight w:val="none"/>
          <w14:textFill>
            <w14:solidFill>
              <w14:schemeClr w14:val="tx1"/>
            </w14:solidFill>
          </w14:textFill>
        </w:rPr>
        <w:t>最后报价文件</w:t>
      </w:r>
      <w:r>
        <w:rPr>
          <w:rFonts w:hint="eastAsia" w:ascii="仿宋" w:hAnsi="仿宋" w:eastAsia="仿宋" w:cs="仿宋"/>
          <w:color w:val="000000" w:themeColor="text1"/>
          <w:sz w:val="24"/>
          <w:highlight w:val="none"/>
          <w14:textFill>
            <w14:solidFill>
              <w14:schemeClr w14:val="tx1"/>
            </w14:solidFill>
          </w14:textFill>
        </w:rPr>
        <w:t>应包括以下内容（均需使用电子签名）：</w:t>
      </w:r>
    </w:p>
    <w:p w14:paraId="5B01D059">
      <w:pPr>
        <w:pStyle w:val="35"/>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1.1最后报价一览表；</w:t>
      </w:r>
    </w:p>
    <w:p w14:paraId="2F5B2235">
      <w:pPr>
        <w:pStyle w:val="35"/>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1.2中小企业声明函（如果有）。</w:t>
      </w:r>
    </w:p>
    <w:p w14:paraId="1C2E33EA">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793C557F">
      <w:pPr>
        <w:adjustRightInd/>
        <w:spacing w:line="360" w:lineRule="auto"/>
        <w:jc w:val="center"/>
        <w:outlineLvl w:val="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十、</w:t>
      </w:r>
      <w:r>
        <w:rPr>
          <w:rFonts w:hint="eastAsia" w:ascii="仿宋" w:hAnsi="仿宋" w:eastAsia="仿宋" w:cs="仿宋"/>
          <w:b/>
          <w:color w:val="000000" w:themeColor="text1"/>
          <w:sz w:val="32"/>
          <w:szCs w:val="32"/>
          <w:highlight w:val="none"/>
          <w14:textFill>
            <w14:solidFill>
              <w14:schemeClr w14:val="tx1"/>
            </w14:solidFill>
          </w14:textFill>
        </w:rPr>
        <w:t>评审</w:t>
      </w:r>
    </w:p>
    <w:p w14:paraId="32DA31E5">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highlight w:val="none"/>
          <w14:textFill>
            <w14:solidFill>
              <w14:schemeClr w14:val="tx1"/>
            </w14:solidFill>
          </w14:textFill>
        </w:rPr>
        <w:t xml:space="preserve"> 评审方法：</w:t>
      </w:r>
      <w:r>
        <w:rPr>
          <w:rFonts w:hint="eastAsia" w:ascii="仿宋" w:hAnsi="仿宋" w:eastAsia="仿宋" w:cs="仿宋"/>
          <w:color w:val="000000" w:themeColor="text1"/>
          <w:highlight w:val="none"/>
          <w14:textFill>
            <w14:solidFill>
              <w14:schemeClr w14:val="tx1"/>
            </w14:solidFill>
          </w14:textFill>
        </w:rPr>
        <w:t>综合评分法。</w:t>
      </w:r>
    </w:p>
    <w:p w14:paraId="1DEAE0D9">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 价格分计算方法：</w:t>
      </w:r>
      <w:r>
        <w:rPr>
          <w:rFonts w:hint="eastAsia" w:ascii="仿宋" w:hAnsi="仿宋" w:eastAsia="仿宋" w:cs="仿宋"/>
          <w:color w:val="000000" w:themeColor="text1"/>
          <w:highlight w:val="none"/>
          <w14:textFill>
            <w14:solidFill>
              <w14:schemeClr w14:val="tx1"/>
            </w14:solidFill>
          </w14:textFill>
        </w:rPr>
        <w:t>低价优先法。</w:t>
      </w:r>
    </w:p>
    <w:p w14:paraId="33A4E7AF">
      <w:pPr>
        <w:pStyle w:val="404"/>
        <w:spacing w:before="0"/>
        <w:ind w:firstLine="0"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 评审要求：</w:t>
      </w:r>
      <w:r>
        <w:rPr>
          <w:rFonts w:hint="eastAsia" w:ascii="仿宋" w:hAnsi="仿宋" w:eastAsia="仿宋" w:cs="仿宋"/>
          <w:color w:val="000000" w:themeColor="text1"/>
          <w:highlight w:val="none"/>
          <w14:textFill>
            <w14:solidFill>
              <w14:schemeClr w14:val="tx1"/>
            </w14:solidFill>
          </w14:textFill>
        </w:rPr>
        <w:t>详见磋商文件第五部分“评审方法及评审标准”。</w:t>
      </w:r>
    </w:p>
    <w:p w14:paraId="78E3B374">
      <w:pPr>
        <w:adjustRightInd/>
        <w:spacing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p>
    <w:p w14:paraId="091AD184">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十一、</w:t>
      </w:r>
      <w:r>
        <w:rPr>
          <w:rFonts w:hint="eastAsia" w:ascii="仿宋" w:hAnsi="仿宋" w:eastAsia="仿宋" w:cs="仿宋"/>
          <w:b/>
          <w:color w:val="000000" w:themeColor="text1"/>
          <w:sz w:val="32"/>
          <w:szCs w:val="32"/>
          <w:highlight w:val="none"/>
          <w14:textFill>
            <w14:solidFill>
              <w14:schemeClr w14:val="tx1"/>
            </w14:solidFill>
          </w14:textFill>
        </w:rPr>
        <w:t>成交</w:t>
      </w:r>
    </w:p>
    <w:p w14:paraId="03E1C420">
      <w:pPr>
        <w:pStyle w:val="35"/>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推荐成交候选供应商</w:t>
      </w:r>
    </w:p>
    <w:p w14:paraId="71EA8E0C">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6F46DB2">
      <w:pPr>
        <w:pStyle w:val="35"/>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确定成交供应商</w:t>
      </w:r>
    </w:p>
    <w:p w14:paraId="1C702C8F">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B60A0D7">
      <w:pPr>
        <w:tabs>
          <w:tab w:val="left" w:pos="0"/>
        </w:tabs>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3．成交通知及成交结果公告</w:t>
      </w:r>
    </w:p>
    <w:p w14:paraId="6D419351">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3.1自成交人确定之日起2个工作日内，采购代理机构通过电子交易平台向成交人发出成交通知书，</w:t>
      </w:r>
      <w:r>
        <w:rPr>
          <w:rFonts w:hint="eastAsia" w:ascii="仿宋" w:hAnsi="仿宋" w:eastAsia="仿宋" w:cs="仿宋"/>
          <w:color w:val="000000" w:themeColor="text1"/>
          <w:sz w:val="24"/>
          <w:highlight w:val="none"/>
          <w14:textFill>
            <w14:solidFill>
              <w14:schemeClr w14:val="tx1"/>
            </w14:solidFill>
          </w14:textFill>
        </w:rPr>
        <w:t>同时编制发布采购</w:t>
      </w:r>
      <w:r>
        <w:rPr>
          <w:rFonts w:hint="eastAsia" w:ascii="仿宋" w:hAnsi="仿宋" w:eastAsia="仿宋" w:cs="仿宋"/>
          <w:color w:val="000000" w:themeColor="text1"/>
          <w:sz w:val="24"/>
          <w:szCs w:val="21"/>
          <w:highlight w:val="none"/>
          <w14:textFill>
            <w14:solidFill>
              <w14:schemeClr w14:val="tx1"/>
            </w14:solidFill>
          </w14:textFill>
        </w:rPr>
        <w:t>成交结果公告。</w:t>
      </w:r>
      <w:r>
        <w:rPr>
          <w:rFonts w:hint="eastAsia" w:ascii="仿宋" w:hAnsi="仿宋" w:eastAsia="仿宋" w:cs="仿宋"/>
          <w:color w:val="000000" w:themeColor="text1"/>
          <w:sz w:val="24"/>
          <w:highlight w:val="none"/>
          <w14:textFill>
            <w14:solidFill>
              <w14:schemeClr w14:val="tx1"/>
            </w14:solidFill>
          </w14:textFill>
        </w:rPr>
        <w:t>采购代理机构也可以以纸质形式进行成交通知。</w:t>
      </w:r>
    </w:p>
    <w:p w14:paraId="4680C1F4">
      <w:pPr>
        <w:spacing w:line="360" w:lineRule="auto"/>
        <w:ind w:firstLine="360" w:firstLineChars="150"/>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w:t>
      </w:r>
      <w:r>
        <w:rPr>
          <w:rFonts w:hint="eastAsia" w:ascii="仿宋" w:hAnsi="仿宋" w:eastAsia="仿宋" w:cs="仿宋"/>
          <w:color w:val="000000" w:themeColor="text1"/>
          <w:sz w:val="24"/>
          <w:szCs w:val="21"/>
          <w:highlight w:val="none"/>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结果公告内容包括采购人及其委托的采购代理机构的名称、地址、联系方式，项目名称和项目编号，成交人名称、地址和成交金额，主要中标标的的名称、规格型号、数量、单价、服务要求，开标记录、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ascii="仿宋" w:hAnsi="仿宋" w:eastAsia="仿宋" w:cs="仿宋"/>
          <w:color w:val="000000" w:themeColor="text1"/>
          <w:sz w:val="24"/>
          <w:highlight w:val="none"/>
          <w14:textFill>
            <w14:solidFill>
              <w14:schemeClr w14:val="tx1"/>
            </w14:solidFill>
          </w14:textFill>
        </w:rPr>
        <w:t>资格审查情况、评审专家抽取规则、符合性审查情况、</w:t>
      </w:r>
      <w:bookmarkEnd w:id="52"/>
      <w:r>
        <w:rPr>
          <w:rFonts w:hint="eastAsia" w:ascii="仿宋" w:hAnsi="仿宋" w:eastAsia="仿宋" w:cs="仿宋"/>
          <w:color w:val="000000" w:themeColor="text1"/>
          <w:sz w:val="24"/>
          <w:highlight w:val="none"/>
          <w14:textFill>
            <w14:solidFill>
              <w14:schemeClr w14:val="tx1"/>
            </w14:solidFill>
          </w14:textFill>
        </w:rPr>
        <w:t>未成交情况说明、成交公告期限以及评审专家名单、评分汇总及明细。</w:t>
      </w:r>
    </w:p>
    <w:p w14:paraId="39E2C43A">
      <w:pPr>
        <w:spacing w:line="360" w:lineRule="auto"/>
        <w:ind w:firstLine="360" w:firstLineChars="150"/>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3.3公告期限为1个工作日。</w:t>
      </w:r>
    </w:p>
    <w:p w14:paraId="14F142BA">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p>
    <w:p w14:paraId="35D9535D">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十二、合同</w:t>
      </w:r>
    </w:p>
    <w:p w14:paraId="2FAA2832">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1.合同主要条款：</w:t>
      </w:r>
      <w:r>
        <w:rPr>
          <w:rFonts w:hint="eastAsia" w:ascii="仿宋" w:hAnsi="仿宋" w:eastAsia="仿宋" w:cs="仿宋"/>
          <w:color w:val="000000" w:themeColor="text1"/>
          <w:sz w:val="24"/>
          <w:highlight w:val="none"/>
          <w14:textFill>
            <w14:solidFill>
              <w14:schemeClr w14:val="tx1"/>
            </w14:solidFill>
          </w14:textFill>
        </w:rPr>
        <w:t>详见“第六部分拟签订的合同文本”。</w:t>
      </w:r>
    </w:p>
    <w:p w14:paraId="2B79D0AD">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2.合同的签订</w:t>
      </w:r>
    </w:p>
    <w:p w14:paraId="04AE4EAF">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r>
        <w:rPr>
          <w:rFonts w:hint="eastAsia" w:ascii="仿宋" w:hAnsi="仿宋" w:eastAsia="仿宋" w:cs="仿宋"/>
          <w:color w:val="000000" w:themeColor="text1"/>
          <w:kern w:val="0"/>
          <w:sz w:val="24"/>
          <w:highlight w:val="none"/>
          <w14:textFill>
            <w14:solidFill>
              <w14:schemeClr w14:val="tx1"/>
            </w14:solidFill>
          </w14:textFill>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1DC99227">
      <w:pPr>
        <w:pStyle w:val="404"/>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711C7AF7">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720F130">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3DFDE87">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2.5如签订合同并生效后，供应商无故拒绝或延期，除按照合同条款处理外，列入不良行为记录一次，并给予通报。</w:t>
      </w:r>
    </w:p>
    <w:p w14:paraId="5B4D91E9">
      <w:pPr>
        <w:pStyle w:val="404"/>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2.6采购合同由采购人与成交供应商根据磋商文件、响应文件等内容通过政府采购电子交易平台在线签订，自动备案。</w:t>
      </w:r>
    </w:p>
    <w:p w14:paraId="5597EA5F">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3．履约保证金</w:t>
      </w:r>
    </w:p>
    <w:p w14:paraId="7886540D">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98FE8A4">
      <w:pPr>
        <w:tabs>
          <w:tab w:val="left" w:pos="0"/>
        </w:tabs>
        <w:spacing w:line="360" w:lineRule="auto"/>
        <w:ind w:firstLine="482"/>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E6EA4EE">
      <w:pPr>
        <w:pStyle w:val="3"/>
        <w:numPr>
          <w:ilvl w:val="255"/>
          <w:numId w:val="0"/>
        </w:numPr>
        <w:tabs>
          <w:tab w:val="left" w:pos="432"/>
        </w:tabs>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14:textFill>
            <w14:solidFill>
              <w14:schemeClr w14:val="tx1"/>
            </w14:solidFill>
          </w14:textFill>
        </w:rPr>
        <w:t>4.预付款</w:t>
      </w:r>
    </w:p>
    <w:p w14:paraId="2BD1C257">
      <w:pPr>
        <w:adjustRightInd/>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F5A4CAA">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199259F9">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十三、验收</w:t>
      </w:r>
    </w:p>
    <w:p w14:paraId="6E87DDED">
      <w:pPr>
        <w:pStyle w:val="27"/>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1.验收</w:t>
      </w:r>
    </w:p>
    <w:p w14:paraId="4FD3BCCC">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C9808B">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3F233C28">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3D618F">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D6D7758">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349916CD">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十四、电子交易活动的中止</w:t>
      </w:r>
    </w:p>
    <w:p w14:paraId="319364D4">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电子交易活动的中止</w:t>
      </w:r>
    </w:p>
    <w:p w14:paraId="73100095">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08C22F41">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1.1电子交易平台发生故障而无法登录访问的； </w:t>
      </w:r>
    </w:p>
    <w:p w14:paraId="6E306274">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1.2电子交易平台应用或数据库出现错误，不能进行正常操作的；</w:t>
      </w:r>
    </w:p>
    <w:p w14:paraId="3FD532C2">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1.3电子交易平台发现严重安全漏洞，有潜在泄密危险的；</w:t>
      </w:r>
    </w:p>
    <w:p w14:paraId="25D464A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1.4病毒发作导致不能进行正常操作的； </w:t>
      </w:r>
    </w:p>
    <w:p w14:paraId="4CC09AC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1.5其他无法保证电子交易的公平、公正和安全的情况。</w:t>
      </w:r>
    </w:p>
    <w:p w14:paraId="7497BB44">
      <w:pPr>
        <w:tabs>
          <w:tab w:val="left" w:pos="0"/>
        </w:tabs>
        <w:spacing w:line="360" w:lineRule="auto"/>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29768"/>
      <w:bookmarkEnd w:id="53"/>
      <w:bookmarkStart w:id="54" w:name="_Hlt74730295"/>
      <w:bookmarkEnd w:id="54"/>
      <w:bookmarkStart w:id="55" w:name="_Hlt75236290"/>
      <w:bookmarkEnd w:id="55"/>
      <w:bookmarkStart w:id="56" w:name="_Hlt74714665"/>
      <w:bookmarkEnd w:id="56"/>
      <w:bookmarkStart w:id="57" w:name="_Hlt75236101"/>
      <w:bookmarkEnd w:id="57"/>
      <w:bookmarkStart w:id="58" w:name="_Hlt75236011"/>
      <w:bookmarkEnd w:id="58"/>
      <w:bookmarkStart w:id="59" w:name="_Hlt68072990"/>
      <w:bookmarkEnd w:id="59"/>
      <w:bookmarkStart w:id="60" w:name="_Hlt68057669"/>
      <w:bookmarkEnd w:id="60"/>
      <w:bookmarkStart w:id="61" w:name="_Hlt74707468"/>
      <w:bookmarkEnd w:id="61"/>
      <w:bookmarkStart w:id="62" w:name="第三部分"/>
      <w:bookmarkStart w:id="63" w:name="_Toc164416483"/>
      <w:r>
        <w:rPr>
          <w:rFonts w:hint="eastAsia" w:ascii="仿宋" w:hAnsi="仿宋" w:eastAsia="仿宋" w:cs="仿宋"/>
          <w:b/>
          <w:color w:val="000000" w:themeColor="text1"/>
          <w:sz w:val="36"/>
          <w:szCs w:val="36"/>
          <w:highlight w:val="none"/>
          <w14:textFill>
            <w14:solidFill>
              <w14:schemeClr w14:val="tx1"/>
            </w14:solidFill>
          </w14:textFill>
        </w:rPr>
        <w:br w:type="page"/>
      </w:r>
    </w:p>
    <w:p w14:paraId="561FB3F6">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  采购需求</w:t>
      </w:r>
    </w:p>
    <w:p w14:paraId="42920A20">
      <w:pPr>
        <w:adjustRightInd/>
        <w:spacing w:line="360" w:lineRule="auto"/>
        <w:jc w:val="left"/>
        <w:outlineLvl w:val="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注：“▲” 系指实质性要求条款， “</w:t>
      </w:r>
      <w:r>
        <w:rPr>
          <w:rFonts w:hint="eastAsia" w:ascii="仿宋" w:hAnsi="仿宋" w:eastAsia="仿宋" w:cs="仿宋"/>
          <w:b/>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”系指磋商过程中可能实质性变动的内容。</w:t>
      </w:r>
    </w:p>
    <w:p w14:paraId="17696CE0">
      <w:pPr>
        <w:pStyle w:val="60"/>
        <w:numPr>
          <w:ilvl w:val="0"/>
          <w:numId w:val="8"/>
        </w:numPr>
        <w:spacing w:line="360" w:lineRule="auto"/>
        <w:ind w:left="0" w:leftChars="0" w:firstLine="422" w:firstLineChars="175"/>
        <w:rPr>
          <w:rFonts w:hint="eastAsia" w:cs="仿宋_GB2312"/>
          <w:b/>
          <w:bCs/>
          <w:sz w:val="24"/>
          <w:highlight w:val="none"/>
        </w:rPr>
      </w:pPr>
      <w:r>
        <w:rPr>
          <w:rFonts w:hint="eastAsia" w:cs="仿宋_GB2312"/>
          <w:b/>
          <w:bCs/>
          <w:sz w:val="24"/>
          <w:highlight w:val="none"/>
        </w:rPr>
        <w:t>项目概况</w:t>
      </w:r>
    </w:p>
    <w:p w14:paraId="6F0BA824">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项目编号：临[2025]17号</w:t>
      </w:r>
    </w:p>
    <w:p w14:paraId="40F94C79">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项目名称：杭州市临安区小型水库和山塘运行维修养护管理服务</w:t>
      </w:r>
    </w:p>
    <w:p w14:paraId="1637FAD9">
      <w:pPr>
        <w:adjustRightInd/>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采购内容：</w:t>
      </w:r>
    </w:p>
    <w:tbl>
      <w:tblPr>
        <w:tblStyle w:val="61"/>
        <w:tblW w:w="8865"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5"/>
        <w:gridCol w:w="1450"/>
        <w:gridCol w:w="1650"/>
        <w:gridCol w:w="1450"/>
        <w:gridCol w:w="1040"/>
      </w:tblGrid>
      <w:tr w14:paraId="6EB2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14:paraId="6E834B05">
            <w:pPr>
              <w:spacing w:line="360" w:lineRule="auto"/>
              <w:jc w:val="center"/>
              <w:rPr>
                <w:rFonts w:hint="eastAsia" w:ascii="宋体" w:hAnsi="宋体" w:cs="宋体"/>
                <w:sz w:val="24"/>
                <w:highlight w:val="none"/>
              </w:rPr>
            </w:pPr>
            <w:r>
              <w:rPr>
                <w:rFonts w:hint="eastAsia" w:ascii="宋体" w:hAnsi="宋体" w:cs="宋体"/>
                <w:sz w:val="24"/>
                <w:highlight w:val="none"/>
              </w:rPr>
              <w:t>标项</w:t>
            </w:r>
          </w:p>
        </w:tc>
        <w:tc>
          <w:tcPr>
            <w:tcW w:w="2495" w:type="dxa"/>
            <w:vAlign w:val="center"/>
          </w:tcPr>
          <w:p w14:paraId="4E6FF6A0">
            <w:pPr>
              <w:spacing w:line="360" w:lineRule="auto"/>
              <w:jc w:val="center"/>
              <w:rPr>
                <w:rFonts w:hint="eastAsia" w:ascii="宋体" w:hAnsi="宋体" w:cs="宋体"/>
                <w:sz w:val="24"/>
                <w:highlight w:val="none"/>
              </w:rPr>
            </w:pPr>
            <w:r>
              <w:rPr>
                <w:rFonts w:hint="eastAsia" w:ascii="宋体" w:hAnsi="宋体" w:cs="宋体"/>
                <w:sz w:val="24"/>
                <w:highlight w:val="none"/>
              </w:rPr>
              <w:t>采 购 内 容</w:t>
            </w:r>
          </w:p>
        </w:tc>
        <w:tc>
          <w:tcPr>
            <w:tcW w:w="1450" w:type="dxa"/>
            <w:vAlign w:val="center"/>
          </w:tcPr>
          <w:p w14:paraId="1D85BB10">
            <w:pPr>
              <w:spacing w:line="360" w:lineRule="auto"/>
              <w:jc w:val="center"/>
              <w:rPr>
                <w:rFonts w:hint="eastAsia" w:ascii="宋体" w:hAnsi="宋体" w:cs="宋体"/>
                <w:sz w:val="24"/>
                <w:highlight w:val="none"/>
              </w:rPr>
            </w:pPr>
            <w:r>
              <w:rPr>
                <w:rFonts w:hint="eastAsia" w:ascii="宋体" w:hAnsi="宋体" w:cs="宋体"/>
                <w:sz w:val="24"/>
                <w:highlight w:val="none"/>
              </w:rPr>
              <w:t>数量</w:t>
            </w:r>
          </w:p>
        </w:tc>
        <w:tc>
          <w:tcPr>
            <w:tcW w:w="1650" w:type="dxa"/>
            <w:vAlign w:val="center"/>
          </w:tcPr>
          <w:p w14:paraId="2A1181DA">
            <w:pPr>
              <w:spacing w:line="360" w:lineRule="auto"/>
              <w:jc w:val="center"/>
              <w:rPr>
                <w:rFonts w:hint="eastAsia" w:ascii="宋体" w:hAnsi="宋体" w:cs="宋体"/>
                <w:sz w:val="24"/>
                <w:highlight w:val="none"/>
              </w:rPr>
            </w:pPr>
            <w:r>
              <w:rPr>
                <w:rFonts w:hint="eastAsia" w:ascii="宋体" w:hAnsi="宋体" w:cs="宋体"/>
                <w:sz w:val="24"/>
                <w:highlight w:val="none"/>
              </w:rPr>
              <w:t>预算金额</w:t>
            </w:r>
          </w:p>
          <w:p w14:paraId="39D8EF1F">
            <w:pPr>
              <w:spacing w:line="360" w:lineRule="auto"/>
              <w:jc w:val="center"/>
              <w:rPr>
                <w:rFonts w:hint="eastAsia" w:ascii="宋体" w:hAnsi="宋体" w:cs="宋体"/>
                <w:sz w:val="24"/>
                <w:highlight w:val="none"/>
              </w:rPr>
            </w:pPr>
            <w:r>
              <w:rPr>
                <w:rFonts w:hint="eastAsia" w:ascii="宋体" w:hAnsi="宋体" w:cs="宋体"/>
                <w:sz w:val="24"/>
                <w:highlight w:val="none"/>
              </w:rPr>
              <w:t>（万元）</w:t>
            </w:r>
          </w:p>
        </w:tc>
        <w:tc>
          <w:tcPr>
            <w:tcW w:w="1450" w:type="dxa"/>
            <w:vAlign w:val="center"/>
          </w:tcPr>
          <w:p w14:paraId="24B28FA2">
            <w:pPr>
              <w:spacing w:line="360" w:lineRule="auto"/>
              <w:jc w:val="center"/>
              <w:rPr>
                <w:rFonts w:hint="eastAsia" w:ascii="宋体" w:hAnsi="宋体" w:cs="宋体"/>
                <w:sz w:val="24"/>
                <w:highlight w:val="none"/>
              </w:rPr>
            </w:pPr>
            <w:r>
              <w:rPr>
                <w:rFonts w:hint="eastAsia" w:ascii="宋体" w:hAnsi="宋体" w:cs="宋体"/>
                <w:sz w:val="24"/>
                <w:highlight w:val="none"/>
              </w:rPr>
              <w:t>服务年限</w:t>
            </w:r>
          </w:p>
        </w:tc>
        <w:tc>
          <w:tcPr>
            <w:tcW w:w="1040" w:type="dxa"/>
            <w:vAlign w:val="center"/>
          </w:tcPr>
          <w:p w14:paraId="239AB008">
            <w:pPr>
              <w:spacing w:line="360" w:lineRule="auto"/>
              <w:jc w:val="center"/>
              <w:rPr>
                <w:rFonts w:hint="eastAsia" w:ascii="宋体" w:hAnsi="宋体" w:cs="宋体"/>
                <w:sz w:val="24"/>
                <w:highlight w:val="none"/>
              </w:rPr>
            </w:pPr>
            <w:r>
              <w:rPr>
                <w:rFonts w:hint="eastAsia" w:ascii="宋体" w:hAnsi="宋体" w:cs="宋体"/>
                <w:sz w:val="24"/>
                <w:highlight w:val="none"/>
              </w:rPr>
              <w:t>备注</w:t>
            </w:r>
          </w:p>
        </w:tc>
      </w:tr>
      <w:tr w14:paraId="2D5C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80" w:type="dxa"/>
            <w:vAlign w:val="center"/>
          </w:tcPr>
          <w:p w14:paraId="7AA30C58">
            <w:pPr>
              <w:spacing w:line="360" w:lineRule="auto"/>
              <w:ind w:firstLine="240" w:firstLineChars="100"/>
              <w:jc w:val="center"/>
              <w:rPr>
                <w:rFonts w:hint="eastAsia" w:ascii="宋体" w:hAnsi="宋体" w:cs="宋体"/>
                <w:sz w:val="24"/>
                <w:highlight w:val="none"/>
              </w:rPr>
            </w:pPr>
            <w:r>
              <w:rPr>
                <w:rFonts w:hint="eastAsia" w:ascii="宋体" w:hAnsi="宋体" w:cs="宋体"/>
                <w:sz w:val="24"/>
                <w:highlight w:val="none"/>
              </w:rPr>
              <w:t>1</w:t>
            </w:r>
          </w:p>
        </w:tc>
        <w:tc>
          <w:tcPr>
            <w:tcW w:w="2495" w:type="dxa"/>
            <w:vAlign w:val="center"/>
          </w:tcPr>
          <w:p w14:paraId="0FD8B820">
            <w:pPr>
              <w:spacing w:line="360" w:lineRule="auto"/>
              <w:jc w:val="center"/>
              <w:rPr>
                <w:rFonts w:hint="eastAsia" w:ascii="宋体" w:hAnsi="宋体" w:cs="宋体"/>
                <w:sz w:val="24"/>
                <w:highlight w:val="none"/>
              </w:rPr>
            </w:pPr>
            <w:r>
              <w:rPr>
                <w:rFonts w:hint="eastAsia" w:ascii="宋体" w:hAnsi="宋体" w:cs="宋体"/>
                <w:color w:val="000000"/>
                <w:sz w:val="24"/>
                <w:highlight w:val="none"/>
              </w:rPr>
              <w:t>杭州市临安区小型水库和山塘运行维修养护管理服务</w:t>
            </w:r>
          </w:p>
        </w:tc>
        <w:tc>
          <w:tcPr>
            <w:tcW w:w="1450" w:type="dxa"/>
            <w:vAlign w:val="center"/>
          </w:tcPr>
          <w:p w14:paraId="015B0F9A">
            <w:pPr>
              <w:spacing w:line="360" w:lineRule="auto"/>
              <w:jc w:val="center"/>
              <w:rPr>
                <w:rFonts w:hint="eastAsia" w:ascii="宋体" w:hAnsi="宋体" w:cs="宋体"/>
                <w:sz w:val="24"/>
                <w:highlight w:val="none"/>
              </w:rPr>
            </w:pPr>
            <w:r>
              <w:rPr>
                <w:rFonts w:hint="eastAsia" w:ascii="宋体" w:hAnsi="宋体" w:cs="宋体"/>
                <w:sz w:val="24"/>
                <w:highlight w:val="none"/>
              </w:rPr>
              <w:t>1项</w:t>
            </w:r>
          </w:p>
        </w:tc>
        <w:tc>
          <w:tcPr>
            <w:tcW w:w="1650" w:type="dxa"/>
            <w:vAlign w:val="center"/>
          </w:tcPr>
          <w:p w14:paraId="1BCCEEA1">
            <w:pPr>
              <w:spacing w:line="360" w:lineRule="auto"/>
              <w:jc w:val="center"/>
              <w:rPr>
                <w:rFonts w:hint="eastAsia" w:ascii="宋体" w:hAnsi="宋体" w:cs="宋体"/>
                <w:sz w:val="24"/>
                <w:highlight w:val="none"/>
              </w:rPr>
            </w:pPr>
            <w:r>
              <w:rPr>
                <w:rFonts w:hint="eastAsia" w:ascii="宋体" w:hAnsi="宋体" w:cs="宋体"/>
                <w:sz w:val="24"/>
                <w:highlight w:val="none"/>
              </w:rPr>
              <w:t>118</w:t>
            </w:r>
          </w:p>
        </w:tc>
        <w:tc>
          <w:tcPr>
            <w:tcW w:w="1450" w:type="dxa"/>
            <w:vAlign w:val="center"/>
          </w:tcPr>
          <w:p w14:paraId="1F067D95">
            <w:pPr>
              <w:spacing w:line="360" w:lineRule="auto"/>
              <w:jc w:val="center"/>
              <w:rPr>
                <w:rFonts w:hint="eastAsia" w:ascii="宋体" w:hAnsi="宋体" w:cs="宋体"/>
                <w:sz w:val="24"/>
                <w:highlight w:val="none"/>
              </w:rPr>
            </w:pPr>
            <w:r>
              <w:rPr>
                <w:rFonts w:hint="eastAsia" w:ascii="宋体" w:hAnsi="宋体" w:cs="宋体"/>
                <w:sz w:val="24"/>
                <w:highlight w:val="none"/>
              </w:rPr>
              <w:t>15个月</w:t>
            </w:r>
          </w:p>
        </w:tc>
        <w:tc>
          <w:tcPr>
            <w:tcW w:w="1040" w:type="dxa"/>
            <w:vAlign w:val="center"/>
          </w:tcPr>
          <w:p w14:paraId="4BA995FD">
            <w:pPr>
              <w:spacing w:line="360" w:lineRule="auto"/>
              <w:jc w:val="center"/>
              <w:rPr>
                <w:rFonts w:hint="eastAsia" w:ascii="宋体" w:hAnsi="宋体" w:cs="宋体"/>
                <w:sz w:val="24"/>
                <w:highlight w:val="none"/>
              </w:rPr>
            </w:pPr>
          </w:p>
        </w:tc>
      </w:tr>
    </w:tbl>
    <w:p w14:paraId="0577B3E2">
      <w:pPr>
        <w:pStyle w:val="25"/>
        <w:ind w:firstLine="0"/>
        <w:rPr>
          <w:highlight w:val="none"/>
          <w:lang w:val="en-US"/>
        </w:rPr>
      </w:pPr>
    </w:p>
    <w:p w14:paraId="20682168">
      <w:pPr>
        <w:pStyle w:val="60"/>
        <w:numPr>
          <w:ilvl w:val="0"/>
          <w:numId w:val="8"/>
        </w:numPr>
        <w:tabs>
          <w:tab w:val="left" w:pos="1050"/>
        </w:tabs>
        <w:spacing w:line="360" w:lineRule="auto"/>
        <w:ind w:left="0" w:leftChars="0" w:firstLine="422" w:firstLineChars="175"/>
        <w:rPr>
          <w:rFonts w:hint="eastAsia" w:cs="仿宋_GB2312"/>
          <w:b/>
          <w:bCs/>
          <w:sz w:val="24"/>
          <w:highlight w:val="none"/>
        </w:rPr>
      </w:pPr>
      <w:r>
        <w:rPr>
          <w:rFonts w:hint="eastAsia" w:cs="仿宋_GB2312"/>
          <w:b/>
          <w:bCs/>
          <w:sz w:val="24"/>
          <w:highlight w:val="none"/>
        </w:rPr>
        <w:t>采购项目内容</w:t>
      </w:r>
    </w:p>
    <w:p w14:paraId="290DB617">
      <w:pPr>
        <w:pStyle w:val="25"/>
        <w:tabs>
          <w:tab w:val="left" w:pos="210"/>
        </w:tabs>
        <w:ind w:firstLineChars="175"/>
        <w:rPr>
          <w:highlight w:val="none"/>
          <w:lang w:val="en-US"/>
        </w:rPr>
      </w:pPr>
      <w:r>
        <w:rPr>
          <w:rFonts w:hint="eastAsia" w:hAnsi="宋体" w:cs="宋体"/>
          <w:bCs/>
          <w:highlight w:val="none"/>
        </w:rPr>
        <w:t>组建管理团队，落实管理机制，协助完成贯彻落实水库山塘维修养护政策方针和标准规定，协助组织采购库塘日常管护企业，协助区水利水电局做好库塘维养区级统管项目的全过程组织实施工作，协助考核库塘日常管护企业及支付流程的发起，协助编报和实施库塘维护年度计划，协助做好全区库塘运维信息档案的收集整理汇总，建设运用维养全过程信息化管理平台等。</w:t>
      </w:r>
    </w:p>
    <w:p w14:paraId="15A9727A">
      <w:pPr>
        <w:pStyle w:val="60"/>
        <w:numPr>
          <w:ilvl w:val="0"/>
          <w:numId w:val="8"/>
        </w:numPr>
        <w:spacing w:line="360" w:lineRule="auto"/>
        <w:ind w:left="0" w:leftChars="0" w:firstLine="422" w:firstLineChars="175"/>
        <w:jc w:val="left"/>
        <w:rPr>
          <w:rFonts w:hint="eastAsia" w:cs="仿宋_GB2312"/>
          <w:b/>
          <w:bCs/>
          <w:sz w:val="24"/>
          <w:highlight w:val="none"/>
        </w:rPr>
      </w:pPr>
      <w:r>
        <w:rPr>
          <w:rFonts w:hint="eastAsia" w:cs="仿宋_GB2312"/>
          <w:b/>
          <w:bCs/>
          <w:sz w:val="24"/>
          <w:highlight w:val="none"/>
        </w:rPr>
        <w:t>服务内容及要求</w:t>
      </w:r>
    </w:p>
    <w:p w14:paraId="6584B424">
      <w:pPr>
        <w:pStyle w:val="25"/>
        <w:rPr>
          <w:highlight w:val="none"/>
          <w:lang w:val="en-US"/>
        </w:rPr>
      </w:pPr>
      <w:r>
        <w:rPr>
          <w:rFonts w:hint="eastAsia"/>
          <w:highlight w:val="none"/>
          <w:lang w:val="en-US"/>
        </w:rPr>
        <w:t>1、设立专门的库塘运维统管部门，配备专职工作人员不少于8人、巡查监管专用车辆不少于3辆</w:t>
      </w:r>
      <w:r>
        <w:rPr>
          <w:rFonts w:hint="eastAsia" w:cs="仿宋_GB2312" w:asciiTheme="minorEastAsia" w:hAnsiTheme="minorEastAsia" w:eastAsiaTheme="minorEastAsia"/>
          <w:b/>
          <w:bCs/>
          <w:sz w:val="24"/>
          <w:highlight w:val="none"/>
          <w:lang w:eastAsia="zh-CN"/>
        </w:rPr>
        <w:t>（</w:t>
      </w:r>
      <w:r>
        <w:rPr>
          <w:rFonts w:hint="eastAsia" w:cs="仿宋_GB2312" w:asciiTheme="minorEastAsia" w:hAnsiTheme="minorEastAsia" w:eastAsiaTheme="minorEastAsia"/>
          <w:b/>
          <w:bCs/>
          <w:sz w:val="24"/>
          <w:highlight w:val="none"/>
          <w:lang w:val="en-US" w:eastAsia="zh-CN"/>
        </w:rPr>
        <w:t>越野车或工具车，车须为本单位自有车辆）</w:t>
      </w:r>
      <w:r>
        <w:rPr>
          <w:rFonts w:hint="eastAsia"/>
          <w:highlight w:val="none"/>
          <w:lang w:val="en-US"/>
        </w:rPr>
        <w:t>；</w:t>
      </w:r>
    </w:p>
    <w:p w14:paraId="72E4116D">
      <w:pPr>
        <w:pStyle w:val="25"/>
        <w:rPr>
          <w:highlight w:val="none"/>
          <w:lang w:val="en-US"/>
        </w:rPr>
      </w:pPr>
      <w:r>
        <w:rPr>
          <w:rFonts w:hint="eastAsia"/>
          <w:highlight w:val="none"/>
          <w:lang w:val="en-US"/>
        </w:rPr>
        <w:t>2、协助甲方组织政府采购确定库塘物业化维养企业，签订和执行维养合同等；</w:t>
      </w:r>
    </w:p>
    <w:p w14:paraId="74814EF7">
      <w:pPr>
        <w:pStyle w:val="25"/>
        <w:rPr>
          <w:highlight w:val="none"/>
          <w:lang w:val="en-US"/>
        </w:rPr>
      </w:pPr>
      <w:r>
        <w:rPr>
          <w:rFonts w:hint="eastAsia"/>
          <w:highlight w:val="none"/>
          <w:lang w:val="en-US"/>
        </w:rPr>
        <w:t>3、组织培训教育水库山塘维养企业工作人员，贯彻落实维养标准、规定和政策方针；</w:t>
      </w:r>
    </w:p>
    <w:p w14:paraId="10196512">
      <w:pPr>
        <w:pStyle w:val="25"/>
        <w:rPr>
          <w:highlight w:val="none"/>
          <w:lang w:val="en-US"/>
        </w:rPr>
      </w:pPr>
      <w:r>
        <w:rPr>
          <w:rFonts w:hint="eastAsia"/>
          <w:highlight w:val="none"/>
          <w:lang w:val="en-US"/>
        </w:rPr>
        <w:t>4、制定管理办法和考核制度，对维养企业进行日常监督和定期考核；</w:t>
      </w:r>
    </w:p>
    <w:p w14:paraId="13B72CCB">
      <w:pPr>
        <w:pStyle w:val="25"/>
        <w:rPr>
          <w:highlight w:val="none"/>
          <w:lang w:val="en-US"/>
        </w:rPr>
      </w:pPr>
      <w:r>
        <w:rPr>
          <w:rFonts w:hint="eastAsia"/>
          <w:highlight w:val="none"/>
          <w:lang w:val="en-US"/>
        </w:rPr>
        <w:t>5、收集归类水库山塘运维中发现的工程安全隐患问题，分类形成隐患问题数据库，编报和实施库塘运维年度计划；</w:t>
      </w:r>
    </w:p>
    <w:p w14:paraId="7470E6DE">
      <w:pPr>
        <w:pStyle w:val="25"/>
        <w:rPr>
          <w:rFonts w:hint="eastAsia"/>
          <w:highlight w:val="none"/>
          <w:lang w:val="en-US"/>
        </w:rPr>
      </w:pPr>
      <w:r>
        <w:rPr>
          <w:rFonts w:hint="eastAsia"/>
          <w:highlight w:val="none"/>
          <w:lang w:val="en-US"/>
        </w:rPr>
        <w:t>6、建立全区库塘运维数字化监管平台，设立手机、PC操作端，实现库塘运维全过程信息化管理；</w:t>
      </w:r>
    </w:p>
    <w:p w14:paraId="3AAEC3A0">
      <w:pPr>
        <w:pStyle w:val="26"/>
        <w:rPr>
          <w:rFonts w:hint="eastAsia"/>
          <w:highlight w:val="none"/>
          <w:lang w:val="en-US"/>
        </w:rPr>
      </w:pPr>
    </w:p>
    <w:p w14:paraId="62F68867">
      <w:pPr>
        <w:rPr>
          <w:rFonts w:hint="eastAsia"/>
          <w:highlight w:val="none"/>
          <w:lang w:eastAsia="zh-CN"/>
        </w:rPr>
      </w:pPr>
    </w:p>
    <w:p w14:paraId="1D9596AC">
      <w:pPr>
        <w:rPr>
          <w:rFonts w:hint="default" w:eastAsia="宋体"/>
          <w:color w:val="C0504D" w:themeColor="accent2"/>
          <w:highlight w:val="none"/>
          <w:lang w:val="en-US" w:eastAsia="zh-CN"/>
          <w14:textFill>
            <w14:gradFill>
              <w14:gsLst>
                <w14:gs w14:pos="0">
                  <w14:srgbClr w14:val="14CD68"/>
                </w14:gs>
                <w14:gs w14:pos="100000">
                  <w14:srgbClr w14:val="0B6E38"/>
                </w14:gs>
              </w14:gsLst>
              <w14:lin w14:scaled="0"/>
            </w14:gradFill>
          </w14:textFill>
        </w:rPr>
      </w:pPr>
      <w:r>
        <w:rPr>
          <w:rFonts w:hint="eastAsia"/>
          <w:color w:val="C0504D" w:themeColor="accent2"/>
          <w:sz w:val="24"/>
          <w:highlight w:val="none"/>
          <w:lang w:val="en-US" w:eastAsia="zh-CN"/>
          <w14:textFill>
            <w14:gradFill>
              <w14:gsLst>
                <w14:gs w14:pos="0">
                  <w14:srgbClr w14:val="14CD68"/>
                </w14:gs>
                <w14:gs w14:pos="100000">
                  <w14:srgbClr w14:val="0B6E38"/>
                </w14:gs>
              </w14:gsLst>
              <w14:lin w14:scaled="0"/>
            </w14:gradFill>
          </w14:textFill>
        </w:rPr>
        <w:t xml:space="preserve"> </w:t>
      </w:r>
      <w:r>
        <w:rPr>
          <w:rFonts w:hint="eastAsia"/>
          <w:color w:val="auto"/>
          <w:sz w:val="24"/>
          <w:highlight w:val="none"/>
          <w:lang w:val="en-US" w:eastAsia="zh-CN"/>
        </w:rPr>
        <w:t xml:space="preserve">   7、甲方根据工作需要下达的涉及山塘水库维修养护管理的其他工作。</w:t>
      </w:r>
    </w:p>
    <w:p w14:paraId="7E572125">
      <w:pPr>
        <w:rPr>
          <w:sz w:val="24"/>
          <w:highlight w:val="none"/>
        </w:rPr>
      </w:pPr>
    </w:p>
    <w:p w14:paraId="3721914C">
      <w:pPr>
        <w:pStyle w:val="60"/>
        <w:tabs>
          <w:tab w:val="left" w:pos="0"/>
        </w:tabs>
        <w:spacing w:line="360" w:lineRule="auto"/>
        <w:ind w:left="0" w:leftChars="0" w:firstLine="482"/>
        <w:rPr>
          <w:rFonts w:hint="eastAsia" w:cs="仿宋_GB2312"/>
          <w:b/>
          <w:bCs/>
          <w:sz w:val="24"/>
          <w:highlight w:val="none"/>
        </w:rPr>
      </w:pPr>
      <w:r>
        <w:rPr>
          <w:rFonts w:hint="eastAsia" w:cs="仿宋_GB2312"/>
          <w:b/>
          <w:bCs/>
          <w:sz w:val="24"/>
          <w:highlight w:val="none"/>
        </w:rPr>
        <w:t>四、服务期限</w:t>
      </w:r>
    </w:p>
    <w:p w14:paraId="2566BF30">
      <w:pPr>
        <w:pStyle w:val="60"/>
        <w:spacing w:line="360" w:lineRule="auto"/>
        <w:ind w:left="0" w:leftChars="0" w:firstLine="480"/>
        <w:rPr>
          <w:rFonts w:hint="eastAsia" w:cs="仿宋_GB2312"/>
          <w:sz w:val="24"/>
          <w:highlight w:val="none"/>
        </w:rPr>
      </w:pPr>
      <w:r>
        <w:rPr>
          <w:rFonts w:hint="eastAsia" w:cs="仿宋_GB2312"/>
          <w:sz w:val="24"/>
          <w:highlight w:val="none"/>
        </w:rPr>
        <w:t>合同签订后15个月（2025年1月1日至2026年3月31日）（2025年1月1日至本项目合同签订之日止已产生的服务费用在签订合同后,由中标单位按比例支付给原服务单位。具体以招标文件第四部分采购需求为准）。</w:t>
      </w:r>
      <w:bookmarkStart w:id="185" w:name="_GoBack"/>
      <w:bookmarkEnd w:id="185"/>
    </w:p>
    <w:p w14:paraId="418E218D">
      <w:pPr>
        <w:pStyle w:val="60"/>
        <w:spacing w:line="360" w:lineRule="auto"/>
        <w:ind w:left="0" w:leftChars="0" w:firstLine="422" w:firstLineChars="175"/>
        <w:rPr>
          <w:rFonts w:hint="eastAsia" w:cs="仿宋_GB2312"/>
          <w:b/>
          <w:bCs/>
          <w:sz w:val="24"/>
          <w:highlight w:val="none"/>
        </w:rPr>
      </w:pPr>
      <w:r>
        <w:rPr>
          <w:rFonts w:hint="eastAsia" w:cs="仿宋_GB2312"/>
          <w:b/>
          <w:bCs/>
          <w:sz w:val="24"/>
          <w:highlight w:val="none"/>
        </w:rPr>
        <w:t>五、支付方式</w:t>
      </w:r>
    </w:p>
    <w:p w14:paraId="7B0816C0">
      <w:pPr>
        <w:pStyle w:val="60"/>
        <w:spacing w:line="360" w:lineRule="auto"/>
        <w:ind w:left="0" w:leftChars="0" w:firstLine="420" w:firstLineChars="175"/>
        <w:rPr>
          <w:rFonts w:hint="eastAsia" w:cs="仿宋_GB2312"/>
          <w:sz w:val="24"/>
          <w:highlight w:val="none"/>
        </w:rPr>
      </w:pPr>
      <w:r>
        <w:rPr>
          <w:rFonts w:hint="eastAsia" w:cs="仿宋_GB2312"/>
          <w:sz w:val="24"/>
          <w:highlight w:val="none"/>
        </w:rPr>
        <w:t>合同生效之日起7日内支付合同总价的80%作为项目的预付款，通过验收之后支付余款。</w:t>
      </w:r>
    </w:p>
    <w:p w14:paraId="41676579">
      <w:pPr>
        <w:pStyle w:val="60"/>
        <w:spacing w:line="360" w:lineRule="auto"/>
        <w:ind w:left="0" w:leftChars="0" w:firstLine="482"/>
        <w:rPr>
          <w:rFonts w:hint="eastAsia" w:cs="仿宋_GB2312"/>
          <w:b/>
          <w:bCs/>
          <w:sz w:val="24"/>
          <w:highlight w:val="none"/>
        </w:rPr>
      </w:pPr>
      <w:r>
        <w:rPr>
          <w:rFonts w:hint="eastAsia" w:cs="仿宋_GB2312"/>
          <w:b/>
          <w:bCs/>
          <w:sz w:val="24"/>
          <w:highlight w:val="none"/>
        </w:rPr>
        <w:t>六、报价要求</w:t>
      </w:r>
    </w:p>
    <w:p w14:paraId="46D7F4B5">
      <w:pPr>
        <w:pStyle w:val="60"/>
        <w:spacing w:line="360" w:lineRule="auto"/>
        <w:ind w:left="0" w:leftChars="0" w:firstLine="420" w:firstLineChars="175"/>
        <w:rPr>
          <w:rFonts w:hint="eastAsia" w:cs="仿宋_GB2312"/>
          <w:sz w:val="24"/>
          <w:highlight w:val="none"/>
        </w:rPr>
      </w:pPr>
      <w:r>
        <w:rPr>
          <w:rFonts w:hint="eastAsia" w:cs="仿宋_GB2312"/>
          <w:sz w:val="24"/>
          <w:highlight w:val="none"/>
        </w:rPr>
        <w:t>报价应包括完成本项目工作所需的人力物力成本、交通住宿成本、办公经费、管理费、税金、监理费、代理服务费、专家费等其他费用等所有费用。</w:t>
      </w:r>
    </w:p>
    <w:p w14:paraId="7818264A">
      <w:pPr>
        <w:pStyle w:val="25"/>
        <w:rPr>
          <w:rFonts w:hint="eastAsia" w:hAnsi="宋体" w:cs="仿宋_GB2312"/>
          <w:szCs w:val="24"/>
          <w:highlight w:val="none"/>
          <w:lang w:val="en-US"/>
        </w:rPr>
      </w:pPr>
    </w:p>
    <w:p w14:paraId="71FD02A8">
      <w:pPr>
        <w:pStyle w:val="25"/>
        <w:rPr>
          <w:rFonts w:hint="eastAsia" w:cs="仿宋_GB2312" w:asciiTheme="minorEastAsia" w:hAnsiTheme="minorEastAsia" w:eastAsiaTheme="minorEastAsia"/>
          <w:szCs w:val="24"/>
          <w:highlight w:val="none"/>
          <w:lang w:val="en-US"/>
        </w:rPr>
      </w:pPr>
    </w:p>
    <w:p w14:paraId="5D8E47F4">
      <w:pPr>
        <w:autoSpaceDE w:val="0"/>
        <w:autoSpaceDN w:val="0"/>
        <w:adjustRightInd/>
        <w:spacing w:line="500" w:lineRule="exact"/>
        <w:jc w:val="center"/>
        <w:rPr>
          <w:rFonts w:hint="eastAsia" w:ascii="宋体" w:hAnsi="宋体" w:cs="宋体"/>
          <w:b/>
          <w:bCs/>
          <w:color w:val="000000"/>
          <w:sz w:val="24"/>
          <w:highlight w:val="none"/>
        </w:rPr>
      </w:pPr>
    </w:p>
    <w:p w14:paraId="6DAD3EA9">
      <w:pPr>
        <w:rPr>
          <w:rFonts w:hint="eastAsia" w:ascii="宋体" w:hAnsi="宋体" w:cs="宋体"/>
          <w:b/>
          <w:bCs/>
          <w:color w:val="000000"/>
          <w:sz w:val="24"/>
          <w:highlight w:val="none"/>
        </w:rPr>
      </w:pPr>
      <w:r>
        <w:rPr>
          <w:rFonts w:hint="eastAsia" w:ascii="宋体" w:hAnsi="宋体" w:cs="宋体"/>
          <w:b/>
          <w:bCs/>
          <w:color w:val="000000"/>
          <w:sz w:val="24"/>
          <w:highlight w:val="none"/>
        </w:rPr>
        <w:br w:type="page"/>
      </w:r>
    </w:p>
    <w:p w14:paraId="1C7610E0">
      <w:pPr>
        <w:autoSpaceDE w:val="0"/>
        <w:autoSpaceDN w:val="0"/>
        <w:adjustRightInd/>
        <w:spacing w:line="500" w:lineRule="exact"/>
        <w:jc w:val="center"/>
        <w:rPr>
          <w:rFonts w:hint="eastAsia" w:ascii="宋体" w:hAnsi="宋体" w:cs="宋体"/>
          <w:b/>
          <w:bCs/>
          <w:color w:val="000000"/>
          <w:sz w:val="24"/>
          <w:highlight w:val="none"/>
        </w:rPr>
      </w:pPr>
      <w:r>
        <w:rPr>
          <w:rFonts w:hint="eastAsia" w:ascii="宋体" w:hAnsi="宋体" w:cs="宋体"/>
          <w:b/>
          <w:bCs/>
          <w:color w:val="000000"/>
          <w:sz w:val="24"/>
          <w:highlight w:val="none"/>
        </w:rPr>
        <w:t>杭州市临安区小型水库和山塘运行维修养护管理服务考核办法</w:t>
      </w:r>
    </w:p>
    <w:p w14:paraId="501FD7DB">
      <w:pPr>
        <w:autoSpaceDE w:val="0"/>
        <w:autoSpaceDN w:val="0"/>
        <w:adjustRightInd/>
        <w:spacing w:line="500" w:lineRule="exact"/>
        <w:rPr>
          <w:rFonts w:hint="eastAsia" w:ascii="宋体" w:hAnsi="宋体" w:cs="宋体"/>
          <w:b/>
          <w:bCs/>
          <w:color w:val="000000"/>
          <w:sz w:val="24"/>
          <w:highlight w:val="none"/>
        </w:rPr>
      </w:pPr>
    </w:p>
    <w:p w14:paraId="6E642798">
      <w:pPr>
        <w:pStyle w:val="27"/>
        <w:adjustRightInd/>
        <w:spacing w:line="500" w:lineRule="exact"/>
        <w:ind w:firstLine="482"/>
        <w:rPr>
          <w:rFonts w:hint="eastAsia" w:cs="宋体"/>
          <w:b/>
          <w:bCs/>
          <w:color w:val="000000"/>
          <w:highlight w:val="none"/>
        </w:rPr>
      </w:pPr>
      <w:r>
        <w:rPr>
          <w:rFonts w:hint="eastAsia" w:cs="宋体"/>
          <w:b/>
          <w:bCs/>
          <w:color w:val="000000"/>
          <w:highlight w:val="none"/>
        </w:rPr>
        <w:t>一、考核周期</w:t>
      </w:r>
    </w:p>
    <w:p w14:paraId="385B5055">
      <w:pPr>
        <w:pStyle w:val="27"/>
        <w:adjustRightInd/>
        <w:spacing w:line="500" w:lineRule="exact"/>
        <w:rPr>
          <w:rFonts w:hint="eastAsia" w:cs="宋体"/>
          <w:color w:val="000000"/>
          <w:highlight w:val="none"/>
        </w:rPr>
      </w:pPr>
      <w:r>
        <w:rPr>
          <w:rFonts w:hint="eastAsia" w:cs="宋体"/>
          <w:color w:val="000000"/>
          <w:highlight w:val="none"/>
        </w:rPr>
        <w:t>考核周期为15个月，具体起止时间以合同签订为准。采购人根据中标人的履约情况和实际养护运行效果，开展维护考核。</w:t>
      </w:r>
    </w:p>
    <w:p w14:paraId="5DA777B8">
      <w:pPr>
        <w:pStyle w:val="27"/>
        <w:adjustRightInd/>
        <w:spacing w:line="500" w:lineRule="exact"/>
        <w:rPr>
          <w:rFonts w:hint="eastAsia" w:cs="宋体"/>
          <w:color w:val="000000"/>
          <w:highlight w:val="none"/>
        </w:rPr>
      </w:pPr>
    </w:p>
    <w:p w14:paraId="079AEE11">
      <w:pPr>
        <w:pStyle w:val="27"/>
        <w:adjustRightInd/>
        <w:spacing w:line="500" w:lineRule="exact"/>
        <w:ind w:firstLine="482"/>
        <w:rPr>
          <w:rFonts w:hint="eastAsia" w:cs="宋体"/>
          <w:b/>
          <w:bCs/>
          <w:color w:val="000000"/>
          <w:highlight w:val="none"/>
        </w:rPr>
      </w:pPr>
      <w:r>
        <w:rPr>
          <w:rFonts w:hint="eastAsia" w:cs="宋体"/>
          <w:b/>
          <w:bCs/>
          <w:color w:val="000000"/>
          <w:highlight w:val="none"/>
        </w:rPr>
        <w:t>二、考核方式</w:t>
      </w:r>
    </w:p>
    <w:p w14:paraId="3DF1B580">
      <w:pPr>
        <w:pStyle w:val="27"/>
        <w:adjustRightInd/>
        <w:spacing w:line="500" w:lineRule="exact"/>
        <w:rPr>
          <w:rFonts w:hint="eastAsia" w:cs="宋体"/>
          <w:color w:val="000000"/>
          <w:highlight w:val="none"/>
        </w:rPr>
      </w:pPr>
      <w:r>
        <w:rPr>
          <w:rFonts w:hint="eastAsia" w:cs="宋体"/>
          <w:color w:val="000000"/>
          <w:highlight w:val="none"/>
        </w:rPr>
        <w:t>考核采用年中考核、年度考核相结合的方式，总分100分，90分（含）以上为优秀，80分（含）至90分为良好，70分（含）至80分为合格。年中考核和年度考核各占考核总成绩50%。</w:t>
      </w:r>
      <w:r>
        <w:rPr>
          <w:rFonts w:hint="eastAsia" w:cs="宋体"/>
          <w:color w:val="000000"/>
          <w:highlight w:val="none"/>
          <w:u w:val="single"/>
        </w:rPr>
        <w:t>合同综合考评</w:t>
      </w:r>
      <w:r>
        <w:rPr>
          <w:rFonts w:hint="eastAsia" w:cs="宋体"/>
          <w:color w:val="000000"/>
          <w:highlight w:val="none"/>
        </w:rPr>
        <w:t>=年中考核*0.5+年度考核*0.5。具体赋分标准见附表。</w:t>
      </w:r>
    </w:p>
    <w:p w14:paraId="2E8DB786">
      <w:pPr>
        <w:pStyle w:val="27"/>
        <w:adjustRightInd/>
        <w:spacing w:line="500" w:lineRule="exact"/>
        <w:rPr>
          <w:rFonts w:hint="eastAsia" w:cs="宋体"/>
          <w:color w:val="000000"/>
          <w:highlight w:val="none"/>
        </w:rPr>
      </w:pPr>
      <w:r>
        <w:rPr>
          <w:rFonts w:hint="eastAsia" w:cs="宋体"/>
          <w:color w:val="000000"/>
          <w:highlight w:val="none"/>
        </w:rPr>
        <w:t>1、年（中）度考核：由采购人会同相关部门共同开展。</w:t>
      </w:r>
    </w:p>
    <w:p w14:paraId="173F1587">
      <w:pPr>
        <w:pStyle w:val="27"/>
        <w:adjustRightInd/>
        <w:spacing w:line="500" w:lineRule="exact"/>
        <w:rPr>
          <w:rFonts w:hint="eastAsia" w:cs="宋体"/>
          <w:color w:val="000000"/>
          <w:highlight w:val="none"/>
        </w:rPr>
      </w:pPr>
      <w:r>
        <w:rPr>
          <w:rFonts w:hint="eastAsia" w:cs="宋体"/>
          <w:color w:val="000000"/>
          <w:highlight w:val="none"/>
        </w:rPr>
        <w:t>2、合同考核结果应共享给各有关单位。</w:t>
      </w:r>
    </w:p>
    <w:p w14:paraId="34816ED9">
      <w:pPr>
        <w:pStyle w:val="27"/>
        <w:adjustRightInd/>
        <w:spacing w:line="500" w:lineRule="exact"/>
        <w:ind w:firstLine="482"/>
        <w:rPr>
          <w:rFonts w:hint="eastAsia" w:cs="宋体"/>
          <w:b/>
          <w:bCs/>
          <w:color w:val="000000"/>
          <w:highlight w:val="none"/>
        </w:rPr>
      </w:pPr>
      <w:r>
        <w:rPr>
          <w:rFonts w:hint="eastAsia" w:cs="宋体"/>
          <w:b/>
          <w:bCs/>
          <w:color w:val="000000"/>
          <w:highlight w:val="none"/>
        </w:rPr>
        <w:t>三、考核内容</w:t>
      </w:r>
    </w:p>
    <w:p w14:paraId="0BC31328">
      <w:pPr>
        <w:pStyle w:val="27"/>
        <w:adjustRightInd/>
        <w:spacing w:line="500" w:lineRule="exact"/>
        <w:rPr>
          <w:rFonts w:hint="eastAsia" w:cs="宋体"/>
          <w:color w:val="auto"/>
          <w:highlight w:val="none"/>
        </w:rPr>
      </w:pPr>
      <w:r>
        <w:rPr>
          <w:rFonts w:hint="eastAsia" w:cs="宋体"/>
          <w:color w:val="auto"/>
          <w:highlight w:val="none"/>
        </w:rPr>
        <w:t>具体考核内容详见考核评分表。</w:t>
      </w:r>
    </w:p>
    <w:p w14:paraId="2542C121">
      <w:pPr>
        <w:pStyle w:val="27"/>
        <w:adjustRightInd/>
        <w:spacing w:line="500" w:lineRule="exact"/>
        <w:ind w:firstLine="482"/>
        <w:rPr>
          <w:rFonts w:hint="eastAsia" w:cs="宋体"/>
          <w:b/>
          <w:bCs/>
          <w:color w:val="auto"/>
          <w:highlight w:val="none"/>
        </w:rPr>
      </w:pPr>
      <w:r>
        <w:rPr>
          <w:rFonts w:hint="eastAsia" w:cs="宋体"/>
          <w:b/>
          <w:bCs/>
          <w:color w:val="auto"/>
          <w:highlight w:val="none"/>
        </w:rPr>
        <w:t>四、其他约定</w:t>
      </w:r>
    </w:p>
    <w:p w14:paraId="44E09578">
      <w:pPr>
        <w:pStyle w:val="27"/>
        <w:adjustRightInd/>
        <w:spacing w:line="500" w:lineRule="exact"/>
        <w:rPr>
          <w:rFonts w:hint="eastAsia" w:cs="宋体"/>
          <w:color w:val="auto"/>
          <w:highlight w:val="none"/>
        </w:rPr>
      </w:pPr>
      <w:r>
        <w:rPr>
          <w:rFonts w:hint="eastAsia" w:cs="宋体"/>
          <w:color w:val="auto"/>
          <w:highlight w:val="none"/>
        </w:rPr>
        <w:t>1、采购人将对中标单位服务质量进行全过程监管，中标单位日常工作不到位、不达标或有违约现象，将依据合同约定，作出相应的违约处理。</w:t>
      </w:r>
    </w:p>
    <w:p w14:paraId="094988E2">
      <w:pPr>
        <w:pStyle w:val="27"/>
        <w:adjustRightInd/>
        <w:spacing w:line="500" w:lineRule="exact"/>
        <w:rPr>
          <w:rFonts w:hint="eastAsia" w:cs="宋体"/>
          <w:color w:val="auto"/>
          <w:highlight w:val="none"/>
        </w:rPr>
      </w:pPr>
      <w:r>
        <w:rPr>
          <w:rFonts w:hint="eastAsia" w:cs="宋体"/>
          <w:color w:val="auto"/>
          <w:highlight w:val="none"/>
        </w:rPr>
        <w:t>2、采购人对中标单位服务质量应征求镇街及流域所的意见，每</w:t>
      </w:r>
      <w:r>
        <w:rPr>
          <w:rFonts w:hint="eastAsia" w:cs="宋体"/>
          <w:color w:val="auto"/>
          <w:highlight w:val="none"/>
          <w:lang w:val="en-US" w:eastAsia="zh-CN"/>
        </w:rPr>
        <w:t>季度1次</w:t>
      </w:r>
      <w:r>
        <w:rPr>
          <w:rFonts w:hint="eastAsia" w:cs="宋体"/>
          <w:color w:val="auto"/>
          <w:highlight w:val="none"/>
        </w:rPr>
        <w:t>，综合合格率必须达到80%以上，综合合格率每低一个百分点，扣除当月服务费的1</w:t>
      </w:r>
      <w:r>
        <w:rPr>
          <w:rFonts w:hint="eastAsia" w:cs="宋体"/>
          <w:color w:val="auto"/>
          <w:highlight w:val="none"/>
          <w:lang w:val="en-US" w:eastAsia="zh-CN"/>
        </w:rPr>
        <w:t>0</w:t>
      </w:r>
      <w:r>
        <w:rPr>
          <w:rFonts w:hint="eastAsia" w:cs="宋体"/>
          <w:color w:val="auto"/>
          <w:highlight w:val="none"/>
        </w:rPr>
        <w:t>%，同时中标单位必须进行整改；综合合格率低于70%的，采购人有权解除合同。</w:t>
      </w:r>
    </w:p>
    <w:p w14:paraId="612A28A7">
      <w:pPr>
        <w:pStyle w:val="27"/>
        <w:adjustRightInd/>
        <w:spacing w:line="500" w:lineRule="exact"/>
        <w:rPr>
          <w:rFonts w:hint="eastAsia" w:cs="宋体"/>
          <w:color w:val="auto"/>
          <w:highlight w:val="none"/>
        </w:rPr>
      </w:pPr>
      <w:r>
        <w:rPr>
          <w:rFonts w:hint="eastAsia" w:cs="宋体"/>
          <w:color w:val="auto"/>
          <w:highlight w:val="none"/>
        </w:rPr>
        <w:t>3、服务人员在岗履行工作职责期间，发生自身的人身伤害、伤亡，均由中标单位负责处理并承担相应责任，采购人不承担任何责任。</w:t>
      </w:r>
    </w:p>
    <w:p w14:paraId="5879C30A">
      <w:pPr>
        <w:pStyle w:val="27"/>
        <w:adjustRightInd/>
        <w:spacing w:line="500" w:lineRule="exact"/>
        <w:rPr>
          <w:rFonts w:hint="eastAsia" w:cs="宋体"/>
          <w:color w:val="auto"/>
          <w:highlight w:val="none"/>
        </w:rPr>
      </w:pPr>
      <w:r>
        <w:rPr>
          <w:rFonts w:hint="eastAsia" w:cs="宋体"/>
          <w:color w:val="auto"/>
          <w:highlight w:val="none"/>
        </w:rPr>
        <w:t>4、中标单位在管理服务中，因违反国家相关行业规范操作标准等造成他人人身伤亡的，中标单位承担相应责任。</w:t>
      </w:r>
    </w:p>
    <w:p w14:paraId="711AC168">
      <w:pPr>
        <w:pStyle w:val="27"/>
        <w:adjustRightInd/>
        <w:spacing w:line="500" w:lineRule="exact"/>
        <w:rPr>
          <w:rFonts w:hint="eastAsia" w:cs="宋体"/>
          <w:color w:val="auto"/>
          <w:highlight w:val="none"/>
        </w:rPr>
      </w:pPr>
      <w:r>
        <w:rPr>
          <w:rFonts w:hint="eastAsia" w:cs="宋体"/>
          <w:color w:val="auto"/>
          <w:highlight w:val="none"/>
        </w:rPr>
        <w:t>5、中标单位违返国家相关法规，与聘用人员发生纠纷，均由中标单位负责调解与处理，采购人不承担责任。</w:t>
      </w:r>
    </w:p>
    <w:p w14:paraId="05008013">
      <w:pPr>
        <w:pStyle w:val="27"/>
        <w:adjustRightInd/>
        <w:spacing w:line="500" w:lineRule="exact"/>
        <w:ind w:firstLine="64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br w:type="page"/>
      </w:r>
    </w:p>
    <w:p w14:paraId="7789667D">
      <w:pPr>
        <w:pStyle w:val="72"/>
        <w:rPr>
          <w:highlight w:val="none"/>
        </w:rPr>
        <w:sectPr>
          <w:pgSz w:w="11906" w:h="16838"/>
          <w:pgMar w:top="1440" w:right="1066" w:bottom="1440" w:left="1380" w:header="851" w:footer="992" w:gutter="0"/>
          <w:cols w:space="720" w:num="1"/>
          <w:docGrid w:type="lines" w:linePitch="312" w:charSpace="0"/>
        </w:sectPr>
      </w:pPr>
    </w:p>
    <w:p w14:paraId="017BF777">
      <w:pPr>
        <w:adjustRightInd/>
        <w:spacing w:line="500" w:lineRule="exact"/>
        <w:ind w:firstLine="640" w:firstLineChars="200"/>
        <w:jc w:val="center"/>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考核评分表</w:t>
      </w:r>
    </w:p>
    <w:p w14:paraId="32A4B4C9">
      <w:pPr>
        <w:adjustRightInd/>
        <w:spacing w:line="500" w:lineRule="exact"/>
        <w:rPr>
          <w:rFonts w:hint="eastAsia" w:ascii="黑体" w:hAnsi="黑体" w:eastAsia="黑体" w:cs="黑体"/>
          <w:color w:val="000000"/>
          <w:sz w:val="32"/>
          <w:szCs w:val="32"/>
          <w:highlight w:val="none"/>
        </w:rPr>
      </w:pPr>
    </w:p>
    <w:tbl>
      <w:tblPr>
        <w:tblStyle w:val="61"/>
        <w:tblW w:w="9276" w:type="dxa"/>
        <w:tblInd w:w="91" w:type="dxa"/>
        <w:tblLayout w:type="fixed"/>
        <w:tblCellMar>
          <w:top w:w="0" w:type="dxa"/>
          <w:left w:w="108" w:type="dxa"/>
          <w:bottom w:w="0" w:type="dxa"/>
          <w:right w:w="108" w:type="dxa"/>
        </w:tblCellMar>
      </w:tblPr>
      <w:tblGrid>
        <w:gridCol w:w="422"/>
        <w:gridCol w:w="360"/>
        <w:gridCol w:w="2914"/>
        <w:gridCol w:w="896"/>
        <w:gridCol w:w="4684"/>
      </w:tblGrid>
      <w:tr w14:paraId="7046532E">
        <w:tblPrEx>
          <w:tblCellMar>
            <w:top w:w="0" w:type="dxa"/>
            <w:left w:w="108" w:type="dxa"/>
            <w:bottom w:w="0" w:type="dxa"/>
            <w:right w:w="108" w:type="dxa"/>
          </w:tblCellMar>
        </w:tblPrEx>
        <w:trPr>
          <w:trHeight w:val="522" w:hRule="atLeast"/>
        </w:trPr>
        <w:tc>
          <w:tcPr>
            <w:tcW w:w="422" w:type="dxa"/>
            <w:tcBorders>
              <w:top w:val="single" w:color="auto" w:sz="4" w:space="0"/>
              <w:left w:val="single" w:color="auto" w:sz="4" w:space="0"/>
              <w:bottom w:val="single" w:color="auto" w:sz="4" w:space="0"/>
              <w:right w:val="single" w:color="auto" w:sz="4" w:space="0"/>
            </w:tcBorders>
            <w:vAlign w:val="center"/>
          </w:tcPr>
          <w:p w14:paraId="38032C1D">
            <w:pPr>
              <w:widowControl/>
              <w:jc w:val="center"/>
              <w:rPr>
                <w:rFonts w:hint="eastAsia" w:ascii="宋体" w:hAnsi="宋体" w:cs="宋体"/>
                <w:b/>
                <w:bCs/>
                <w:sz w:val="24"/>
                <w:highlight w:val="none"/>
              </w:rPr>
            </w:pPr>
            <w:r>
              <w:rPr>
                <w:rFonts w:hint="eastAsia" w:ascii="宋体" w:hAnsi="宋体" w:cs="宋体"/>
                <w:b/>
                <w:bCs/>
                <w:sz w:val="24"/>
                <w:highlight w:val="none"/>
              </w:rPr>
              <w:t>序号</w:t>
            </w:r>
          </w:p>
        </w:tc>
        <w:tc>
          <w:tcPr>
            <w:tcW w:w="360" w:type="dxa"/>
            <w:tcBorders>
              <w:top w:val="single" w:color="auto" w:sz="4" w:space="0"/>
              <w:left w:val="nil"/>
              <w:bottom w:val="single" w:color="auto" w:sz="4" w:space="0"/>
              <w:right w:val="single" w:color="auto" w:sz="4" w:space="0"/>
            </w:tcBorders>
            <w:vAlign w:val="center"/>
          </w:tcPr>
          <w:p w14:paraId="47F25D6A">
            <w:pPr>
              <w:widowControl/>
              <w:jc w:val="center"/>
              <w:rPr>
                <w:rFonts w:hint="eastAsia" w:ascii="宋体" w:hAnsi="宋体" w:cs="宋体"/>
                <w:b/>
                <w:bCs/>
                <w:sz w:val="24"/>
                <w:highlight w:val="none"/>
              </w:rPr>
            </w:pPr>
            <w:r>
              <w:rPr>
                <w:rFonts w:hint="eastAsia" w:ascii="宋体" w:hAnsi="宋体" w:cs="宋体"/>
                <w:b/>
                <w:bCs/>
                <w:sz w:val="24"/>
                <w:highlight w:val="none"/>
              </w:rPr>
              <w:t>项目</w:t>
            </w:r>
          </w:p>
        </w:tc>
        <w:tc>
          <w:tcPr>
            <w:tcW w:w="2914" w:type="dxa"/>
            <w:tcBorders>
              <w:top w:val="single" w:color="auto" w:sz="4" w:space="0"/>
              <w:left w:val="nil"/>
              <w:bottom w:val="single" w:color="auto" w:sz="4" w:space="0"/>
              <w:right w:val="single" w:color="auto" w:sz="4" w:space="0"/>
            </w:tcBorders>
            <w:vAlign w:val="center"/>
          </w:tcPr>
          <w:p w14:paraId="6A9F7E4D">
            <w:pPr>
              <w:widowControl/>
              <w:jc w:val="center"/>
              <w:rPr>
                <w:rFonts w:hint="eastAsia" w:ascii="宋体" w:hAnsi="宋体" w:cs="宋体"/>
                <w:b/>
                <w:bCs/>
                <w:sz w:val="24"/>
                <w:highlight w:val="none"/>
              </w:rPr>
            </w:pPr>
            <w:r>
              <w:rPr>
                <w:rFonts w:hint="eastAsia" w:ascii="宋体" w:hAnsi="宋体" w:cs="宋体"/>
                <w:b/>
                <w:bCs/>
                <w:sz w:val="24"/>
                <w:highlight w:val="none"/>
              </w:rPr>
              <w:t>考核内容</w:t>
            </w:r>
          </w:p>
        </w:tc>
        <w:tc>
          <w:tcPr>
            <w:tcW w:w="896" w:type="dxa"/>
            <w:tcBorders>
              <w:top w:val="single" w:color="auto" w:sz="4" w:space="0"/>
              <w:left w:val="nil"/>
              <w:bottom w:val="single" w:color="auto" w:sz="4" w:space="0"/>
              <w:right w:val="single" w:color="auto" w:sz="4" w:space="0"/>
            </w:tcBorders>
            <w:vAlign w:val="center"/>
          </w:tcPr>
          <w:p w14:paraId="7E6EC6CD">
            <w:pPr>
              <w:widowControl/>
              <w:jc w:val="center"/>
              <w:rPr>
                <w:rFonts w:hint="eastAsia" w:ascii="宋体" w:hAnsi="宋体" w:cs="宋体"/>
                <w:b/>
                <w:bCs/>
                <w:sz w:val="24"/>
                <w:highlight w:val="none"/>
              </w:rPr>
            </w:pPr>
            <w:r>
              <w:rPr>
                <w:rFonts w:hint="eastAsia" w:ascii="宋体" w:hAnsi="宋体" w:cs="宋体"/>
                <w:b/>
                <w:bCs/>
                <w:sz w:val="24"/>
                <w:highlight w:val="none"/>
              </w:rPr>
              <w:t>标准分</w:t>
            </w:r>
          </w:p>
        </w:tc>
        <w:tc>
          <w:tcPr>
            <w:tcW w:w="4684" w:type="dxa"/>
            <w:tcBorders>
              <w:top w:val="single" w:color="auto" w:sz="4" w:space="0"/>
              <w:left w:val="nil"/>
              <w:bottom w:val="single" w:color="auto" w:sz="4" w:space="0"/>
              <w:right w:val="single" w:color="auto" w:sz="4" w:space="0"/>
            </w:tcBorders>
            <w:vAlign w:val="center"/>
          </w:tcPr>
          <w:p w14:paraId="0D0CF098">
            <w:pPr>
              <w:widowControl/>
              <w:jc w:val="center"/>
              <w:rPr>
                <w:rFonts w:hint="eastAsia" w:ascii="宋体" w:hAnsi="宋体" w:cs="宋体"/>
                <w:b/>
                <w:bCs/>
                <w:sz w:val="24"/>
                <w:highlight w:val="none"/>
              </w:rPr>
            </w:pPr>
            <w:r>
              <w:rPr>
                <w:rFonts w:hint="eastAsia" w:ascii="宋体" w:hAnsi="宋体" w:cs="宋体"/>
                <w:b/>
                <w:bCs/>
                <w:sz w:val="24"/>
                <w:highlight w:val="none"/>
              </w:rPr>
              <w:t>赋分原则</w:t>
            </w:r>
          </w:p>
        </w:tc>
      </w:tr>
      <w:tr w14:paraId="36BC4E37">
        <w:tblPrEx>
          <w:tblCellMar>
            <w:top w:w="0" w:type="dxa"/>
            <w:left w:w="108" w:type="dxa"/>
            <w:bottom w:w="0" w:type="dxa"/>
            <w:right w:w="108" w:type="dxa"/>
          </w:tblCellMar>
        </w:tblPrEx>
        <w:trPr>
          <w:trHeight w:val="272" w:hRule="atLeast"/>
        </w:trPr>
        <w:tc>
          <w:tcPr>
            <w:tcW w:w="9276" w:type="dxa"/>
            <w:gridSpan w:val="5"/>
            <w:tcBorders>
              <w:top w:val="single" w:color="auto" w:sz="4" w:space="0"/>
              <w:left w:val="single" w:color="auto" w:sz="4" w:space="0"/>
              <w:bottom w:val="single" w:color="auto" w:sz="4" w:space="0"/>
              <w:right w:val="single" w:color="auto" w:sz="4" w:space="0"/>
            </w:tcBorders>
            <w:vAlign w:val="center"/>
          </w:tcPr>
          <w:p w14:paraId="4AB29139">
            <w:pPr>
              <w:widowControl/>
              <w:rPr>
                <w:rFonts w:hint="eastAsia" w:ascii="宋体" w:hAnsi="宋体" w:cs="宋体"/>
                <w:sz w:val="24"/>
                <w:highlight w:val="none"/>
              </w:rPr>
            </w:pPr>
          </w:p>
        </w:tc>
      </w:tr>
      <w:tr w14:paraId="2475F689">
        <w:tblPrEx>
          <w:tblCellMar>
            <w:top w:w="0" w:type="dxa"/>
            <w:left w:w="108" w:type="dxa"/>
            <w:bottom w:w="0" w:type="dxa"/>
            <w:right w:w="108" w:type="dxa"/>
          </w:tblCellMar>
        </w:tblPrEx>
        <w:trPr>
          <w:trHeight w:val="774" w:hRule="atLeast"/>
        </w:trPr>
        <w:tc>
          <w:tcPr>
            <w:tcW w:w="782" w:type="dxa"/>
            <w:gridSpan w:val="2"/>
            <w:tcBorders>
              <w:top w:val="nil"/>
              <w:left w:val="single" w:color="auto" w:sz="4" w:space="0"/>
              <w:bottom w:val="single" w:color="auto" w:sz="4" w:space="0"/>
              <w:right w:val="single" w:color="auto" w:sz="4" w:space="0"/>
            </w:tcBorders>
            <w:vAlign w:val="center"/>
          </w:tcPr>
          <w:p w14:paraId="53B86F0A">
            <w:pPr>
              <w:widowControl/>
              <w:jc w:val="center"/>
              <w:rPr>
                <w:rFonts w:hint="eastAsia" w:ascii="宋体" w:hAnsi="宋体" w:cs="宋体"/>
                <w:sz w:val="24"/>
                <w:highlight w:val="none"/>
              </w:rPr>
            </w:pPr>
            <w:r>
              <w:rPr>
                <w:rFonts w:hint="eastAsia" w:ascii="宋体" w:hAnsi="宋体" w:cs="宋体"/>
                <w:sz w:val="24"/>
                <w:highlight w:val="none"/>
              </w:rPr>
              <w:t>1</w:t>
            </w:r>
          </w:p>
        </w:tc>
        <w:tc>
          <w:tcPr>
            <w:tcW w:w="2914" w:type="dxa"/>
            <w:tcBorders>
              <w:top w:val="nil"/>
              <w:left w:val="nil"/>
              <w:bottom w:val="single" w:color="auto" w:sz="4" w:space="0"/>
              <w:right w:val="single" w:color="auto" w:sz="4" w:space="0"/>
            </w:tcBorders>
            <w:vAlign w:val="center"/>
          </w:tcPr>
          <w:p w14:paraId="153E3B2C">
            <w:pPr>
              <w:widowControl/>
              <w:rPr>
                <w:rFonts w:hint="eastAsia" w:ascii="宋体" w:hAnsi="宋体" w:cs="宋体"/>
                <w:sz w:val="24"/>
                <w:highlight w:val="none"/>
              </w:rPr>
            </w:pPr>
            <w:r>
              <w:rPr>
                <w:rFonts w:hint="eastAsia" w:ascii="宋体" w:hAnsi="宋体" w:cs="宋体"/>
                <w:sz w:val="24"/>
                <w:highlight w:val="none"/>
              </w:rPr>
              <w:t>设立专门的库塘运维统管部门，配备专职工作人员不少于8人，巡查监管专用车辆不少于3辆。</w:t>
            </w:r>
          </w:p>
        </w:tc>
        <w:tc>
          <w:tcPr>
            <w:tcW w:w="896" w:type="dxa"/>
            <w:tcBorders>
              <w:top w:val="nil"/>
              <w:left w:val="nil"/>
              <w:bottom w:val="single" w:color="auto" w:sz="4" w:space="0"/>
              <w:right w:val="single" w:color="auto" w:sz="4" w:space="0"/>
            </w:tcBorders>
            <w:vAlign w:val="center"/>
          </w:tcPr>
          <w:p w14:paraId="7CD73FA9">
            <w:pPr>
              <w:widowControl/>
              <w:jc w:val="center"/>
              <w:rPr>
                <w:rFonts w:hint="eastAsia" w:ascii="宋体" w:hAnsi="宋体" w:cs="宋体"/>
                <w:sz w:val="24"/>
                <w:highlight w:val="none"/>
              </w:rPr>
            </w:pPr>
            <w:r>
              <w:rPr>
                <w:rFonts w:hint="eastAsia" w:ascii="宋体" w:hAnsi="宋体" w:cs="宋体"/>
                <w:sz w:val="24"/>
                <w:highlight w:val="none"/>
              </w:rPr>
              <w:t>20</w:t>
            </w:r>
          </w:p>
        </w:tc>
        <w:tc>
          <w:tcPr>
            <w:tcW w:w="4684" w:type="dxa"/>
            <w:tcBorders>
              <w:top w:val="nil"/>
              <w:left w:val="nil"/>
              <w:bottom w:val="single" w:color="auto" w:sz="4" w:space="0"/>
              <w:right w:val="single" w:color="auto" w:sz="4" w:space="0"/>
            </w:tcBorders>
            <w:vAlign w:val="center"/>
          </w:tcPr>
          <w:p w14:paraId="3079D3C0">
            <w:pPr>
              <w:widowControl/>
              <w:rPr>
                <w:rFonts w:hint="eastAsia" w:ascii="宋体" w:hAnsi="宋体" w:cs="宋体"/>
                <w:sz w:val="24"/>
                <w:highlight w:val="none"/>
              </w:rPr>
            </w:pPr>
            <w:r>
              <w:rPr>
                <w:rFonts w:hint="eastAsia" w:ascii="宋体" w:hAnsi="宋体" w:cs="宋体"/>
                <w:sz w:val="24"/>
                <w:highlight w:val="none"/>
              </w:rPr>
              <w:t>未按要求设立库塘运维部门，未配足专职工作人员、巡查监管专用车辆的</w:t>
            </w:r>
            <w:r>
              <w:rPr>
                <w:rFonts w:hint="eastAsia" w:ascii="宋体" w:hAnsi="宋体" w:cs="宋体"/>
                <w:sz w:val="24"/>
                <w:highlight w:val="none"/>
                <w:lang w:val="en-US" w:eastAsia="zh-CN"/>
              </w:rPr>
              <w:t>不得分</w:t>
            </w:r>
            <w:r>
              <w:rPr>
                <w:rFonts w:hint="eastAsia" w:ascii="宋体" w:hAnsi="宋体" w:cs="宋体"/>
                <w:sz w:val="24"/>
                <w:highlight w:val="none"/>
              </w:rPr>
              <w:t>。</w:t>
            </w:r>
          </w:p>
        </w:tc>
      </w:tr>
      <w:tr w14:paraId="754F1268">
        <w:tblPrEx>
          <w:tblCellMar>
            <w:top w:w="0" w:type="dxa"/>
            <w:left w:w="108" w:type="dxa"/>
            <w:bottom w:w="0" w:type="dxa"/>
            <w:right w:w="108" w:type="dxa"/>
          </w:tblCellMar>
        </w:tblPrEx>
        <w:trPr>
          <w:trHeight w:val="1579" w:hRule="atLeast"/>
        </w:trPr>
        <w:tc>
          <w:tcPr>
            <w:tcW w:w="782" w:type="dxa"/>
            <w:gridSpan w:val="2"/>
            <w:tcBorders>
              <w:top w:val="nil"/>
              <w:left w:val="single" w:color="auto" w:sz="4" w:space="0"/>
              <w:bottom w:val="single" w:color="auto" w:sz="4" w:space="0"/>
              <w:right w:val="single" w:color="auto" w:sz="4" w:space="0"/>
            </w:tcBorders>
            <w:vAlign w:val="center"/>
          </w:tcPr>
          <w:p w14:paraId="2B9F2480">
            <w:pPr>
              <w:widowControl/>
              <w:jc w:val="center"/>
              <w:rPr>
                <w:rFonts w:hint="eastAsia" w:ascii="宋体" w:hAnsi="宋体" w:cs="宋体"/>
                <w:sz w:val="24"/>
                <w:highlight w:val="none"/>
              </w:rPr>
            </w:pPr>
            <w:r>
              <w:rPr>
                <w:rFonts w:hint="eastAsia" w:ascii="宋体" w:hAnsi="宋体" w:cs="宋体"/>
                <w:sz w:val="24"/>
                <w:highlight w:val="none"/>
              </w:rPr>
              <w:t>2</w:t>
            </w:r>
          </w:p>
        </w:tc>
        <w:tc>
          <w:tcPr>
            <w:tcW w:w="2914" w:type="dxa"/>
            <w:tcBorders>
              <w:top w:val="nil"/>
              <w:left w:val="nil"/>
              <w:bottom w:val="single" w:color="auto" w:sz="4" w:space="0"/>
              <w:right w:val="single" w:color="auto" w:sz="4" w:space="0"/>
            </w:tcBorders>
            <w:vAlign w:val="center"/>
          </w:tcPr>
          <w:p w14:paraId="00C5074E">
            <w:pPr>
              <w:widowControl/>
              <w:rPr>
                <w:rFonts w:hint="eastAsia" w:ascii="宋体" w:hAnsi="宋体" w:cs="宋体"/>
                <w:sz w:val="24"/>
                <w:highlight w:val="none"/>
              </w:rPr>
            </w:pPr>
            <w:r>
              <w:rPr>
                <w:rFonts w:hint="eastAsia"/>
                <w:sz w:val="24"/>
                <w:highlight w:val="none"/>
              </w:rPr>
              <w:t>按甲方要求组织政府采购确定库塘物业化维养企业，签订和执行维养合同等。</w:t>
            </w:r>
          </w:p>
        </w:tc>
        <w:tc>
          <w:tcPr>
            <w:tcW w:w="896" w:type="dxa"/>
            <w:tcBorders>
              <w:top w:val="nil"/>
              <w:left w:val="nil"/>
              <w:bottom w:val="single" w:color="auto" w:sz="4" w:space="0"/>
              <w:right w:val="single" w:color="auto" w:sz="4" w:space="0"/>
            </w:tcBorders>
            <w:vAlign w:val="center"/>
          </w:tcPr>
          <w:p w14:paraId="602E2E80">
            <w:pPr>
              <w:widowControl/>
              <w:jc w:val="center"/>
              <w:rPr>
                <w:rFonts w:hint="eastAsia" w:ascii="宋体" w:hAnsi="宋体" w:cs="宋体"/>
                <w:sz w:val="24"/>
                <w:highlight w:val="none"/>
              </w:rPr>
            </w:pPr>
            <w:r>
              <w:rPr>
                <w:rFonts w:hint="eastAsia" w:ascii="宋体" w:hAnsi="宋体" w:cs="宋体"/>
                <w:sz w:val="24"/>
                <w:highlight w:val="none"/>
              </w:rPr>
              <w:t>10</w:t>
            </w:r>
          </w:p>
        </w:tc>
        <w:tc>
          <w:tcPr>
            <w:tcW w:w="4684" w:type="dxa"/>
            <w:tcBorders>
              <w:top w:val="nil"/>
              <w:left w:val="nil"/>
              <w:bottom w:val="single" w:color="auto" w:sz="4" w:space="0"/>
              <w:right w:val="single" w:color="auto" w:sz="4" w:space="0"/>
            </w:tcBorders>
            <w:vAlign w:val="center"/>
          </w:tcPr>
          <w:p w14:paraId="5C0317B2">
            <w:pPr>
              <w:widowControl/>
              <w:rPr>
                <w:rFonts w:hint="eastAsia" w:ascii="宋体" w:hAnsi="宋体" w:cs="宋体"/>
                <w:sz w:val="24"/>
                <w:highlight w:val="none"/>
              </w:rPr>
            </w:pPr>
            <w:r>
              <w:rPr>
                <w:rFonts w:hint="eastAsia" w:ascii="宋体" w:hAnsi="宋体" w:cs="宋体"/>
                <w:sz w:val="24"/>
                <w:highlight w:val="none"/>
              </w:rPr>
              <w:t>未按要求组织政府采购确定库塘物业化维养企业</w:t>
            </w:r>
            <w:r>
              <w:rPr>
                <w:rFonts w:hint="eastAsia" w:ascii="宋体" w:hAnsi="宋体" w:cs="宋体"/>
                <w:b/>
                <w:bCs/>
                <w:sz w:val="24"/>
                <w:highlight w:val="none"/>
              </w:rPr>
              <w:t>，签订和执行维养合同的</w:t>
            </w:r>
            <w:r>
              <w:rPr>
                <w:rFonts w:hint="eastAsia" w:ascii="宋体" w:hAnsi="宋体" w:cs="宋体"/>
                <w:b/>
                <w:bCs/>
                <w:sz w:val="24"/>
                <w:highlight w:val="none"/>
                <w:lang w:val="en-US" w:eastAsia="zh-CN"/>
              </w:rPr>
              <w:t>不得分，组织采购方案不科学不完善的视情况扣分最高扣5分</w:t>
            </w:r>
            <w:r>
              <w:rPr>
                <w:rFonts w:hint="eastAsia" w:ascii="宋体" w:hAnsi="宋体" w:cs="宋体"/>
                <w:b/>
                <w:bCs/>
                <w:sz w:val="24"/>
                <w:highlight w:val="none"/>
              </w:rPr>
              <w:t>。</w:t>
            </w:r>
          </w:p>
        </w:tc>
      </w:tr>
      <w:tr w14:paraId="1EF4B4BD">
        <w:tblPrEx>
          <w:tblCellMar>
            <w:top w:w="0" w:type="dxa"/>
            <w:left w:w="108" w:type="dxa"/>
            <w:bottom w:w="0" w:type="dxa"/>
            <w:right w:w="108" w:type="dxa"/>
          </w:tblCellMar>
        </w:tblPrEx>
        <w:trPr>
          <w:trHeight w:val="1085" w:hRule="atLeast"/>
        </w:trPr>
        <w:tc>
          <w:tcPr>
            <w:tcW w:w="782" w:type="dxa"/>
            <w:gridSpan w:val="2"/>
            <w:tcBorders>
              <w:top w:val="single" w:color="auto" w:sz="4" w:space="0"/>
              <w:left w:val="single" w:color="auto" w:sz="4" w:space="0"/>
              <w:bottom w:val="single" w:color="auto" w:sz="4" w:space="0"/>
              <w:right w:val="single" w:color="auto" w:sz="4" w:space="0"/>
            </w:tcBorders>
            <w:vAlign w:val="center"/>
          </w:tcPr>
          <w:p w14:paraId="06F3F62D">
            <w:pPr>
              <w:widowControl/>
              <w:jc w:val="center"/>
              <w:rPr>
                <w:rFonts w:hint="eastAsia" w:ascii="宋体" w:hAnsi="宋体" w:cs="宋体"/>
                <w:sz w:val="24"/>
                <w:highlight w:val="none"/>
              </w:rPr>
            </w:pPr>
            <w:r>
              <w:rPr>
                <w:rFonts w:hint="eastAsia" w:ascii="宋体" w:hAnsi="宋体" w:cs="宋体"/>
                <w:sz w:val="24"/>
                <w:highlight w:val="none"/>
              </w:rPr>
              <w:t>3</w:t>
            </w:r>
          </w:p>
        </w:tc>
        <w:tc>
          <w:tcPr>
            <w:tcW w:w="2914" w:type="dxa"/>
            <w:tcBorders>
              <w:top w:val="single" w:color="auto" w:sz="4" w:space="0"/>
              <w:left w:val="single" w:color="auto" w:sz="4" w:space="0"/>
              <w:bottom w:val="single" w:color="auto" w:sz="4" w:space="0"/>
              <w:right w:val="single" w:color="auto" w:sz="4" w:space="0"/>
            </w:tcBorders>
            <w:vAlign w:val="center"/>
          </w:tcPr>
          <w:p w14:paraId="31485A04">
            <w:pPr>
              <w:widowControl/>
              <w:rPr>
                <w:rFonts w:hint="eastAsia" w:ascii="宋体" w:hAnsi="宋体" w:cs="宋体"/>
                <w:sz w:val="24"/>
                <w:highlight w:val="none"/>
              </w:rPr>
            </w:pPr>
            <w:r>
              <w:rPr>
                <w:rFonts w:hint="eastAsia"/>
                <w:sz w:val="24"/>
                <w:highlight w:val="none"/>
              </w:rPr>
              <w:t>组织培训教育水库山塘维养企业工作人员，贯彻落实维养标准、规定和政策方针。</w:t>
            </w:r>
          </w:p>
        </w:tc>
        <w:tc>
          <w:tcPr>
            <w:tcW w:w="896" w:type="dxa"/>
            <w:tcBorders>
              <w:top w:val="single" w:color="auto" w:sz="4" w:space="0"/>
              <w:left w:val="single" w:color="auto" w:sz="4" w:space="0"/>
              <w:bottom w:val="single" w:color="auto" w:sz="4" w:space="0"/>
              <w:right w:val="single" w:color="auto" w:sz="4" w:space="0"/>
            </w:tcBorders>
            <w:vAlign w:val="center"/>
          </w:tcPr>
          <w:p w14:paraId="61B2B69D">
            <w:pPr>
              <w:widowControl/>
              <w:jc w:val="center"/>
              <w:rPr>
                <w:rFonts w:hint="eastAsia" w:ascii="宋体" w:hAnsi="宋体" w:cs="宋体"/>
                <w:sz w:val="24"/>
                <w:highlight w:val="none"/>
              </w:rPr>
            </w:pPr>
            <w:r>
              <w:rPr>
                <w:rFonts w:hint="eastAsia" w:ascii="宋体" w:hAnsi="宋体" w:cs="宋体"/>
                <w:sz w:val="24"/>
                <w:highlight w:val="none"/>
              </w:rPr>
              <w:t>10</w:t>
            </w:r>
          </w:p>
        </w:tc>
        <w:tc>
          <w:tcPr>
            <w:tcW w:w="4684" w:type="dxa"/>
            <w:tcBorders>
              <w:top w:val="single" w:color="auto" w:sz="4" w:space="0"/>
              <w:left w:val="single" w:color="auto" w:sz="4" w:space="0"/>
              <w:bottom w:val="single" w:color="auto" w:sz="4" w:space="0"/>
              <w:right w:val="single" w:color="auto" w:sz="4" w:space="0"/>
            </w:tcBorders>
            <w:vAlign w:val="center"/>
          </w:tcPr>
          <w:p w14:paraId="70993D53">
            <w:pPr>
              <w:widowControl/>
              <w:rPr>
                <w:rFonts w:hint="eastAsia" w:ascii="宋体" w:hAnsi="宋体" w:cs="宋体"/>
                <w:sz w:val="24"/>
                <w:highlight w:val="none"/>
              </w:rPr>
            </w:pPr>
            <w:r>
              <w:rPr>
                <w:rFonts w:hint="eastAsia"/>
                <w:sz w:val="24"/>
                <w:highlight w:val="none"/>
              </w:rPr>
              <w:t>未组织培训教育水库山塘维养企业工作人员，贯彻落实维养标准、规定和政策方针得</w:t>
            </w:r>
            <w:r>
              <w:rPr>
                <w:rFonts w:hint="eastAsia"/>
                <w:sz w:val="24"/>
                <w:highlight w:val="none"/>
                <w:lang w:val="en-US" w:eastAsia="zh-CN"/>
              </w:rPr>
              <w:t>不得分，</w:t>
            </w:r>
            <w:r>
              <w:rPr>
                <w:rFonts w:hint="eastAsia"/>
                <w:b/>
                <w:bCs/>
                <w:sz w:val="24"/>
                <w:highlight w:val="none"/>
                <w:lang w:val="en-US" w:eastAsia="zh-CN"/>
              </w:rPr>
              <w:t>培训频次，培训效果不合理的扣分，最高扣5分</w:t>
            </w:r>
            <w:r>
              <w:rPr>
                <w:rFonts w:hint="eastAsia" w:ascii="宋体" w:hAnsi="宋体" w:cs="宋体"/>
                <w:sz w:val="24"/>
                <w:highlight w:val="none"/>
              </w:rPr>
              <w:t>。</w:t>
            </w:r>
          </w:p>
        </w:tc>
      </w:tr>
      <w:tr w14:paraId="005795A0">
        <w:tblPrEx>
          <w:tblCellMar>
            <w:top w:w="0" w:type="dxa"/>
            <w:left w:w="108" w:type="dxa"/>
            <w:bottom w:w="0" w:type="dxa"/>
            <w:right w:w="108" w:type="dxa"/>
          </w:tblCellMar>
        </w:tblPrEx>
        <w:trPr>
          <w:trHeight w:val="362" w:hRule="atLeast"/>
        </w:trPr>
        <w:tc>
          <w:tcPr>
            <w:tcW w:w="782" w:type="dxa"/>
            <w:gridSpan w:val="2"/>
            <w:tcBorders>
              <w:top w:val="single" w:color="auto" w:sz="4" w:space="0"/>
              <w:left w:val="single" w:color="auto" w:sz="4" w:space="0"/>
              <w:bottom w:val="single" w:color="auto" w:sz="4" w:space="0"/>
              <w:right w:val="single" w:color="auto" w:sz="4" w:space="0"/>
            </w:tcBorders>
            <w:vAlign w:val="center"/>
          </w:tcPr>
          <w:p w14:paraId="537EE622">
            <w:pPr>
              <w:widowControl/>
              <w:jc w:val="center"/>
              <w:rPr>
                <w:rFonts w:hint="eastAsia" w:ascii="宋体" w:hAnsi="宋体" w:cs="宋体"/>
                <w:sz w:val="24"/>
                <w:highlight w:val="none"/>
              </w:rPr>
            </w:pPr>
            <w:r>
              <w:rPr>
                <w:rFonts w:hint="eastAsia" w:ascii="宋体" w:hAnsi="宋体" w:cs="宋体"/>
                <w:sz w:val="24"/>
                <w:highlight w:val="none"/>
              </w:rPr>
              <w:t>4</w:t>
            </w:r>
          </w:p>
        </w:tc>
        <w:tc>
          <w:tcPr>
            <w:tcW w:w="2914" w:type="dxa"/>
            <w:tcBorders>
              <w:top w:val="single" w:color="auto" w:sz="4" w:space="0"/>
              <w:left w:val="nil"/>
              <w:bottom w:val="single" w:color="auto" w:sz="4" w:space="0"/>
              <w:right w:val="single" w:color="auto" w:sz="4" w:space="0"/>
            </w:tcBorders>
            <w:vAlign w:val="center"/>
          </w:tcPr>
          <w:p w14:paraId="238EFBAC">
            <w:pPr>
              <w:widowControl/>
              <w:rPr>
                <w:rFonts w:hint="eastAsia" w:ascii="宋体" w:hAnsi="宋体" w:cs="宋体"/>
                <w:sz w:val="24"/>
                <w:highlight w:val="none"/>
              </w:rPr>
            </w:pPr>
            <w:r>
              <w:rPr>
                <w:rFonts w:hint="eastAsia"/>
                <w:sz w:val="24"/>
                <w:highlight w:val="none"/>
              </w:rPr>
              <w:t>制定管理办法和考核制度，对维养企业进行日常监督和定期考核</w:t>
            </w:r>
          </w:p>
        </w:tc>
        <w:tc>
          <w:tcPr>
            <w:tcW w:w="896" w:type="dxa"/>
            <w:tcBorders>
              <w:top w:val="single" w:color="auto" w:sz="4" w:space="0"/>
              <w:left w:val="nil"/>
              <w:bottom w:val="single" w:color="auto" w:sz="4" w:space="0"/>
              <w:right w:val="single" w:color="auto" w:sz="4" w:space="0"/>
            </w:tcBorders>
            <w:vAlign w:val="center"/>
          </w:tcPr>
          <w:p w14:paraId="6D4CD63C">
            <w:pPr>
              <w:widowControl/>
              <w:jc w:val="center"/>
              <w:rPr>
                <w:rFonts w:hint="eastAsia" w:ascii="宋体" w:hAnsi="宋体" w:cs="宋体"/>
                <w:sz w:val="24"/>
                <w:highlight w:val="none"/>
              </w:rPr>
            </w:pPr>
            <w:r>
              <w:rPr>
                <w:rFonts w:hint="eastAsia" w:ascii="宋体" w:hAnsi="宋体" w:cs="宋体"/>
                <w:sz w:val="24"/>
                <w:highlight w:val="none"/>
              </w:rPr>
              <w:t>10</w:t>
            </w:r>
          </w:p>
        </w:tc>
        <w:tc>
          <w:tcPr>
            <w:tcW w:w="4684" w:type="dxa"/>
            <w:tcBorders>
              <w:top w:val="single" w:color="auto" w:sz="4" w:space="0"/>
              <w:left w:val="nil"/>
              <w:bottom w:val="single" w:color="auto" w:sz="4" w:space="0"/>
              <w:right w:val="single" w:color="auto" w:sz="4" w:space="0"/>
            </w:tcBorders>
            <w:vAlign w:val="center"/>
          </w:tcPr>
          <w:p w14:paraId="786507EB">
            <w:pPr>
              <w:widowControl/>
              <w:jc w:val="left"/>
              <w:rPr>
                <w:rFonts w:hint="eastAsia" w:ascii="宋体" w:hAnsi="宋体" w:cs="宋体"/>
                <w:sz w:val="24"/>
                <w:highlight w:val="none"/>
              </w:rPr>
            </w:pPr>
            <w:r>
              <w:rPr>
                <w:rFonts w:hint="eastAsia"/>
                <w:sz w:val="24"/>
                <w:highlight w:val="none"/>
              </w:rPr>
              <w:t>未制定管理办法和考核制度对维养企业进行日常监督和定期考核</w:t>
            </w:r>
            <w:r>
              <w:rPr>
                <w:rFonts w:hint="eastAsia"/>
                <w:sz w:val="24"/>
                <w:highlight w:val="none"/>
                <w:lang w:val="en-US" w:eastAsia="zh-CN"/>
              </w:rPr>
              <w:t>不得分，</w:t>
            </w:r>
            <w:r>
              <w:rPr>
                <w:rFonts w:hint="eastAsia"/>
                <w:b/>
                <w:bCs/>
                <w:sz w:val="24"/>
                <w:highlight w:val="none"/>
                <w:lang w:val="en-US" w:eastAsia="zh-CN"/>
              </w:rPr>
              <w:t>考核办法和考核制度不科学不完善的视情况扣分，最高扣5分</w:t>
            </w:r>
            <w:r>
              <w:rPr>
                <w:rFonts w:hint="eastAsia" w:ascii="宋体" w:hAnsi="宋体" w:cs="宋体"/>
                <w:b/>
                <w:bCs/>
                <w:sz w:val="24"/>
                <w:highlight w:val="none"/>
              </w:rPr>
              <w:t>。</w:t>
            </w:r>
          </w:p>
        </w:tc>
      </w:tr>
      <w:tr w14:paraId="1C03892A">
        <w:tblPrEx>
          <w:tblCellMar>
            <w:top w:w="0" w:type="dxa"/>
            <w:left w:w="108" w:type="dxa"/>
            <w:bottom w:w="0" w:type="dxa"/>
            <w:right w:w="108" w:type="dxa"/>
          </w:tblCellMar>
        </w:tblPrEx>
        <w:trPr>
          <w:trHeight w:val="1890" w:hRule="atLeast"/>
        </w:trPr>
        <w:tc>
          <w:tcPr>
            <w:tcW w:w="782" w:type="dxa"/>
            <w:gridSpan w:val="2"/>
            <w:tcBorders>
              <w:top w:val="single" w:color="auto" w:sz="4" w:space="0"/>
              <w:left w:val="single" w:color="auto" w:sz="4" w:space="0"/>
              <w:bottom w:val="single" w:color="auto" w:sz="4" w:space="0"/>
              <w:right w:val="single" w:color="auto" w:sz="4" w:space="0"/>
            </w:tcBorders>
            <w:vAlign w:val="center"/>
          </w:tcPr>
          <w:p w14:paraId="125D2EA2">
            <w:pPr>
              <w:widowControl/>
              <w:jc w:val="center"/>
              <w:rPr>
                <w:rFonts w:hint="eastAsia" w:ascii="宋体" w:hAnsi="宋体" w:cs="宋体"/>
                <w:sz w:val="24"/>
                <w:highlight w:val="none"/>
              </w:rPr>
            </w:pPr>
            <w:r>
              <w:rPr>
                <w:rFonts w:hint="eastAsia" w:ascii="宋体" w:hAnsi="宋体" w:cs="宋体"/>
                <w:sz w:val="24"/>
                <w:highlight w:val="none"/>
              </w:rPr>
              <w:t>5</w:t>
            </w:r>
          </w:p>
        </w:tc>
        <w:tc>
          <w:tcPr>
            <w:tcW w:w="2914" w:type="dxa"/>
            <w:tcBorders>
              <w:top w:val="single" w:color="auto" w:sz="4" w:space="0"/>
              <w:left w:val="nil"/>
              <w:bottom w:val="single" w:color="auto" w:sz="4" w:space="0"/>
              <w:right w:val="single" w:color="auto" w:sz="4" w:space="0"/>
            </w:tcBorders>
            <w:vAlign w:val="center"/>
          </w:tcPr>
          <w:p w14:paraId="3266998F">
            <w:pPr>
              <w:widowControl/>
              <w:rPr>
                <w:rFonts w:hint="eastAsia" w:ascii="宋体" w:hAnsi="宋体" w:cs="宋体"/>
                <w:sz w:val="24"/>
                <w:highlight w:val="none"/>
              </w:rPr>
            </w:pPr>
            <w:r>
              <w:rPr>
                <w:rFonts w:hint="eastAsia"/>
                <w:sz w:val="24"/>
                <w:highlight w:val="none"/>
              </w:rPr>
              <w:t>收集归类水库山塘运维中发现的工程安全隐患问题，分类形成隐患问题数据库，编报和实施库塘运维年度计划</w:t>
            </w:r>
          </w:p>
        </w:tc>
        <w:tc>
          <w:tcPr>
            <w:tcW w:w="896" w:type="dxa"/>
            <w:tcBorders>
              <w:top w:val="single" w:color="auto" w:sz="4" w:space="0"/>
              <w:left w:val="nil"/>
              <w:bottom w:val="single" w:color="auto" w:sz="4" w:space="0"/>
              <w:right w:val="single" w:color="auto" w:sz="4" w:space="0"/>
            </w:tcBorders>
            <w:vAlign w:val="center"/>
          </w:tcPr>
          <w:p w14:paraId="5F7F5453">
            <w:pPr>
              <w:widowControl/>
              <w:jc w:val="center"/>
              <w:rPr>
                <w:rFonts w:hint="eastAsia" w:ascii="宋体" w:hAnsi="宋体" w:cs="宋体"/>
                <w:sz w:val="24"/>
                <w:highlight w:val="none"/>
              </w:rPr>
            </w:pPr>
            <w:r>
              <w:rPr>
                <w:rFonts w:hint="eastAsia" w:ascii="宋体" w:hAnsi="宋体" w:cs="宋体"/>
                <w:sz w:val="24"/>
                <w:highlight w:val="none"/>
              </w:rPr>
              <w:t>10</w:t>
            </w:r>
          </w:p>
        </w:tc>
        <w:tc>
          <w:tcPr>
            <w:tcW w:w="4684" w:type="dxa"/>
            <w:tcBorders>
              <w:top w:val="single" w:color="auto" w:sz="4" w:space="0"/>
              <w:left w:val="nil"/>
              <w:bottom w:val="single" w:color="auto" w:sz="4" w:space="0"/>
              <w:right w:val="single" w:color="auto" w:sz="4" w:space="0"/>
            </w:tcBorders>
            <w:vAlign w:val="center"/>
          </w:tcPr>
          <w:p w14:paraId="3F96DAD8">
            <w:pPr>
              <w:widowControl/>
              <w:rPr>
                <w:rFonts w:hint="eastAsia" w:ascii="宋体" w:hAnsi="宋体" w:cs="宋体"/>
                <w:sz w:val="24"/>
                <w:highlight w:val="none"/>
              </w:rPr>
            </w:pPr>
            <w:r>
              <w:rPr>
                <w:rFonts w:hint="eastAsia"/>
                <w:sz w:val="24"/>
                <w:highlight w:val="none"/>
              </w:rPr>
              <w:t>未收集归类水库山塘运维中发现的工程安全隐患问题，分类形成隐患问题数据库，编报和实施库塘运维年度计划</w:t>
            </w:r>
            <w:r>
              <w:rPr>
                <w:rFonts w:hint="eastAsia"/>
                <w:sz w:val="24"/>
                <w:highlight w:val="none"/>
                <w:lang w:val="en-US" w:eastAsia="zh-CN"/>
              </w:rPr>
              <w:t>不得分</w:t>
            </w:r>
            <w:r>
              <w:rPr>
                <w:rFonts w:hint="eastAsia" w:ascii="宋体" w:hAnsi="宋体" w:cs="宋体"/>
                <w:sz w:val="24"/>
                <w:highlight w:val="none"/>
              </w:rPr>
              <w:t>。</w:t>
            </w:r>
          </w:p>
        </w:tc>
      </w:tr>
      <w:tr w14:paraId="6CC35BCD">
        <w:tblPrEx>
          <w:tblCellMar>
            <w:top w:w="0" w:type="dxa"/>
            <w:left w:w="108" w:type="dxa"/>
            <w:bottom w:w="0" w:type="dxa"/>
            <w:right w:w="108" w:type="dxa"/>
          </w:tblCellMar>
        </w:tblPrEx>
        <w:trPr>
          <w:trHeight w:val="1117" w:hRule="atLeast"/>
        </w:trPr>
        <w:tc>
          <w:tcPr>
            <w:tcW w:w="782" w:type="dxa"/>
            <w:gridSpan w:val="2"/>
            <w:tcBorders>
              <w:top w:val="single" w:color="auto" w:sz="4" w:space="0"/>
              <w:left w:val="single" w:color="auto" w:sz="4" w:space="0"/>
              <w:bottom w:val="single" w:color="auto" w:sz="4" w:space="0"/>
              <w:right w:val="single" w:color="auto" w:sz="4" w:space="0"/>
            </w:tcBorders>
            <w:vAlign w:val="center"/>
          </w:tcPr>
          <w:p w14:paraId="7E5A7C63">
            <w:pPr>
              <w:widowControl/>
              <w:jc w:val="center"/>
              <w:rPr>
                <w:rFonts w:hint="eastAsia" w:ascii="宋体" w:hAnsi="宋体" w:cs="宋体"/>
                <w:sz w:val="24"/>
                <w:highlight w:val="none"/>
              </w:rPr>
            </w:pPr>
            <w:r>
              <w:rPr>
                <w:rFonts w:hint="eastAsia" w:ascii="宋体" w:hAnsi="宋体" w:cs="宋体"/>
                <w:sz w:val="24"/>
                <w:highlight w:val="none"/>
              </w:rPr>
              <w:t>6</w:t>
            </w:r>
          </w:p>
        </w:tc>
        <w:tc>
          <w:tcPr>
            <w:tcW w:w="2914" w:type="dxa"/>
            <w:tcBorders>
              <w:top w:val="single" w:color="auto" w:sz="4" w:space="0"/>
              <w:left w:val="single" w:color="auto" w:sz="4" w:space="0"/>
              <w:bottom w:val="single" w:color="auto" w:sz="4" w:space="0"/>
              <w:right w:val="single" w:color="auto" w:sz="4" w:space="0"/>
            </w:tcBorders>
            <w:vAlign w:val="center"/>
          </w:tcPr>
          <w:p w14:paraId="366201B5">
            <w:pPr>
              <w:widowControl/>
              <w:rPr>
                <w:rFonts w:hint="eastAsia" w:ascii="宋体" w:hAnsi="宋体" w:cs="宋体"/>
                <w:sz w:val="24"/>
                <w:highlight w:val="none"/>
              </w:rPr>
            </w:pPr>
            <w:r>
              <w:rPr>
                <w:rFonts w:hint="eastAsia"/>
                <w:sz w:val="24"/>
                <w:highlight w:val="none"/>
              </w:rPr>
              <w:t>建立全区库塘运维数字化监管平台，设立手机、PC操作端，实现库塘运维全过程信息化管理</w:t>
            </w:r>
            <w:r>
              <w:rPr>
                <w:rFonts w:hint="eastAsia" w:ascii="宋体" w:hAnsi="宋体" w:cs="宋体"/>
                <w:sz w:val="24"/>
                <w:highlight w:val="none"/>
              </w:rPr>
              <w:t>。</w:t>
            </w:r>
          </w:p>
        </w:tc>
        <w:tc>
          <w:tcPr>
            <w:tcW w:w="896" w:type="dxa"/>
            <w:tcBorders>
              <w:top w:val="single" w:color="auto" w:sz="4" w:space="0"/>
              <w:left w:val="single" w:color="auto" w:sz="4" w:space="0"/>
              <w:bottom w:val="single" w:color="auto" w:sz="4" w:space="0"/>
              <w:right w:val="single" w:color="auto" w:sz="4" w:space="0"/>
            </w:tcBorders>
            <w:vAlign w:val="center"/>
          </w:tcPr>
          <w:p w14:paraId="6C29FA3B">
            <w:pPr>
              <w:widowControl/>
              <w:jc w:val="center"/>
              <w:rPr>
                <w:rFonts w:hint="eastAsia" w:ascii="宋体" w:hAnsi="宋体" w:cs="宋体"/>
                <w:sz w:val="24"/>
                <w:highlight w:val="none"/>
              </w:rPr>
            </w:pPr>
            <w:r>
              <w:rPr>
                <w:rFonts w:hint="eastAsia" w:ascii="宋体" w:hAnsi="宋体" w:cs="宋体"/>
                <w:sz w:val="24"/>
                <w:highlight w:val="none"/>
              </w:rPr>
              <w:t>10</w:t>
            </w:r>
          </w:p>
        </w:tc>
        <w:tc>
          <w:tcPr>
            <w:tcW w:w="4684" w:type="dxa"/>
            <w:tcBorders>
              <w:top w:val="single" w:color="auto" w:sz="4" w:space="0"/>
              <w:left w:val="single" w:color="auto" w:sz="4" w:space="0"/>
              <w:bottom w:val="single" w:color="auto" w:sz="4" w:space="0"/>
              <w:right w:val="single" w:color="auto" w:sz="4" w:space="0"/>
            </w:tcBorders>
            <w:vAlign w:val="center"/>
          </w:tcPr>
          <w:p w14:paraId="662151E8">
            <w:pPr>
              <w:widowControl/>
              <w:jc w:val="left"/>
              <w:rPr>
                <w:rFonts w:hint="eastAsia" w:ascii="宋体" w:hAnsi="宋体" w:cs="宋体"/>
                <w:sz w:val="24"/>
                <w:highlight w:val="none"/>
              </w:rPr>
            </w:pPr>
            <w:r>
              <w:rPr>
                <w:rFonts w:hint="eastAsia"/>
                <w:sz w:val="24"/>
                <w:highlight w:val="none"/>
              </w:rPr>
              <w:t>未建立全区库塘运维数字化监管平台，设立手机、PC操作端，实现库塘运维全过程信息化管理的</w:t>
            </w:r>
            <w:r>
              <w:rPr>
                <w:rFonts w:hint="eastAsia" w:ascii="宋体" w:hAnsi="宋体" w:cs="宋体"/>
                <w:sz w:val="24"/>
                <w:highlight w:val="none"/>
              </w:rPr>
              <w:t>。</w:t>
            </w:r>
          </w:p>
        </w:tc>
      </w:tr>
      <w:tr w14:paraId="2202FF5C">
        <w:tblPrEx>
          <w:tblCellMar>
            <w:top w:w="0" w:type="dxa"/>
            <w:left w:w="108" w:type="dxa"/>
            <w:bottom w:w="0" w:type="dxa"/>
            <w:right w:w="108" w:type="dxa"/>
          </w:tblCellMar>
        </w:tblPrEx>
        <w:trPr>
          <w:trHeight w:val="1222" w:hRule="atLeast"/>
        </w:trPr>
        <w:tc>
          <w:tcPr>
            <w:tcW w:w="782" w:type="dxa"/>
            <w:gridSpan w:val="2"/>
            <w:tcBorders>
              <w:top w:val="single" w:color="auto" w:sz="4" w:space="0"/>
              <w:left w:val="single" w:color="auto" w:sz="4" w:space="0"/>
              <w:bottom w:val="single" w:color="auto" w:sz="4" w:space="0"/>
              <w:right w:val="single" w:color="auto" w:sz="4" w:space="0"/>
            </w:tcBorders>
            <w:vAlign w:val="center"/>
          </w:tcPr>
          <w:p w14:paraId="1D43D325">
            <w:pPr>
              <w:widowControl/>
              <w:jc w:val="center"/>
              <w:rPr>
                <w:rFonts w:hint="eastAsia" w:ascii="宋体" w:hAnsi="宋体" w:cs="宋体"/>
                <w:sz w:val="24"/>
                <w:highlight w:val="none"/>
              </w:rPr>
            </w:pPr>
            <w:r>
              <w:rPr>
                <w:rFonts w:hint="eastAsia" w:ascii="宋体" w:hAnsi="宋体" w:cs="宋体"/>
                <w:sz w:val="24"/>
                <w:highlight w:val="none"/>
              </w:rPr>
              <w:t>7</w:t>
            </w:r>
          </w:p>
        </w:tc>
        <w:tc>
          <w:tcPr>
            <w:tcW w:w="2914" w:type="dxa"/>
            <w:tcBorders>
              <w:top w:val="single" w:color="auto" w:sz="4" w:space="0"/>
              <w:left w:val="single" w:color="auto" w:sz="4" w:space="0"/>
              <w:bottom w:val="single" w:color="auto" w:sz="4" w:space="0"/>
              <w:right w:val="single" w:color="auto" w:sz="4" w:space="0"/>
            </w:tcBorders>
            <w:vAlign w:val="center"/>
          </w:tcPr>
          <w:p w14:paraId="38A499B5">
            <w:pPr>
              <w:widowControl/>
              <w:rPr>
                <w:rFonts w:hint="eastAsia" w:ascii="宋体" w:hAnsi="宋体" w:cs="宋体"/>
                <w:sz w:val="24"/>
                <w:highlight w:val="none"/>
              </w:rPr>
            </w:pPr>
            <w:r>
              <w:rPr>
                <w:rFonts w:hint="eastAsia"/>
                <w:sz w:val="24"/>
                <w:highlight w:val="none"/>
              </w:rPr>
              <w:t>隐患分类处置措施得当，及时有效。</w:t>
            </w:r>
          </w:p>
        </w:tc>
        <w:tc>
          <w:tcPr>
            <w:tcW w:w="896" w:type="dxa"/>
            <w:tcBorders>
              <w:top w:val="single" w:color="auto" w:sz="4" w:space="0"/>
              <w:left w:val="single" w:color="auto" w:sz="4" w:space="0"/>
              <w:bottom w:val="single" w:color="auto" w:sz="4" w:space="0"/>
              <w:right w:val="single" w:color="auto" w:sz="4" w:space="0"/>
            </w:tcBorders>
            <w:vAlign w:val="center"/>
          </w:tcPr>
          <w:p w14:paraId="48A628CD">
            <w:pPr>
              <w:widowControl/>
              <w:jc w:val="center"/>
              <w:rPr>
                <w:rFonts w:hint="eastAsia" w:ascii="宋体" w:hAnsi="宋体" w:cs="宋体"/>
                <w:sz w:val="24"/>
                <w:highlight w:val="none"/>
              </w:rPr>
            </w:pPr>
            <w:r>
              <w:rPr>
                <w:rFonts w:hint="eastAsia" w:ascii="宋体" w:hAnsi="宋体" w:cs="宋体"/>
                <w:sz w:val="24"/>
                <w:highlight w:val="none"/>
              </w:rPr>
              <w:t>10</w:t>
            </w:r>
          </w:p>
        </w:tc>
        <w:tc>
          <w:tcPr>
            <w:tcW w:w="4684" w:type="dxa"/>
            <w:tcBorders>
              <w:top w:val="single" w:color="auto" w:sz="4" w:space="0"/>
              <w:left w:val="single" w:color="auto" w:sz="4" w:space="0"/>
              <w:bottom w:val="single" w:color="auto" w:sz="4" w:space="0"/>
              <w:right w:val="single" w:color="auto" w:sz="4" w:space="0"/>
            </w:tcBorders>
            <w:vAlign w:val="center"/>
          </w:tcPr>
          <w:p w14:paraId="11235D9E">
            <w:pPr>
              <w:widowControl/>
              <w:rPr>
                <w:rFonts w:hint="eastAsia" w:ascii="宋体" w:hAnsi="宋体" w:cs="宋体"/>
                <w:sz w:val="24"/>
                <w:highlight w:val="none"/>
              </w:rPr>
            </w:pPr>
            <w:r>
              <w:rPr>
                <w:rFonts w:hint="eastAsia"/>
                <w:sz w:val="24"/>
                <w:highlight w:val="none"/>
              </w:rPr>
              <w:t xml:space="preserve"> 未采取有效措施的，</w:t>
            </w:r>
            <w:r>
              <w:rPr>
                <w:rFonts w:hint="eastAsia"/>
                <w:b/>
                <w:bCs/>
                <w:sz w:val="24"/>
                <w:highlight w:val="none"/>
              </w:rPr>
              <w:t>造成不良后果的</w:t>
            </w:r>
            <w:r>
              <w:rPr>
                <w:rFonts w:hint="eastAsia"/>
                <w:b/>
                <w:bCs/>
                <w:sz w:val="24"/>
                <w:highlight w:val="none"/>
                <w:lang w:val="en-US" w:eastAsia="zh-CN"/>
              </w:rPr>
              <w:t>一次扣2分，最高扣10分</w:t>
            </w:r>
            <w:r>
              <w:rPr>
                <w:rFonts w:hint="eastAsia"/>
                <w:b/>
                <w:bCs/>
                <w:sz w:val="24"/>
                <w:highlight w:val="none"/>
              </w:rPr>
              <w:t>。</w:t>
            </w:r>
          </w:p>
        </w:tc>
      </w:tr>
      <w:tr w14:paraId="5CAA128B">
        <w:tblPrEx>
          <w:tblCellMar>
            <w:top w:w="0" w:type="dxa"/>
            <w:left w:w="108" w:type="dxa"/>
            <w:bottom w:w="0" w:type="dxa"/>
            <w:right w:w="108" w:type="dxa"/>
          </w:tblCellMar>
        </w:tblPrEx>
        <w:trPr>
          <w:trHeight w:val="90" w:hRule="atLeast"/>
        </w:trPr>
        <w:tc>
          <w:tcPr>
            <w:tcW w:w="782" w:type="dxa"/>
            <w:gridSpan w:val="2"/>
            <w:tcBorders>
              <w:top w:val="single" w:color="auto" w:sz="4" w:space="0"/>
              <w:left w:val="single" w:color="auto" w:sz="4" w:space="0"/>
              <w:bottom w:val="single" w:color="auto" w:sz="4" w:space="0"/>
              <w:right w:val="single" w:color="auto" w:sz="4" w:space="0"/>
            </w:tcBorders>
            <w:vAlign w:val="center"/>
          </w:tcPr>
          <w:p w14:paraId="2E6B8281">
            <w:pPr>
              <w:widowControl/>
              <w:jc w:val="center"/>
              <w:rPr>
                <w:rFonts w:hint="eastAsia" w:ascii="宋体" w:hAnsi="宋体" w:cs="宋体"/>
                <w:sz w:val="24"/>
                <w:highlight w:val="none"/>
              </w:rPr>
            </w:pPr>
            <w:r>
              <w:rPr>
                <w:rFonts w:hint="eastAsia" w:ascii="宋体" w:hAnsi="宋体" w:cs="宋体"/>
                <w:sz w:val="24"/>
                <w:highlight w:val="none"/>
              </w:rPr>
              <w:t>8</w:t>
            </w:r>
          </w:p>
        </w:tc>
        <w:tc>
          <w:tcPr>
            <w:tcW w:w="2914" w:type="dxa"/>
            <w:tcBorders>
              <w:top w:val="single" w:color="auto" w:sz="4" w:space="0"/>
              <w:left w:val="single" w:color="auto" w:sz="4" w:space="0"/>
              <w:bottom w:val="single" w:color="auto" w:sz="4" w:space="0"/>
              <w:right w:val="single" w:color="auto" w:sz="4" w:space="0"/>
            </w:tcBorders>
            <w:vAlign w:val="center"/>
          </w:tcPr>
          <w:p w14:paraId="78AB46C9">
            <w:pPr>
              <w:widowControl/>
              <w:rPr>
                <w:rFonts w:hint="eastAsia" w:ascii="宋体" w:hAnsi="宋体" w:cs="宋体"/>
                <w:sz w:val="24"/>
                <w:highlight w:val="none"/>
              </w:rPr>
            </w:pPr>
            <w:r>
              <w:rPr>
                <w:rFonts w:hint="eastAsia" w:ascii="宋体" w:hAnsi="宋体" w:cs="宋体"/>
                <w:sz w:val="24"/>
                <w:highlight w:val="none"/>
              </w:rPr>
              <w:t>上级相关部门检查抽查</w:t>
            </w:r>
          </w:p>
        </w:tc>
        <w:tc>
          <w:tcPr>
            <w:tcW w:w="896" w:type="dxa"/>
            <w:tcBorders>
              <w:top w:val="single" w:color="auto" w:sz="4" w:space="0"/>
              <w:left w:val="single" w:color="auto" w:sz="4" w:space="0"/>
              <w:bottom w:val="single" w:color="auto" w:sz="4" w:space="0"/>
              <w:right w:val="single" w:color="auto" w:sz="4" w:space="0"/>
            </w:tcBorders>
            <w:vAlign w:val="center"/>
          </w:tcPr>
          <w:p w14:paraId="5F3237C4">
            <w:pPr>
              <w:widowControl/>
              <w:jc w:val="center"/>
              <w:rPr>
                <w:rFonts w:hint="eastAsia" w:ascii="宋体" w:hAnsi="宋体" w:cs="宋体"/>
                <w:sz w:val="24"/>
                <w:highlight w:val="none"/>
              </w:rPr>
            </w:pPr>
            <w:r>
              <w:rPr>
                <w:rFonts w:hint="eastAsia" w:ascii="宋体" w:hAnsi="宋体" w:cs="宋体"/>
                <w:sz w:val="24"/>
                <w:highlight w:val="none"/>
              </w:rPr>
              <w:t>10</w:t>
            </w:r>
          </w:p>
        </w:tc>
        <w:tc>
          <w:tcPr>
            <w:tcW w:w="4684" w:type="dxa"/>
            <w:tcBorders>
              <w:top w:val="single" w:color="auto" w:sz="4" w:space="0"/>
              <w:left w:val="single" w:color="auto" w:sz="4" w:space="0"/>
              <w:bottom w:val="single" w:color="auto" w:sz="4" w:space="0"/>
              <w:right w:val="single" w:color="auto" w:sz="4" w:space="0"/>
            </w:tcBorders>
            <w:vAlign w:val="center"/>
          </w:tcPr>
          <w:p w14:paraId="68A0C28C">
            <w:pPr>
              <w:widowControl/>
              <w:rPr>
                <w:rFonts w:hint="eastAsia" w:ascii="宋体" w:hAnsi="宋体" w:cs="宋体"/>
                <w:sz w:val="24"/>
                <w:highlight w:val="none"/>
              </w:rPr>
            </w:pPr>
            <w:r>
              <w:rPr>
                <w:rFonts w:hint="eastAsia" w:ascii="宋体" w:hAnsi="宋体" w:cs="宋体"/>
                <w:sz w:val="24"/>
                <w:highlight w:val="none"/>
              </w:rPr>
              <w:t>库塘现场面貌良好，因库塘现场面貌问题被上级部门检查发现的，</w:t>
            </w:r>
            <w:r>
              <w:rPr>
                <w:rFonts w:hint="eastAsia" w:ascii="宋体" w:hAnsi="宋体" w:cs="宋体"/>
                <w:b/>
                <w:bCs/>
                <w:sz w:val="24"/>
                <w:highlight w:val="none"/>
              </w:rPr>
              <w:t>每发现一处扣2分</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扣完为止。</w:t>
            </w:r>
          </w:p>
        </w:tc>
      </w:tr>
      <w:tr w14:paraId="3FB04BAD">
        <w:tblPrEx>
          <w:tblCellMar>
            <w:top w:w="0" w:type="dxa"/>
            <w:left w:w="108" w:type="dxa"/>
            <w:bottom w:w="0" w:type="dxa"/>
            <w:right w:w="108" w:type="dxa"/>
          </w:tblCellMar>
        </w:tblPrEx>
        <w:trPr>
          <w:trHeight w:val="600" w:hRule="atLeast"/>
        </w:trPr>
        <w:tc>
          <w:tcPr>
            <w:tcW w:w="782" w:type="dxa"/>
            <w:gridSpan w:val="2"/>
            <w:tcBorders>
              <w:top w:val="single" w:color="auto" w:sz="4" w:space="0"/>
              <w:left w:val="single" w:color="auto" w:sz="4" w:space="0"/>
              <w:bottom w:val="single" w:color="auto" w:sz="4" w:space="0"/>
              <w:right w:val="single" w:color="auto" w:sz="4" w:space="0"/>
            </w:tcBorders>
            <w:vAlign w:val="center"/>
          </w:tcPr>
          <w:p w14:paraId="1A7773A9">
            <w:pPr>
              <w:widowControl/>
              <w:tabs>
                <w:tab w:val="left" w:pos="603"/>
              </w:tabs>
              <w:jc w:val="center"/>
              <w:rPr>
                <w:rFonts w:hint="eastAsia" w:ascii="宋体" w:hAnsi="宋体" w:cs="宋体"/>
                <w:sz w:val="24"/>
                <w:highlight w:val="none"/>
              </w:rPr>
            </w:pPr>
            <w:r>
              <w:rPr>
                <w:rFonts w:hint="eastAsia" w:ascii="宋体" w:hAnsi="宋体" w:cs="宋体"/>
                <w:sz w:val="24"/>
                <w:highlight w:val="none"/>
              </w:rPr>
              <w:t>9</w:t>
            </w:r>
          </w:p>
        </w:tc>
        <w:tc>
          <w:tcPr>
            <w:tcW w:w="2914" w:type="dxa"/>
            <w:tcBorders>
              <w:top w:val="single" w:color="auto" w:sz="4" w:space="0"/>
              <w:left w:val="single" w:color="auto" w:sz="4" w:space="0"/>
              <w:bottom w:val="single" w:color="auto" w:sz="4" w:space="0"/>
              <w:right w:val="single" w:color="auto" w:sz="4" w:space="0"/>
            </w:tcBorders>
            <w:vAlign w:val="center"/>
          </w:tcPr>
          <w:p w14:paraId="5484B2C0">
            <w:pPr>
              <w:widowControl/>
              <w:tabs>
                <w:tab w:val="left" w:pos="603"/>
              </w:tabs>
              <w:rPr>
                <w:rFonts w:hint="eastAsia" w:ascii="宋体" w:hAnsi="宋体" w:cs="宋体"/>
                <w:sz w:val="24"/>
                <w:highlight w:val="none"/>
              </w:rPr>
            </w:pPr>
            <w:r>
              <w:rPr>
                <w:rFonts w:hint="eastAsia" w:ascii="宋体" w:hAnsi="宋体" w:cs="宋体"/>
                <w:sz w:val="24"/>
                <w:highlight w:val="none"/>
              </w:rPr>
              <w:t>属地镇街考核情况</w:t>
            </w:r>
          </w:p>
        </w:tc>
        <w:tc>
          <w:tcPr>
            <w:tcW w:w="896" w:type="dxa"/>
            <w:tcBorders>
              <w:top w:val="single" w:color="auto" w:sz="4" w:space="0"/>
              <w:left w:val="single" w:color="auto" w:sz="4" w:space="0"/>
              <w:bottom w:val="single" w:color="auto" w:sz="4" w:space="0"/>
              <w:right w:val="single" w:color="auto" w:sz="4" w:space="0"/>
            </w:tcBorders>
            <w:vAlign w:val="center"/>
          </w:tcPr>
          <w:p w14:paraId="55ED11FB">
            <w:pPr>
              <w:widowControl/>
              <w:tabs>
                <w:tab w:val="left" w:pos="603"/>
              </w:tabs>
              <w:jc w:val="center"/>
              <w:rPr>
                <w:rFonts w:hint="eastAsia" w:ascii="宋体" w:hAnsi="宋体" w:cs="宋体"/>
                <w:sz w:val="24"/>
                <w:highlight w:val="none"/>
              </w:rPr>
            </w:pPr>
            <w:r>
              <w:rPr>
                <w:rFonts w:hint="eastAsia" w:ascii="宋体" w:hAnsi="宋体" w:cs="宋体"/>
                <w:sz w:val="24"/>
                <w:highlight w:val="none"/>
              </w:rPr>
              <w:t>10</w:t>
            </w:r>
          </w:p>
        </w:tc>
        <w:tc>
          <w:tcPr>
            <w:tcW w:w="4684" w:type="dxa"/>
            <w:tcBorders>
              <w:top w:val="single" w:color="auto" w:sz="4" w:space="0"/>
              <w:left w:val="single" w:color="auto" w:sz="4" w:space="0"/>
              <w:bottom w:val="single" w:color="auto" w:sz="4" w:space="0"/>
              <w:right w:val="single" w:color="auto" w:sz="4" w:space="0"/>
            </w:tcBorders>
            <w:vAlign w:val="center"/>
          </w:tcPr>
          <w:p w14:paraId="62E0EC8A">
            <w:pPr>
              <w:widowControl/>
              <w:tabs>
                <w:tab w:val="left" w:pos="603"/>
              </w:tabs>
              <w:rPr>
                <w:rFonts w:hint="eastAsia" w:ascii="宋体" w:hAnsi="宋体" w:cs="宋体"/>
                <w:sz w:val="24"/>
                <w:highlight w:val="none"/>
              </w:rPr>
            </w:pPr>
            <w:r>
              <w:rPr>
                <w:rFonts w:hint="eastAsia" w:ascii="宋体" w:hAnsi="宋体" w:cs="宋体"/>
                <w:sz w:val="24"/>
                <w:highlight w:val="none"/>
              </w:rPr>
              <w:t>年底由镇街对辖区内库塘运维情况赋分，90分以上的不扣分，80-90分的扣2分，70-80分的扣4分，70分以下的不得分。</w:t>
            </w:r>
          </w:p>
        </w:tc>
      </w:tr>
    </w:tbl>
    <w:p w14:paraId="741324F7">
      <w:pPr>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第五部分  </w:t>
      </w:r>
      <w:bookmarkEnd w:id="62"/>
      <w:bookmarkEnd w:id="63"/>
      <w:bookmarkStart w:id="64" w:name="第四部分"/>
      <w:r>
        <w:rPr>
          <w:rFonts w:hint="eastAsia" w:ascii="仿宋" w:hAnsi="仿宋" w:eastAsia="仿宋" w:cs="仿宋"/>
          <w:b/>
          <w:color w:val="000000" w:themeColor="text1"/>
          <w:sz w:val="36"/>
          <w:szCs w:val="36"/>
          <w:highlight w:val="none"/>
          <w14:textFill>
            <w14:solidFill>
              <w14:schemeClr w14:val="tx1"/>
            </w14:solidFill>
          </w14:textFill>
        </w:rPr>
        <w:t>评审方法及评审标准</w:t>
      </w:r>
    </w:p>
    <w:p w14:paraId="0C401EFB">
      <w:pPr>
        <w:pStyle w:val="404"/>
        <w:spacing w:before="0"/>
        <w:ind w:firstLine="643"/>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评审方法前附表</w:t>
      </w:r>
    </w:p>
    <w:tbl>
      <w:tblPr>
        <w:tblStyle w:val="62"/>
        <w:tblW w:w="9805"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5336"/>
        <w:gridCol w:w="695"/>
        <w:gridCol w:w="1090"/>
        <w:gridCol w:w="1768"/>
      </w:tblGrid>
      <w:tr w14:paraId="4FCD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0DC79A0A">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序号</w:t>
            </w:r>
          </w:p>
        </w:tc>
        <w:tc>
          <w:tcPr>
            <w:tcW w:w="5336" w:type="dxa"/>
            <w:vAlign w:val="center"/>
          </w:tcPr>
          <w:p w14:paraId="1BBA5FCF">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评审标准</w:t>
            </w:r>
          </w:p>
        </w:tc>
        <w:tc>
          <w:tcPr>
            <w:tcW w:w="695" w:type="dxa"/>
            <w:vAlign w:val="center"/>
          </w:tcPr>
          <w:p w14:paraId="7AA7DEBE">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权重</w:t>
            </w:r>
          </w:p>
        </w:tc>
        <w:tc>
          <w:tcPr>
            <w:tcW w:w="1090" w:type="dxa"/>
            <w:vAlign w:val="center"/>
          </w:tcPr>
          <w:p w14:paraId="3AE99B2D">
            <w:pPr>
              <w:pStyle w:val="404"/>
              <w:spacing w:before="0"/>
              <w:ind w:firstLine="0" w:firstLineChars="0"/>
              <w:jc w:val="center"/>
              <w:rPr>
                <w:rFonts w:hint="eastAsia" w:cs="宋体" w:asciiTheme="minorEastAsia" w:hAnsiTheme="minorEastAsia" w:eastAsiaTheme="minorEastAsia"/>
                <w:bCs/>
                <w:highlight w:val="none"/>
              </w:rPr>
            </w:pPr>
            <w:r>
              <w:rPr>
                <w:rFonts w:hint="eastAsia" w:cs="宋体" w:asciiTheme="minorEastAsia" w:hAnsiTheme="minorEastAsia" w:eastAsiaTheme="minorEastAsia"/>
                <w:bCs/>
                <w:highlight w:val="none"/>
              </w:rPr>
              <w:t>主观分/客观分属性</w:t>
            </w:r>
          </w:p>
        </w:tc>
        <w:tc>
          <w:tcPr>
            <w:tcW w:w="1768" w:type="dxa"/>
            <w:vAlign w:val="center"/>
          </w:tcPr>
          <w:p w14:paraId="457C1C8C">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磋商文件中评审标准相应的商务技术资料目录</w:t>
            </w:r>
            <w:r>
              <w:rPr>
                <w:rFonts w:hint="eastAsia" w:cs="宋体" w:asciiTheme="minorEastAsia" w:hAnsiTheme="minorEastAsia" w:eastAsiaTheme="minorEastAsia"/>
                <w:highlight w:val="none"/>
                <w:shd w:val="clear" w:color="auto" w:fill="FFFFFF"/>
              </w:rPr>
              <w:t> *</w:t>
            </w:r>
          </w:p>
        </w:tc>
      </w:tr>
      <w:tr w14:paraId="3F25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4924DF23">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w:t>
            </w:r>
          </w:p>
        </w:tc>
        <w:tc>
          <w:tcPr>
            <w:tcW w:w="5336" w:type="dxa"/>
            <w:vAlign w:val="center"/>
          </w:tcPr>
          <w:p w14:paraId="0C7D861B">
            <w:pPr>
              <w:widowControl/>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自2020年1月1日以来（以合同签订日期为准）承接过类似水库山塘运行管理类项目，每个得1分，最高得2分。（须提供合同复印件）</w:t>
            </w:r>
          </w:p>
        </w:tc>
        <w:tc>
          <w:tcPr>
            <w:tcW w:w="695" w:type="dxa"/>
            <w:vAlign w:val="center"/>
          </w:tcPr>
          <w:p w14:paraId="57495BE1">
            <w:pPr>
              <w:spacing w:line="276" w:lineRule="auto"/>
              <w:jc w:val="center"/>
              <w:rPr>
                <w:rFonts w:hint="eastAsia" w:ascii="宋体" w:hAnsi="宋体" w:cs="宋体"/>
                <w:sz w:val="24"/>
                <w:szCs w:val="20"/>
                <w:highlight w:val="none"/>
              </w:rPr>
            </w:pPr>
            <w:r>
              <w:rPr>
                <w:rFonts w:hint="eastAsia" w:ascii="宋体" w:hAnsi="宋体" w:cs="宋体"/>
                <w:sz w:val="24"/>
                <w:szCs w:val="20"/>
                <w:highlight w:val="none"/>
              </w:rPr>
              <w:t>2</w:t>
            </w:r>
          </w:p>
        </w:tc>
        <w:tc>
          <w:tcPr>
            <w:tcW w:w="1090" w:type="dxa"/>
            <w:vAlign w:val="center"/>
          </w:tcPr>
          <w:p w14:paraId="1DC28975">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客观分</w:t>
            </w:r>
          </w:p>
        </w:tc>
        <w:tc>
          <w:tcPr>
            <w:tcW w:w="1768" w:type="dxa"/>
            <w:vAlign w:val="center"/>
          </w:tcPr>
          <w:p w14:paraId="3671B1F8">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一、企业业绩</w:t>
            </w:r>
          </w:p>
        </w:tc>
      </w:tr>
      <w:tr w14:paraId="7A95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367F308D">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2</w:t>
            </w:r>
          </w:p>
        </w:tc>
        <w:tc>
          <w:tcPr>
            <w:tcW w:w="5336" w:type="dxa"/>
            <w:vAlign w:val="center"/>
          </w:tcPr>
          <w:p w14:paraId="0429C1CA">
            <w:pPr>
              <w:spacing w:line="360" w:lineRule="auto"/>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1.项目团队成员不少于8人组成。</w:t>
            </w:r>
          </w:p>
          <w:p w14:paraId="7781DE8E">
            <w:pPr>
              <w:spacing w:line="360" w:lineRule="auto"/>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2.拟派项目负责人具有高级职称的得3分；</w:t>
            </w:r>
          </w:p>
          <w:p w14:paraId="04A22A25">
            <w:pPr>
              <w:spacing w:line="360" w:lineRule="auto"/>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项目组成员中具有中级职称的每人得1分，最高5分；项目组成员中有水工监测工的得2分；水文勘测工的得2分；闸门运行工的得2分；河道修防工的得2分；机电运行资格证的得2分；高、低压电工证的各得2分，计算机信息类、档案管理职业证书或专业文凭的各得2分。</w:t>
            </w:r>
          </w:p>
          <w:p w14:paraId="17EC9855">
            <w:pPr>
              <w:spacing w:line="360" w:lineRule="auto"/>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（以上人员须提供职称证书、资格证书等证明材料复印件及在本单位近</w:t>
            </w:r>
            <w:r>
              <w:rPr>
                <w:rFonts w:hint="eastAsia" w:cs="仿宋_GB2312" w:asciiTheme="minorEastAsia" w:hAnsiTheme="minorEastAsia" w:eastAsiaTheme="minorEastAsia"/>
                <w:b/>
                <w:bCs/>
                <w:sz w:val="24"/>
                <w:highlight w:val="none"/>
                <w:lang w:val="en-US" w:eastAsia="zh-CN"/>
              </w:rPr>
              <w:t>6</w:t>
            </w:r>
            <w:r>
              <w:rPr>
                <w:rFonts w:hint="eastAsia" w:cs="仿宋_GB2312" w:asciiTheme="minorEastAsia" w:hAnsiTheme="minorEastAsia" w:eastAsiaTheme="minorEastAsia"/>
                <w:b/>
                <w:bCs/>
                <w:sz w:val="24"/>
                <w:highlight w:val="none"/>
              </w:rPr>
              <w:t>个月社保证明</w:t>
            </w:r>
            <w:r>
              <w:rPr>
                <w:rFonts w:hint="eastAsia" w:cs="仿宋_GB2312" w:asciiTheme="minorEastAsia" w:hAnsiTheme="minorEastAsia" w:eastAsiaTheme="minorEastAsia"/>
                <w:sz w:val="24"/>
                <w:highlight w:val="none"/>
              </w:rPr>
              <w:t>）</w:t>
            </w:r>
          </w:p>
        </w:tc>
        <w:tc>
          <w:tcPr>
            <w:tcW w:w="695" w:type="dxa"/>
            <w:vAlign w:val="center"/>
          </w:tcPr>
          <w:p w14:paraId="6B9B4971">
            <w:pPr>
              <w:spacing w:line="440" w:lineRule="exact"/>
              <w:jc w:val="center"/>
              <w:rPr>
                <w:rFonts w:hint="eastAsia" w:ascii="宋体" w:hAnsi="宋体" w:cs="宋体"/>
                <w:sz w:val="24"/>
                <w:szCs w:val="20"/>
                <w:highlight w:val="none"/>
              </w:rPr>
            </w:pPr>
            <w:r>
              <w:rPr>
                <w:rFonts w:hint="eastAsia" w:ascii="宋体" w:hAnsi="宋体" w:cs="宋体"/>
                <w:sz w:val="24"/>
                <w:szCs w:val="20"/>
                <w:highlight w:val="none"/>
              </w:rPr>
              <w:t>26</w:t>
            </w:r>
          </w:p>
        </w:tc>
        <w:tc>
          <w:tcPr>
            <w:tcW w:w="1090" w:type="dxa"/>
            <w:vAlign w:val="center"/>
          </w:tcPr>
          <w:p w14:paraId="4735CB28">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客观分</w:t>
            </w:r>
          </w:p>
        </w:tc>
        <w:tc>
          <w:tcPr>
            <w:tcW w:w="1768" w:type="dxa"/>
            <w:vAlign w:val="center"/>
          </w:tcPr>
          <w:p w14:paraId="0BB24E24">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二、项目团队</w:t>
            </w:r>
          </w:p>
        </w:tc>
      </w:tr>
      <w:tr w14:paraId="5103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0A358940">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3</w:t>
            </w:r>
          </w:p>
        </w:tc>
        <w:tc>
          <w:tcPr>
            <w:tcW w:w="5336" w:type="dxa"/>
            <w:vAlign w:val="center"/>
          </w:tcPr>
          <w:p w14:paraId="7C330573">
            <w:pPr>
              <w:spacing w:line="360" w:lineRule="auto"/>
              <w:rPr>
                <w:rFonts w:hint="default" w:cs="仿宋_GB2312" w:asciiTheme="minorEastAsia" w:hAnsiTheme="minorEastAsia" w:eastAsiaTheme="minorEastAsia"/>
                <w:sz w:val="24"/>
                <w:highlight w:val="none"/>
                <w:lang w:val="en-US" w:eastAsia="zh-CN"/>
              </w:rPr>
            </w:pPr>
            <w:r>
              <w:rPr>
                <w:rFonts w:hint="eastAsia" w:cs="仿宋_GB2312" w:asciiTheme="minorEastAsia" w:hAnsiTheme="minorEastAsia" w:eastAsiaTheme="minorEastAsia"/>
                <w:sz w:val="24"/>
                <w:highlight w:val="none"/>
              </w:rPr>
              <w:t>投标人至少配备3辆车辆</w:t>
            </w:r>
            <w:r>
              <w:rPr>
                <w:rFonts w:hint="eastAsia" w:cs="仿宋_GB2312" w:asciiTheme="minorEastAsia" w:hAnsiTheme="minorEastAsia" w:eastAsiaTheme="minorEastAsia"/>
                <w:sz w:val="24"/>
                <w:highlight w:val="none"/>
                <w:lang w:eastAsia="zh-CN"/>
              </w:rPr>
              <w:t>（</w:t>
            </w:r>
            <w:r>
              <w:rPr>
                <w:rFonts w:hint="eastAsia" w:cs="仿宋_GB2312" w:asciiTheme="minorEastAsia" w:hAnsiTheme="minorEastAsia" w:eastAsiaTheme="minorEastAsia"/>
                <w:b/>
                <w:bCs/>
                <w:sz w:val="24"/>
                <w:highlight w:val="none"/>
                <w:lang w:val="en-US" w:eastAsia="zh-CN"/>
              </w:rPr>
              <w:t>越野车或工具车，车须为本单位自有车辆</w:t>
            </w:r>
            <w:r>
              <w:rPr>
                <w:rFonts w:hint="eastAsia" w:cs="仿宋_GB2312" w:asciiTheme="minorEastAsia" w:hAnsiTheme="minorEastAsia" w:eastAsiaTheme="minorEastAsia"/>
                <w:sz w:val="24"/>
                <w:highlight w:val="none"/>
                <w:lang w:eastAsia="zh-CN"/>
              </w:rPr>
              <w:t>）</w:t>
            </w:r>
            <w:r>
              <w:rPr>
                <w:rFonts w:hint="eastAsia" w:cs="仿宋_GB2312" w:asciiTheme="minorEastAsia" w:hAnsiTheme="minorEastAsia" w:eastAsiaTheme="minorEastAsia"/>
                <w:sz w:val="24"/>
                <w:highlight w:val="none"/>
              </w:rPr>
              <w:t>，每增加1辆得3分，最高得3分。（提供车辆</w:t>
            </w:r>
            <w:r>
              <w:rPr>
                <w:rFonts w:hint="eastAsia" w:cs="仿宋_GB2312" w:asciiTheme="minorEastAsia" w:hAnsiTheme="minorEastAsia" w:eastAsiaTheme="minorEastAsia"/>
                <w:sz w:val="24"/>
                <w:highlight w:val="none"/>
                <w:lang w:val="en-US" w:eastAsia="zh-CN"/>
              </w:rPr>
              <w:t>购买发票、</w:t>
            </w:r>
            <w:r>
              <w:rPr>
                <w:rFonts w:hint="eastAsia" w:cs="仿宋_GB2312" w:asciiTheme="minorEastAsia" w:hAnsiTheme="minorEastAsia" w:eastAsiaTheme="minorEastAsia"/>
                <w:sz w:val="24"/>
                <w:highlight w:val="none"/>
              </w:rPr>
              <w:t>行驶证和保险单复印件，不提供不得分）</w:t>
            </w:r>
          </w:p>
        </w:tc>
        <w:tc>
          <w:tcPr>
            <w:tcW w:w="695" w:type="dxa"/>
            <w:vAlign w:val="center"/>
          </w:tcPr>
          <w:p w14:paraId="7F1F7BDD">
            <w:pPr>
              <w:spacing w:line="440" w:lineRule="exact"/>
              <w:jc w:val="center"/>
              <w:rPr>
                <w:rFonts w:hint="eastAsia" w:ascii="宋体" w:hAnsi="宋体" w:cs="宋体"/>
                <w:sz w:val="24"/>
                <w:szCs w:val="20"/>
                <w:highlight w:val="none"/>
              </w:rPr>
            </w:pPr>
            <w:r>
              <w:rPr>
                <w:rFonts w:hint="eastAsia" w:ascii="宋体" w:hAnsi="宋体" w:cs="宋体"/>
                <w:sz w:val="24"/>
                <w:szCs w:val="20"/>
                <w:highlight w:val="none"/>
              </w:rPr>
              <w:t>3</w:t>
            </w:r>
          </w:p>
        </w:tc>
        <w:tc>
          <w:tcPr>
            <w:tcW w:w="1090" w:type="dxa"/>
            <w:vAlign w:val="center"/>
          </w:tcPr>
          <w:p w14:paraId="614BEBAC">
            <w:pPr>
              <w:pStyle w:val="404"/>
              <w:spacing w:before="0"/>
              <w:ind w:firstLine="0" w:firstLineChars="0"/>
              <w:jc w:val="center"/>
              <w:rPr>
                <w:rFonts w:hint="eastAsia" w:cs="宋体" w:asciiTheme="minorEastAsia" w:hAnsiTheme="minorEastAsia" w:eastAsiaTheme="minorEastAsia"/>
                <w:bCs/>
                <w:highlight w:val="none"/>
              </w:rPr>
            </w:pPr>
            <w:r>
              <w:rPr>
                <w:rFonts w:hint="eastAsia" w:cs="宋体" w:asciiTheme="minorEastAsia" w:hAnsiTheme="minorEastAsia" w:eastAsiaTheme="minorEastAsia"/>
                <w:bCs/>
                <w:highlight w:val="none"/>
              </w:rPr>
              <w:t>客观分</w:t>
            </w:r>
          </w:p>
        </w:tc>
        <w:tc>
          <w:tcPr>
            <w:tcW w:w="1768" w:type="dxa"/>
            <w:vAlign w:val="center"/>
          </w:tcPr>
          <w:p w14:paraId="1437F525">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三、车辆配备</w:t>
            </w:r>
          </w:p>
        </w:tc>
      </w:tr>
      <w:tr w14:paraId="47A2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16" w:type="dxa"/>
            <w:vAlign w:val="center"/>
          </w:tcPr>
          <w:p w14:paraId="7DD667CD">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4</w:t>
            </w:r>
          </w:p>
        </w:tc>
        <w:tc>
          <w:tcPr>
            <w:tcW w:w="5336" w:type="dxa"/>
            <w:vAlign w:val="center"/>
          </w:tcPr>
          <w:p w14:paraId="44BC78A4">
            <w:pPr>
              <w:widowControl/>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针对本项</w:t>
            </w:r>
            <w:r>
              <w:rPr>
                <w:rFonts w:hint="eastAsia" w:ascii="仿宋" w:hAnsi="仿宋" w:eastAsia="仿宋" w:cs="仿宋"/>
                <w:sz w:val="24"/>
                <w:highlight w:val="none"/>
              </w:rPr>
              <w:t>①</w:t>
            </w:r>
            <w:r>
              <w:rPr>
                <w:rFonts w:hint="eastAsia" w:cs="仿宋_GB2312" w:asciiTheme="minorEastAsia" w:hAnsiTheme="minorEastAsia" w:eastAsiaTheme="minorEastAsia"/>
                <w:sz w:val="24"/>
                <w:highlight w:val="none"/>
              </w:rPr>
              <w:t>需求特点的理解，</w:t>
            </w:r>
            <w:r>
              <w:rPr>
                <w:rFonts w:hint="eastAsia" w:ascii="仿宋" w:hAnsi="仿宋" w:eastAsia="仿宋" w:cs="仿宋"/>
                <w:sz w:val="24"/>
                <w:highlight w:val="none"/>
              </w:rPr>
              <w:t>②</w:t>
            </w:r>
            <w:r>
              <w:rPr>
                <w:rFonts w:hint="eastAsia" w:cs="仿宋_GB2312" w:asciiTheme="minorEastAsia" w:hAnsiTheme="minorEastAsia" w:eastAsiaTheme="minorEastAsia"/>
                <w:sz w:val="24"/>
                <w:highlight w:val="none"/>
              </w:rPr>
              <w:t>技术难点的分析及</w:t>
            </w:r>
            <w:r>
              <w:rPr>
                <w:rFonts w:hint="eastAsia" w:ascii="仿宋" w:hAnsi="仿宋" w:eastAsia="仿宋" w:cs="仿宋"/>
                <w:sz w:val="24"/>
                <w:highlight w:val="none"/>
              </w:rPr>
              <w:t>③</w:t>
            </w:r>
            <w:r>
              <w:rPr>
                <w:rFonts w:hint="eastAsia" w:cs="仿宋_GB2312" w:asciiTheme="minorEastAsia" w:hAnsiTheme="minorEastAsia" w:eastAsiaTheme="minorEastAsia"/>
                <w:sz w:val="24"/>
                <w:highlight w:val="none"/>
              </w:rPr>
              <w:t>相应的监控措施，理解到位，分析全面，措施合理的每项得3分，理解有欠缺，不够全面合理的每项得2分，否则不得分，本项最高9分。</w:t>
            </w:r>
          </w:p>
        </w:tc>
        <w:tc>
          <w:tcPr>
            <w:tcW w:w="695" w:type="dxa"/>
            <w:vAlign w:val="center"/>
          </w:tcPr>
          <w:p w14:paraId="52EBD9A9">
            <w:pPr>
              <w:pStyle w:val="118"/>
              <w:spacing w:line="440" w:lineRule="exact"/>
              <w:ind w:firstLine="0" w:firstLineChars="0"/>
              <w:jc w:val="center"/>
              <w:rPr>
                <w:rFonts w:hint="eastAsia" w:ascii="宋体" w:hAnsi="宋体" w:eastAsia="宋体" w:cs="宋体"/>
                <w:szCs w:val="20"/>
                <w:highlight w:val="none"/>
              </w:rPr>
            </w:pPr>
            <w:r>
              <w:rPr>
                <w:rFonts w:hint="eastAsia" w:ascii="宋体" w:hAnsi="宋体" w:eastAsia="宋体" w:cs="宋体"/>
                <w:szCs w:val="20"/>
                <w:highlight w:val="none"/>
              </w:rPr>
              <w:t>9</w:t>
            </w:r>
          </w:p>
        </w:tc>
        <w:tc>
          <w:tcPr>
            <w:tcW w:w="1090" w:type="dxa"/>
            <w:vAlign w:val="center"/>
          </w:tcPr>
          <w:p w14:paraId="53D80B81">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主观分</w:t>
            </w:r>
          </w:p>
        </w:tc>
        <w:tc>
          <w:tcPr>
            <w:tcW w:w="1768" w:type="dxa"/>
            <w:vMerge w:val="restart"/>
            <w:vAlign w:val="center"/>
          </w:tcPr>
          <w:p w14:paraId="00C5FA9E">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五、服务方案</w:t>
            </w:r>
          </w:p>
        </w:tc>
      </w:tr>
      <w:tr w14:paraId="27BE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16" w:type="dxa"/>
            <w:vAlign w:val="center"/>
          </w:tcPr>
          <w:p w14:paraId="1F13EA26">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5</w:t>
            </w:r>
          </w:p>
        </w:tc>
        <w:tc>
          <w:tcPr>
            <w:tcW w:w="5336" w:type="dxa"/>
            <w:vAlign w:val="center"/>
          </w:tcPr>
          <w:p w14:paraId="7DF77292">
            <w:pPr>
              <w:widowControl/>
              <w:spacing w:line="360" w:lineRule="auto"/>
              <w:jc w:val="left"/>
              <w:rPr>
                <w:highlight w:val="none"/>
              </w:rPr>
            </w:pPr>
            <w:r>
              <w:rPr>
                <w:rFonts w:hint="eastAsia" w:cs="仿宋_GB2312" w:asciiTheme="minorEastAsia" w:hAnsiTheme="minorEastAsia" w:eastAsiaTheme="minorEastAsia"/>
                <w:sz w:val="24"/>
                <w:highlight w:val="none"/>
              </w:rPr>
              <w:t>针对本项目实施进度及计划安排科学合理的得6分，进度及安排有缺漏的得4分，未提供或不合理的不得分。</w:t>
            </w:r>
          </w:p>
        </w:tc>
        <w:tc>
          <w:tcPr>
            <w:tcW w:w="695" w:type="dxa"/>
            <w:vAlign w:val="center"/>
          </w:tcPr>
          <w:p w14:paraId="20472E58">
            <w:pPr>
              <w:pStyle w:val="317"/>
              <w:spacing w:line="440" w:lineRule="exact"/>
              <w:ind w:firstLine="0" w:firstLineChars="0"/>
              <w:jc w:val="center"/>
              <w:rPr>
                <w:rFonts w:hint="eastAsia" w:ascii="宋体" w:hAnsi="宋体" w:cs="宋体"/>
                <w:highlight w:val="none"/>
              </w:rPr>
            </w:pPr>
            <w:r>
              <w:rPr>
                <w:rFonts w:hint="eastAsia" w:ascii="宋体" w:hAnsi="宋体" w:cs="宋体"/>
                <w:highlight w:val="none"/>
              </w:rPr>
              <w:t>6</w:t>
            </w:r>
          </w:p>
        </w:tc>
        <w:tc>
          <w:tcPr>
            <w:tcW w:w="1090" w:type="dxa"/>
            <w:vAlign w:val="center"/>
          </w:tcPr>
          <w:p w14:paraId="1EF07CFA">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主观分</w:t>
            </w:r>
          </w:p>
        </w:tc>
        <w:tc>
          <w:tcPr>
            <w:tcW w:w="1768" w:type="dxa"/>
            <w:vMerge w:val="continue"/>
            <w:vAlign w:val="center"/>
          </w:tcPr>
          <w:p w14:paraId="3E703E9F">
            <w:pPr>
              <w:pStyle w:val="404"/>
              <w:spacing w:before="0"/>
              <w:ind w:firstLine="0" w:firstLineChars="0"/>
              <w:jc w:val="center"/>
              <w:rPr>
                <w:rFonts w:hint="eastAsia" w:cs="仿宋_GB2312" w:asciiTheme="minorEastAsia" w:hAnsiTheme="minorEastAsia" w:eastAsiaTheme="minorEastAsia"/>
                <w:szCs w:val="24"/>
                <w:highlight w:val="none"/>
              </w:rPr>
            </w:pPr>
          </w:p>
        </w:tc>
      </w:tr>
      <w:tr w14:paraId="0099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16" w:type="dxa"/>
            <w:vAlign w:val="center"/>
          </w:tcPr>
          <w:p w14:paraId="3D0BC68C">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6</w:t>
            </w:r>
          </w:p>
        </w:tc>
        <w:tc>
          <w:tcPr>
            <w:tcW w:w="5336" w:type="dxa"/>
            <w:vAlign w:val="center"/>
          </w:tcPr>
          <w:p w14:paraId="5D534307">
            <w:pPr>
              <w:widowControl/>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针对本项目制定的组织管理制度内容科学合理的得2分，制度内容简单空洞的得1分，未提供或不合理的不得分。</w:t>
            </w:r>
          </w:p>
        </w:tc>
        <w:tc>
          <w:tcPr>
            <w:tcW w:w="695" w:type="dxa"/>
            <w:vAlign w:val="center"/>
          </w:tcPr>
          <w:p w14:paraId="4C6B7DF5">
            <w:pPr>
              <w:widowControl/>
              <w:jc w:val="center"/>
              <w:rPr>
                <w:rFonts w:hint="eastAsia" w:ascii="宋体" w:hAnsi="宋体" w:cs="宋体"/>
                <w:sz w:val="24"/>
                <w:szCs w:val="20"/>
                <w:highlight w:val="none"/>
              </w:rPr>
            </w:pPr>
            <w:r>
              <w:rPr>
                <w:rFonts w:hint="eastAsia" w:ascii="宋体" w:hAnsi="宋体" w:cs="宋体"/>
                <w:sz w:val="24"/>
                <w:szCs w:val="20"/>
                <w:highlight w:val="none"/>
              </w:rPr>
              <w:t>2</w:t>
            </w:r>
          </w:p>
        </w:tc>
        <w:tc>
          <w:tcPr>
            <w:tcW w:w="1090" w:type="dxa"/>
            <w:vAlign w:val="center"/>
          </w:tcPr>
          <w:p w14:paraId="6528E215">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主观分</w:t>
            </w:r>
          </w:p>
        </w:tc>
        <w:tc>
          <w:tcPr>
            <w:tcW w:w="1768" w:type="dxa"/>
            <w:vMerge w:val="continue"/>
            <w:vAlign w:val="center"/>
          </w:tcPr>
          <w:p w14:paraId="4587B248">
            <w:pPr>
              <w:pStyle w:val="404"/>
              <w:spacing w:before="0"/>
              <w:ind w:firstLine="0" w:firstLineChars="0"/>
              <w:jc w:val="center"/>
              <w:rPr>
                <w:rFonts w:hint="eastAsia" w:cs="仿宋_GB2312" w:asciiTheme="minorEastAsia" w:hAnsiTheme="minorEastAsia" w:eastAsiaTheme="minorEastAsia"/>
                <w:szCs w:val="24"/>
                <w:highlight w:val="none"/>
              </w:rPr>
            </w:pPr>
          </w:p>
        </w:tc>
      </w:tr>
      <w:tr w14:paraId="104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5C57D83A">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7</w:t>
            </w:r>
          </w:p>
        </w:tc>
        <w:tc>
          <w:tcPr>
            <w:tcW w:w="5336" w:type="dxa"/>
            <w:vAlign w:val="center"/>
          </w:tcPr>
          <w:p w14:paraId="53207F89">
            <w:pPr>
              <w:widowControl/>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针对本项目制定的技术管理制度全面、科学的得2分，有缺漏的得1分，未提供或不合理的不得分。</w:t>
            </w:r>
          </w:p>
        </w:tc>
        <w:tc>
          <w:tcPr>
            <w:tcW w:w="695" w:type="dxa"/>
            <w:vAlign w:val="center"/>
          </w:tcPr>
          <w:p w14:paraId="7FEFC864">
            <w:pPr>
              <w:pStyle w:val="317"/>
              <w:spacing w:line="440" w:lineRule="exact"/>
              <w:ind w:firstLine="0" w:firstLineChars="0"/>
              <w:jc w:val="center"/>
              <w:rPr>
                <w:rFonts w:hint="eastAsia" w:ascii="宋体" w:hAnsi="宋体" w:cs="宋体"/>
                <w:highlight w:val="none"/>
              </w:rPr>
            </w:pPr>
            <w:r>
              <w:rPr>
                <w:rFonts w:hint="eastAsia" w:ascii="宋体" w:hAnsi="宋体" w:cs="宋体"/>
                <w:highlight w:val="none"/>
              </w:rPr>
              <w:t>2</w:t>
            </w:r>
          </w:p>
        </w:tc>
        <w:tc>
          <w:tcPr>
            <w:tcW w:w="1090" w:type="dxa"/>
            <w:vAlign w:val="center"/>
          </w:tcPr>
          <w:p w14:paraId="4CE02C79">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主观分</w:t>
            </w:r>
          </w:p>
        </w:tc>
        <w:tc>
          <w:tcPr>
            <w:tcW w:w="1768" w:type="dxa"/>
            <w:vMerge w:val="continue"/>
            <w:vAlign w:val="center"/>
          </w:tcPr>
          <w:p w14:paraId="1E85E90E">
            <w:pPr>
              <w:pStyle w:val="404"/>
              <w:spacing w:before="0"/>
              <w:ind w:firstLine="0" w:firstLineChars="0"/>
              <w:jc w:val="center"/>
              <w:rPr>
                <w:rFonts w:hint="eastAsia" w:cs="仿宋_GB2312" w:asciiTheme="minorEastAsia" w:hAnsiTheme="minorEastAsia" w:eastAsiaTheme="minorEastAsia"/>
                <w:szCs w:val="24"/>
                <w:highlight w:val="none"/>
              </w:rPr>
            </w:pPr>
          </w:p>
        </w:tc>
      </w:tr>
      <w:tr w14:paraId="4210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0DBBCF90">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8</w:t>
            </w:r>
          </w:p>
        </w:tc>
        <w:tc>
          <w:tcPr>
            <w:tcW w:w="5336" w:type="dxa"/>
            <w:vAlign w:val="center"/>
          </w:tcPr>
          <w:p w14:paraId="4C583A82">
            <w:pPr>
              <w:widowControl/>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根据本项目的运行管理与维护方案全面、科学的得4分，有缺漏项的得2分，未提供或不合理的不得分。</w:t>
            </w:r>
          </w:p>
        </w:tc>
        <w:tc>
          <w:tcPr>
            <w:tcW w:w="695" w:type="dxa"/>
            <w:vAlign w:val="center"/>
          </w:tcPr>
          <w:p w14:paraId="30D96581">
            <w:pPr>
              <w:spacing w:line="440" w:lineRule="exact"/>
              <w:jc w:val="center"/>
              <w:rPr>
                <w:rFonts w:hint="eastAsia" w:ascii="宋体" w:hAnsi="宋体" w:cs="宋体"/>
                <w:sz w:val="24"/>
                <w:szCs w:val="20"/>
                <w:highlight w:val="none"/>
              </w:rPr>
            </w:pPr>
            <w:r>
              <w:rPr>
                <w:rFonts w:hint="eastAsia" w:ascii="宋体" w:hAnsi="宋体" w:cs="宋体"/>
                <w:sz w:val="24"/>
                <w:szCs w:val="20"/>
                <w:highlight w:val="none"/>
              </w:rPr>
              <w:t>4</w:t>
            </w:r>
          </w:p>
        </w:tc>
        <w:tc>
          <w:tcPr>
            <w:tcW w:w="1090" w:type="dxa"/>
            <w:vAlign w:val="center"/>
          </w:tcPr>
          <w:p w14:paraId="576C0F6F">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主观分</w:t>
            </w:r>
          </w:p>
        </w:tc>
        <w:tc>
          <w:tcPr>
            <w:tcW w:w="1768" w:type="dxa"/>
            <w:vMerge w:val="continue"/>
            <w:vAlign w:val="center"/>
          </w:tcPr>
          <w:p w14:paraId="5C6EC043">
            <w:pPr>
              <w:pStyle w:val="404"/>
              <w:spacing w:before="0"/>
              <w:ind w:firstLine="0" w:firstLineChars="0"/>
              <w:jc w:val="center"/>
              <w:rPr>
                <w:rFonts w:hint="eastAsia" w:cs="仿宋_GB2312" w:asciiTheme="minorEastAsia" w:hAnsiTheme="minorEastAsia" w:eastAsiaTheme="minorEastAsia"/>
                <w:szCs w:val="24"/>
                <w:highlight w:val="none"/>
              </w:rPr>
            </w:pPr>
          </w:p>
        </w:tc>
      </w:tr>
      <w:tr w14:paraId="4103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19411284">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9</w:t>
            </w:r>
          </w:p>
        </w:tc>
        <w:tc>
          <w:tcPr>
            <w:tcW w:w="5336" w:type="dxa"/>
            <w:vAlign w:val="center"/>
          </w:tcPr>
          <w:p w14:paraId="5FED86DF">
            <w:pPr>
              <w:widowControl/>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根据投标人提供的安全生产教育和目标管理方案，完善全面的得2分，有欠缺不全面的得1分，未提供或不合理的不得分。</w:t>
            </w:r>
          </w:p>
        </w:tc>
        <w:tc>
          <w:tcPr>
            <w:tcW w:w="695" w:type="dxa"/>
            <w:vAlign w:val="center"/>
          </w:tcPr>
          <w:p w14:paraId="256CDDC0">
            <w:pPr>
              <w:spacing w:line="440" w:lineRule="exact"/>
              <w:jc w:val="center"/>
              <w:rPr>
                <w:rFonts w:hint="eastAsia" w:ascii="宋体" w:hAnsi="宋体" w:cs="宋体"/>
                <w:sz w:val="24"/>
                <w:szCs w:val="20"/>
                <w:highlight w:val="none"/>
              </w:rPr>
            </w:pPr>
            <w:r>
              <w:rPr>
                <w:rFonts w:hint="eastAsia" w:ascii="宋体" w:hAnsi="宋体" w:cs="宋体"/>
                <w:sz w:val="24"/>
                <w:szCs w:val="20"/>
                <w:highlight w:val="none"/>
              </w:rPr>
              <w:t>2</w:t>
            </w:r>
          </w:p>
        </w:tc>
        <w:tc>
          <w:tcPr>
            <w:tcW w:w="1090" w:type="dxa"/>
            <w:vAlign w:val="center"/>
          </w:tcPr>
          <w:p w14:paraId="3F39C7AA">
            <w:pPr>
              <w:jc w:val="center"/>
              <w:rPr>
                <w:rFonts w:hint="eastAsia" w:cs="宋体" w:asciiTheme="minorEastAsia" w:hAnsiTheme="minorEastAsia" w:eastAsiaTheme="minorEastAsia"/>
                <w:bCs/>
                <w:highlight w:val="none"/>
              </w:rPr>
            </w:pPr>
            <w:r>
              <w:rPr>
                <w:rFonts w:hint="eastAsia" w:cs="宋体" w:asciiTheme="minorEastAsia" w:hAnsiTheme="minorEastAsia" w:eastAsiaTheme="minorEastAsia"/>
                <w:bCs/>
                <w:highlight w:val="none"/>
              </w:rPr>
              <w:t>主观分</w:t>
            </w:r>
          </w:p>
        </w:tc>
        <w:tc>
          <w:tcPr>
            <w:tcW w:w="1768" w:type="dxa"/>
            <w:vMerge w:val="continue"/>
            <w:vAlign w:val="center"/>
          </w:tcPr>
          <w:p w14:paraId="46623F87">
            <w:pPr>
              <w:pStyle w:val="404"/>
              <w:spacing w:before="0"/>
              <w:ind w:firstLine="0" w:firstLineChars="0"/>
              <w:jc w:val="center"/>
              <w:rPr>
                <w:rFonts w:hint="eastAsia" w:cs="仿宋_GB2312" w:asciiTheme="minorEastAsia" w:hAnsiTheme="minorEastAsia" w:eastAsiaTheme="minorEastAsia"/>
                <w:szCs w:val="24"/>
                <w:highlight w:val="none"/>
              </w:rPr>
            </w:pPr>
          </w:p>
        </w:tc>
      </w:tr>
      <w:tr w14:paraId="2D84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1259C94F">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10</w:t>
            </w:r>
          </w:p>
        </w:tc>
        <w:tc>
          <w:tcPr>
            <w:tcW w:w="5336" w:type="dxa"/>
            <w:vAlign w:val="center"/>
          </w:tcPr>
          <w:p w14:paraId="33189A6A">
            <w:pPr>
              <w:widowControl/>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针对设施设备运行维护服务过程中技术质量监管的措施可靠性及技术保障的科学合理性进行综合评分，科学合理的得2分，有欠缺的得1分，未提供的不得分。</w:t>
            </w:r>
          </w:p>
        </w:tc>
        <w:tc>
          <w:tcPr>
            <w:tcW w:w="695" w:type="dxa"/>
            <w:vAlign w:val="center"/>
          </w:tcPr>
          <w:p w14:paraId="15C4AB78">
            <w:pPr>
              <w:spacing w:line="440" w:lineRule="exact"/>
              <w:jc w:val="center"/>
              <w:rPr>
                <w:rFonts w:hint="eastAsia" w:ascii="宋体" w:hAnsi="宋体" w:cs="宋体"/>
                <w:sz w:val="24"/>
                <w:szCs w:val="20"/>
                <w:highlight w:val="none"/>
              </w:rPr>
            </w:pPr>
            <w:r>
              <w:rPr>
                <w:rFonts w:hint="eastAsia" w:ascii="宋体" w:hAnsi="宋体" w:cs="宋体"/>
                <w:sz w:val="24"/>
                <w:szCs w:val="20"/>
                <w:highlight w:val="none"/>
              </w:rPr>
              <w:t>2</w:t>
            </w:r>
          </w:p>
        </w:tc>
        <w:tc>
          <w:tcPr>
            <w:tcW w:w="1090" w:type="dxa"/>
            <w:vAlign w:val="center"/>
          </w:tcPr>
          <w:p w14:paraId="63ABC4EE">
            <w:pPr>
              <w:jc w:val="center"/>
              <w:rPr>
                <w:rFonts w:hint="eastAsia" w:cs="宋体" w:asciiTheme="minorEastAsia" w:hAnsiTheme="minorEastAsia" w:eastAsiaTheme="minorEastAsia"/>
                <w:bCs/>
                <w:highlight w:val="none"/>
              </w:rPr>
            </w:pPr>
            <w:r>
              <w:rPr>
                <w:rFonts w:hint="eastAsia" w:cs="宋体" w:asciiTheme="minorEastAsia" w:hAnsiTheme="minorEastAsia" w:eastAsiaTheme="minorEastAsia"/>
                <w:bCs/>
                <w:highlight w:val="none"/>
              </w:rPr>
              <w:t>主观分</w:t>
            </w:r>
          </w:p>
        </w:tc>
        <w:tc>
          <w:tcPr>
            <w:tcW w:w="1768" w:type="dxa"/>
            <w:vMerge w:val="continue"/>
            <w:vAlign w:val="center"/>
          </w:tcPr>
          <w:p w14:paraId="1858DF3F">
            <w:pPr>
              <w:pStyle w:val="404"/>
              <w:spacing w:before="0"/>
              <w:ind w:firstLine="0" w:firstLineChars="0"/>
              <w:jc w:val="center"/>
              <w:rPr>
                <w:rFonts w:hint="eastAsia" w:cs="仿宋_GB2312" w:asciiTheme="minorEastAsia" w:hAnsiTheme="minorEastAsia" w:eastAsiaTheme="minorEastAsia"/>
                <w:szCs w:val="24"/>
                <w:highlight w:val="none"/>
              </w:rPr>
            </w:pPr>
          </w:p>
        </w:tc>
      </w:tr>
      <w:tr w14:paraId="227B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3E85AF19">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11</w:t>
            </w:r>
          </w:p>
        </w:tc>
        <w:tc>
          <w:tcPr>
            <w:tcW w:w="5336" w:type="dxa"/>
            <w:vAlign w:val="center"/>
          </w:tcPr>
          <w:p w14:paraId="508C4161">
            <w:pPr>
              <w:widowControl/>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针对</w:t>
            </w:r>
            <w:r>
              <w:rPr>
                <w:rFonts w:hint="eastAsia" w:ascii="仿宋" w:hAnsi="仿宋" w:eastAsia="仿宋" w:cs="仿宋"/>
                <w:sz w:val="24"/>
                <w:highlight w:val="none"/>
              </w:rPr>
              <w:t>①</w:t>
            </w:r>
            <w:r>
              <w:rPr>
                <w:rFonts w:hint="eastAsia" w:cs="仿宋_GB2312" w:asciiTheme="minorEastAsia" w:hAnsiTheme="minorEastAsia" w:eastAsiaTheme="minorEastAsia"/>
                <w:sz w:val="24"/>
                <w:highlight w:val="none"/>
              </w:rPr>
              <w:t>故障响应，</w:t>
            </w:r>
            <w:r>
              <w:rPr>
                <w:rFonts w:hint="eastAsia" w:ascii="仿宋" w:hAnsi="仿宋" w:eastAsia="仿宋" w:cs="仿宋"/>
                <w:sz w:val="24"/>
                <w:highlight w:val="none"/>
              </w:rPr>
              <w:t>②</w:t>
            </w:r>
            <w:r>
              <w:rPr>
                <w:rFonts w:hint="eastAsia" w:cs="仿宋_GB2312" w:asciiTheme="minorEastAsia" w:hAnsiTheme="minorEastAsia" w:eastAsiaTheme="minorEastAsia"/>
                <w:sz w:val="24"/>
                <w:highlight w:val="none"/>
              </w:rPr>
              <w:t>修复时限，</w:t>
            </w:r>
            <w:r>
              <w:rPr>
                <w:rFonts w:hint="eastAsia" w:ascii="仿宋" w:hAnsi="仿宋" w:eastAsia="仿宋" w:cs="仿宋"/>
                <w:sz w:val="24"/>
                <w:highlight w:val="none"/>
              </w:rPr>
              <w:t>③</w:t>
            </w:r>
            <w:r>
              <w:rPr>
                <w:rFonts w:hint="eastAsia" w:cs="仿宋_GB2312" w:asciiTheme="minorEastAsia" w:hAnsiTheme="minorEastAsia" w:eastAsiaTheme="minorEastAsia"/>
                <w:sz w:val="24"/>
                <w:highlight w:val="none"/>
              </w:rPr>
              <w:t>距离采购人项目地最便捷的服务点，</w:t>
            </w:r>
            <w:r>
              <w:rPr>
                <w:rFonts w:hint="eastAsia" w:ascii="仿宋" w:hAnsi="仿宋" w:eastAsia="仿宋" w:cs="仿宋"/>
                <w:sz w:val="24"/>
                <w:highlight w:val="none"/>
              </w:rPr>
              <w:t>④</w:t>
            </w:r>
            <w:r>
              <w:rPr>
                <w:rFonts w:hint="eastAsia" w:cs="仿宋_GB2312" w:asciiTheme="minorEastAsia" w:hAnsiTheme="minorEastAsia" w:eastAsiaTheme="minorEastAsia"/>
                <w:sz w:val="24"/>
                <w:highlight w:val="none"/>
              </w:rPr>
              <w:t>力量配备、</w:t>
            </w:r>
            <w:r>
              <w:rPr>
                <w:rFonts w:hint="eastAsia" w:ascii="仿宋" w:hAnsi="仿宋" w:eastAsia="仿宋" w:cs="仿宋"/>
                <w:sz w:val="24"/>
                <w:highlight w:val="none"/>
              </w:rPr>
              <w:t>⑤</w:t>
            </w:r>
            <w:r>
              <w:rPr>
                <w:rFonts w:hint="eastAsia" w:cs="仿宋_GB2312" w:asciiTheme="minorEastAsia" w:hAnsiTheme="minorEastAsia" w:eastAsiaTheme="minorEastAsia"/>
                <w:sz w:val="24"/>
                <w:highlight w:val="none"/>
              </w:rPr>
              <w:t>服务承诺和</w:t>
            </w:r>
            <w:r>
              <w:rPr>
                <w:rFonts w:hint="eastAsia" w:ascii="仿宋" w:hAnsi="仿宋" w:eastAsia="仿宋" w:cs="仿宋"/>
                <w:sz w:val="24"/>
                <w:highlight w:val="none"/>
              </w:rPr>
              <w:t>⑥</w:t>
            </w:r>
            <w:r>
              <w:rPr>
                <w:rFonts w:hint="eastAsia" w:cs="仿宋_GB2312" w:asciiTheme="minorEastAsia" w:hAnsiTheme="minorEastAsia" w:eastAsiaTheme="minorEastAsia"/>
                <w:sz w:val="24"/>
                <w:highlight w:val="none"/>
              </w:rPr>
              <w:t>技术服务情况进行打分，每项1分，本项最高6分；</w:t>
            </w:r>
          </w:p>
        </w:tc>
        <w:tc>
          <w:tcPr>
            <w:tcW w:w="695" w:type="dxa"/>
            <w:vAlign w:val="center"/>
          </w:tcPr>
          <w:p w14:paraId="1010BB62">
            <w:pPr>
              <w:spacing w:line="440" w:lineRule="exact"/>
              <w:jc w:val="center"/>
              <w:rPr>
                <w:rFonts w:hint="eastAsia" w:ascii="宋体" w:hAnsi="宋体" w:cs="宋体"/>
                <w:sz w:val="24"/>
                <w:szCs w:val="20"/>
                <w:highlight w:val="none"/>
              </w:rPr>
            </w:pPr>
            <w:r>
              <w:rPr>
                <w:rFonts w:hint="eastAsia" w:ascii="宋体" w:hAnsi="宋体" w:cs="宋体"/>
                <w:sz w:val="24"/>
                <w:szCs w:val="20"/>
                <w:highlight w:val="none"/>
              </w:rPr>
              <w:t>6</w:t>
            </w:r>
          </w:p>
        </w:tc>
        <w:tc>
          <w:tcPr>
            <w:tcW w:w="1090" w:type="dxa"/>
            <w:vAlign w:val="center"/>
          </w:tcPr>
          <w:p w14:paraId="23C2D14A">
            <w:pPr>
              <w:jc w:val="center"/>
              <w:rPr>
                <w:rFonts w:hint="eastAsia" w:cs="宋体" w:asciiTheme="minorEastAsia" w:hAnsiTheme="minorEastAsia" w:eastAsiaTheme="minorEastAsia"/>
                <w:bCs/>
                <w:highlight w:val="none"/>
              </w:rPr>
            </w:pPr>
            <w:r>
              <w:rPr>
                <w:rFonts w:hint="eastAsia" w:cs="宋体" w:asciiTheme="minorEastAsia" w:hAnsiTheme="minorEastAsia" w:eastAsiaTheme="minorEastAsia"/>
                <w:bCs/>
                <w:highlight w:val="none"/>
              </w:rPr>
              <w:t>主观分</w:t>
            </w:r>
          </w:p>
        </w:tc>
        <w:tc>
          <w:tcPr>
            <w:tcW w:w="1768" w:type="dxa"/>
            <w:vMerge w:val="continue"/>
            <w:vAlign w:val="center"/>
          </w:tcPr>
          <w:p w14:paraId="5A6F5D1D">
            <w:pPr>
              <w:pStyle w:val="404"/>
              <w:spacing w:before="0"/>
              <w:ind w:firstLine="0" w:firstLineChars="0"/>
              <w:jc w:val="center"/>
              <w:rPr>
                <w:rFonts w:hint="eastAsia" w:cs="仿宋_GB2312" w:asciiTheme="minorEastAsia" w:hAnsiTheme="minorEastAsia" w:eastAsiaTheme="minorEastAsia"/>
                <w:szCs w:val="24"/>
                <w:highlight w:val="none"/>
              </w:rPr>
            </w:pPr>
          </w:p>
        </w:tc>
      </w:tr>
      <w:tr w14:paraId="6B23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696B2541">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12</w:t>
            </w:r>
          </w:p>
        </w:tc>
        <w:tc>
          <w:tcPr>
            <w:tcW w:w="5336" w:type="dxa"/>
            <w:vAlign w:val="center"/>
          </w:tcPr>
          <w:p w14:paraId="4A1F8CDB">
            <w:pPr>
              <w:widowControl/>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投标人是否响应招标文件需求内容，未响应的每项扣1分，扣完为止，本项最高6分</w:t>
            </w:r>
          </w:p>
        </w:tc>
        <w:tc>
          <w:tcPr>
            <w:tcW w:w="695" w:type="dxa"/>
            <w:vAlign w:val="center"/>
          </w:tcPr>
          <w:p w14:paraId="3ECC8AEA">
            <w:pPr>
              <w:spacing w:line="440" w:lineRule="exact"/>
              <w:jc w:val="center"/>
              <w:rPr>
                <w:rFonts w:hint="eastAsia" w:ascii="宋体" w:hAnsi="宋体" w:cs="宋体"/>
                <w:sz w:val="24"/>
                <w:szCs w:val="20"/>
                <w:highlight w:val="none"/>
              </w:rPr>
            </w:pPr>
            <w:r>
              <w:rPr>
                <w:rFonts w:hint="eastAsia" w:ascii="宋体" w:hAnsi="宋体" w:cs="宋体"/>
                <w:sz w:val="24"/>
                <w:szCs w:val="20"/>
                <w:highlight w:val="none"/>
              </w:rPr>
              <w:t>6</w:t>
            </w:r>
          </w:p>
        </w:tc>
        <w:tc>
          <w:tcPr>
            <w:tcW w:w="1090" w:type="dxa"/>
            <w:vAlign w:val="center"/>
          </w:tcPr>
          <w:p w14:paraId="733CD7DB">
            <w:pPr>
              <w:jc w:val="center"/>
              <w:rPr>
                <w:rFonts w:hint="eastAsia" w:cs="宋体" w:asciiTheme="minorEastAsia" w:hAnsiTheme="minorEastAsia" w:eastAsiaTheme="minorEastAsia"/>
                <w:bCs/>
                <w:highlight w:val="none"/>
              </w:rPr>
            </w:pPr>
            <w:r>
              <w:rPr>
                <w:rFonts w:hint="eastAsia" w:cs="宋体" w:asciiTheme="minorEastAsia" w:hAnsiTheme="minorEastAsia" w:eastAsiaTheme="minorEastAsia"/>
                <w:bCs/>
                <w:highlight w:val="none"/>
              </w:rPr>
              <w:t>主观分</w:t>
            </w:r>
          </w:p>
        </w:tc>
        <w:tc>
          <w:tcPr>
            <w:tcW w:w="1768" w:type="dxa"/>
            <w:vMerge w:val="continue"/>
            <w:vAlign w:val="center"/>
          </w:tcPr>
          <w:p w14:paraId="773AFE56">
            <w:pPr>
              <w:pStyle w:val="404"/>
              <w:spacing w:before="0"/>
              <w:ind w:firstLine="0" w:firstLineChars="0"/>
              <w:jc w:val="center"/>
              <w:rPr>
                <w:rFonts w:hint="eastAsia" w:cs="仿宋_GB2312" w:asciiTheme="minorEastAsia" w:hAnsiTheme="minorEastAsia" w:eastAsiaTheme="minorEastAsia"/>
                <w:szCs w:val="24"/>
                <w:highlight w:val="none"/>
              </w:rPr>
            </w:pPr>
          </w:p>
        </w:tc>
      </w:tr>
      <w:tr w14:paraId="57F1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6D9732C7">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13</w:t>
            </w:r>
          </w:p>
        </w:tc>
        <w:tc>
          <w:tcPr>
            <w:tcW w:w="5336" w:type="dxa"/>
            <w:vAlign w:val="center"/>
          </w:tcPr>
          <w:p w14:paraId="5DC5D05C">
            <w:pPr>
              <w:widowControl/>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针对本项目的突发应急事件（洪涝灾害，地震灾害等）情况处理及时合理的得4分，有所欠缺的得2分，未提供或不合理的不得分。</w:t>
            </w:r>
          </w:p>
        </w:tc>
        <w:tc>
          <w:tcPr>
            <w:tcW w:w="695" w:type="dxa"/>
            <w:vAlign w:val="center"/>
          </w:tcPr>
          <w:p w14:paraId="634AA04B">
            <w:pPr>
              <w:spacing w:line="440" w:lineRule="exact"/>
              <w:jc w:val="center"/>
              <w:rPr>
                <w:rFonts w:hint="eastAsia" w:ascii="宋体" w:hAnsi="宋体" w:cs="宋体"/>
                <w:sz w:val="24"/>
                <w:szCs w:val="20"/>
                <w:highlight w:val="none"/>
              </w:rPr>
            </w:pPr>
            <w:r>
              <w:rPr>
                <w:rFonts w:hint="eastAsia" w:ascii="宋体" w:hAnsi="宋体" w:cs="宋体"/>
                <w:sz w:val="24"/>
                <w:szCs w:val="20"/>
                <w:highlight w:val="none"/>
              </w:rPr>
              <w:t>4</w:t>
            </w:r>
          </w:p>
        </w:tc>
        <w:tc>
          <w:tcPr>
            <w:tcW w:w="1090" w:type="dxa"/>
            <w:vAlign w:val="center"/>
          </w:tcPr>
          <w:p w14:paraId="44CDD2EE">
            <w:pPr>
              <w:jc w:val="center"/>
              <w:rPr>
                <w:rFonts w:hint="eastAsia" w:cs="宋体" w:asciiTheme="minorEastAsia" w:hAnsiTheme="minorEastAsia" w:eastAsiaTheme="minorEastAsia"/>
                <w:bCs/>
                <w:highlight w:val="none"/>
              </w:rPr>
            </w:pPr>
            <w:r>
              <w:rPr>
                <w:rFonts w:hint="eastAsia" w:cs="宋体" w:asciiTheme="minorEastAsia" w:hAnsiTheme="minorEastAsia" w:eastAsiaTheme="minorEastAsia"/>
                <w:bCs/>
                <w:highlight w:val="none"/>
              </w:rPr>
              <w:t>主观分</w:t>
            </w:r>
          </w:p>
        </w:tc>
        <w:tc>
          <w:tcPr>
            <w:tcW w:w="1768" w:type="dxa"/>
            <w:vMerge w:val="continue"/>
            <w:vAlign w:val="center"/>
          </w:tcPr>
          <w:p w14:paraId="03DFC692">
            <w:pPr>
              <w:pStyle w:val="404"/>
              <w:spacing w:before="0"/>
              <w:ind w:firstLine="0" w:firstLineChars="0"/>
              <w:jc w:val="center"/>
              <w:rPr>
                <w:rFonts w:hint="eastAsia" w:cs="仿宋_GB2312" w:asciiTheme="minorEastAsia" w:hAnsiTheme="minorEastAsia" w:eastAsiaTheme="minorEastAsia"/>
                <w:szCs w:val="24"/>
                <w:highlight w:val="none"/>
              </w:rPr>
            </w:pPr>
          </w:p>
        </w:tc>
      </w:tr>
      <w:tr w14:paraId="2C5D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1F3FFF5A">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14</w:t>
            </w:r>
          </w:p>
        </w:tc>
        <w:tc>
          <w:tcPr>
            <w:tcW w:w="5336" w:type="dxa"/>
            <w:vAlign w:val="center"/>
          </w:tcPr>
          <w:p w14:paraId="367A3F6E">
            <w:pPr>
              <w:widowControl/>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根据投标人针对采购需求提出的合理化且具有建设性内容进行打分，每提出一条得2分，共6分。</w:t>
            </w:r>
          </w:p>
        </w:tc>
        <w:tc>
          <w:tcPr>
            <w:tcW w:w="695" w:type="dxa"/>
            <w:vAlign w:val="center"/>
          </w:tcPr>
          <w:p w14:paraId="0E600FF2">
            <w:pPr>
              <w:spacing w:line="440" w:lineRule="exact"/>
              <w:jc w:val="center"/>
              <w:rPr>
                <w:rFonts w:hint="eastAsia" w:ascii="宋体" w:hAnsi="宋体" w:cs="宋体"/>
                <w:sz w:val="24"/>
                <w:szCs w:val="20"/>
                <w:highlight w:val="none"/>
              </w:rPr>
            </w:pPr>
            <w:r>
              <w:rPr>
                <w:rFonts w:hint="eastAsia" w:ascii="宋体" w:hAnsi="宋体" w:cs="宋体"/>
                <w:sz w:val="24"/>
                <w:szCs w:val="20"/>
                <w:highlight w:val="none"/>
              </w:rPr>
              <w:t>6</w:t>
            </w:r>
          </w:p>
        </w:tc>
        <w:tc>
          <w:tcPr>
            <w:tcW w:w="1090" w:type="dxa"/>
            <w:vAlign w:val="center"/>
          </w:tcPr>
          <w:p w14:paraId="62AB49E4">
            <w:pPr>
              <w:jc w:val="center"/>
              <w:rPr>
                <w:rFonts w:hint="eastAsia" w:cs="宋体" w:asciiTheme="minorEastAsia" w:hAnsiTheme="minorEastAsia" w:eastAsiaTheme="minorEastAsia"/>
                <w:bCs/>
                <w:highlight w:val="none"/>
              </w:rPr>
            </w:pPr>
            <w:r>
              <w:rPr>
                <w:rFonts w:hint="eastAsia" w:cs="宋体" w:asciiTheme="minorEastAsia" w:hAnsiTheme="minorEastAsia" w:eastAsiaTheme="minorEastAsia"/>
                <w:bCs/>
                <w:highlight w:val="none"/>
              </w:rPr>
              <w:t>主观分</w:t>
            </w:r>
          </w:p>
        </w:tc>
        <w:tc>
          <w:tcPr>
            <w:tcW w:w="1768" w:type="dxa"/>
            <w:vMerge w:val="continue"/>
            <w:vAlign w:val="center"/>
          </w:tcPr>
          <w:p w14:paraId="6CA7CA36">
            <w:pPr>
              <w:pStyle w:val="404"/>
              <w:spacing w:before="0"/>
              <w:ind w:firstLine="0" w:firstLineChars="0"/>
              <w:jc w:val="center"/>
              <w:rPr>
                <w:rFonts w:hint="eastAsia" w:cs="仿宋_GB2312" w:asciiTheme="minorEastAsia" w:hAnsiTheme="minorEastAsia" w:eastAsiaTheme="minorEastAsia"/>
                <w:szCs w:val="24"/>
                <w:highlight w:val="none"/>
              </w:rPr>
            </w:pPr>
          </w:p>
        </w:tc>
      </w:tr>
      <w:tr w14:paraId="68DE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563A8D62">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15</w:t>
            </w:r>
          </w:p>
        </w:tc>
        <w:tc>
          <w:tcPr>
            <w:tcW w:w="5336" w:type="dxa"/>
            <w:vAlign w:val="center"/>
          </w:tcPr>
          <w:p w14:paraId="09B161ED">
            <w:pPr>
              <w:widowControl/>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有效最后报价的最低价作为评审基准价，其最低报价为满分；按［最后报价得分=（评审基准价/最后报价）*20］的计算公式计算。</w:t>
            </w:r>
          </w:p>
          <w:p w14:paraId="506FD5AE">
            <w:pPr>
              <w:widowControl/>
              <w:spacing w:line="360" w:lineRule="auto"/>
              <w:ind w:firstLine="480" w:firstLineChars="200"/>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评审过程中，不得去掉报价中的最高报价和最低报价。</w:t>
            </w:r>
          </w:p>
          <w:p w14:paraId="25C293B1">
            <w:pPr>
              <w:widowControl/>
              <w:spacing w:line="360" w:lineRule="auto"/>
              <w:ind w:firstLine="480" w:firstLineChars="200"/>
              <w:jc w:val="left"/>
              <w:rPr>
                <w:rFonts w:hint="eastAsia" w:cs="仿宋_GB2312" w:asciiTheme="minorEastAsia" w:hAnsiTheme="minorEastAsia" w:eastAsiaTheme="minorEastAsia"/>
                <w:highlight w:val="none"/>
              </w:rPr>
            </w:pPr>
            <w:r>
              <w:rPr>
                <w:rFonts w:hint="eastAsia" w:cs="仿宋_GB2312" w:asciiTheme="minorEastAsia" w:hAnsiTheme="minorEastAsia" w:eastAsiaTheme="minorEastAsia"/>
                <w:sz w:val="24"/>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95" w:type="dxa"/>
            <w:vAlign w:val="center"/>
          </w:tcPr>
          <w:p w14:paraId="571B6625">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20</w:t>
            </w:r>
          </w:p>
        </w:tc>
        <w:tc>
          <w:tcPr>
            <w:tcW w:w="1090" w:type="dxa"/>
            <w:vAlign w:val="center"/>
          </w:tcPr>
          <w:p w14:paraId="6165F346">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w:t>
            </w:r>
          </w:p>
        </w:tc>
        <w:tc>
          <w:tcPr>
            <w:tcW w:w="1768" w:type="dxa"/>
            <w:vAlign w:val="center"/>
          </w:tcPr>
          <w:p w14:paraId="234B93FD">
            <w:pPr>
              <w:pStyle w:val="404"/>
              <w:spacing w:before="0"/>
              <w:ind w:firstLine="0" w:firstLineChars="0"/>
              <w:jc w:val="center"/>
              <w:rPr>
                <w:rFonts w:hint="eastAsia"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w:t>
            </w:r>
          </w:p>
        </w:tc>
      </w:tr>
    </w:tbl>
    <w:p w14:paraId="4A752227">
      <w:pPr>
        <w:adjustRightInd/>
        <w:spacing w:line="360" w:lineRule="auto"/>
        <w:ind w:firstLine="482"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“*”备注：1.供应商编制响应文件时，建议按此目录（序号和内容）提供评审标准相应的商务技术资料。</w:t>
      </w:r>
    </w:p>
    <w:p w14:paraId="7B9DF513">
      <w:pPr>
        <w:adjustRightInd/>
        <w:spacing w:line="360" w:lineRule="auto"/>
        <w:ind w:firstLine="482"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2.以上评分，联合体投标的，由联合体中一方或者联合体成员根据分工出具相应的证明材料。</w:t>
      </w:r>
    </w:p>
    <w:p w14:paraId="161BE303">
      <w:pPr>
        <w:pStyle w:val="404"/>
        <w:spacing w:before="0"/>
        <w:ind w:firstLine="0" w:firstLineChars="0"/>
        <w:jc w:val="cente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一、评审方法</w:t>
      </w:r>
    </w:p>
    <w:p w14:paraId="6A0CFCFF">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2D3A433F">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22ED1404">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二、磋商小组的组成</w:t>
      </w:r>
    </w:p>
    <w:p w14:paraId="069BAFCB">
      <w:pPr>
        <w:pStyle w:val="404"/>
        <w:spacing w:before="0"/>
        <w:ind w:firstLine="0" w:firstLineChars="0"/>
        <w:rPr>
          <w:rFonts w:hint="eastAsia" w:ascii="仿宋" w:hAnsi="仿宋" w:eastAsia="仿宋" w:cs="仿宋"/>
          <w:b/>
          <w:color w:val="000000" w:themeColor="text1"/>
          <w:kern w:val="0"/>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1.磋商小组的组成。</w:t>
      </w:r>
    </w:p>
    <w:p w14:paraId="5715E317">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AD50336">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9F2E884">
      <w:pPr>
        <w:snapToGrid w:val="0"/>
        <w:spacing w:line="360" w:lineRule="auto"/>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2.磋商小组的组成人员的回避。</w:t>
      </w:r>
    </w:p>
    <w:p w14:paraId="41184CFC">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在政府采购活动中，磋商小组的组成人员与供应商有下列利害关系之一的，应当回避：</w:t>
      </w:r>
    </w:p>
    <w:p w14:paraId="199D1288">
      <w:pPr>
        <w:pStyle w:val="404"/>
        <w:spacing w:before="0"/>
        <w:ind w:firstLine="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2.1参加采购活动前3年内与供应商存在劳动关系；</w:t>
      </w:r>
    </w:p>
    <w:p w14:paraId="7A451EFE">
      <w:pPr>
        <w:pStyle w:val="404"/>
        <w:spacing w:before="0"/>
        <w:ind w:firstLine="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2.2参加采购活动前3年内担任供应商的董事、监事；</w:t>
      </w:r>
    </w:p>
    <w:p w14:paraId="18914F49">
      <w:pPr>
        <w:pStyle w:val="404"/>
        <w:spacing w:before="0"/>
        <w:ind w:firstLine="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2.3参加采购活动前3年内是供应商的控股股东或者实际控制人；</w:t>
      </w:r>
    </w:p>
    <w:p w14:paraId="3938486B">
      <w:pPr>
        <w:pStyle w:val="404"/>
        <w:spacing w:before="0"/>
        <w:ind w:firstLine="48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2.4与供应商的法定代表人或者负责人有夫妻、直系血亲、三代以内旁系血亲或者近姻亲关系；</w:t>
      </w:r>
    </w:p>
    <w:p w14:paraId="5F04B08D">
      <w:pPr>
        <w:pStyle w:val="404"/>
        <w:spacing w:before="0"/>
        <w:ind w:firstLine="48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2.5与供应商有其他可能影响政府采购活动公平、公正进行的关系。</w:t>
      </w:r>
    </w:p>
    <w:p w14:paraId="5127EB69">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p>
    <w:p w14:paraId="41DE3A17">
      <w:pPr>
        <w:snapToGrid w:val="0"/>
        <w:spacing w:line="360" w:lineRule="auto"/>
        <w:ind w:left="120" w:leftChars="57" w:firstLine="482" w:firstLineChars="15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三、磋商小组的职责</w:t>
      </w:r>
    </w:p>
    <w:p w14:paraId="0FE8FF20">
      <w:pPr>
        <w:pStyle w:val="404"/>
        <w:spacing w:before="0"/>
        <w:ind w:firstLine="0" w:firstLineChars="0"/>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1.磋商小组负责具体评审事务，并独立履行下列职责：</w:t>
      </w:r>
    </w:p>
    <w:p w14:paraId="77B1D7FF">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w:t>
      </w:r>
      <w:r>
        <w:rPr>
          <w:rFonts w:hint="eastAsia" w:ascii="仿宋" w:hAnsi="仿宋" w:eastAsia="仿宋" w:cs="仿宋"/>
          <w:color w:val="000000" w:themeColor="text1"/>
          <w:szCs w:val="24"/>
          <w:highlight w:val="none"/>
          <w14:textFill>
            <w14:solidFill>
              <w14:schemeClr w14:val="tx1"/>
            </w14:solidFill>
          </w14:textFill>
        </w:rPr>
        <w:t>对供应商的资格进行审查；</w:t>
      </w:r>
      <w:r>
        <w:rPr>
          <w:rFonts w:hint="eastAsia" w:ascii="仿宋" w:hAnsi="仿宋" w:eastAsia="仿宋" w:cs="仿宋"/>
          <w:color w:val="000000" w:themeColor="text1"/>
          <w:highlight w:val="none"/>
          <w14:textFill>
            <w14:solidFill>
              <w14:schemeClr w14:val="tx1"/>
            </w14:solidFill>
          </w14:textFill>
        </w:rPr>
        <w:t>对响应文件的有效性、完整性和响应程度进行审查；</w:t>
      </w:r>
    </w:p>
    <w:p w14:paraId="29AF551C">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1.2审查、评价响应文件是否符合磋商文件的商务、技术等实质性要求；</w:t>
      </w:r>
    </w:p>
    <w:p w14:paraId="64CEFCF1">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1.3要求供应商对响应文件有关事项作出澄清、说明或者更正；</w:t>
      </w:r>
    </w:p>
    <w:p w14:paraId="7F99045D">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1.4磋商小组集中与单一供应商分别进行磋商；</w:t>
      </w:r>
    </w:p>
    <w:p w14:paraId="7C34BF36">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1.5确定磋商文件的变动情况，并确定提交最后报价的供应商；</w:t>
      </w:r>
    </w:p>
    <w:p w14:paraId="3A1032EF">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1.6根据磋商文件确定的评审办法及评审标准对提交最后报价的供应商的响应文件和最后报价采用综合评分法进行综合评分；</w:t>
      </w:r>
    </w:p>
    <w:p w14:paraId="61A1FAAF">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1.7编制评审报告，确定成交候选人名单，以及根据采购人委托直接确定成交人；</w:t>
      </w:r>
    </w:p>
    <w:p w14:paraId="086F9AD8">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1.8向采购人、采购代理机构或者有关部门报告评审中发现的违法行为；</w:t>
      </w:r>
    </w:p>
    <w:p w14:paraId="76DD8818">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1.9法律、法规、规章、磋商文件等规定的其它事项。</w:t>
      </w:r>
    </w:p>
    <w:p w14:paraId="68F1F12F">
      <w:pPr>
        <w:pStyle w:val="404"/>
        <w:spacing w:before="0"/>
        <w:ind w:firstLine="0" w:firstLineChars="0"/>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2.磋商小组及其成员不得有下列行为：</w:t>
      </w:r>
    </w:p>
    <w:p w14:paraId="76D5683F">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2.1确定参与本项目至评审结束前私自接触供应商；</w:t>
      </w:r>
    </w:p>
    <w:p w14:paraId="3EA48045">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2.2接受供应商提出的“超出响应文件的范围或者改变响应文件的实质性内容”的澄清、说明或者更正； </w:t>
      </w:r>
    </w:p>
    <w:p w14:paraId="7B9320E2">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2.3违反评审纪律发表倾向性意见或者征询采购人的倾向性意见；</w:t>
      </w:r>
    </w:p>
    <w:p w14:paraId="228071F3">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2.4对需要专业判断的主观评审因素协商评分；</w:t>
      </w:r>
    </w:p>
    <w:p w14:paraId="1DC850BA">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2.5在评审过程中擅离职守，影响评审程序正常进行的；</w:t>
      </w:r>
    </w:p>
    <w:p w14:paraId="2E3644DB">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2.6记录、复制或者带走任何评审资料；</w:t>
      </w:r>
    </w:p>
    <w:p w14:paraId="54BC98C1">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2.7其他不遵守评审纪律的行为。</w:t>
      </w:r>
    </w:p>
    <w:p w14:paraId="69B0ECB1">
      <w:pPr>
        <w:pStyle w:val="40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磋商小组成员有2.1-2.5行为之一的，其评审意见无效，并不得获取评审劳务报酬和报销异地评审差旅费。</w:t>
      </w:r>
    </w:p>
    <w:p w14:paraId="2155BF1B">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6A547E3F">
      <w:pPr>
        <w:pStyle w:val="404"/>
        <w:spacing w:before="0"/>
        <w:ind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四、评审程序</w:t>
      </w:r>
    </w:p>
    <w:p w14:paraId="25E2F7C9">
      <w:pPr>
        <w:pStyle w:val="404"/>
        <w:spacing w:before="0"/>
        <w:ind w:firstLine="472" w:firstLineChars="196"/>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详见磋商文件“第二部分 竞争性磋商流程”。</w:t>
      </w:r>
    </w:p>
    <w:p w14:paraId="6BBCD13B">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1195D2EB">
      <w:pPr>
        <w:pStyle w:val="404"/>
        <w:spacing w:before="0"/>
        <w:ind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五、评审须知</w:t>
      </w:r>
    </w:p>
    <w:p w14:paraId="13A28279">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 响应文件的澄清</w:t>
      </w:r>
    </w:p>
    <w:p w14:paraId="4865AF4C">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661D72C">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2.最后报价的修正原则</w:t>
      </w:r>
    </w:p>
    <w:p w14:paraId="027F23E9">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磋商小组对响应文件的最后报价进行审核，对发现计算、书写等错误的，按以下原则进行修正：</w:t>
      </w:r>
    </w:p>
    <w:p w14:paraId="59522F2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2.1《最后报价一览表》内容与响应文件中响应内容不一致的，以《最后报价一览表》为准；</w:t>
      </w:r>
    </w:p>
    <w:p w14:paraId="4D8A034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2.2大写金额和小写金额不一致的，以大写金额为准；</w:t>
      </w:r>
    </w:p>
    <w:p w14:paraId="5BDFCC1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2.3单价金额小数点或者百分比有明显错位的，以《最后报价一览表》的总价为准，并修改单价；</w:t>
      </w:r>
    </w:p>
    <w:p w14:paraId="78E7825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2.4总价金额与按单价汇总金额不一致的，以单价金额计算结果为准。</w:t>
      </w:r>
    </w:p>
    <w:p w14:paraId="6CFB6CF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2.5同时出现两种以上不一致的，按照前款规定的顺序修正。</w:t>
      </w:r>
    </w:p>
    <w:p w14:paraId="273C254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2.6以修正后的总价作为最后报价。</w:t>
      </w:r>
    </w:p>
    <w:p w14:paraId="7B57C4FE">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供应商对根据修正原则修正后的最后报价不确认的，响应无效。</w:t>
      </w:r>
    </w:p>
    <w:p w14:paraId="3DB863B3">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w:t>
      </w:r>
      <w:r>
        <w:rPr>
          <w:rFonts w:hint="eastAsia" w:ascii="仿宋" w:hAnsi="仿宋" w:eastAsia="仿宋" w:cs="仿宋"/>
          <w:b/>
          <w:color w:val="000000" w:themeColor="text1"/>
          <w:spacing w:val="20"/>
          <w:highlight w:val="none"/>
          <w14:textFill>
            <w14:solidFill>
              <w14:schemeClr w14:val="tx1"/>
            </w14:solidFill>
          </w14:textFill>
        </w:rPr>
        <w:t>响应无效</w:t>
      </w:r>
    </w:p>
    <w:p w14:paraId="3CA6293D">
      <w:pPr>
        <w:pStyle w:val="27"/>
        <w:spacing w:line="360" w:lineRule="auto"/>
        <w:ind w:firstLine="600"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有下列情况之一的，响应无效：</w:t>
      </w:r>
    </w:p>
    <w:p w14:paraId="30FE110C">
      <w:pPr>
        <w:spacing w:line="360" w:lineRule="auto"/>
        <w:ind w:firstLine="480" w:firstLineChars="200"/>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szCs w:val="21"/>
          <w:highlight w:val="none"/>
          <w14:textFill>
            <w14:solidFill>
              <w14:schemeClr w14:val="tx1"/>
            </w14:solidFill>
          </w14:textFill>
        </w:rPr>
        <w:t>单位负责人为同一人或者存在直接控股、管理关系的不同供应商参加同一合同项下的政府采购活动的（均无效）；</w:t>
      </w:r>
    </w:p>
    <w:p w14:paraId="37A33F1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3.2为采购项目提供整体设计、规范编制或者项目管理、监理、检测等服务的供应商再参加该采购项目的其他采购活动的； </w:t>
      </w:r>
    </w:p>
    <w:p w14:paraId="6295B1F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14:paraId="53C0CD9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3.4如以联合体形式参加政府采购活动的，联合协议不符合磋商文件规定的联合协议要求的；</w:t>
      </w:r>
    </w:p>
    <w:p w14:paraId="1466425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3.5响应文件未按磋商文件的澄清、修改的内容编制，又不符合实质性要求的；</w:t>
      </w:r>
    </w:p>
    <w:p w14:paraId="413FC89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3.6响应文件组成漏项，内容不全或内容字迹模糊辨认不清的；</w:t>
      </w:r>
    </w:p>
    <w:p w14:paraId="12A926D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3.7响应文件中法人授权书所载内容与本项目内容有异的；</w:t>
      </w:r>
    </w:p>
    <w:p w14:paraId="1474F8C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3.8响应文件未按照磋商文件要求签署、盖章的；</w:t>
      </w:r>
    </w:p>
    <w:p w14:paraId="2C7CA83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3.9</w:t>
      </w:r>
      <w:r>
        <w:rPr>
          <w:rFonts w:hint="eastAsia" w:ascii="仿宋" w:hAnsi="仿宋" w:eastAsia="仿宋" w:cs="仿宋"/>
          <w:color w:val="000000" w:themeColor="text1"/>
          <w:kern w:val="0"/>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6246F59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3.10响应文件含有采购人不能接受的附加条件的；</w:t>
      </w:r>
    </w:p>
    <w:p w14:paraId="313A04B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3.11响应文件中承诺的响应有效期少于磋商文件中载明的响应有效期的；</w:t>
      </w:r>
    </w:p>
    <w:p w14:paraId="65EBF33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3.12供应商所投内容不符合磋商文件中实质性要求的；</w:t>
      </w:r>
    </w:p>
    <w:p w14:paraId="3FBFC7A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3.13所提交的《最后报价一览表》中出现不是唯一的、有选择性的报价的；</w:t>
      </w:r>
    </w:p>
    <w:p w14:paraId="664EB4C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3.14最后报价高于本项目采购预算或者最高限价的；</w:t>
      </w:r>
    </w:p>
    <w:p w14:paraId="538B3BA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3.15最后报价明显低于其他供应商的最后报价，有可能影响产品质量或者不能诚信履约的，未能按要求提供书面说明或者提交相关证明材料，不能证明其报价合理性的；</w:t>
      </w:r>
    </w:p>
    <w:p w14:paraId="04FE66B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3.16《最后报价一览表》填写不完整或字迹不能辨认或有漏项的；</w:t>
      </w:r>
    </w:p>
    <w:p w14:paraId="4AF0860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3.17供应商对根据修正原则修正后的最后报价不确认的；</w:t>
      </w:r>
    </w:p>
    <w:p w14:paraId="7BA05BD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3.18供应商提供虚假材料响应的（包括但不限于以下情节）；</w:t>
      </w:r>
    </w:p>
    <w:p w14:paraId="078AA143">
      <w:pPr>
        <w:pStyle w:val="118"/>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使用伪造、变造的许可证件；</w:t>
      </w:r>
    </w:p>
    <w:p w14:paraId="7E3CC645">
      <w:pPr>
        <w:pStyle w:val="118"/>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提供虚假的财务状况或者业绩；</w:t>
      </w:r>
    </w:p>
    <w:p w14:paraId="211C2596">
      <w:pPr>
        <w:pStyle w:val="118"/>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提供虚假的项目负责人或者主要技术人员简历、劳动关系证明；</w:t>
      </w:r>
    </w:p>
    <w:p w14:paraId="2D7528E1">
      <w:pPr>
        <w:pStyle w:val="118"/>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提供虚假的信用状况；</w:t>
      </w:r>
    </w:p>
    <w:p w14:paraId="17D8444D">
      <w:pPr>
        <w:pStyle w:val="118"/>
        <w:numPr>
          <w:ilvl w:val="0"/>
          <w:numId w:val="9"/>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其他弄虚作假的行为。</w:t>
      </w:r>
    </w:p>
    <w:p w14:paraId="34B71B1E">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3.19供应商有恶意串通、妨碍其他供应商的竞争行为、损害采购人或者其他供应商的合法权益情形的。</w:t>
      </w:r>
    </w:p>
    <w:p w14:paraId="595CCA2C">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有下列情形之一的，属于或视为恶意串通，其响应无效：</w:t>
      </w:r>
    </w:p>
    <w:p w14:paraId="749CD6D1">
      <w:pPr>
        <w:pStyle w:val="118"/>
        <w:numPr>
          <w:ilvl w:val="0"/>
          <w:numId w:val="10"/>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供应商直接或者间接从采购人或者采购代理机构处获得其他供应商的相关情况并修改其响应文件；</w:t>
      </w:r>
    </w:p>
    <w:p w14:paraId="2556D63C">
      <w:pPr>
        <w:pStyle w:val="118"/>
        <w:numPr>
          <w:ilvl w:val="0"/>
          <w:numId w:val="10"/>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供应商按照采购人或者采购代理机构的授意撤换、修改投标文件或者响应文件；</w:t>
      </w:r>
    </w:p>
    <w:p w14:paraId="0A33F2E0">
      <w:pPr>
        <w:pStyle w:val="118"/>
        <w:numPr>
          <w:ilvl w:val="0"/>
          <w:numId w:val="10"/>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供应商之间协商报价、技术方案等投标文件或者响应文件的实质性内容；</w:t>
      </w:r>
    </w:p>
    <w:p w14:paraId="458C4153">
      <w:pPr>
        <w:pStyle w:val="118"/>
        <w:numPr>
          <w:ilvl w:val="0"/>
          <w:numId w:val="10"/>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属于同一集团、协会、商会等组织成员的供应商按照该组织要求协同参加政府采购活动；</w:t>
      </w:r>
    </w:p>
    <w:p w14:paraId="2258CBDD">
      <w:pPr>
        <w:pStyle w:val="118"/>
        <w:numPr>
          <w:ilvl w:val="0"/>
          <w:numId w:val="10"/>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供应商之间事先约定由某一特定供应商中标、成交；</w:t>
      </w:r>
    </w:p>
    <w:p w14:paraId="291F3259">
      <w:pPr>
        <w:pStyle w:val="118"/>
        <w:numPr>
          <w:ilvl w:val="0"/>
          <w:numId w:val="10"/>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供应商之间商定部分供应商放弃参加政府采购活动或者放弃中标、成交；</w:t>
      </w:r>
    </w:p>
    <w:p w14:paraId="3D8A608D">
      <w:pPr>
        <w:pStyle w:val="118"/>
        <w:numPr>
          <w:ilvl w:val="0"/>
          <w:numId w:val="10"/>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供应商与采购人或者采购代理机构之间、供应商相互之间，为谋求特定供应商中标、成交或者排斥其他供应商的其他串通行为。</w:t>
      </w:r>
    </w:p>
    <w:p w14:paraId="60833FAA">
      <w:pPr>
        <w:pStyle w:val="118"/>
        <w:numPr>
          <w:ilvl w:val="0"/>
          <w:numId w:val="10"/>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不同供应商的响应文件由同一单位或者个人编制；</w:t>
      </w:r>
    </w:p>
    <w:p w14:paraId="45E02F51">
      <w:pPr>
        <w:pStyle w:val="118"/>
        <w:numPr>
          <w:ilvl w:val="0"/>
          <w:numId w:val="10"/>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不同供应商委托同一单位或者个人办理响应事宜；</w:t>
      </w:r>
    </w:p>
    <w:p w14:paraId="46BE875A">
      <w:pPr>
        <w:pStyle w:val="118"/>
        <w:numPr>
          <w:ilvl w:val="0"/>
          <w:numId w:val="10"/>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不同供应商的响应文件载明的项目管理成员或者联系人员为同一人；</w:t>
      </w:r>
    </w:p>
    <w:p w14:paraId="0B54DC8C">
      <w:pPr>
        <w:pStyle w:val="118"/>
        <w:numPr>
          <w:ilvl w:val="0"/>
          <w:numId w:val="10"/>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不同供应商的响应文件异常一致或者最后报价呈规律性差异；</w:t>
      </w:r>
    </w:p>
    <w:p w14:paraId="65FAA59B">
      <w:pPr>
        <w:pStyle w:val="118"/>
        <w:numPr>
          <w:ilvl w:val="0"/>
          <w:numId w:val="10"/>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不同供应商的响应文件相互混装。</w:t>
      </w:r>
    </w:p>
    <w:p w14:paraId="16ECE76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3.20供应商仅提交备份响应文件，没有在电子交易平台传输提交响应文件的，响应无效；</w:t>
      </w:r>
    </w:p>
    <w:p w14:paraId="0580230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3.21法律、法规、规章（适用本市的）及省级以上规范性文件（适用本市的）规定的其他无效情形。</w:t>
      </w:r>
    </w:p>
    <w:p w14:paraId="1BA7E877">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4. 重新开展采购活动</w:t>
      </w:r>
    </w:p>
    <w:p w14:paraId="081A98FD">
      <w:pPr>
        <w:spacing w:line="360" w:lineRule="auto"/>
        <w:ind w:firstLine="407"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 w:val="24"/>
          <w:szCs w:val="21"/>
          <w:highlight w:val="none"/>
          <w14:textFill>
            <w14:solidFill>
              <w14:schemeClr w14:val="tx1"/>
            </w14:solidFill>
          </w14:textFill>
        </w:rPr>
        <w:t>出现下列情形之一的，采购代理机构应当终止竞争性磋商采购活动，通过电子交易平台发布项目终止公告并说明原因，重新开展采购活动：</w:t>
      </w:r>
    </w:p>
    <w:p w14:paraId="7E1E2B1B">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（1）因情况变化，不再符合规定的竞争性磋商采购方式适用情形的；</w:t>
      </w:r>
    </w:p>
    <w:p w14:paraId="66E214C3">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（2）出现影响采购公正的违法、违规行为的；</w:t>
      </w:r>
    </w:p>
    <w:p w14:paraId="560101FB">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（3）在采购过程中符合要求的供应商或者最后报价未超过采购预算的供应商不足3家的（有特殊规定的从其规定）。</w:t>
      </w:r>
    </w:p>
    <w:p w14:paraId="24B185CB">
      <w:pPr>
        <w:pStyle w:val="40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5. 终止采购活动</w:t>
      </w:r>
    </w:p>
    <w:p w14:paraId="5ED8A12C">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47B6B71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 采购代理机构有权对磋商小组各成员的评分情况和评审意见进行合理性和合规性审查</w:t>
      </w:r>
      <w:r>
        <w:rPr>
          <w:rFonts w:hint="eastAsia" w:ascii="仿宋" w:hAnsi="仿宋" w:eastAsia="仿宋" w:cs="仿宋"/>
          <w:color w:val="000000" w:themeColor="text1"/>
          <w:sz w:val="24"/>
          <w:highlight w:val="none"/>
          <w14:textFill>
            <w14:solidFill>
              <w14:schemeClr w14:val="tx1"/>
            </w14:solidFill>
          </w14:textFill>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41CFF52">
      <w:pPr>
        <w:pStyle w:val="404"/>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07BAAF62">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六、评审过程的保密与录像</w:t>
      </w:r>
    </w:p>
    <w:p w14:paraId="4922F14A">
      <w:pPr>
        <w:widowControl/>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1.保密。</w:t>
      </w:r>
      <w:r>
        <w:rPr>
          <w:rFonts w:hint="eastAsia" w:ascii="仿宋" w:hAnsi="仿宋" w:eastAsia="仿宋" w:cs="仿宋"/>
          <w:color w:val="000000" w:themeColor="text1"/>
          <w:sz w:val="24"/>
          <w:highlight w:val="non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54BF5A2">
      <w:pPr>
        <w:widowControl/>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2.录音录像。</w:t>
      </w:r>
      <w:r>
        <w:rPr>
          <w:rFonts w:hint="eastAsia" w:ascii="仿宋" w:hAnsi="仿宋" w:eastAsia="仿宋" w:cs="仿宋"/>
          <w:color w:val="000000" w:themeColor="text1"/>
          <w:sz w:val="24"/>
          <w:highlight w:val="none"/>
          <w14:textFill>
            <w14:solidFill>
              <w14:schemeClr w14:val="tx1"/>
            </w14:solidFill>
          </w14:textFill>
        </w:rPr>
        <w:t>采购代理机构对评审工作现场进行全过程录音录像，录音录像资料作为采购项目文件随其他文件一并存档。</w:t>
      </w:r>
    </w:p>
    <w:p w14:paraId="38C96425">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bookmarkEnd w:id="64"/>
    <w:p w14:paraId="235581CC">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65" w:name="第五部分"/>
      <w:bookmarkStart w:id="66" w:name="_Toc86217003"/>
      <w:r>
        <w:rPr>
          <w:rFonts w:hint="eastAsia" w:ascii="仿宋" w:hAnsi="仿宋" w:eastAsia="仿宋" w:cs="仿宋"/>
          <w:b/>
          <w:color w:val="000000" w:themeColor="text1"/>
          <w:sz w:val="36"/>
          <w:szCs w:val="36"/>
          <w:highlight w:val="none"/>
          <w14:textFill>
            <w14:solidFill>
              <w14:schemeClr w14:val="tx1"/>
            </w14:solidFill>
          </w14:textFill>
        </w:rPr>
        <w:t>第六部分  拟签订的合同文本</w:t>
      </w:r>
    </w:p>
    <w:p w14:paraId="0F1BC6E5">
      <w:pPr>
        <w:rPr>
          <w:rFonts w:hint="eastAsia"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14:paraId="0DD7C2AC">
      <w:pPr>
        <w:spacing w:line="480" w:lineRule="auto"/>
        <w:jc w:val="center"/>
        <w:rPr>
          <w:rFonts w:hint="eastAsia" w:ascii="仿宋" w:hAnsi="仿宋" w:eastAsia="仿宋" w:cs="仿宋"/>
          <w:b/>
          <w:sz w:val="28"/>
          <w:szCs w:val="28"/>
          <w:highlight w:val="none"/>
        </w:rPr>
      </w:pPr>
    </w:p>
    <w:p w14:paraId="4EA9D0A0">
      <w:pPr>
        <w:spacing w:line="480" w:lineRule="auto"/>
        <w:jc w:val="center"/>
        <w:rPr>
          <w:rFonts w:hint="eastAsia" w:ascii="仿宋" w:hAnsi="仿宋" w:eastAsia="仿宋" w:cs="仿宋"/>
          <w:b/>
          <w:sz w:val="24"/>
          <w:highlight w:val="none"/>
        </w:rPr>
      </w:pPr>
    </w:p>
    <w:p w14:paraId="6007CB30">
      <w:pPr>
        <w:spacing w:line="480" w:lineRule="auto"/>
        <w:jc w:val="center"/>
        <w:rPr>
          <w:rFonts w:hint="eastAsia" w:ascii="仿宋" w:hAnsi="仿宋" w:eastAsia="仿宋" w:cs="仿宋"/>
          <w:b/>
          <w:sz w:val="24"/>
          <w:highlight w:val="none"/>
        </w:rPr>
      </w:pPr>
    </w:p>
    <w:p w14:paraId="251DD1AD">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14:paraId="51063EC1">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（服务类）</w:t>
      </w:r>
    </w:p>
    <w:p w14:paraId="01CBA248">
      <w:pPr>
        <w:pStyle w:val="72"/>
        <w:ind w:firstLine="2843" w:firstLineChars="1180"/>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3E287496">
      <w:pPr>
        <w:spacing w:before="120" w:line="22" w:lineRule="atLeast"/>
        <w:rPr>
          <w:rFonts w:hint="eastAsia" w:ascii="仿宋" w:hAnsi="仿宋" w:eastAsia="仿宋" w:cs="仿宋"/>
          <w:sz w:val="24"/>
          <w:highlight w:val="none"/>
        </w:rPr>
      </w:pPr>
    </w:p>
    <w:p w14:paraId="795D319F">
      <w:pPr>
        <w:pStyle w:val="3"/>
        <w:rPr>
          <w:rFonts w:hint="eastAsia" w:ascii="仿宋" w:hAnsi="仿宋" w:eastAsia="仿宋" w:cs="仿宋"/>
          <w:highlight w:val="none"/>
        </w:rPr>
      </w:pPr>
    </w:p>
    <w:p w14:paraId="17CC1CCB">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04ABA83B">
      <w:pPr>
        <w:pStyle w:val="622"/>
        <w:spacing w:before="120" w:line="22" w:lineRule="atLeast"/>
        <w:rPr>
          <w:rFonts w:hint="eastAsia" w:ascii="仿宋" w:hAnsi="仿宋" w:eastAsia="仿宋" w:cs="仿宋"/>
          <w:szCs w:val="24"/>
          <w:highlight w:val="none"/>
        </w:rPr>
      </w:pPr>
    </w:p>
    <w:p w14:paraId="664487BC">
      <w:pPr>
        <w:pStyle w:val="622"/>
        <w:spacing w:before="120" w:line="22" w:lineRule="atLeast"/>
        <w:rPr>
          <w:rFonts w:hint="eastAsia" w:ascii="仿宋" w:hAnsi="仿宋" w:eastAsia="仿宋" w:cs="仿宋"/>
          <w:szCs w:val="24"/>
          <w:highlight w:val="none"/>
        </w:rPr>
      </w:pPr>
    </w:p>
    <w:p w14:paraId="721997E8">
      <w:pPr>
        <w:rPr>
          <w:rFonts w:hint="eastAsia" w:ascii="仿宋" w:hAnsi="仿宋" w:eastAsia="仿宋" w:cs="仿宋"/>
          <w:sz w:val="24"/>
          <w:highlight w:val="none"/>
        </w:rPr>
      </w:pPr>
    </w:p>
    <w:p w14:paraId="40475C9B">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14:paraId="2543E810">
      <w:pPr>
        <w:spacing w:before="120" w:line="22" w:lineRule="atLeast"/>
        <w:rPr>
          <w:rFonts w:hint="eastAsia" w:ascii="仿宋" w:hAnsi="仿宋" w:eastAsia="仿宋" w:cs="仿宋"/>
          <w:sz w:val="24"/>
          <w:highlight w:val="none"/>
        </w:rPr>
      </w:pPr>
    </w:p>
    <w:p w14:paraId="20FE24F9">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3BEFECBA">
      <w:pPr>
        <w:spacing w:before="120" w:line="22" w:lineRule="atLeast"/>
        <w:rPr>
          <w:rFonts w:hint="eastAsia" w:ascii="仿宋" w:hAnsi="仿宋" w:eastAsia="仿宋" w:cs="仿宋"/>
          <w:sz w:val="24"/>
          <w:highlight w:val="none"/>
        </w:rPr>
      </w:pPr>
    </w:p>
    <w:p w14:paraId="74984864">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60A7E4DB">
      <w:pPr>
        <w:spacing w:before="120" w:line="22" w:lineRule="atLeast"/>
        <w:rPr>
          <w:rFonts w:hint="eastAsia" w:ascii="仿宋" w:hAnsi="仿宋" w:eastAsia="仿宋" w:cs="仿宋"/>
          <w:sz w:val="24"/>
          <w:highlight w:val="none"/>
        </w:rPr>
      </w:pPr>
    </w:p>
    <w:p w14:paraId="06162EF7">
      <w:pPr>
        <w:spacing w:before="120" w:line="22" w:lineRule="atLeast"/>
        <w:ind w:firstLine="960" w:firstLineChars="400"/>
        <w:rPr>
          <w:rFonts w:hint="eastAsia" w:ascii="仿宋" w:hAnsi="仿宋" w:eastAsia="仿宋" w:cs="仿宋"/>
          <w:sz w:val="24"/>
          <w:highlight w:val="non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730CBF6B">
      <w:pPr>
        <w:rPr>
          <w:highlight w:val="none"/>
        </w:rPr>
      </w:pPr>
      <w:r>
        <w:rPr>
          <w:rFonts w:hint="eastAsia"/>
          <w:highlight w:val="none"/>
        </w:rPr>
        <w:br w:type="page"/>
      </w:r>
    </w:p>
    <w:p w14:paraId="1C5A2771">
      <w:pPr>
        <w:pStyle w:val="2"/>
        <w:rPr>
          <w:highlight w:val="none"/>
        </w:rPr>
        <w:sectPr>
          <w:headerReference r:id="rId3" w:type="default"/>
          <w:footerReference r:id="rId4" w:type="default"/>
          <w:pgSz w:w="11907" w:h="16840"/>
          <w:pgMar w:top="1474" w:right="1814" w:bottom="1474" w:left="1814" w:header="851" w:footer="851" w:gutter="0"/>
          <w:cols w:space="720" w:num="1"/>
        </w:sectPr>
      </w:pPr>
    </w:p>
    <w:p w14:paraId="533D0A67">
      <w:pPr>
        <w:rPr>
          <w:rFonts w:hint="eastAsia" w:ascii="仿宋" w:hAnsi="仿宋" w:eastAsia="仿宋" w:cs="仿宋"/>
          <w:b/>
          <w:sz w:val="24"/>
          <w:highlight w:val="none"/>
        </w:rPr>
      </w:pPr>
    </w:p>
    <w:p w14:paraId="1C1F8CC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竞争性磋商方式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磋商小组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（中标或者成交供应商名称） </w:t>
      </w:r>
      <w:r>
        <w:rPr>
          <w:rFonts w:hint="eastAsia" w:ascii="仿宋" w:hAnsi="仿宋" w:eastAsia="仿宋" w:cs="仿宋"/>
          <w:sz w:val="24"/>
          <w:highlight w:val="none"/>
        </w:rPr>
        <w:t>为该项目中标或者成交供应商。现于中标或者成交通知书发出之日起10个工作日内，按照采购文件确定的事项签订本合同。</w:t>
      </w:r>
    </w:p>
    <w:p w14:paraId="402FB0D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（中标或者成交供应商名称）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7E9CD183">
      <w:pPr>
        <w:spacing w:line="560" w:lineRule="exact"/>
        <w:ind w:firstLine="482" w:firstLineChars="200"/>
        <w:outlineLvl w:val="0"/>
        <w:rPr>
          <w:rFonts w:hint="eastAsia" w:ascii="仿宋" w:hAnsi="仿宋" w:eastAsia="仿宋" w:cs="仿宋"/>
          <w:sz w:val="24"/>
          <w:highlight w:val="none"/>
        </w:rPr>
      </w:pPr>
      <w:bookmarkStart w:id="67" w:name="_Toc28855"/>
      <w:bookmarkStart w:id="68" w:name="_Toc19273"/>
      <w:bookmarkStart w:id="69" w:name="_Toc15367"/>
      <w:bookmarkStart w:id="70" w:name="_Toc20421"/>
      <w:bookmarkStart w:id="71" w:name="_Toc22967"/>
      <w:r>
        <w:rPr>
          <w:rFonts w:hint="eastAsia" w:ascii="仿宋" w:hAnsi="仿宋" w:eastAsia="仿宋" w:cs="仿宋"/>
          <w:b/>
          <w:sz w:val="24"/>
          <w:highlight w:val="none"/>
        </w:rPr>
        <w:t>1.1 合同组成部分</w:t>
      </w:r>
      <w:bookmarkEnd w:id="67"/>
      <w:bookmarkEnd w:id="68"/>
      <w:bookmarkEnd w:id="69"/>
      <w:bookmarkEnd w:id="70"/>
      <w:bookmarkEnd w:id="71"/>
    </w:p>
    <w:p w14:paraId="24D3ECA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A3F0BB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14:paraId="3E02790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 中标或者成交通知书；</w:t>
      </w:r>
    </w:p>
    <w:p w14:paraId="6A0F8F0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 投标或者响应文件（含澄清或者说明文件）；</w:t>
      </w:r>
    </w:p>
    <w:p w14:paraId="16E1ED3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 采购文件（含澄清或者修改文件）；</w:t>
      </w:r>
    </w:p>
    <w:p w14:paraId="38072DA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14:paraId="40B458F3">
      <w:pPr>
        <w:spacing w:line="560" w:lineRule="exact"/>
        <w:ind w:firstLine="482" w:firstLineChars="200"/>
        <w:outlineLvl w:val="0"/>
        <w:rPr>
          <w:rFonts w:hint="eastAsia" w:ascii="仿宋" w:hAnsi="仿宋" w:eastAsia="仿宋" w:cs="仿宋"/>
          <w:b/>
          <w:sz w:val="24"/>
          <w:highlight w:val="none"/>
        </w:rPr>
      </w:pPr>
      <w:bookmarkStart w:id="72" w:name="_Toc6311"/>
      <w:bookmarkStart w:id="73" w:name="_Toc2918"/>
      <w:bookmarkStart w:id="74" w:name="_Toc6773"/>
      <w:bookmarkStart w:id="75" w:name="_Toc22185"/>
      <w:bookmarkStart w:id="76" w:name="_Toc18585"/>
      <w:r>
        <w:rPr>
          <w:rFonts w:hint="eastAsia" w:ascii="仿宋" w:hAnsi="仿宋" w:eastAsia="仿宋" w:cs="仿宋"/>
          <w:b/>
          <w:sz w:val="24"/>
          <w:highlight w:val="none"/>
        </w:rPr>
        <w:t>1.2 标的</w:t>
      </w:r>
      <w:bookmarkEnd w:id="72"/>
      <w:bookmarkEnd w:id="73"/>
      <w:bookmarkEnd w:id="74"/>
      <w:bookmarkEnd w:id="75"/>
      <w:bookmarkEnd w:id="76"/>
    </w:p>
    <w:p w14:paraId="433E9200">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1.2.1 服务内容：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CEB54EE">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1.2.2 服务标准：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8C450EC">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1.2.3 技术保障：</w:t>
      </w:r>
      <w:r>
        <w:rPr>
          <w:rFonts w:hint="eastAsia" w:ascii="仿宋" w:hAnsi="仿宋" w:eastAsia="仿宋" w:cs="仿宋"/>
          <w:sz w:val="24"/>
          <w:highlight w:val="none"/>
          <w:u w:val="single"/>
        </w:rPr>
        <w:t>　　　　　　　　　                      　      ；</w:t>
      </w:r>
    </w:p>
    <w:p w14:paraId="08264BA1">
      <w:pPr>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1.2.4 服务人员组成：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740039F">
      <w:pPr>
        <w:pStyle w:val="635"/>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1.2.5合同</w:t>
      </w:r>
      <w:r>
        <w:rPr>
          <w:rFonts w:hint="eastAsia" w:ascii="仿宋" w:hAnsi="仿宋" w:eastAsia="仿宋" w:cs="仿宋"/>
          <w:highlight w:val="none"/>
          <w:u w:val="single"/>
        </w:rPr>
        <w:t xml:space="preserve">     </w:t>
      </w:r>
      <w:r>
        <w:rPr>
          <w:rFonts w:hint="eastAsia" w:ascii="仿宋" w:hAnsi="仿宋" w:eastAsia="仿宋" w:cs="仿宋"/>
          <w:highlight w:val="none"/>
        </w:rPr>
        <w:t>（是/否）涉及货物。若涉及货物的的，则：</w:t>
      </w:r>
    </w:p>
    <w:p w14:paraId="1260D19E">
      <w:pPr>
        <w:spacing w:line="560" w:lineRule="exact"/>
        <w:ind w:firstLine="480" w:firstLineChars="200"/>
        <w:rPr>
          <w:rFonts w:hint="eastAsia" w:ascii="仿宋" w:hAnsi="仿宋" w:eastAsia="仿宋" w:cs="仿宋"/>
          <w:sz w:val="24"/>
          <w:highlight w:val="none"/>
          <w:u w:val="single"/>
        </w:rPr>
      </w:pPr>
      <w:bookmarkStart w:id="77" w:name="_Toc13918"/>
      <w:bookmarkStart w:id="78" w:name="_Toc4929"/>
      <w:bookmarkStart w:id="79" w:name="_Toc5635"/>
      <w:bookmarkStart w:id="80" w:name="_Toc1386"/>
      <w:bookmarkStart w:id="81" w:name="_Toc21124"/>
      <w:r>
        <w:rPr>
          <w:rFonts w:hint="eastAsia" w:ascii="仿宋" w:hAnsi="仿宋" w:eastAsia="仿宋" w:cs="仿宋"/>
          <w:sz w:val="24"/>
          <w:highlight w:val="none"/>
        </w:rPr>
        <w:t>1.2.5.1 货物名称、品牌、规格型号、花色：</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ADC1647">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1.2.5.2 货物数量：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6B897F2">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1.2.5.3 货物质量：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32C9250">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1.3 价款</w:t>
      </w:r>
      <w:bookmarkEnd w:id="77"/>
      <w:bookmarkEnd w:id="78"/>
      <w:bookmarkEnd w:id="79"/>
      <w:bookmarkEnd w:id="80"/>
      <w:bookmarkEnd w:id="81"/>
    </w:p>
    <w:p w14:paraId="1E3073E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本项目采用以下第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条款规定的计价方式计价。</w:t>
      </w:r>
    </w:p>
    <w:p w14:paraId="5FA6D5E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1.3.1总价合同，本合同总价（含税）为：￥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0DFB59F9">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CA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B3A954">
            <w:pPr>
              <w:pStyle w:val="627"/>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402" w:type="dxa"/>
            <w:vAlign w:val="center"/>
          </w:tcPr>
          <w:p w14:paraId="5E5B9A87">
            <w:pPr>
              <w:pStyle w:val="627"/>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2552" w:type="dxa"/>
            <w:vAlign w:val="center"/>
          </w:tcPr>
          <w:p w14:paraId="7F39190C">
            <w:pPr>
              <w:pStyle w:val="627"/>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分项价格</w:t>
            </w:r>
          </w:p>
        </w:tc>
      </w:tr>
      <w:tr w14:paraId="2FCE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8DE2B9">
            <w:pPr>
              <w:pStyle w:val="627"/>
              <w:spacing w:line="560" w:lineRule="exact"/>
              <w:jc w:val="center"/>
              <w:rPr>
                <w:rFonts w:hint="eastAsia" w:ascii="仿宋" w:hAnsi="仿宋" w:eastAsia="仿宋" w:cs="仿宋"/>
                <w:sz w:val="24"/>
                <w:szCs w:val="24"/>
                <w:highlight w:val="none"/>
              </w:rPr>
            </w:pPr>
          </w:p>
        </w:tc>
        <w:tc>
          <w:tcPr>
            <w:tcW w:w="3402" w:type="dxa"/>
            <w:vAlign w:val="center"/>
          </w:tcPr>
          <w:p w14:paraId="4C54E9D8">
            <w:pPr>
              <w:pStyle w:val="627"/>
              <w:spacing w:line="560" w:lineRule="exact"/>
              <w:jc w:val="center"/>
              <w:rPr>
                <w:rFonts w:hint="eastAsia" w:ascii="仿宋" w:hAnsi="仿宋" w:eastAsia="仿宋" w:cs="仿宋"/>
                <w:sz w:val="24"/>
                <w:szCs w:val="24"/>
                <w:highlight w:val="none"/>
              </w:rPr>
            </w:pPr>
          </w:p>
        </w:tc>
        <w:tc>
          <w:tcPr>
            <w:tcW w:w="2552" w:type="dxa"/>
            <w:vAlign w:val="center"/>
          </w:tcPr>
          <w:p w14:paraId="7E004678">
            <w:pPr>
              <w:pStyle w:val="627"/>
              <w:spacing w:line="560" w:lineRule="exact"/>
              <w:jc w:val="center"/>
              <w:rPr>
                <w:rFonts w:hint="eastAsia" w:ascii="仿宋" w:hAnsi="仿宋" w:eastAsia="仿宋" w:cs="仿宋"/>
                <w:sz w:val="24"/>
                <w:szCs w:val="24"/>
                <w:highlight w:val="none"/>
              </w:rPr>
            </w:pPr>
          </w:p>
        </w:tc>
      </w:tr>
      <w:tr w14:paraId="1E39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BE5447">
            <w:pPr>
              <w:pStyle w:val="627"/>
              <w:spacing w:line="560" w:lineRule="exact"/>
              <w:jc w:val="center"/>
              <w:rPr>
                <w:rFonts w:hint="eastAsia" w:ascii="仿宋" w:hAnsi="仿宋" w:eastAsia="仿宋" w:cs="仿宋"/>
                <w:sz w:val="24"/>
                <w:szCs w:val="24"/>
                <w:highlight w:val="none"/>
              </w:rPr>
            </w:pPr>
          </w:p>
        </w:tc>
        <w:tc>
          <w:tcPr>
            <w:tcW w:w="3402" w:type="dxa"/>
            <w:vAlign w:val="center"/>
          </w:tcPr>
          <w:p w14:paraId="738F755E">
            <w:pPr>
              <w:pStyle w:val="627"/>
              <w:spacing w:line="560" w:lineRule="exact"/>
              <w:jc w:val="center"/>
              <w:rPr>
                <w:rFonts w:hint="eastAsia" w:ascii="仿宋" w:hAnsi="仿宋" w:eastAsia="仿宋" w:cs="仿宋"/>
                <w:sz w:val="24"/>
                <w:szCs w:val="24"/>
                <w:highlight w:val="none"/>
              </w:rPr>
            </w:pPr>
          </w:p>
        </w:tc>
        <w:tc>
          <w:tcPr>
            <w:tcW w:w="2552" w:type="dxa"/>
            <w:vAlign w:val="center"/>
          </w:tcPr>
          <w:p w14:paraId="1AF2B73C">
            <w:pPr>
              <w:pStyle w:val="627"/>
              <w:spacing w:line="560" w:lineRule="exact"/>
              <w:jc w:val="center"/>
              <w:rPr>
                <w:rFonts w:hint="eastAsia" w:ascii="仿宋" w:hAnsi="仿宋" w:eastAsia="仿宋" w:cs="仿宋"/>
                <w:sz w:val="24"/>
                <w:szCs w:val="24"/>
                <w:highlight w:val="none"/>
              </w:rPr>
            </w:pPr>
          </w:p>
        </w:tc>
      </w:tr>
      <w:tr w14:paraId="6B5B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EA5283">
            <w:pPr>
              <w:pStyle w:val="627"/>
              <w:spacing w:line="560" w:lineRule="exact"/>
              <w:jc w:val="center"/>
              <w:rPr>
                <w:rFonts w:hint="eastAsia" w:ascii="仿宋" w:hAnsi="仿宋" w:eastAsia="仿宋" w:cs="仿宋"/>
                <w:sz w:val="24"/>
                <w:szCs w:val="24"/>
                <w:highlight w:val="none"/>
              </w:rPr>
            </w:pPr>
          </w:p>
        </w:tc>
        <w:tc>
          <w:tcPr>
            <w:tcW w:w="3402" w:type="dxa"/>
            <w:vAlign w:val="center"/>
          </w:tcPr>
          <w:p w14:paraId="0A68E353">
            <w:pPr>
              <w:pStyle w:val="627"/>
              <w:spacing w:line="560" w:lineRule="exact"/>
              <w:jc w:val="center"/>
              <w:rPr>
                <w:rFonts w:hint="eastAsia" w:ascii="仿宋" w:hAnsi="仿宋" w:eastAsia="仿宋" w:cs="仿宋"/>
                <w:sz w:val="24"/>
                <w:szCs w:val="24"/>
                <w:highlight w:val="none"/>
              </w:rPr>
            </w:pPr>
          </w:p>
        </w:tc>
        <w:tc>
          <w:tcPr>
            <w:tcW w:w="2552" w:type="dxa"/>
            <w:vAlign w:val="center"/>
          </w:tcPr>
          <w:p w14:paraId="7162EE89">
            <w:pPr>
              <w:pStyle w:val="627"/>
              <w:spacing w:line="560" w:lineRule="exact"/>
              <w:jc w:val="center"/>
              <w:rPr>
                <w:rFonts w:hint="eastAsia" w:ascii="仿宋" w:hAnsi="仿宋" w:eastAsia="仿宋" w:cs="仿宋"/>
                <w:sz w:val="24"/>
                <w:szCs w:val="24"/>
                <w:highlight w:val="none"/>
              </w:rPr>
            </w:pPr>
          </w:p>
        </w:tc>
      </w:tr>
      <w:tr w14:paraId="1E76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70BDB5">
            <w:pPr>
              <w:pStyle w:val="627"/>
              <w:spacing w:line="560" w:lineRule="exact"/>
              <w:jc w:val="center"/>
              <w:rPr>
                <w:rFonts w:hint="eastAsia" w:ascii="仿宋" w:hAnsi="仿宋" w:eastAsia="仿宋" w:cs="仿宋"/>
                <w:sz w:val="24"/>
                <w:szCs w:val="24"/>
                <w:highlight w:val="none"/>
              </w:rPr>
            </w:pPr>
          </w:p>
        </w:tc>
        <w:tc>
          <w:tcPr>
            <w:tcW w:w="3402" w:type="dxa"/>
            <w:vAlign w:val="center"/>
          </w:tcPr>
          <w:p w14:paraId="04B0B299">
            <w:pPr>
              <w:pStyle w:val="627"/>
              <w:spacing w:line="560" w:lineRule="exact"/>
              <w:jc w:val="center"/>
              <w:rPr>
                <w:rFonts w:hint="eastAsia" w:ascii="仿宋" w:hAnsi="仿宋" w:eastAsia="仿宋" w:cs="仿宋"/>
                <w:sz w:val="24"/>
                <w:szCs w:val="24"/>
                <w:highlight w:val="none"/>
              </w:rPr>
            </w:pPr>
          </w:p>
        </w:tc>
        <w:tc>
          <w:tcPr>
            <w:tcW w:w="2552" w:type="dxa"/>
            <w:vAlign w:val="center"/>
          </w:tcPr>
          <w:p w14:paraId="370546A4">
            <w:pPr>
              <w:pStyle w:val="627"/>
              <w:spacing w:line="560" w:lineRule="exact"/>
              <w:jc w:val="center"/>
              <w:rPr>
                <w:rFonts w:hint="eastAsia" w:ascii="仿宋" w:hAnsi="仿宋" w:eastAsia="仿宋" w:cs="仿宋"/>
                <w:sz w:val="24"/>
                <w:szCs w:val="24"/>
                <w:highlight w:val="none"/>
              </w:rPr>
            </w:pPr>
          </w:p>
        </w:tc>
      </w:tr>
      <w:tr w14:paraId="4A27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B328C8C">
            <w:pPr>
              <w:pStyle w:val="627"/>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2552" w:type="dxa"/>
            <w:vAlign w:val="center"/>
          </w:tcPr>
          <w:p w14:paraId="3CCE6DE3">
            <w:pPr>
              <w:pStyle w:val="627"/>
              <w:spacing w:line="560" w:lineRule="exact"/>
              <w:jc w:val="center"/>
              <w:rPr>
                <w:rFonts w:hint="eastAsia" w:ascii="仿宋" w:hAnsi="仿宋" w:eastAsia="仿宋" w:cs="仿宋"/>
                <w:sz w:val="24"/>
                <w:szCs w:val="24"/>
                <w:highlight w:val="none"/>
              </w:rPr>
            </w:pPr>
          </w:p>
        </w:tc>
      </w:tr>
    </w:tbl>
    <w:p w14:paraId="5B0E2364">
      <w:pPr>
        <w:spacing w:line="560" w:lineRule="exact"/>
        <w:ind w:firstLine="480" w:firstLineChars="200"/>
        <w:rPr>
          <w:rFonts w:hint="eastAsia" w:ascii="仿宋" w:hAnsi="仿宋" w:eastAsia="仿宋" w:cs="仿宋"/>
          <w:sz w:val="24"/>
          <w:highlight w:val="none"/>
        </w:rPr>
      </w:pPr>
      <w:bookmarkStart w:id="82" w:name="_Toc14993"/>
      <w:bookmarkStart w:id="83" w:name="_Toc26916"/>
      <w:bookmarkStart w:id="84" w:name="_Toc3654"/>
      <w:bookmarkStart w:id="85" w:name="_Toc30158"/>
      <w:bookmarkStart w:id="86" w:name="_Toc30506"/>
      <w:r>
        <w:rPr>
          <w:rFonts w:hint="eastAsia" w:ascii="仿宋" w:hAnsi="仿宋" w:eastAsia="仿宋" w:cs="仿宋"/>
          <w:bCs/>
          <w:sz w:val="24"/>
          <w:highlight w:val="none"/>
        </w:rPr>
        <w:t>1.3.2单价合同，本合同单价（含税）标准为：</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。服务工作量的计量方式为：</w:t>
      </w:r>
      <w:r>
        <w:rPr>
          <w:rFonts w:hint="eastAsia" w:ascii="仿宋" w:hAnsi="仿宋" w:eastAsia="仿宋" w:cs="仿宋"/>
          <w:bCs/>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。单价合同，在合同履行期间内，根据实际完成的工作量据实结算，但结算总价上限不得超过预算金额或者双方确定的金额￥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4D7E5F7B">
      <w:pPr>
        <w:pStyle w:val="3"/>
        <w:rPr>
          <w:rFonts w:hint="eastAsia" w:ascii="仿宋" w:hAnsi="仿宋" w:eastAsia="仿宋" w:cs="仿宋"/>
          <w:highlight w:val="none"/>
          <w:lang w:val="en-US"/>
        </w:rPr>
      </w:pPr>
      <w:r>
        <w:rPr>
          <w:rFonts w:hint="eastAsia" w:ascii="仿宋" w:hAnsi="仿宋" w:eastAsia="仿宋" w:cs="仿宋"/>
          <w:sz w:val="24"/>
          <w:highlight w:val="none"/>
          <w:lang w:val="en-US"/>
        </w:rPr>
        <w:t xml:space="preserve">    </w:t>
      </w:r>
      <w:r>
        <w:rPr>
          <w:rFonts w:hint="eastAsia" w:ascii="仿宋" w:hAnsi="仿宋" w:eastAsia="仿宋" w:cs="仿宋"/>
          <w:b w:val="0"/>
          <w:bCs w:val="0"/>
          <w:sz w:val="24"/>
          <w:highlight w:val="none"/>
          <w:lang w:val="en-US"/>
        </w:rPr>
        <w:t>1.3.3其他计价方式：</w:t>
      </w:r>
      <w:r>
        <w:rPr>
          <w:rFonts w:hint="eastAsia" w:ascii="仿宋" w:hAnsi="仿宋" w:eastAsia="仿宋" w:cs="仿宋"/>
          <w:b w:val="0"/>
          <w:bCs w:val="0"/>
          <w:sz w:val="24"/>
          <w:highlight w:val="none"/>
          <w:u w:val="single"/>
          <w:lang w:val="en-US"/>
        </w:rPr>
        <w:t xml:space="preserve">                   </w:t>
      </w:r>
      <w:r>
        <w:rPr>
          <w:rFonts w:hint="eastAsia" w:ascii="仿宋" w:hAnsi="仿宋" w:eastAsia="仿宋" w:cs="仿宋"/>
          <w:b w:val="0"/>
          <w:bCs w:val="0"/>
          <w:sz w:val="24"/>
          <w:highlight w:val="none"/>
        </w:rPr>
        <w:t>。</w:t>
      </w:r>
    </w:p>
    <w:bookmarkEnd w:id="82"/>
    <w:bookmarkEnd w:id="83"/>
    <w:bookmarkEnd w:id="84"/>
    <w:bookmarkEnd w:id="85"/>
    <w:bookmarkEnd w:id="86"/>
    <w:p w14:paraId="589C6055">
      <w:pPr>
        <w:pStyle w:val="635"/>
        <w:spacing w:before="0" w:beforeAutospacing="0" w:after="0" w:afterAutospacing="0" w:line="360" w:lineRule="auto"/>
        <w:ind w:firstLine="480"/>
        <w:rPr>
          <w:rFonts w:hint="eastAsia" w:ascii="仿宋" w:hAnsi="仿宋" w:eastAsia="仿宋" w:cs="仿宋"/>
          <w:b/>
          <w:highlight w:val="none"/>
        </w:rPr>
      </w:pPr>
      <w:bookmarkStart w:id="87" w:name="_Toc1814"/>
      <w:bookmarkStart w:id="88" w:name="_Toc22618"/>
      <w:bookmarkStart w:id="89" w:name="_Toc10340"/>
      <w:bookmarkStart w:id="90" w:name="_Toc3625"/>
      <w:bookmarkStart w:id="91" w:name="_Toc4760"/>
      <w:bookmarkStart w:id="92" w:name="_Toc8772"/>
      <w:bookmarkStart w:id="93" w:name="_Toc31421"/>
      <w:bookmarkStart w:id="94" w:name="_Toc11108"/>
      <w:r>
        <w:rPr>
          <w:rFonts w:hint="eastAsia" w:ascii="仿宋" w:hAnsi="仿宋" w:eastAsia="仿宋" w:cs="仿宋"/>
          <w:b/>
          <w:highlight w:val="none"/>
        </w:rPr>
        <w:t>1.4履约保证金</w:t>
      </w:r>
    </w:p>
    <w:p w14:paraId="16D6C784">
      <w:pPr>
        <w:pStyle w:val="635"/>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（是/否）需要支付履约保证金。若需要支付履约保证金的，则：</w:t>
      </w:r>
    </w:p>
    <w:p w14:paraId="550B8107">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1.4.1履约保证金的比例为合同金额的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29C92B1C">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1.4.2履约保证金支付方式详见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7D57CCCC">
      <w:pPr>
        <w:pStyle w:val="3"/>
        <w:tabs>
          <w:tab w:val="left" w:pos="0"/>
        </w:tabs>
        <w:spacing w:line="560" w:lineRule="exact"/>
        <w:ind w:firstLine="480" w:firstLineChars="200"/>
        <w:rPr>
          <w:rFonts w:hint="eastAsia" w:ascii="仿宋" w:hAnsi="仿宋" w:eastAsia="仿宋" w:cs="仿宋"/>
          <w:highlight w:val="none"/>
          <w:lang w:val="en-US"/>
        </w:rPr>
      </w:pPr>
      <w:r>
        <w:rPr>
          <w:rFonts w:hint="eastAsia" w:ascii="仿宋" w:hAnsi="仿宋" w:eastAsia="仿宋" w:cs="仿宋"/>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13B09BC">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1.4.4甲方在项目验收结束后及时退还履约保证金。甲方在项目通过验收之日起</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0.05（可根据情况修改）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20  </w:t>
      </w:r>
      <w:r>
        <w:rPr>
          <w:rFonts w:hint="eastAsia" w:ascii="仿宋" w:hAnsi="仿宋" w:eastAsia="仿宋" w:cs="仿宋"/>
          <w:kern w:val="0"/>
          <w:sz w:val="24"/>
          <w:highlight w:val="none"/>
        </w:rPr>
        <w:t xml:space="preserve"> %。</w:t>
      </w:r>
    </w:p>
    <w:p w14:paraId="43DBFA79">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1.5</w:t>
      </w:r>
      <w:bookmarkEnd w:id="87"/>
      <w:bookmarkEnd w:id="88"/>
      <w:bookmarkEnd w:id="89"/>
      <w:r>
        <w:rPr>
          <w:rFonts w:hint="eastAsia" w:ascii="仿宋" w:hAnsi="仿宋" w:eastAsia="仿宋" w:cs="仿宋"/>
          <w:b/>
          <w:sz w:val="24"/>
          <w:highlight w:val="none"/>
        </w:rPr>
        <w:t>预付款</w:t>
      </w:r>
    </w:p>
    <w:p w14:paraId="713A7A9D">
      <w:pPr>
        <w:pStyle w:val="635"/>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甲方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（是/否）需要支付预付款。若需要支付预付款的，则：</w:t>
      </w:r>
    </w:p>
    <w:p w14:paraId="28C209CC">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35F89894">
      <w:pPr>
        <w:pStyle w:val="635"/>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7B280B2C">
      <w:pPr>
        <w:pStyle w:val="635"/>
        <w:spacing w:before="0" w:beforeAutospacing="0" w:after="0" w:afterAutospacing="0" w:line="360" w:lineRule="auto"/>
        <w:ind w:firstLine="480"/>
        <w:rPr>
          <w:rFonts w:hint="eastAsia"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7CCEC63C">
      <w:pPr>
        <w:pStyle w:val="635"/>
        <w:spacing w:before="0" w:beforeAutospacing="0" w:after="0" w:afterAutospacing="0" w:line="360" w:lineRule="auto"/>
        <w:ind w:firstLine="480"/>
        <w:rPr>
          <w:rFonts w:hint="eastAsia" w:ascii="仿宋" w:hAnsi="仿宋" w:eastAsia="仿宋" w:cs="仿宋"/>
          <w:b/>
          <w:bCs/>
          <w:highlight w:val="none"/>
        </w:rPr>
      </w:pPr>
      <w:r>
        <w:rPr>
          <w:rFonts w:hint="eastAsia" w:ascii="仿宋" w:hAnsi="仿宋" w:eastAsia="仿宋" w:cs="仿宋"/>
          <w:b/>
          <w:bCs/>
          <w:highlight w:val="none"/>
        </w:rPr>
        <w:t>1.6资金支付</w:t>
      </w:r>
    </w:p>
    <w:p w14:paraId="0EE8BEB1">
      <w:pPr>
        <w:pStyle w:val="635"/>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224322D">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DBBB627">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1.7 履行期限、地点和方式</w:t>
      </w:r>
      <w:bookmarkEnd w:id="90"/>
      <w:bookmarkEnd w:id="91"/>
      <w:bookmarkEnd w:id="92"/>
      <w:bookmarkEnd w:id="93"/>
      <w:bookmarkEnd w:id="94"/>
    </w:p>
    <w:p w14:paraId="6133EA57">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1.7.1 服务交付（实施）的时间（期限）：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2AEA218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 服务交付（实施）的地点（地域范围）：</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69DDB3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1.7.3 服务交付（实施）的方式：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002C2F6F">
      <w:pPr>
        <w:spacing w:line="560" w:lineRule="exact"/>
        <w:ind w:firstLine="480" w:firstLineChars="200"/>
        <w:outlineLvl w:val="0"/>
        <w:rPr>
          <w:rFonts w:hint="eastAsia" w:ascii="仿宋" w:hAnsi="仿宋" w:eastAsia="仿宋" w:cs="仿宋"/>
          <w:bCs/>
          <w:sz w:val="24"/>
          <w:highlight w:val="none"/>
        </w:rPr>
      </w:pPr>
      <w:bookmarkStart w:id="95" w:name="_Toc3079"/>
      <w:bookmarkStart w:id="96" w:name="_Toc24662"/>
      <w:bookmarkStart w:id="97" w:name="_Toc2375"/>
      <w:bookmarkStart w:id="98" w:name="_Toc8586"/>
      <w:bookmarkStart w:id="99" w:name="_Toc5698"/>
      <w:r>
        <w:rPr>
          <w:rFonts w:hint="eastAsia" w:ascii="仿宋" w:hAnsi="仿宋" w:eastAsia="仿宋" w:cs="仿宋"/>
          <w:bCs/>
          <w:sz w:val="24"/>
          <w:highlight w:val="none"/>
        </w:rPr>
        <w:t>1.7.4若服务涉及货物的，则货物的：</w:t>
      </w:r>
    </w:p>
    <w:p w14:paraId="7DAA5766">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1.7.4.1 交付期限：详见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020F98C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1.7.4.2 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A8FCD8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1.7.4.3 交付方式：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0D3CF05D">
      <w:pPr>
        <w:spacing w:line="560" w:lineRule="exact"/>
        <w:ind w:firstLine="482" w:firstLineChars="200"/>
        <w:outlineLvl w:val="0"/>
        <w:rPr>
          <w:rFonts w:hint="eastAsia" w:ascii="仿宋" w:hAnsi="仿宋" w:eastAsia="仿宋" w:cs="仿宋"/>
          <w:sz w:val="24"/>
          <w:highlight w:val="none"/>
          <w:u w:val="single"/>
        </w:rPr>
      </w:pPr>
      <w:r>
        <w:rPr>
          <w:rFonts w:hint="eastAsia" w:ascii="仿宋" w:hAnsi="仿宋" w:eastAsia="仿宋" w:cs="仿宋"/>
          <w:b/>
          <w:sz w:val="24"/>
          <w:highlight w:val="none"/>
        </w:rPr>
        <w:t>1.8违约责任</w:t>
      </w:r>
      <w:bookmarkEnd w:id="95"/>
      <w:bookmarkEnd w:id="96"/>
      <w:bookmarkEnd w:id="97"/>
      <w:bookmarkEnd w:id="98"/>
      <w:bookmarkEnd w:id="99"/>
    </w:p>
    <w:p w14:paraId="24D8D29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highlight w:val="none"/>
          <w:u w:val="single"/>
        </w:rPr>
        <w:t xml:space="preserve">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4A463230">
      <w:pPr>
        <w:pStyle w:val="3"/>
        <w:ind w:firstLine="480" w:firstLineChars="200"/>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highlight w:val="none"/>
          <w:u w:val="single"/>
          <w:lang w:val="en-US"/>
        </w:rPr>
        <w:t xml:space="preserve">  0.0</w:t>
      </w:r>
      <w:r>
        <w:rPr>
          <w:rFonts w:hint="eastAsia" w:ascii="仿宋" w:hAnsi="仿宋" w:eastAsia="仿宋" w:cs="仿宋"/>
          <w:b w:val="0"/>
          <w:bCs w:val="0"/>
          <w:sz w:val="24"/>
          <w:szCs w:val="24"/>
          <w:highlight w:val="none"/>
          <w:lang w:val="en-US"/>
        </w:rPr>
        <w:t xml:space="preserve">5（可根据情况修改） </w:t>
      </w:r>
      <w:r>
        <w:rPr>
          <w:rFonts w:hint="eastAsia" w:ascii="仿宋" w:hAnsi="仿宋" w:eastAsia="仿宋" w:cs="仿宋"/>
          <w:b w:val="0"/>
          <w:bCs w:val="0"/>
          <w:sz w:val="24"/>
          <w:szCs w:val="24"/>
          <w:highlight w:val="none"/>
          <w:u w:val="single"/>
          <w:lang w:val="en-US"/>
        </w:rPr>
        <w:t xml:space="preserve">  </w:t>
      </w:r>
      <w:r>
        <w:rPr>
          <w:rFonts w:hint="eastAsia" w:ascii="仿宋" w:hAnsi="仿宋" w:eastAsia="仿宋" w:cs="仿宋"/>
          <w:b w:val="0"/>
          <w:bCs w:val="0"/>
          <w:sz w:val="24"/>
          <w:szCs w:val="24"/>
          <w:highlight w:val="none"/>
          <w:lang w:val="en-US"/>
        </w:rPr>
        <w:t>%计算，最高限额为本合同总价的</w:t>
      </w:r>
      <w:r>
        <w:rPr>
          <w:rFonts w:hint="eastAsia" w:ascii="仿宋" w:hAnsi="仿宋" w:eastAsia="仿宋" w:cs="仿宋"/>
          <w:b w:val="0"/>
          <w:bCs w:val="0"/>
          <w:sz w:val="24"/>
          <w:szCs w:val="24"/>
          <w:highlight w:val="none"/>
          <w:u w:val="single"/>
          <w:lang w:val="en-US"/>
        </w:rPr>
        <w:t xml:space="preserve">  20  </w:t>
      </w:r>
      <w:r>
        <w:rPr>
          <w:rFonts w:hint="eastAsia" w:ascii="仿宋" w:hAnsi="仿宋" w:eastAsia="仿宋" w:cs="仿宋"/>
          <w:b w:val="0"/>
          <w:bCs w:val="0"/>
          <w:sz w:val="24"/>
          <w:szCs w:val="24"/>
          <w:highlight w:val="none"/>
          <w:lang w:val="en-US"/>
        </w:rPr>
        <w:t>%；迟延交付货物的违约金计算数额达到前述最高限额之日起，甲方有权在要求乙方支付违约金的同时，书面通知乙方解除本合同；</w:t>
      </w:r>
    </w:p>
    <w:p w14:paraId="286A374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w:t>
      </w:r>
      <w:r>
        <w:rPr>
          <w:rFonts w:hint="eastAsia" w:ascii="仿宋" w:hAnsi="仿宋" w:eastAsia="仿宋" w:cs="仿宋"/>
          <w:kern w:val="0"/>
          <w:sz w:val="24"/>
          <w:highlight w:val="none"/>
          <w:u w:val="single"/>
        </w:rPr>
        <w:t>（可根据情况修改）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2C4686A4">
      <w:pPr>
        <w:spacing w:line="560" w:lineRule="exact"/>
        <w:ind w:firstLine="480" w:firstLineChars="200"/>
        <w:rPr>
          <w:rFonts w:hint="eastAsia" w:ascii="仿宋" w:hAnsi="仿宋" w:eastAsia="仿宋" w:cs="仿宋"/>
          <w:sz w:val="24"/>
          <w:highlight w:val="none"/>
        </w:rPr>
      </w:pPr>
      <w:bookmarkStart w:id="100" w:name="_Toc26807"/>
      <w:bookmarkStart w:id="101" w:name="_Toc9497"/>
      <w:bookmarkStart w:id="102" w:name="_Toc30329"/>
      <w:bookmarkStart w:id="103" w:name="_Toc18683"/>
      <w:bookmarkStart w:id="104" w:name="_Toc32454"/>
      <w:r>
        <w:rPr>
          <w:rFonts w:hint="eastAsia" w:ascii="仿宋" w:hAnsi="仿宋" w:eastAsia="仿宋" w:cs="仿宋"/>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40B13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6BC8DB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D7A5F87">
      <w:pPr>
        <w:spacing w:line="560" w:lineRule="exact"/>
        <w:ind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1.8.7违约责任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bookmarkEnd w:id="100"/>
    <w:bookmarkEnd w:id="101"/>
    <w:bookmarkEnd w:id="102"/>
    <w:bookmarkEnd w:id="103"/>
    <w:bookmarkEnd w:id="104"/>
    <w:p w14:paraId="71A5D83A">
      <w:pPr>
        <w:spacing w:line="560" w:lineRule="exact"/>
        <w:ind w:firstLine="482" w:firstLineChars="200"/>
        <w:outlineLvl w:val="0"/>
        <w:rPr>
          <w:rFonts w:hint="eastAsia" w:ascii="仿宋" w:hAnsi="仿宋" w:eastAsia="仿宋" w:cs="仿宋"/>
          <w:b/>
          <w:sz w:val="24"/>
          <w:highlight w:val="none"/>
        </w:rPr>
      </w:pPr>
      <w:bookmarkStart w:id="105" w:name="_Toc15583"/>
      <w:bookmarkStart w:id="106" w:name="_Toc16021"/>
      <w:bookmarkStart w:id="107" w:name="_Toc28375"/>
      <w:r>
        <w:rPr>
          <w:rFonts w:hint="eastAsia" w:ascii="仿宋" w:hAnsi="仿宋" w:eastAsia="仿宋" w:cs="仿宋"/>
          <w:b/>
          <w:sz w:val="24"/>
          <w:highlight w:val="none"/>
        </w:rPr>
        <w:t>1.9合同争议的解决</w:t>
      </w:r>
      <w:bookmarkEnd w:id="105"/>
      <w:bookmarkEnd w:id="106"/>
      <w:bookmarkEnd w:id="107"/>
    </w:p>
    <w:p w14:paraId="33BB2C1C">
      <w:pPr>
        <w:spacing w:line="560" w:lineRule="exact"/>
        <w:ind w:left="-61" w:leftChars="-29" w:right="-420" w:rightChars="-200"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w:t>
      </w:r>
      <w:r>
        <w:rPr>
          <w:rFonts w:hint="eastAsia" w:ascii="仿宋" w:hAnsi="仿宋" w:eastAsia="仿宋" w:cs="仿宋"/>
          <w:sz w:val="24"/>
          <w:highlight w:val="none"/>
        </w:rPr>
        <w:t>条款规定的方式解决：</w:t>
      </w:r>
    </w:p>
    <w:p w14:paraId="69A6C6BF">
      <w:pPr>
        <w:spacing w:line="560" w:lineRule="exact"/>
        <w:ind w:left="-420" w:leftChars="-200" w:right="-420" w:rightChars="-200" w:firstLine="600" w:firstLineChars="250"/>
        <w:rPr>
          <w:rFonts w:hint="eastAsia"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14:paraId="1934BAE1">
      <w:pPr>
        <w:spacing w:line="560" w:lineRule="exact"/>
        <w:ind w:left="-420" w:leftChars="-200" w:right="-420" w:rightChars="-200" w:firstLine="600" w:firstLineChars="250"/>
        <w:rPr>
          <w:rFonts w:hint="eastAsia"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14:paraId="0C0070F3">
      <w:pPr>
        <w:spacing w:line="560" w:lineRule="exact"/>
        <w:ind w:firstLine="482" w:firstLineChars="200"/>
        <w:outlineLvl w:val="0"/>
        <w:rPr>
          <w:rFonts w:hint="eastAsia" w:ascii="仿宋" w:hAnsi="仿宋" w:eastAsia="仿宋" w:cs="仿宋"/>
          <w:b/>
          <w:sz w:val="24"/>
          <w:highlight w:val="none"/>
        </w:rPr>
      </w:pPr>
      <w:bookmarkStart w:id="108" w:name="_Toc7245"/>
      <w:bookmarkStart w:id="109" w:name="_Toc15322"/>
      <w:bookmarkStart w:id="110" w:name="_Toc11173"/>
      <w:r>
        <w:rPr>
          <w:rFonts w:hint="eastAsia" w:ascii="仿宋" w:hAnsi="仿宋" w:eastAsia="仿宋" w:cs="仿宋"/>
          <w:b/>
          <w:sz w:val="24"/>
          <w:highlight w:val="none"/>
        </w:rPr>
        <w:t>2.0 合同生效</w:t>
      </w:r>
      <w:bookmarkEnd w:id="108"/>
      <w:bookmarkEnd w:id="109"/>
      <w:bookmarkEnd w:id="110"/>
    </w:p>
    <w:p w14:paraId="72A2FF9F">
      <w:pPr>
        <w:spacing w:line="56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本合同自双方当事人盖章签字时生效。</w:t>
      </w:r>
    </w:p>
    <w:p w14:paraId="0C8554F6">
      <w:pPr>
        <w:autoSpaceDE w:val="0"/>
        <w:autoSpaceDN w:val="0"/>
        <w:spacing w:line="560" w:lineRule="exact"/>
        <w:rPr>
          <w:rFonts w:hint="eastAsia" w:ascii="仿宋" w:hAnsi="仿宋" w:eastAsia="仿宋" w:cs="仿宋"/>
          <w:sz w:val="24"/>
          <w:highlight w:val="none"/>
          <w:lang w:val="zh-CN"/>
        </w:rPr>
      </w:pPr>
    </w:p>
    <w:p w14:paraId="43F4364F">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07B63C46">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28ADD454">
      <w:pPr>
        <w:autoSpaceDE w:val="0"/>
        <w:autoSpaceDN w:val="0"/>
        <w:spacing w:line="560" w:lineRule="exact"/>
        <w:rPr>
          <w:rFonts w:hint="eastAsia" w:ascii="仿宋" w:hAnsi="仿宋" w:eastAsia="仿宋" w:cs="仿宋"/>
          <w:sz w:val="24"/>
          <w:highlight w:val="none"/>
          <w:lang w:val="zh-CN"/>
        </w:rPr>
      </w:pPr>
    </w:p>
    <w:p w14:paraId="69001566">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14:paraId="3DB9501E">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法定代表人或</w:t>
      </w:r>
    </w:p>
    <w:p w14:paraId="7FDE3975">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授权代表（签字）: </w:t>
      </w:r>
    </w:p>
    <w:p w14:paraId="550120FC">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4BDF06DB">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7117A288">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593387EF">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1D66C51E">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14:paraId="51618AF2">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14:paraId="26807978">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56B9BF8B">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14:paraId="50DC537C">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14:paraId="33A6A942">
      <w:pPr>
        <w:widowControl/>
        <w:spacing w:line="560" w:lineRule="exact"/>
        <w:jc w:val="left"/>
        <w:rPr>
          <w:rFonts w:hint="eastAsia" w:ascii="仿宋" w:hAnsi="仿宋" w:eastAsia="仿宋" w:cs="仿宋"/>
          <w:b/>
          <w:sz w:val="24"/>
          <w:highlight w:val="none"/>
        </w:rPr>
      </w:pPr>
    </w:p>
    <w:p w14:paraId="01A2DBB2">
      <w:pPr>
        <w:widowControl/>
        <w:adjustRightInd/>
        <w:jc w:val="left"/>
        <w:rPr>
          <w:rFonts w:hint="eastAsia" w:ascii="仿宋" w:hAnsi="仿宋" w:eastAsia="仿宋" w:cs="仿宋"/>
          <w:b/>
          <w:sz w:val="24"/>
          <w:highlight w:val="none"/>
        </w:rPr>
      </w:pPr>
      <w:r>
        <w:rPr>
          <w:rFonts w:hint="eastAsia" w:ascii="仿宋" w:hAnsi="仿宋" w:eastAsia="仿宋" w:cs="仿宋"/>
          <w:b/>
          <w:highlight w:val="none"/>
        </w:rPr>
        <w:br w:type="page"/>
      </w:r>
    </w:p>
    <w:p w14:paraId="0FBE0D57">
      <w:pPr>
        <w:pStyle w:val="72"/>
        <w:spacing w:line="560" w:lineRule="exact"/>
        <w:ind w:firstLine="482"/>
        <w:jc w:val="center"/>
        <w:rPr>
          <w:rFonts w:hint="eastAsia" w:ascii="仿宋" w:hAnsi="仿宋" w:eastAsia="仿宋" w:cs="仿宋"/>
          <w:b/>
          <w:szCs w:val="24"/>
          <w:highlight w:val="none"/>
        </w:rPr>
      </w:pPr>
      <w:r>
        <w:rPr>
          <w:rFonts w:hint="eastAsia" w:ascii="仿宋" w:hAnsi="仿宋" w:eastAsia="仿宋" w:cs="仿宋"/>
          <w:b/>
          <w:szCs w:val="24"/>
          <w:highlight w:val="none"/>
        </w:rPr>
        <w:t>第二部分 合同一般条款</w:t>
      </w:r>
    </w:p>
    <w:p w14:paraId="5F8A1556">
      <w:pPr>
        <w:spacing w:line="560" w:lineRule="exact"/>
        <w:ind w:firstLine="482" w:firstLineChars="200"/>
        <w:outlineLvl w:val="0"/>
        <w:rPr>
          <w:rFonts w:hint="eastAsia" w:ascii="仿宋" w:hAnsi="仿宋" w:eastAsia="仿宋" w:cs="仿宋"/>
          <w:b/>
          <w:sz w:val="24"/>
          <w:highlight w:val="none"/>
        </w:rPr>
      </w:pPr>
      <w:bookmarkStart w:id="111" w:name="_Toc14021"/>
      <w:bookmarkStart w:id="112" w:name="_Toc5228"/>
      <w:bookmarkStart w:id="113" w:name="_Toc25079"/>
      <w:bookmarkStart w:id="114" w:name="_Toc19680"/>
      <w:bookmarkStart w:id="115" w:name="_Toc31297"/>
      <w:r>
        <w:rPr>
          <w:rFonts w:hint="eastAsia" w:ascii="仿宋" w:hAnsi="仿宋" w:eastAsia="仿宋" w:cs="仿宋"/>
          <w:b/>
          <w:sz w:val="24"/>
          <w:highlight w:val="none"/>
        </w:rPr>
        <w:t>2.1 定义</w:t>
      </w:r>
      <w:bookmarkEnd w:id="111"/>
      <w:bookmarkEnd w:id="112"/>
      <w:bookmarkEnd w:id="113"/>
      <w:bookmarkEnd w:id="114"/>
      <w:bookmarkEnd w:id="115"/>
    </w:p>
    <w:p w14:paraId="750B316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6311CAA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“合同”系指采购人和中标或成交供应商签订的载明双方当事人所达成的协议，并包括所有的附件、附录和构成合同的其他文件。</w:t>
      </w:r>
    </w:p>
    <w:p w14:paraId="7F6941F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“合同价”系指根据合同约定，中标或成交供应商在完全履行合同义务后，采购人应支付给中标或成交供应商的价格。</w:t>
      </w:r>
    </w:p>
    <w:p w14:paraId="5E8682A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“服务”系指中标或成交供应商根据合同约定应向采购人履行的除货物和工程以外的其他政府采购对象，包括采购人自身需要的服务和向社会公众提供的公共服务。</w:t>
      </w:r>
    </w:p>
    <w:p w14:paraId="0C9B247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 “甲方”系指与中标或成交供应商签署合同的采购人；采购人委托采购代理机构代表其与乙方签订合同的，采购人的授权委托书作为合同附件。</w:t>
      </w:r>
    </w:p>
    <w:p w14:paraId="44007C7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98DD36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2DDA6757">
      <w:pPr>
        <w:spacing w:line="560" w:lineRule="exact"/>
        <w:ind w:firstLine="482" w:firstLineChars="200"/>
        <w:outlineLvl w:val="0"/>
        <w:rPr>
          <w:rFonts w:hint="eastAsia" w:ascii="仿宋" w:hAnsi="仿宋" w:eastAsia="仿宋" w:cs="仿宋"/>
          <w:b/>
          <w:sz w:val="24"/>
          <w:highlight w:val="none"/>
        </w:rPr>
      </w:pPr>
      <w:bookmarkStart w:id="116" w:name="_Toc31402"/>
      <w:bookmarkStart w:id="117" w:name="_Toc23289"/>
      <w:bookmarkStart w:id="118" w:name="_Toc19539"/>
      <w:bookmarkStart w:id="119" w:name="_Toc16752"/>
      <w:bookmarkStart w:id="120" w:name="_Toc3769"/>
      <w:r>
        <w:rPr>
          <w:rFonts w:hint="eastAsia" w:ascii="仿宋" w:hAnsi="仿宋" w:eastAsia="仿宋" w:cs="仿宋"/>
          <w:b/>
          <w:sz w:val="24"/>
          <w:highlight w:val="none"/>
        </w:rPr>
        <w:t>2.2 技术规范</w:t>
      </w:r>
      <w:bookmarkEnd w:id="116"/>
      <w:bookmarkEnd w:id="117"/>
      <w:bookmarkEnd w:id="118"/>
      <w:bookmarkEnd w:id="119"/>
      <w:bookmarkEnd w:id="120"/>
    </w:p>
    <w:p w14:paraId="207BA88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6883A47">
      <w:pPr>
        <w:spacing w:line="560" w:lineRule="exact"/>
        <w:ind w:firstLine="482" w:firstLineChars="200"/>
        <w:outlineLvl w:val="0"/>
        <w:rPr>
          <w:rFonts w:hint="eastAsia" w:ascii="仿宋" w:hAnsi="仿宋" w:eastAsia="仿宋" w:cs="仿宋"/>
          <w:b/>
          <w:sz w:val="24"/>
          <w:highlight w:val="none"/>
        </w:rPr>
      </w:pPr>
      <w:bookmarkStart w:id="121" w:name="_Toc13673"/>
      <w:bookmarkStart w:id="122" w:name="_Toc12412"/>
      <w:bookmarkStart w:id="123" w:name="_Toc27945"/>
      <w:bookmarkStart w:id="124" w:name="_Toc4133"/>
      <w:bookmarkStart w:id="125" w:name="_Toc9161"/>
      <w:r>
        <w:rPr>
          <w:rFonts w:hint="eastAsia" w:ascii="仿宋" w:hAnsi="仿宋" w:eastAsia="仿宋" w:cs="仿宋"/>
          <w:b/>
          <w:sz w:val="24"/>
          <w:highlight w:val="none"/>
        </w:rPr>
        <w:t>2.3 知识产权</w:t>
      </w:r>
      <w:bookmarkEnd w:id="121"/>
      <w:bookmarkEnd w:id="122"/>
      <w:bookmarkEnd w:id="123"/>
      <w:bookmarkEnd w:id="124"/>
      <w:bookmarkEnd w:id="125"/>
    </w:p>
    <w:p w14:paraId="396F623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1A889D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992A1D3">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 履约检查和问题反馈</w:t>
      </w:r>
    </w:p>
    <w:p w14:paraId="6C01DD3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D160ED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0302390B">
      <w:pPr>
        <w:spacing w:line="560" w:lineRule="exact"/>
        <w:ind w:firstLine="482" w:firstLineChars="200"/>
        <w:outlineLvl w:val="0"/>
        <w:rPr>
          <w:rFonts w:hint="eastAsia" w:ascii="仿宋" w:hAnsi="仿宋" w:eastAsia="仿宋" w:cs="仿宋"/>
          <w:b/>
          <w:sz w:val="24"/>
          <w:highlight w:val="none"/>
        </w:rPr>
      </w:pPr>
      <w:bookmarkStart w:id="126" w:name="_Toc31233"/>
      <w:bookmarkStart w:id="127" w:name="_Toc15447"/>
      <w:bookmarkStart w:id="128" w:name="_Toc26555"/>
      <w:bookmarkStart w:id="129" w:name="_Toc32670"/>
      <w:bookmarkStart w:id="130" w:name="_Toc22011"/>
      <w:r>
        <w:rPr>
          <w:rFonts w:hint="eastAsia" w:ascii="仿宋" w:hAnsi="仿宋" w:eastAsia="仿宋" w:cs="仿宋"/>
          <w:b/>
          <w:sz w:val="24"/>
          <w:highlight w:val="none"/>
        </w:rPr>
        <w:t>2.5 结算方式和付款条件</w:t>
      </w:r>
      <w:bookmarkEnd w:id="126"/>
      <w:bookmarkEnd w:id="127"/>
      <w:bookmarkEnd w:id="128"/>
      <w:bookmarkEnd w:id="129"/>
      <w:bookmarkEnd w:id="130"/>
    </w:p>
    <w:p w14:paraId="774FEA7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39125F44">
      <w:pPr>
        <w:spacing w:line="560" w:lineRule="exact"/>
        <w:ind w:firstLine="482" w:firstLineChars="200"/>
        <w:outlineLvl w:val="0"/>
        <w:rPr>
          <w:rFonts w:hint="eastAsia" w:ascii="仿宋" w:hAnsi="仿宋" w:eastAsia="仿宋" w:cs="仿宋"/>
          <w:b/>
          <w:sz w:val="24"/>
          <w:highlight w:val="none"/>
        </w:rPr>
      </w:pPr>
      <w:bookmarkStart w:id="131" w:name="_Toc30507"/>
      <w:bookmarkStart w:id="132" w:name="_Toc18990"/>
      <w:bookmarkStart w:id="133" w:name="_Toc16163"/>
      <w:bookmarkStart w:id="134" w:name="_Toc13154"/>
      <w:bookmarkStart w:id="135" w:name="_Toc13467"/>
      <w:r>
        <w:rPr>
          <w:rFonts w:hint="eastAsia" w:ascii="仿宋" w:hAnsi="仿宋" w:eastAsia="仿宋" w:cs="仿宋"/>
          <w:b/>
          <w:sz w:val="24"/>
          <w:highlight w:val="none"/>
        </w:rPr>
        <w:t>2.6 技术资料和保密义务</w:t>
      </w:r>
      <w:bookmarkEnd w:id="131"/>
      <w:bookmarkEnd w:id="132"/>
      <w:bookmarkEnd w:id="133"/>
      <w:bookmarkEnd w:id="134"/>
      <w:bookmarkEnd w:id="135"/>
    </w:p>
    <w:p w14:paraId="786D58F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463A834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3E9D013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F1FB635">
      <w:pPr>
        <w:spacing w:line="560" w:lineRule="exact"/>
        <w:ind w:firstLine="482" w:firstLineChars="200"/>
        <w:outlineLvl w:val="0"/>
        <w:rPr>
          <w:rFonts w:hint="eastAsia" w:ascii="仿宋" w:hAnsi="仿宋" w:eastAsia="仿宋" w:cs="仿宋"/>
          <w:b/>
          <w:sz w:val="24"/>
          <w:highlight w:val="none"/>
        </w:rPr>
      </w:pPr>
      <w:bookmarkStart w:id="136" w:name="_Toc19069"/>
      <w:r>
        <w:rPr>
          <w:rFonts w:hint="eastAsia" w:ascii="仿宋" w:hAnsi="仿宋" w:eastAsia="仿宋" w:cs="仿宋"/>
          <w:b/>
          <w:sz w:val="24"/>
          <w:highlight w:val="none"/>
        </w:rPr>
        <w:t>2.7 质量保证</w:t>
      </w:r>
      <w:bookmarkEnd w:id="136"/>
    </w:p>
    <w:p w14:paraId="4D21ADD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62770F4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66444BB7">
      <w:pPr>
        <w:spacing w:line="560" w:lineRule="exact"/>
        <w:ind w:firstLine="482" w:firstLineChars="200"/>
        <w:outlineLvl w:val="0"/>
        <w:rPr>
          <w:rFonts w:hint="eastAsia" w:ascii="仿宋" w:hAnsi="仿宋" w:eastAsia="仿宋" w:cs="仿宋"/>
          <w:b/>
          <w:sz w:val="24"/>
          <w:highlight w:val="none"/>
        </w:rPr>
      </w:pPr>
      <w:bookmarkStart w:id="137" w:name="_Toc22267"/>
      <w:r>
        <w:rPr>
          <w:rFonts w:hint="eastAsia" w:ascii="仿宋" w:hAnsi="仿宋" w:eastAsia="仿宋" w:cs="仿宋"/>
          <w:b/>
          <w:sz w:val="24"/>
          <w:highlight w:val="none"/>
        </w:rPr>
        <w:t>2.8 延迟履行</w:t>
      </w:r>
      <w:bookmarkEnd w:id="137"/>
    </w:p>
    <w:p w14:paraId="7401103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2D2E8F1">
      <w:pPr>
        <w:spacing w:line="560" w:lineRule="exact"/>
        <w:ind w:firstLine="482" w:firstLineChars="200"/>
        <w:outlineLvl w:val="0"/>
        <w:rPr>
          <w:rFonts w:hint="eastAsia" w:ascii="仿宋" w:hAnsi="仿宋" w:eastAsia="仿宋" w:cs="仿宋"/>
          <w:b/>
          <w:sz w:val="24"/>
          <w:highlight w:val="none"/>
        </w:rPr>
      </w:pPr>
      <w:bookmarkStart w:id="138" w:name="_Toc10611"/>
      <w:r>
        <w:rPr>
          <w:rFonts w:hint="eastAsia" w:ascii="仿宋" w:hAnsi="仿宋" w:eastAsia="仿宋" w:cs="仿宋"/>
          <w:b/>
          <w:sz w:val="24"/>
          <w:highlight w:val="none"/>
        </w:rPr>
        <w:t>2.9 合同变更</w:t>
      </w:r>
      <w:bookmarkEnd w:id="138"/>
    </w:p>
    <w:p w14:paraId="17D3AAE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14:paraId="6C99CC83">
      <w:pPr>
        <w:spacing w:line="560" w:lineRule="exact"/>
        <w:ind w:firstLine="482" w:firstLineChars="200"/>
        <w:outlineLvl w:val="0"/>
        <w:rPr>
          <w:rFonts w:hint="eastAsia" w:ascii="仿宋" w:hAnsi="仿宋" w:eastAsia="仿宋" w:cs="仿宋"/>
          <w:b/>
          <w:sz w:val="24"/>
          <w:highlight w:val="none"/>
        </w:rPr>
      </w:pPr>
      <w:bookmarkStart w:id="139" w:name="_Toc23368"/>
      <w:bookmarkStart w:id="140" w:name="_Toc21830"/>
      <w:bookmarkStart w:id="141" w:name="_Toc26689"/>
      <w:bookmarkStart w:id="142" w:name="_Toc42"/>
      <w:bookmarkStart w:id="143" w:name="_Toc10663"/>
      <w:r>
        <w:rPr>
          <w:rFonts w:hint="eastAsia" w:ascii="仿宋" w:hAnsi="仿宋" w:eastAsia="仿宋" w:cs="仿宋"/>
          <w:b/>
          <w:sz w:val="24"/>
          <w:highlight w:val="none"/>
        </w:rPr>
        <w:t>2.10 合同转让和分包</w:t>
      </w:r>
      <w:bookmarkEnd w:id="139"/>
      <w:bookmarkEnd w:id="140"/>
      <w:bookmarkEnd w:id="141"/>
      <w:bookmarkEnd w:id="142"/>
      <w:bookmarkEnd w:id="143"/>
    </w:p>
    <w:p w14:paraId="24F6C76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8080CAE">
      <w:pPr>
        <w:spacing w:line="560" w:lineRule="exact"/>
        <w:ind w:firstLine="482" w:firstLineChars="200"/>
        <w:outlineLvl w:val="0"/>
        <w:rPr>
          <w:rFonts w:hint="eastAsia" w:ascii="仿宋" w:hAnsi="仿宋" w:eastAsia="仿宋" w:cs="仿宋"/>
          <w:b/>
          <w:sz w:val="24"/>
          <w:highlight w:val="none"/>
        </w:rPr>
      </w:pPr>
      <w:bookmarkStart w:id="144" w:name="_Toc4720"/>
      <w:bookmarkStart w:id="145" w:name="_Toc26633"/>
      <w:bookmarkStart w:id="146" w:name="_Toc14371"/>
      <w:bookmarkStart w:id="147" w:name="_Toc25571"/>
      <w:bookmarkStart w:id="148" w:name="_Toc32494"/>
      <w:r>
        <w:rPr>
          <w:rFonts w:hint="eastAsia" w:ascii="仿宋" w:hAnsi="仿宋" w:eastAsia="仿宋" w:cs="仿宋"/>
          <w:b/>
          <w:sz w:val="24"/>
          <w:highlight w:val="none"/>
        </w:rPr>
        <w:t>2.11 不可抗力</w:t>
      </w:r>
      <w:bookmarkEnd w:id="144"/>
      <w:bookmarkEnd w:id="145"/>
      <w:bookmarkEnd w:id="146"/>
      <w:bookmarkEnd w:id="147"/>
      <w:bookmarkEnd w:id="148"/>
    </w:p>
    <w:p w14:paraId="79863E7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0D87936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5FA2DA8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3593950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6CB468A1">
      <w:pPr>
        <w:spacing w:line="560" w:lineRule="exact"/>
        <w:ind w:firstLine="482" w:firstLineChars="200"/>
        <w:outlineLvl w:val="0"/>
        <w:rPr>
          <w:rFonts w:hint="eastAsia" w:ascii="仿宋" w:hAnsi="仿宋" w:eastAsia="仿宋" w:cs="仿宋"/>
          <w:b/>
          <w:sz w:val="24"/>
          <w:highlight w:val="none"/>
        </w:rPr>
      </w:pPr>
      <w:bookmarkStart w:id="149" w:name="_Toc25783"/>
      <w:bookmarkStart w:id="150" w:name="_Toc3638"/>
      <w:bookmarkStart w:id="151" w:name="_Toc14115"/>
      <w:bookmarkStart w:id="152" w:name="_Toc23854"/>
      <w:bookmarkStart w:id="153" w:name="_Toc24465"/>
      <w:r>
        <w:rPr>
          <w:rFonts w:hint="eastAsia" w:ascii="仿宋" w:hAnsi="仿宋" w:eastAsia="仿宋" w:cs="仿宋"/>
          <w:b/>
          <w:sz w:val="24"/>
          <w:highlight w:val="none"/>
        </w:rPr>
        <w:t>2.12 税费</w:t>
      </w:r>
      <w:bookmarkEnd w:id="149"/>
      <w:bookmarkEnd w:id="150"/>
      <w:bookmarkEnd w:id="151"/>
      <w:bookmarkEnd w:id="152"/>
      <w:bookmarkEnd w:id="153"/>
    </w:p>
    <w:p w14:paraId="7507923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799B9020">
      <w:pPr>
        <w:spacing w:line="560" w:lineRule="exact"/>
        <w:ind w:firstLine="482" w:firstLineChars="200"/>
        <w:outlineLvl w:val="0"/>
        <w:rPr>
          <w:rFonts w:hint="eastAsia" w:ascii="仿宋" w:hAnsi="仿宋" w:eastAsia="仿宋" w:cs="仿宋"/>
          <w:b/>
          <w:sz w:val="24"/>
          <w:highlight w:val="none"/>
        </w:rPr>
      </w:pPr>
      <w:bookmarkStart w:id="154" w:name="_Toc7315"/>
      <w:bookmarkStart w:id="155" w:name="_Toc25525"/>
      <w:bookmarkStart w:id="156" w:name="_Toc14814"/>
      <w:bookmarkStart w:id="157" w:name="_Toc30105"/>
      <w:bookmarkStart w:id="158" w:name="_Toc26883"/>
      <w:r>
        <w:rPr>
          <w:rFonts w:hint="eastAsia" w:ascii="仿宋" w:hAnsi="仿宋" w:eastAsia="仿宋" w:cs="仿宋"/>
          <w:b/>
          <w:sz w:val="24"/>
          <w:highlight w:val="none"/>
        </w:rPr>
        <w:t>2.13 乙方破产</w:t>
      </w:r>
      <w:bookmarkEnd w:id="154"/>
      <w:bookmarkEnd w:id="155"/>
      <w:bookmarkEnd w:id="156"/>
      <w:bookmarkEnd w:id="157"/>
      <w:bookmarkEnd w:id="158"/>
    </w:p>
    <w:p w14:paraId="4001020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2B412D">
      <w:pPr>
        <w:spacing w:line="560" w:lineRule="exact"/>
        <w:ind w:firstLine="482" w:firstLineChars="200"/>
        <w:outlineLvl w:val="0"/>
        <w:rPr>
          <w:rFonts w:hint="eastAsia" w:ascii="仿宋" w:hAnsi="仿宋" w:eastAsia="仿宋" w:cs="仿宋"/>
          <w:b/>
          <w:sz w:val="24"/>
          <w:highlight w:val="none"/>
        </w:rPr>
      </w:pPr>
      <w:bookmarkStart w:id="159" w:name="_Toc23323"/>
      <w:bookmarkStart w:id="160" w:name="_Toc1123"/>
      <w:bookmarkStart w:id="161" w:name="_Toc2016"/>
      <w:r>
        <w:rPr>
          <w:rFonts w:hint="eastAsia" w:ascii="仿宋" w:hAnsi="仿宋" w:eastAsia="仿宋" w:cs="仿宋"/>
          <w:b/>
          <w:sz w:val="24"/>
          <w:highlight w:val="none"/>
        </w:rPr>
        <w:t>2.14 合同中止、终止</w:t>
      </w:r>
      <w:bookmarkEnd w:id="159"/>
      <w:bookmarkEnd w:id="160"/>
      <w:bookmarkEnd w:id="161"/>
    </w:p>
    <w:p w14:paraId="6C67723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6F2B676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789A708A">
      <w:pPr>
        <w:spacing w:line="560" w:lineRule="exact"/>
        <w:ind w:firstLine="482" w:firstLineChars="200"/>
        <w:outlineLvl w:val="0"/>
        <w:rPr>
          <w:rFonts w:hint="eastAsia" w:ascii="仿宋" w:hAnsi="仿宋" w:eastAsia="仿宋" w:cs="仿宋"/>
          <w:b/>
          <w:sz w:val="24"/>
          <w:highlight w:val="none"/>
        </w:rPr>
      </w:pPr>
      <w:bookmarkStart w:id="162" w:name="_Toc17363"/>
      <w:bookmarkStart w:id="163" w:name="_Toc1969"/>
      <w:bookmarkStart w:id="164" w:name="_Toc14525"/>
      <w:r>
        <w:rPr>
          <w:rFonts w:hint="eastAsia" w:ascii="仿宋" w:hAnsi="仿宋" w:eastAsia="仿宋" w:cs="仿宋"/>
          <w:b/>
          <w:sz w:val="24"/>
          <w:highlight w:val="none"/>
        </w:rPr>
        <w:t>2.15 检验和验收</w:t>
      </w:r>
      <w:bookmarkEnd w:id="162"/>
      <w:bookmarkEnd w:id="163"/>
      <w:bookmarkEnd w:id="164"/>
    </w:p>
    <w:p w14:paraId="38BC7442">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76EA3A37">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CCD628B">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1EA9671D">
      <w:pPr>
        <w:spacing w:line="560" w:lineRule="exact"/>
        <w:ind w:firstLine="482" w:firstLineChars="200"/>
        <w:outlineLvl w:val="0"/>
        <w:rPr>
          <w:rFonts w:hint="eastAsia" w:ascii="仿宋" w:hAnsi="仿宋" w:eastAsia="仿宋" w:cs="仿宋"/>
          <w:b/>
          <w:sz w:val="24"/>
          <w:highlight w:val="none"/>
        </w:rPr>
      </w:pPr>
      <w:bookmarkStart w:id="165" w:name="_Toc2308"/>
      <w:bookmarkStart w:id="166" w:name="_Toc25198"/>
      <w:bookmarkStart w:id="167" w:name="_Toc9808"/>
      <w:bookmarkStart w:id="168" w:name="_Toc31892"/>
      <w:bookmarkStart w:id="169" w:name="_Toc12666"/>
      <w:r>
        <w:rPr>
          <w:rFonts w:hint="eastAsia" w:ascii="仿宋" w:hAnsi="仿宋" w:eastAsia="仿宋" w:cs="仿宋"/>
          <w:b/>
          <w:sz w:val="24"/>
          <w:highlight w:val="none"/>
        </w:rPr>
        <w:t>2.16 通知和送达</w:t>
      </w:r>
      <w:bookmarkEnd w:id="165"/>
      <w:bookmarkEnd w:id="166"/>
      <w:bookmarkEnd w:id="167"/>
      <w:bookmarkEnd w:id="168"/>
      <w:bookmarkEnd w:id="169"/>
    </w:p>
    <w:p w14:paraId="46674A57">
      <w:pPr>
        <w:spacing w:line="560" w:lineRule="exact"/>
        <w:ind w:firstLine="480" w:firstLineChars="200"/>
        <w:rPr>
          <w:rFonts w:hint="eastAsia" w:ascii="仿宋" w:hAnsi="仿宋" w:eastAsia="仿宋" w:cs="仿宋"/>
          <w:sz w:val="24"/>
          <w:highlight w:val="none"/>
        </w:rPr>
      </w:pPr>
      <w:bookmarkStart w:id="170" w:name="_Toc27674"/>
      <w:bookmarkStart w:id="171" w:name="_Toc18401"/>
      <w:r>
        <w:rPr>
          <w:rFonts w:hint="eastAsia" w:ascii="仿宋" w:hAnsi="仿宋" w:eastAsia="仿宋" w:cs="仿宋"/>
          <w:sz w:val="24"/>
          <w:highlight w:val="none"/>
        </w:rPr>
        <w:t xml:space="preserve">2.17.1任何一方因履行合同而以合同第一部分尾部所列明的传真或电子邮件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74E818F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14:paraId="7E08527F">
      <w:pPr>
        <w:spacing w:line="560" w:lineRule="exact"/>
        <w:ind w:firstLine="482" w:firstLineChars="200"/>
        <w:outlineLvl w:val="0"/>
        <w:rPr>
          <w:rFonts w:hint="eastAsia" w:ascii="仿宋" w:hAnsi="仿宋" w:eastAsia="仿宋" w:cs="仿宋"/>
          <w:b/>
          <w:sz w:val="24"/>
          <w:highlight w:val="none"/>
        </w:rPr>
      </w:pPr>
      <w:bookmarkStart w:id="172" w:name="_Toc28906"/>
      <w:bookmarkStart w:id="173" w:name="_Toc20808"/>
      <w:bookmarkStart w:id="174" w:name="_Toc5063"/>
      <w:bookmarkStart w:id="175" w:name="_Toc27644"/>
      <w:bookmarkStart w:id="176" w:name="_Toc12254"/>
      <w:r>
        <w:rPr>
          <w:rFonts w:hint="eastAsia" w:ascii="仿宋" w:hAnsi="仿宋" w:eastAsia="仿宋" w:cs="仿宋"/>
          <w:b/>
          <w:sz w:val="24"/>
          <w:highlight w:val="none"/>
        </w:rPr>
        <w:t>2.17 合同使用的文字和适用的法律</w:t>
      </w:r>
      <w:bookmarkEnd w:id="172"/>
      <w:bookmarkEnd w:id="173"/>
      <w:bookmarkEnd w:id="174"/>
      <w:bookmarkEnd w:id="175"/>
      <w:bookmarkEnd w:id="176"/>
    </w:p>
    <w:p w14:paraId="56525C0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2.17.1 合同使用汉语书就、变更和解释；</w:t>
      </w:r>
    </w:p>
    <w:p w14:paraId="6795548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 合同适用中华人民共和国法律。</w:t>
      </w:r>
    </w:p>
    <w:p w14:paraId="14094C74">
      <w:pPr>
        <w:spacing w:line="560" w:lineRule="exact"/>
        <w:ind w:firstLine="482" w:firstLineChars="200"/>
        <w:outlineLvl w:val="0"/>
        <w:rPr>
          <w:rFonts w:hint="eastAsia" w:ascii="仿宋" w:hAnsi="仿宋" w:eastAsia="仿宋" w:cs="仿宋"/>
          <w:b/>
          <w:sz w:val="24"/>
          <w:highlight w:val="none"/>
        </w:rPr>
      </w:pPr>
      <w:bookmarkStart w:id="177" w:name="_Toc4355"/>
      <w:bookmarkStart w:id="178" w:name="_Toc18540"/>
      <w:bookmarkStart w:id="179" w:name="_Toc30599"/>
      <w:r>
        <w:rPr>
          <w:rFonts w:hint="eastAsia" w:ascii="仿宋" w:hAnsi="仿宋" w:eastAsia="仿宋" w:cs="仿宋"/>
          <w:b/>
          <w:sz w:val="24"/>
          <w:highlight w:val="none"/>
        </w:rPr>
        <w:t>2.18 计量单位</w:t>
      </w:r>
      <w:bookmarkEnd w:id="177"/>
      <w:bookmarkEnd w:id="178"/>
      <w:bookmarkEnd w:id="179"/>
    </w:p>
    <w:p w14:paraId="7CDAE29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14:paraId="10D50F59">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2.19合同份数</w:t>
      </w:r>
    </w:p>
    <w:p w14:paraId="67E0B02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603A5FD9">
      <w:pPr>
        <w:spacing w:line="360" w:lineRule="auto"/>
        <w:jc w:val="center"/>
        <w:outlineLvl w:val="0"/>
        <w:rPr>
          <w:rFonts w:hint="eastAsia" w:ascii="仿宋" w:hAnsi="仿宋" w:eastAsia="仿宋" w:cs="仿宋"/>
          <w:b/>
          <w:sz w:val="24"/>
          <w:highlight w:val="none"/>
        </w:rPr>
      </w:pPr>
      <w:r>
        <w:rPr>
          <w:rFonts w:hint="eastAsia" w:ascii="仿宋" w:hAnsi="仿宋" w:eastAsia="仿宋" w:cs="仿宋"/>
          <w:kern w:val="0"/>
          <w:highlight w:val="none"/>
        </w:rPr>
        <w:br w:type="page"/>
      </w:r>
      <w:bookmarkStart w:id="180" w:name="_Toc331685784"/>
      <w:r>
        <w:rPr>
          <w:rFonts w:hint="eastAsia" w:ascii="仿宋" w:hAnsi="仿宋" w:eastAsia="仿宋" w:cs="仿宋"/>
          <w:b/>
          <w:sz w:val="24"/>
          <w:highlight w:val="none"/>
        </w:rPr>
        <w:t xml:space="preserve"> </w:t>
      </w:r>
      <w:bookmarkEnd w:id="180"/>
      <w:r>
        <w:rPr>
          <w:rFonts w:hint="eastAsia" w:ascii="仿宋" w:hAnsi="仿宋" w:eastAsia="仿宋" w:cs="仿宋"/>
          <w:b/>
          <w:sz w:val="24"/>
          <w:highlight w:val="none"/>
        </w:rPr>
        <w:t>第三部分  合同专用条款</w:t>
      </w:r>
    </w:p>
    <w:p w14:paraId="5B82BD50">
      <w:pPr>
        <w:spacing w:line="560" w:lineRule="exact"/>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BE71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942485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8149" w:type="dxa"/>
            <w:vAlign w:val="center"/>
          </w:tcPr>
          <w:p w14:paraId="555D14A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14:paraId="6B981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2EAD079">
            <w:pPr>
              <w:spacing w:line="360" w:lineRule="auto"/>
              <w:rPr>
                <w:rFonts w:hint="eastAsia" w:ascii="仿宋" w:hAnsi="仿宋" w:eastAsia="仿宋" w:cs="仿宋"/>
                <w:sz w:val="24"/>
                <w:highlight w:val="none"/>
              </w:rPr>
            </w:pPr>
            <w:r>
              <w:rPr>
                <w:rFonts w:hint="eastAsia" w:ascii="仿宋" w:hAnsi="仿宋" w:eastAsia="仿宋" w:cs="仿宋"/>
                <w:sz w:val="24"/>
                <w:highlight w:val="none"/>
              </w:rPr>
              <w:t>1.2.1</w:t>
            </w:r>
          </w:p>
        </w:tc>
        <w:tc>
          <w:tcPr>
            <w:tcW w:w="8149" w:type="dxa"/>
            <w:vAlign w:val="center"/>
          </w:tcPr>
          <w:p w14:paraId="3A37A0D3">
            <w:pPr>
              <w:spacing w:line="360" w:lineRule="auto"/>
              <w:rPr>
                <w:rFonts w:hint="eastAsia" w:ascii="仿宋" w:hAnsi="仿宋" w:eastAsia="仿宋" w:cs="仿宋"/>
                <w:sz w:val="24"/>
                <w:highlight w:val="none"/>
              </w:rPr>
            </w:pPr>
          </w:p>
        </w:tc>
      </w:tr>
      <w:tr w14:paraId="05F73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AC69A1C">
            <w:pPr>
              <w:spacing w:line="360" w:lineRule="auto"/>
              <w:rPr>
                <w:rFonts w:hint="eastAsia" w:ascii="仿宋" w:hAnsi="仿宋" w:eastAsia="仿宋" w:cs="仿宋"/>
                <w:sz w:val="24"/>
                <w:highlight w:val="none"/>
              </w:rPr>
            </w:pPr>
            <w:r>
              <w:rPr>
                <w:rFonts w:hint="eastAsia" w:ascii="仿宋" w:hAnsi="仿宋" w:eastAsia="仿宋" w:cs="仿宋"/>
                <w:sz w:val="24"/>
                <w:highlight w:val="none"/>
              </w:rPr>
              <w:t>1.2.3</w:t>
            </w:r>
          </w:p>
        </w:tc>
        <w:tc>
          <w:tcPr>
            <w:tcW w:w="8149" w:type="dxa"/>
            <w:vAlign w:val="center"/>
          </w:tcPr>
          <w:p w14:paraId="47ACE194">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技术保障：</w:t>
            </w:r>
            <w:r>
              <w:rPr>
                <w:rFonts w:hint="eastAsia" w:ascii="仿宋" w:hAnsi="仿宋" w:eastAsia="仿宋" w:cs="仿宋"/>
                <w:bCs/>
                <w:color w:val="000000" w:themeColor="text1"/>
                <w:sz w:val="24"/>
                <w:highlight w:val="none"/>
                <w14:textFill>
                  <w14:solidFill>
                    <w14:schemeClr w14:val="tx1"/>
                  </w14:solidFill>
                </w14:textFill>
              </w:rPr>
              <w:t>协助区水利水电局做好库塘维养区级统管项目的全过程组织</w:t>
            </w:r>
            <w:r>
              <w:rPr>
                <w:rFonts w:hint="eastAsia" w:ascii="仿宋" w:hAnsi="仿宋" w:eastAsia="仿宋" w:cs="仿宋"/>
                <w:snapToGrid w:val="0"/>
                <w:color w:val="000000" w:themeColor="text1"/>
                <w:kern w:val="28"/>
                <w:sz w:val="24"/>
                <w:highlight w:val="none"/>
                <w14:textFill>
                  <w14:solidFill>
                    <w14:schemeClr w14:val="tx1"/>
                  </w14:solidFill>
                </w14:textFill>
              </w:rPr>
              <w:t>实施工作，</w:t>
            </w:r>
            <w:r>
              <w:rPr>
                <w:rFonts w:hint="eastAsia" w:ascii="仿宋" w:hAnsi="仿宋" w:eastAsia="仿宋" w:cs="仿宋"/>
                <w:sz w:val="24"/>
                <w:highlight w:val="none"/>
              </w:rPr>
              <w:t>资金由甲方负责保障。</w:t>
            </w:r>
          </w:p>
        </w:tc>
      </w:tr>
      <w:tr w14:paraId="12264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E0812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1.3.2</w:t>
            </w:r>
          </w:p>
        </w:tc>
        <w:tc>
          <w:tcPr>
            <w:tcW w:w="8149" w:type="dxa"/>
            <w:vAlign w:val="center"/>
          </w:tcPr>
          <w:p w14:paraId="0A67A0ED">
            <w:pPr>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tc>
      </w:tr>
      <w:tr w14:paraId="7F13E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C4095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1.4.2</w:t>
            </w:r>
          </w:p>
        </w:tc>
        <w:tc>
          <w:tcPr>
            <w:tcW w:w="8149" w:type="dxa"/>
            <w:vAlign w:val="center"/>
          </w:tcPr>
          <w:p w14:paraId="5D6CAD21">
            <w:pPr>
              <w:spacing w:line="360" w:lineRule="auto"/>
              <w:rPr>
                <w:rFonts w:hint="eastAsia" w:ascii="仿宋" w:hAnsi="仿宋" w:eastAsia="仿宋" w:cs="仿宋"/>
                <w:sz w:val="24"/>
                <w:highlight w:val="none"/>
              </w:rPr>
            </w:pPr>
            <w:r>
              <w:rPr>
                <w:rFonts w:hint="eastAsia" w:ascii="仿宋" w:hAnsi="仿宋" w:eastAsia="仿宋" w:cs="仿宋"/>
                <w:sz w:val="24"/>
                <w:highlight w:val="none"/>
              </w:rPr>
              <w:t>履约保证金：不收取。</w:t>
            </w:r>
          </w:p>
        </w:tc>
      </w:tr>
      <w:tr w14:paraId="7587E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2A1805">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8149" w:type="dxa"/>
            <w:vAlign w:val="center"/>
          </w:tcPr>
          <w:p w14:paraId="4698396B">
            <w:pPr>
              <w:spacing w:line="360" w:lineRule="auto"/>
              <w:rPr>
                <w:rFonts w:hint="eastAsia" w:ascii="仿宋" w:hAnsi="仿宋" w:eastAsia="仿宋" w:cs="仿宋"/>
                <w:sz w:val="24"/>
                <w:highlight w:val="none"/>
              </w:rPr>
            </w:pPr>
            <w:r>
              <w:rPr>
                <w:rFonts w:hint="eastAsia" w:ascii="仿宋" w:hAnsi="仿宋" w:eastAsia="仿宋" w:cs="仿宋"/>
                <w:sz w:val="24"/>
                <w:highlight w:val="none"/>
              </w:rPr>
              <w:t>支付方式：合同生效之日起7日内支付合同总价的80%作为项目的预付款，通过验收之后支付余款。</w:t>
            </w:r>
          </w:p>
        </w:tc>
      </w:tr>
      <w:tr w14:paraId="43DD6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1A5DA5">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1.5.2</w:t>
            </w:r>
          </w:p>
        </w:tc>
        <w:tc>
          <w:tcPr>
            <w:tcW w:w="8149" w:type="dxa"/>
            <w:vAlign w:val="center"/>
          </w:tcPr>
          <w:p w14:paraId="0692381F">
            <w:pPr>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tc>
      </w:tr>
      <w:tr w14:paraId="67756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E2B1E0">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1.5.3 </w:t>
            </w:r>
          </w:p>
        </w:tc>
        <w:tc>
          <w:tcPr>
            <w:tcW w:w="8149" w:type="dxa"/>
            <w:vAlign w:val="center"/>
          </w:tcPr>
          <w:p w14:paraId="3C48CD26">
            <w:pPr>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tc>
      </w:tr>
      <w:tr w14:paraId="03AC4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84EFD3">
            <w:pPr>
              <w:spacing w:line="360" w:lineRule="auto"/>
              <w:rPr>
                <w:rFonts w:hint="eastAsia" w:ascii="仿宋" w:hAnsi="仿宋" w:eastAsia="仿宋" w:cs="仿宋"/>
                <w:sz w:val="24"/>
                <w:highlight w:val="none"/>
              </w:rPr>
            </w:pPr>
            <w:r>
              <w:rPr>
                <w:rFonts w:hint="eastAsia" w:ascii="仿宋" w:hAnsi="仿宋" w:eastAsia="仿宋" w:cs="仿宋"/>
                <w:sz w:val="24"/>
                <w:highlight w:val="none"/>
              </w:rPr>
              <w:t>1.6.2</w:t>
            </w:r>
          </w:p>
        </w:tc>
        <w:tc>
          <w:tcPr>
            <w:tcW w:w="8149" w:type="dxa"/>
            <w:vAlign w:val="center"/>
          </w:tcPr>
          <w:p w14:paraId="7EA05960">
            <w:pPr>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tc>
      </w:tr>
      <w:tr w14:paraId="7F2A7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82359D">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c>
          <w:tcPr>
            <w:tcW w:w="8149" w:type="dxa"/>
            <w:vAlign w:val="center"/>
          </w:tcPr>
          <w:p w14:paraId="2774ACC2">
            <w:pPr>
              <w:spacing w:line="360" w:lineRule="auto"/>
              <w:rPr>
                <w:rFonts w:hint="eastAsia" w:ascii="仿宋" w:hAnsi="仿宋" w:eastAsia="仿宋" w:cs="仿宋"/>
                <w:sz w:val="24"/>
                <w:highlight w:val="none"/>
              </w:rPr>
            </w:pPr>
            <w:r>
              <w:rPr>
                <w:rFonts w:hint="eastAsia" w:ascii="仿宋" w:hAnsi="仿宋" w:eastAsia="仿宋" w:cs="仿宋"/>
                <w:sz w:val="24"/>
                <w:highlight w:val="none"/>
              </w:rPr>
              <w:t>服务交付（实施）的时间（期限）：合同签订后15个月（2025年1月1日至2026年3月31日）（2025年1月1日至本项目合同签订之日止已产生的服务费用在签订合同后,由中标单位按比例支付给原服务单位。具体以招标文件第四部分采购需求为准）。</w:t>
            </w:r>
          </w:p>
        </w:tc>
      </w:tr>
      <w:tr w14:paraId="611AA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CB50E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1.7.2</w:t>
            </w:r>
          </w:p>
        </w:tc>
        <w:tc>
          <w:tcPr>
            <w:tcW w:w="8149" w:type="dxa"/>
            <w:vAlign w:val="center"/>
          </w:tcPr>
          <w:p w14:paraId="3A894862">
            <w:pPr>
              <w:spacing w:line="360" w:lineRule="auto"/>
              <w:rPr>
                <w:rFonts w:hint="eastAsia" w:ascii="仿宋" w:hAnsi="仿宋" w:eastAsia="仿宋" w:cs="仿宋"/>
                <w:sz w:val="24"/>
                <w:highlight w:val="none"/>
              </w:rPr>
            </w:pPr>
            <w:r>
              <w:rPr>
                <w:rFonts w:hint="eastAsia" w:ascii="仿宋" w:hAnsi="仿宋" w:eastAsia="仿宋" w:cs="仿宋"/>
                <w:sz w:val="24"/>
                <w:highlight w:val="none"/>
              </w:rPr>
              <w:t>服务交付（实施）的地点（地域范围）：采购人指定地点</w:t>
            </w:r>
          </w:p>
        </w:tc>
      </w:tr>
      <w:tr w14:paraId="463AB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3E751D">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1.7.3</w:t>
            </w:r>
          </w:p>
        </w:tc>
        <w:tc>
          <w:tcPr>
            <w:tcW w:w="8149" w:type="dxa"/>
            <w:vAlign w:val="center"/>
          </w:tcPr>
          <w:p w14:paraId="77FDA938">
            <w:pPr>
              <w:spacing w:line="360" w:lineRule="auto"/>
              <w:rPr>
                <w:rFonts w:hint="eastAsia" w:ascii="仿宋" w:hAnsi="仿宋" w:eastAsia="仿宋" w:cs="仿宋"/>
                <w:sz w:val="24"/>
                <w:highlight w:val="none"/>
              </w:rPr>
            </w:pPr>
            <w:r>
              <w:rPr>
                <w:rFonts w:hint="eastAsia" w:ascii="仿宋" w:hAnsi="仿宋" w:eastAsia="仿宋" w:cs="仿宋"/>
                <w:sz w:val="24"/>
                <w:highlight w:val="none"/>
              </w:rPr>
              <w:t>服务交付（实施）的方式：现场实施</w:t>
            </w:r>
          </w:p>
        </w:tc>
      </w:tr>
      <w:tr w14:paraId="28E47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F58413">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1.7.4.1</w:t>
            </w:r>
          </w:p>
        </w:tc>
        <w:tc>
          <w:tcPr>
            <w:tcW w:w="8149" w:type="dxa"/>
            <w:vAlign w:val="center"/>
          </w:tcPr>
          <w:p w14:paraId="6B00041F">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交付期限：合同签订后15个月</w:t>
            </w:r>
          </w:p>
        </w:tc>
      </w:tr>
      <w:tr w14:paraId="2EEF2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AAB1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1.7.4.2</w:t>
            </w:r>
          </w:p>
        </w:tc>
        <w:tc>
          <w:tcPr>
            <w:tcW w:w="8149" w:type="dxa"/>
            <w:vAlign w:val="center"/>
          </w:tcPr>
          <w:p w14:paraId="2E06E8FC">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交付地点：采购人指定地点</w:t>
            </w:r>
          </w:p>
        </w:tc>
      </w:tr>
      <w:tr w14:paraId="6D1DD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EB826C">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1.7.4.3</w:t>
            </w:r>
          </w:p>
        </w:tc>
        <w:tc>
          <w:tcPr>
            <w:tcW w:w="8149" w:type="dxa"/>
            <w:vAlign w:val="center"/>
          </w:tcPr>
          <w:p w14:paraId="2461852D">
            <w:pPr>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tc>
      </w:tr>
      <w:tr w14:paraId="66510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4B7177">
            <w:pPr>
              <w:spacing w:line="360" w:lineRule="auto"/>
              <w:rPr>
                <w:rFonts w:hint="eastAsia" w:ascii="仿宋" w:hAnsi="仿宋" w:eastAsia="仿宋" w:cs="仿宋"/>
                <w:sz w:val="24"/>
                <w:highlight w:val="none"/>
              </w:rPr>
            </w:pPr>
            <w:r>
              <w:rPr>
                <w:rFonts w:hint="eastAsia" w:ascii="仿宋" w:hAnsi="仿宋" w:eastAsia="仿宋" w:cs="仿宋"/>
                <w:sz w:val="24"/>
                <w:highlight w:val="none"/>
              </w:rPr>
              <w:t>1.8.7</w:t>
            </w:r>
          </w:p>
        </w:tc>
        <w:tc>
          <w:tcPr>
            <w:tcW w:w="8149" w:type="dxa"/>
            <w:vAlign w:val="center"/>
          </w:tcPr>
          <w:p w14:paraId="6BE4A794">
            <w:pPr>
              <w:spacing w:line="360" w:lineRule="auto"/>
              <w:rPr>
                <w:rFonts w:hint="eastAsia" w:ascii="仿宋" w:hAnsi="仿宋" w:eastAsia="仿宋" w:cs="仿宋"/>
                <w:sz w:val="24"/>
                <w:highlight w:val="none"/>
              </w:rPr>
            </w:pPr>
            <w:r>
              <w:rPr>
                <w:rFonts w:hint="eastAsia" w:ascii="仿宋" w:hAnsi="仿宋" w:eastAsia="仿宋" w:cs="仿宋"/>
                <w:sz w:val="24"/>
                <w:highlight w:val="none"/>
              </w:rPr>
              <w:t>违约责任：</w:t>
            </w:r>
          </w:p>
        </w:tc>
      </w:tr>
      <w:tr w14:paraId="01C65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5B9777">
            <w:pPr>
              <w:spacing w:line="360" w:lineRule="auto"/>
              <w:rPr>
                <w:rFonts w:hint="eastAsia" w:ascii="仿宋" w:hAnsi="仿宋" w:eastAsia="仿宋" w:cs="仿宋"/>
                <w:sz w:val="24"/>
                <w:highlight w:val="none"/>
              </w:rPr>
            </w:pPr>
            <w:r>
              <w:rPr>
                <w:rFonts w:hint="eastAsia" w:ascii="仿宋" w:hAnsi="仿宋" w:eastAsia="仿宋" w:cs="仿宋"/>
                <w:sz w:val="24"/>
                <w:highlight w:val="none"/>
              </w:rPr>
              <w:t>1.9.1</w:t>
            </w:r>
          </w:p>
        </w:tc>
        <w:tc>
          <w:tcPr>
            <w:tcW w:w="8149" w:type="dxa"/>
            <w:vAlign w:val="center"/>
          </w:tcPr>
          <w:p w14:paraId="590BE35A">
            <w:pPr>
              <w:spacing w:line="360" w:lineRule="auto"/>
              <w:rPr>
                <w:rFonts w:hint="eastAsia" w:ascii="仿宋" w:hAnsi="仿宋" w:eastAsia="仿宋" w:cs="仿宋"/>
                <w:sz w:val="24"/>
                <w:highlight w:val="none"/>
              </w:rPr>
            </w:pPr>
            <w:r>
              <w:rPr>
                <w:rFonts w:hint="eastAsia" w:ascii="仿宋" w:hAnsi="仿宋" w:eastAsia="仿宋" w:cs="仿宋"/>
                <w:sz w:val="24"/>
                <w:highlight w:val="none"/>
              </w:rPr>
              <w:t>项目所在地</w:t>
            </w:r>
          </w:p>
        </w:tc>
      </w:tr>
      <w:tr w14:paraId="5F0EE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2CBCB2">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2.3.2</w:t>
            </w:r>
          </w:p>
        </w:tc>
        <w:tc>
          <w:tcPr>
            <w:tcW w:w="8149" w:type="dxa"/>
            <w:vAlign w:val="center"/>
          </w:tcPr>
          <w:p w14:paraId="0EE43FA9">
            <w:pPr>
              <w:spacing w:line="360" w:lineRule="auto"/>
              <w:ind w:left="-420" w:leftChars="-200" w:right="-420" w:rightChars="-200" w:firstLine="480" w:firstLineChars="200"/>
              <w:rPr>
                <w:rFonts w:hint="eastAsia" w:ascii="仿宋" w:hAnsi="仿宋" w:eastAsia="仿宋" w:cs="仿宋"/>
                <w:sz w:val="24"/>
                <w:highlight w:val="none"/>
              </w:rPr>
            </w:pPr>
          </w:p>
        </w:tc>
      </w:tr>
      <w:tr w14:paraId="5E365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AD9543">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w:t>
            </w:r>
          </w:p>
        </w:tc>
        <w:tc>
          <w:tcPr>
            <w:tcW w:w="8149" w:type="dxa"/>
            <w:vAlign w:val="center"/>
          </w:tcPr>
          <w:p w14:paraId="3B22C196">
            <w:pPr>
              <w:spacing w:line="360" w:lineRule="auto"/>
              <w:ind w:left="-420" w:leftChars="-200" w:right="-420" w:rightChars="-200" w:firstLine="480" w:firstLineChars="200"/>
              <w:rPr>
                <w:rFonts w:hint="eastAsia" w:ascii="仿宋" w:hAnsi="仿宋" w:eastAsia="仿宋" w:cs="仿宋"/>
                <w:sz w:val="24"/>
                <w:highlight w:val="none"/>
              </w:rPr>
            </w:pPr>
          </w:p>
        </w:tc>
      </w:tr>
      <w:tr w14:paraId="73BAB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A2E528">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2.11.3</w:t>
            </w:r>
          </w:p>
        </w:tc>
        <w:tc>
          <w:tcPr>
            <w:tcW w:w="8149" w:type="dxa"/>
            <w:vAlign w:val="center"/>
          </w:tcPr>
          <w:p w14:paraId="56AF9AF1">
            <w:pPr>
              <w:spacing w:line="360" w:lineRule="auto"/>
              <w:rPr>
                <w:rFonts w:hint="eastAsia" w:ascii="仿宋" w:hAnsi="仿宋" w:eastAsia="仿宋" w:cs="仿宋"/>
                <w:sz w:val="24"/>
                <w:highlight w:val="none"/>
              </w:rPr>
            </w:pPr>
          </w:p>
        </w:tc>
      </w:tr>
      <w:tr w14:paraId="36ECE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72E19C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2.11.4 </w:t>
            </w:r>
          </w:p>
        </w:tc>
        <w:tc>
          <w:tcPr>
            <w:tcW w:w="8149" w:type="dxa"/>
          </w:tcPr>
          <w:p w14:paraId="2B2B33E5">
            <w:pPr>
              <w:spacing w:line="360" w:lineRule="auto"/>
              <w:rPr>
                <w:rFonts w:hint="eastAsia" w:ascii="仿宋" w:hAnsi="仿宋" w:eastAsia="仿宋" w:cs="仿宋"/>
                <w:sz w:val="24"/>
                <w:highlight w:val="none"/>
              </w:rPr>
            </w:pPr>
          </w:p>
        </w:tc>
      </w:tr>
      <w:tr w14:paraId="0DD04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EF959C">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2.15.1</w:t>
            </w:r>
          </w:p>
        </w:tc>
        <w:tc>
          <w:tcPr>
            <w:tcW w:w="8149" w:type="dxa"/>
            <w:vAlign w:val="center"/>
          </w:tcPr>
          <w:p w14:paraId="11D55B19">
            <w:pPr>
              <w:spacing w:line="360" w:lineRule="auto"/>
              <w:rPr>
                <w:rFonts w:hint="eastAsia" w:ascii="仿宋" w:hAnsi="仿宋" w:eastAsia="仿宋" w:cs="仿宋"/>
                <w:sz w:val="24"/>
                <w:highlight w:val="none"/>
              </w:rPr>
            </w:pPr>
          </w:p>
        </w:tc>
      </w:tr>
      <w:tr w14:paraId="58B3F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DE688B">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2.15.3</w:t>
            </w:r>
          </w:p>
        </w:tc>
        <w:tc>
          <w:tcPr>
            <w:tcW w:w="8149" w:type="dxa"/>
            <w:vAlign w:val="center"/>
          </w:tcPr>
          <w:p w14:paraId="277E374B">
            <w:pPr>
              <w:spacing w:line="360" w:lineRule="auto"/>
              <w:rPr>
                <w:rFonts w:hint="eastAsia" w:ascii="仿宋" w:hAnsi="仿宋" w:eastAsia="仿宋" w:cs="仿宋"/>
                <w:sz w:val="24"/>
                <w:highlight w:val="none"/>
              </w:rPr>
            </w:pPr>
          </w:p>
        </w:tc>
      </w:tr>
      <w:tr w14:paraId="1A883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8A6CC4D">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2.19</w:t>
            </w:r>
          </w:p>
        </w:tc>
        <w:tc>
          <w:tcPr>
            <w:tcW w:w="8149" w:type="dxa"/>
          </w:tcPr>
          <w:p w14:paraId="11D16990">
            <w:pPr>
              <w:spacing w:line="360" w:lineRule="auto"/>
              <w:rPr>
                <w:rFonts w:hint="eastAsia" w:ascii="仿宋" w:hAnsi="仿宋" w:eastAsia="仿宋" w:cs="仿宋"/>
                <w:sz w:val="24"/>
                <w:highlight w:val="none"/>
              </w:rPr>
            </w:pPr>
          </w:p>
        </w:tc>
      </w:tr>
    </w:tbl>
    <w:p w14:paraId="2D378C65">
      <w:pPr>
        <w:spacing w:line="360" w:lineRule="auto"/>
        <w:jc w:val="left"/>
        <w:rPr>
          <w:rFonts w:hint="eastAsia" w:hAnsi="宋体"/>
          <w:b/>
          <w:snapToGrid w:val="0"/>
          <w:sz w:val="28"/>
          <w:szCs w:val="28"/>
          <w:highlight w:val="none"/>
        </w:rPr>
      </w:pPr>
    </w:p>
    <w:p w14:paraId="5010B919">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br w:type="page"/>
      </w:r>
    </w:p>
    <w:p w14:paraId="7E28B05D">
      <w:pPr>
        <w:snapToGrid w:val="0"/>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第七部分</w:t>
      </w:r>
      <w:bookmarkEnd w:id="65"/>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66"/>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5D83E6B7">
      <w:pPr>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供应商按照以下格式编制响应文件。</w:t>
      </w:r>
    </w:p>
    <w:p w14:paraId="400C486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27AB864">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3A7E3DE1">
      <w:pPr>
        <w:pStyle w:val="197"/>
        <w:spacing w:line="360" w:lineRule="auto"/>
        <w:ind w:left="0" w:firstLine="0" w:firstLineChars="0"/>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（1）响应函……………………………………………………………………（页码）</w:t>
      </w:r>
    </w:p>
    <w:p w14:paraId="04DCF3AB">
      <w:pPr>
        <w:pStyle w:val="197"/>
        <w:spacing w:line="360" w:lineRule="auto"/>
        <w:ind w:left="0" w:firstLine="0" w:firstLineChars="0"/>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（2）资格文件…………………………………………………………………（页码）</w:t>
      </w:r>
    </w:p>
    <w:p w14:paraId="2E9561B4">
      <w:pPr>
        <w:pStyle w:val="197"/>
        <w:spacing w:line="360" w:lineRule="auto"/>
        <w:ind w:left="0" w:firstLine="0" w:firstLineChars="0"/>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（3）法人授权书</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（页码）</w:t>
      </w:r>
    </w:p>
    <w:p w14:paraId="20629831">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（4）分包意向协议</w:t>
      </w:r>
      <w:r>
        <w:rPr>
          <w:rFonts w:hint="eastAsia" w:ascii="仿宋" w:hAnsi="仿宋" w:eastAsia="仿宋" w:cs="仿宋"/>
          <w:color w:val="000000" w:themeColor="text1"/>
          <w:highlight w:val="none"/>
          <w14:textFill>
            <w14:solidFill>
              <w14:schemeClr w14:val="tx1"/>
            </w14:solidFill>
          </w14:textFill>
        </w:rPr>
        <w:t>………………………………………………………………………（页码）</w:t>
      </w:r>
    </w:p>
    <w:p w14:paraId="4E4FFB51">
      <w:pPr>
        <w:pStyle w:val="197"/>
        <w:spacing w:line="360" w:lineRule="auto"/>
        <w:ind w:left="0" w:firstLine="0" w:firstLineChars="0"/>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（5）所有资信文件（复印件）………………………………………………（页码）</w:t>
      </w:r>
    </w:p>
    <w:p w14:paraId="4F957228">
      <w:pPr>
        <w:pStyle w:val="197"/>
        <w:spacing w:line="360" w:lineRule="auto"/>
        <w:ind w:left="0" w:firstLine="0" w:firstLineChars="0"/>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（6）主要业绩证明</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（页码）</w:t>
      </w:r>
    </w:p>
    <w:p w14:paraId="40530E0E">
      <w:pPr>
        <w:pStyle w:val="197"/>
        <w:spacing w:line="360" w:lineRule="auto"/>
        <w:ind w:left="0" w:firstLine="0" w:firstLineChars="0"/>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（7）</w:t>
      </w:r>
      <w:r>
        <w:rPr>
          <w:rFonts w:hint="eastAsia" w:ascii="仿宋" w:eastAsia="仿宋" w:cs="仿宋"/>
          <w:color w:val="000000" w:themeColor="text1"/>
          <w:highlight w:val="none"/>
          <w:lang w:val="zh-CN"/>
          <w14:textFill>
            <w14:solidFill>
              <w14:schemeClr w14:val="tx1"/>
            </w14:solidFill>
          </w14:textFill>
        </w:rPr>
        <w:t>关于对磋商文件中有关条款的拒绝声明…………</w:t>
      </w: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（页码）</w:t>
      </w:r>
    </w:p>
    <w:p w14:paraId="5789A98E">
      <w:pPr>
        <w:pStyle w:val="197"/>
        <w:spacing w:line="360" w:lineRule="auto"/>
        <w:ind w:left="0" w:firstLine="0" w:firstLineChars="0"/>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（8）认为需要的其他商务文件或说明………………………………………（页码）</w:t>
      </w:r>
    </w:p>
    <w:p w14:paraId="01A8C1AE">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（9）技术解决方案………………………………</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16ADFA96">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（10）组织实施方案……………………………………</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41FC7B77">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（11）售后服务方案…………………………………</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5AC4BA4B">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（12）项目小组人员名单…………………………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7138E7B3">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w:t>
      </w:r>
      <w:r>
        <w:rPr>
          <w:rFonts w:hint="eastAsia" w:ascii="仿宋" w:hAnsi="仿宋" w:eastAsia="仿宋" w:cs="仿宋"/>
          <w:color w:val="000000" w:themeColor="text1"/>
          <w:kern w:val="0"/>
          <w:sz w:val="24"/>
          <w:highlight w:val="none"/>
          <w:lang w:val="zh-CN"/>
          <w14:textFill>
            <w14:solidFill>
              <w14:schemeClr w14:val="tx1"/>
            </w14:solidFill>
          </w14:textFill>
        </w:rPr>
        <w:t>优惠条件及特殊承诺……………………………</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6CB062E6">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w:t>
      </w:r>
      <w:r>
        <w:rPr>
          <w:rFonts w:hint="eastAsia" w:ascii="仿宋" w:hAnsi="仿宋" w:eastAsia="仿宋" w:cs="仿宋"/>
          <w:color w:val="000000" w:themeColor="text1"/>
          <w:kern w:val="0"/>
          <w:sz w:val="24"/>
          <w:highlight w:val="none"/>
          <w:lang w:val="zh-CN"/>
          <w14:textFill>
            <w14:solidFill>
              <w14:schemeClr w14:val="tx1"/>
            </w14:solidFill>
          </w14:textFill>
        </w:rPr>
        <w:t>培训计划…………………………………………</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16DBB40B">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随机特殊工具和备品备件清单</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25E1297B">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（16）</w:t>
      </w:r>
      <w:r>
        <w:rPr>
          <w:rFonts w:hint="eastAsia" w:ascii="仿宋" w:hAnsi="仿宋" w:eastAsia="仿宋" w:cs="仿宋"/>
          <w:color w:val="000000" w:themeColor="text1"/>
          <w:kern w:val="0"/>
          <w:sz w:val="24"/>
          <w:highlight w:val="none"/>
          <w:lang w:val="zh-CN"/>
          <w14:textFill>
            <w14:solidFill>
              <w14:schemeClr w14:val="tx1"/>
            </w14:solidFill>
          </w14:textFill>
        </w:rPr>
        <w:t>认为需要的其他技术文件或说明………………</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32D18247">
      <w:pPr>
        <w:tabs>
          <w:tab w:val="left" w:pos="0"/>
        </w:tabs>
        <w:autoSpaceDE w:val="0"/>
        <w:autoSpaceDN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（17）</w:t>
      </w:r>
      <w:r>
        <w:rPr>
          <w:rFonts w:hint="eastAsia" w:ascii="仿宋" w:hAnsi="仿宋" w:eastAsia="仿宋" w:cs="仿宋"/>
          <w:color w:val="000000" w:themeColor="text1"/>
          <w:kern w:val="0"/>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kern w:val="0"/>
          <w:sz w:val="24"/>
          <w:highlight w:val="none"/>
          <w14:textFill>
            <w14:solidFill>
              <w14:schemeClr w14:val="tx1"/>
            </w14:solidFill>
          </w14:textFill>
        </w:rPr>
        <w:t>（页码）</w:t>
      </w:r>
    </w:p>
    <w:p w14:paraId="60E95AE3">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注：以上目录是编制供应商响应文件的基本格式要求，各供应商可根据自身情况进一步细化。</w:t>
      </w:r>
    </w:p>
    <w:p w14:paraId="6921C596">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一、响应</w:t>
      </w:r>
      <w:r>
        <w:rPr>
          <w:rFonts w:hint="eastAsia" w:ascii="仿宋" w:hAnsi="仿宋" w:eastAsia="仿宋" w:cs="仿宋"/>
          <w:b/>
          <w:color w:val="000000" w:themeColor="text1"/>
          <w:sz w:val="32"/>
          <w:szCs w:val="32"/>
          <w:highlight w:val="none"/>
          <w14:textFill>
            <w14:solidFill>
              <w14:schemeClr w14:val="tx1"/>
            </w14:solidFill>
          </w14:textFill>
        </w:rPr>
        <w:t>函</w:t>
      </w:r>
    </w:p>
    <w:p w14:paraId="31F9E9C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65DF0E4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(供应商全称)授权</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(全权代表姓名)</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(职务、职称)为全权代表，参加贵方组织的（项目名称）【项目编号：（采购编号）】的有关活动，并对此项目进行响应。为此：</w:t>
      </w:r>
    </w:p>
    <w:p w14:paraId="03F93645">
      <w:pPr>
        <w:pStyle w:val="118"/>
        <w:numPr>
          <w:ilvl w:val="0"/>
          <w:numId w:val="11"/>
        </w:numPr>
        <w:snapToGrid w:val="0"/>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我方承诺响应有效期从提交响应文件的截止之日起</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天，（不少于90天），本响应文件在响应有效期满之前均具有约束力。</w:t>
      </w:r>
    </w:p>
    <w:p w14:paraId="457A6309">
      <w:pPr>
        <w:numPr>
          <w:ilvl w:val="0"/>
          <w:numId w:val="11"/>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w:t>
      </w:r>
      <w:r>
        <w:rPr>
          <w:rFonts w:hint="eastAsia" w:ascii="仿宋" w:hAnsi="仿宋" w:eastAsia="仿宋" w:cs="仿宋"/>
          <w:bCs/>
          <w:color w:val="000000" w:themeColor="text1"/>
          <w:kern w:val="44"/>
          <w:sz w:val="24"/>
          <w:highlight w:val="none"/>
          <w14:textFill>
            <w14:solidFill>
              <w14:schemeClr w14:val="tx1"/>
            </w14:solidFill>
          </w14:textFill>
        </w:rPr>
        <w:t>磋商文件中</w:t>
      </w:r>
      <w:r>
        <w:rPr>
          <w:rFonts w:hint="eastAsia" w:ascii="仿宋" w:hAnsi="仿宋" w:eastAsia="仿宋" w:cs="仿宋"/>
          <w:color w:val="000000" w:themeColor="text1"/>
          <w:sz w:val="24"/>
          <w:highlight w:val="none"/>
          <w14:textFill>
            <w14:solidFill>
              <w14:schemeClr w14:val="tx1"/>
            </w14:solidFill>
          </w14:textFill>
        </w:rPr>
        <w:t>规定的全部响应文件。</w:t>
      </w:r>
    </w:p>
    <w:p w14:paraId="5928D3DF">
      <w:pPr>
        <w:numPr>
          <w:ilvl w:val="0"/>
          <w:numId w:val="11"/>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我方承诺除响应文件列出的偏离外，我方响应磋商文件的全部要求。</w:t>
      </w:r>
    </w:p>
    <w:p w14:paraId="33BB3418">
      <w:pPr>
        <w:numPr>
          <w:ilvl w:val="0"/>
          <w:numId w:val="11"/>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保证遵守磋商文件中的其他有关规定。</w:t>
      </w:r>
    </w:p>
    <w:p w14:paraId="703FE176">
      <w:pPr>
        <w:numPr>
          <w:ilvl w:val="0"/>
          <w:numId w:val="11"/>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5CBBBADF">
      <w:pPr>
        <w:numPr>
          <w:ilvl w:val="0"/>
          <w:numId w:val="11"/>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我方已详细阅读全部磋商文件，包括磋商文件“更正（延期）公告”（如果有）、参考资料及有关附件，确认无误。</w:t>
      </w:r>
    </w:p>
    <w:p w14:paraId="01D3ABF1">
      <w:pPr>
        <w:numPr>
          <w:ilvl w:val="0"/>
          <w:numId w:val="11"/>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如我方成交，我方承诺：</w:t>
      </w:r>
    </w:p>
    <w:p w14:paraId="44792838">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7.1在收到成交通知书后，在成交通知书规定的期限内与你方签订合同； </w:t>
      </w:r>
    </w:p>
    <w:p w14:paraId="54117224">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7.2在签订合同时不向你方提出附加条件； </w:t>
      </w:r>
    </w:p>
    <w:p w14:paraId="281B7AE8">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7.3按照磋商文件要求提交履约保证金； </w:t>
      </w:r>
    </w:p>
    <w:p w14:paraId="594C40FA">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7.4在合同约定的期限内完成合同规定的全部义务。 </w:t>
      </w:r>
    </w:p>
    <w:p w14:paraId="45DA156B">
      <w:pPr>
        <w:numPr>
          <w:ilvl w:val="0"/>
          <w:numId w:val="11"/>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其他补充说明: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522C79C7">
      <w:pPr>
        <w:autoSpaceDE w:val="0"/>
        <w:autoSpaceDN w:val="0"/>
        <w:spacing w:line="360" w:lineRule="auto"/>
        <w:ind w:firstLine="3960" w:firstLineChars="1650"/>
        <w:rPr>
          <w:rFonts w:hint="eastAsia" w:ascii="仿宋" w:hAnsi="仿宋" w:eastAsia="仿宋" w:cs="仿宋"/>
          <w:color w:val="000000" w:themeColor="text1"/>
          <w:kern w:val="0"/>
          <w:sz w:val="24"/>
          <w:highlight w:val="none"/>
          <w:lang w:val="zh-CN"/>
          <w14:textFill>
            <w14:solidFill>
              <w14:schemeClr w14:val="tx1"/>
            </w14:solidFill>
          </w14:textFill>
        </w:rPr>
      </w:pPr>
    </w:p>
    <w:p w14:paraId="0199D27D">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供应商名称（电子签名）：                          </w:t>
      </w:r>
    </w:p>
    <w:p w14:paraId="628D8F6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40C173CB">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83091E9">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5DAC5D13">
      <w:pPr>
        <w:pStyle w:val="128"/>
        <w:keepNext w:val="0"/>
        <w:pageBreakBefore w:val="0"/>
        <w:tabs>
          <w:tab w:val="clear" w:pos="720"/>
        </w:tabs>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14:paraId="79717627">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60F9AD60">
      <w:pPr>
        <w:spacing w:line="360" w:lineRule="auto"/>
        <w:rPr>
          <w:rFonts w:hint="eastAsia" w:ascii="仿宋" w:hAnsi="仿宋" w:eastAsia="仿宋" w:cs="仿宋"/>
          <w:color w:val="000000" w:themeColor="text1"/>
          <w:sz w:val="18"/>
          <w:szCs w:val="18"/>
          <w:highlight w:val="none"/>
          <w14:textFill>
            <w14:solidFill>
              <w14:schemeClr w14:val="tx1"/>
            </w14:solidFill>
          </w14:textFill>
        </w:rPr>
      </w:pPr>
    </w:p>
    <w:p w14:paraId="554B409D">
      <w:pPr>
        <w:spacing w:line="360" w:lineRule="auto"/>
        <w:rPr>
          <w:rFonts w:hint="eastAsia" w:ascii="仿宋" w:hAnsi="仿宋" w:eastAsia="仿宋" w:cs="仿宋"/>
          <w:color w:val="000000" w:themeColor="text1"/>
          <w:sz w:val="18"/>
          <w:szCs w:val="18"/>
          <w:highlight w:val="none"/>
          <w14:textFill>
            <w14:solidFill>
              <w14:schemeClr w14:val="tx1"/>
            </w14:solidFill>
          </w14:textFill>
        </w:rPr>
      </w:pPr>
    </w:p>
    <w:p w14:paraId="54FF343A">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1D0DBBD3">
      <w:pPr>
        <w:widowControl/>
        <w:tabs>
          <w:tab w:val="left" w:pos="1200"/>
        </w:tabs>
        <w:adjustRightInd/>
        <w:ind w:left="84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二、资格文件</w:t>
      </w:r>
    </w:p>
    <w:p w14:paraId="38829D86">
      <w:pPr>
        <w:pStyle w:val="118"/>
        <w:widowControl/>
        <w:tabs>
          <w:tab w:val="left" w:pos="1200"/>
          <w:tab w:val="left" w:pos="1560"/>
        </w:tabs>
        <w:adjustRightInd/>
        <w:ind w:left="1560" w:firstLine="0" w:firstLineChars="0"/>
        <w:jc w:val="left"/>
        <w:rPr>
          <w:rFonts w:hint="eastAsia" w:ascii="仿宋" w:hAnsi="仿宋" w:eastAsia="仿宋" w:cs="仿宋"/>
          <w:b/>
          <w:color w:val="000000" w:themeColor="text1"/>
          <w:sz w:val="30"/>
          <w:szCs w:val="30"/>
          <w:highlight w:val="none"/>
          <w14:textFill>
            <w14:solidFill>
              <w14:schemeClr w14:val="tx1"/>
            </w14:solidFill>
          </w14:textFill>
        </w:rPr>
      </w:pPr>
    </w:p>
    <w:p w14:paraId="25726E1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A、符合参加政府采购活动应当具备的一般条件的承诺函</w:t>
      </w:r>
    </w:p>
    <w:p w14:paraId="0205EB5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724964D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w:t>
      </w:r>
      <w:r>
        <w:rPr>
          <w:rFonts w:hint="eastAsia" w:ascii="仿宋" w:hAnsi="仿宋" w:eastAsia="仿宋" w:cs="仿宋"/>
          <w:color w:val="000000" w:themeColor="text1"/>
          <w:kern w:val="0"/>
          <w:sz w:val="24"/>
          <w:highlight w:val="none"/>
          <w:lang w:val="zh-CN"/>
          <w14:textFill>
            <w14:solidFill>
              <w14:schemeClr w14:val="tx1"/>
            </w14:solidFill>
          </w14:textFill>
        </w:rPr>
        <w:t>【项目编号：（采购编号）】</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0E683CB2">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6871ECE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4469168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514B089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7ABEB31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66D89F4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1409737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0D64C80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A841D8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57CB734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19E7CE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DA4982F">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6236459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7ADFA93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89140FA">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7F8F9CDD">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B、联合协议（如果有）</w:t>
      </w:r>
    </w:p>
    <w:p w14:paraId="745FF757">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（以联合体形式响应的，提供联合协议；本项目不接受联合体响应或者供应商不以联合体形式响应的，则不需要提供）</w:t>
      </w:r>
    </w:p>
    <w:p w14:paraId="4A93793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 xml:space="preserve">【项目编号：（采购编号）】响应。 </w:t>
      </w:r>
    </w:p>
    <w:p w14:paraId="3AAF744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，代表所有联合体成员负责响应和合同实施阶段的主办、协调工作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59E759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14:paraId="3BB760A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三、本次联合响应中，分工如下：</w:t>
      </w:r>
    </w:p>
    <w:p w14:paraId="360FE87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50C996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A8FB75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16DE8C1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四、联合体成员中小企业合同份额（如果有）。</w:t>
      </w:r>
    </w:p>
    <w:p w14:paraId="67703E2D">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181"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181"/>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182"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182"/>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5F6D40F9">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183"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183"/>
    </w:p>
    <w:p w14:paraId="142C627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五、如果成交，</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812F59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六、有关本次联合响应的其他事宜：</w:t>
      </w:r>
    </w:p>
    <w:p w14:paraId="7DF8F88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68699C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C6F505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4056825">
      <w:pPr>
        <w:snapToGrid w:val="0"/>
        <w:spacing w:line="360" w:lineRule="auto"/>
        <w:ind w:firstLine="4560" w:firstLineChars="19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CAD123D">
      <w:pPr>
        <w:snapToGrid w:val="0"/>
        <w:spacing w:line="360" w:lineRule="auto"/>
        <w:ind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58D6F251">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6AF7AB15">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676B2FC7">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A0FFFF6">
      <w:pPr>
        <w:snapToGrid w:val="0"/>
        <w:spacing w:line="360" w:lineRule="auto"/>
        <w:ind w:right="480"/>
        <w:jc w:val="center"/>
        <w:rPr>
          <w:rFonts w:hint="eastAsia" w:ascii="仿宋" w:hAnsi="仿宋" w:eastAsia="仿宋" w:cs="仿宋"/>
          <w:b/>
          <w:color w:val="000000" w:themeColor="text1"/>
          <w:sz w:val="32"/>
          <w:szCs w:val="32"/>
          <w:highlight w:val="none"/>
          <w14:textFill>
            <w14:solidFill>
              <w14:schemeClr w14:val="tx1"/>
            </w14:solidFill>
          </w14:textFill>
        </w:rPr>
      </w:pPr>
    </w:p>
    <w:p w14:paraId="461DE187">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14B1A91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C、</w:t>
      </w:r>
      <w:r>
        <w:rPr>
          <w:rFonts w:hint="eastAsia" w:ascii="仿宋" w:hAnsi="仿宋" w:eastAsia="仿宋" w:cs="仿宋"/>
          <w:b/>
          <w:color w:val="000000" w:themeColor="text1"/>
          <w:kern w:val="0"/>
          <w:sz w:val="32"/>
          <w:szCs w:val="32"/>
          <w:highlight w:val="none"/>
          <w14:textFill>
            <w14:solidFill>
              <w14:schemeClr w14:val="tx1"/>
            </w14:solidFill>
          </w14:textFill>
        </w:rPr>
        <w:t>落实政府采购政策需满足的资格要求</w:t>
      </w:r>
    </w:p>
    <w:p w14:paraId="49F1B3F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b/>
          <w:bCs/>
          <w:color w:val="000000" w:themeColor="text1"/>
          <w:sz w:val="24"/>
          <w:highlight w:val="none"/>
          <w14:textFill>
            <w14:solidFill>
              <w14:schemeClr w14:val="tx1"/>
            </w14:solidFill>
          </w14:textFill>
        </w:rPr>
        <w:t>磋商文件第一部分竞争性磋商邀请公告中</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落实政府采购政策需满足的资格要求选择提供相应的材料；未要求的，无需提供）</w:t>
      </w:r>
    </w:p>
    <w:p w14:paraId="09FE41C7">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.专门面向中小企业，服务全部由符合政策要求的中小企业（或小微企业）承接的，提供相应的中小企业声明函（附件5）。 </w:t>
      </w:r>
    </w:p>
    <w:p w14:paraId="6BB4A224">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3F749B40">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要求以联合体形式参加的，提供联合协议和中小企业声明函（附件5），联合协议中中小企业合同金额应当达到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54F23D86">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4B05286B">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要求合同分包的，提供分包意向协议和中小企业声明函（附件5），分包意向协议中中小企业合同金额应当达到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载明的比例；如果供应商本身提供的所有标的均由中小企业承接的，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61D43C36">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4095AD77">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58131190">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D、符合特定资格条件要求的资质文件（复印件）</w:t>
      </w:r>
    </w:p>
    <w:p w14:paraId="62D10362">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（由供应商根据“磋商文件第一部分”中“合格的供应商应具备的特定资格要求”编制；如果本项目没有设置特定资格条件，则不需要提供）</w:t>
      </w:r>
    </w:p>
    <w:p w14:paraId="3B983F5E">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p>
    <w:p w14:paraId="1FE837AD">
      <w:pPr>
        <w:snapToGri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1DC1770C">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20096CB5">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p>
    <w:p w14:paraId="6BC1701F">
      <w:pPr>
        <w:snapToGrid w:val="0"/>
        <w:spacing w:line="360" w:lineRule="auto"/>
        <w:ind w:right="48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6" w:h="16838"/>
          <w:pgMar w:top="1474" w:right="1814" w:bottom="1474" w:left="1814" w:header="851" w:footer="992" w:gutter="0"/>
          <w:cols w:space="720" w:num="1"/>
          <w:titlePg/>
          <w:docGrid w:linePitch="312" w:charSpace="0"/>
        </w:sectPr>
      </w:pPr>
    </w:p>
    <w:p w14:paraId="7F5AC5E3">
      <w:pPr>
        <w:widowControl/>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三、法人授权书</w:t>
      </w:r>
    </w:p>
    <w:p w14:paraId="6A5477D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3BEFC7A">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兹委派我公司</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先生/女士(其在本公司的职务是：</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 ，联系电话：</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传真：</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)，代表我公司全权处理</w:t>
      </w:r>
      <w:r>
        <w:rPr>
          <w:rFonts w:hint="eastAsia" w:ascii="仿宋" w:hAnsi="仿宋" w:eastAsia="仿宋" w:cs="仿宋"/>
          <w:color w:val="000000" w:themeColor="text1"/>
          <w:sz w:val="24"/>
          <w:highlight w:val="none"/>
          <w14:textFill>
            <w14:solidFill>
              <w14:schemeClr w14:val="tx1"/>
            </w14:solidFill>
          </w14:textFill>
        </w:rPr>
        <w:t>（项目名称）【项目编号：（采购编号）】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政府采购响应的一切事项，若成交则全权代表本公司签订相关合同，并负责处理合同履行等事宜。</w:t>
      </w:r>
    </w:p>
    <w:p w14:paraId="5595DD9E">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本委托书有效期：自    年 月  日起至    年  月  日止。</w:t>
      </w:r>
    </w:p>
    <w:p w14:paraId="310EE09C">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特此告知。</w:t>
      </w:r>
    </w:p>
    <w:p w14:paraId="06495C7A">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22D5B4FF">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065028D2">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p>
    <w:p w14:paraId="60A2D6A9">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11DA855B">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联合体响应授权书（扫描件加盖上传单位电子签名）</w:t>
      </w:r>
    </w:p>
    <w:p w14:paraId="7709D199">
      <w:pPr>
        <w:snapToGrid w:val="0"/>
        <w:spacing w:line="360" w:lineRule="auto"/>
        <w:jc w:val="center"/>
        <w:rPr>
          <w:rFonts w:hint="eastAsia" w:ascii="仿宋" w:hAnsi="仿宋" w:eastAsia="仿宋" w:cs="仿宋"/>
          <w:b/>
          <w:color w:val="000000" w:themeColor="text1"/>
          <w:kern w:val="0"/>
          <w:sz w:val="30"/>
          <w:szCs w:val="30"/>
          <w:highlight w:val="none"/>
          <w:lang w:val="zh-CN"/>
          <w14:textFill>
            <w14:solidFill>
              <w14:schemeClr w14:val="tx1"/>
            </w14:solidFill>
          </w14:textFill>
        </w:rPr>
      </w:pPr>
      <w:r>
        <w:rPr>
          <w:rFonts w:hint="eastAsia" w:ascii="仿宋" w:hAnsi="仿宋" w:eastAsia="仿宋" w:cs="仿宋"/>
          <w:b/>
          <w:color w:val="000000" w:themeColor="text1"/>
          <w:kern w:val="0"/>
          <w:sz w:val="30"/>
          <w:szCs w:val="30"/>
          <w:highlight w:val="none"/>
          <w:lang w:val="zh-CN"/>
          <w14:textFill>
            <w14:solidFill>
              <w14:schemeClr w14:val="tx1"/>
            </w14:solidFill>
          </w14:textFill>
        </w:rPr>
        <w:t>（适用于联合体响应）</w:t>
      </w:r>
    </w:p>
    <w:p w14:paraId="63601603">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DF1DCFA">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【项目编号：（采购编号）】政府采购响应的一切事项，其法律后果由我方承担。</w:t>
      </w:r>
    </w:p>
    <w:p w14:paraId="245AECE2">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本授权书有效期：自   年 月  日起至  年  月  日止。</w:t>
      </w:r>
    </w:p>
    <w:p w14:paraId="53037E3A">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特此告知。</w:t>
      </w:r>
    </w:p>
    <w:p w14:paraId="66F5902E">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2A1A889">
      <w:pPr>
        <w:snapToGrid w:val="0"/>
        <w:spacing w:line="360" w:lineRule="auto"/>
        <w:ind w:firstLine="4320" w:firstLineChars="18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8BA0D42">
      <w:pPr>
        <w:snapToGrid w:val="0"/>
        <w:spacing w:line="360" w:lineRule="auto"/>
        <w:ind w:firstLine="4320" w:firstLineChars="18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4A065D24">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6E6990B4">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1A7815B9">
      <w:pPr>
        <w:widowControl/>
        <w:adjustRightInd/>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br w:type="page"/>
      </w:r>
    </w:p>
    <w:p w14:paraId="2F4DA56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授权代表的身份证（复印件）</w:t>
      </w:r>
    </w:p>
    <w:p w14:paraId="132B12B4">
      <w:pPr>
        <w:pStyle w:val="624"/>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9A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F3CCFC4">
            <w:pPr>
              <w:pStyle w:val="624"/>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34808969">
            <w:pPr>
              <w:pStyle w:val="624"/>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698AA32A">
      <w:pPr>
        <w:snapToGrid w:val="0"/>
        <w:spacing w:line="360" w:lineRule="auto"/>
        <w:ind w:firstLine="576"/>
        <w:jc w:val="right"/>
        <w:rPr>
          <w:rFonts w:hint="eastAsia" w:ascii="仿宋" w:hAnsi="仿宋" w:eastAsia="仿宋" w:cs="仿宋"/>
          <w:color w:val="000000" w:themeColor="text1"/>
          <w:kern w:val="0"/>
          <w:sz w:val="24"/>
          <w:highlight w:val="none"/>
          <w:lang w:val="zh-CN"/>
          <w14:textFill>
            <w14:solidFill>
              <w14:schemeClr w14:val="tx1"/>
            </w14:solidFill>
          </w14:textFill>
        </w:rPr>
      </w:pPr>
    </w:p>
    <w:p w14:paraId="0147FEBE">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1EA920D9">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w:t>
      </w:r>
    </w:p>
    <w:p w14:paraId="0094A7DD">
      <w:pPr>
        <w:snapToGrid w:val="0"/>
        <w:spacing w:line="360" w:lineRule="auto"/>
        <w:ind w:firstLine="576"/>
        <w:jc w:val="center"/>
        <w:rPr>
          <w:rFonts w:hint="eastAsia" w:ascii="仿宋" w:hAnsi="仿宋" w:eastAsia="仿宋" w:cs="仿宋"/>
          <w:color w:val="000000" w:themeColor="text1"/>
          <w:sz w:val="28"/>
          <w:szCs w:val="28"/>
          <w:highlight w:val="none"/>
          <w14:textFill>
            <w14:solidFill>
              <w14:schemeClr w14:val="tx1"/>
            </w14:solidFill>
          </w14:textFill>
        </w:rPr>
      </w:pPr>
    </w:p>
    <w:p w14:paraId="1E456EE5">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59F1593D">
      <w:pP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四</w:t>
      </w:r>
      <w:r>
        <w:rPr>
          <w:rFonts w:hint="eastAsia" w:ascii="仿宋" w:hAnsi="仿宋" w:eastAsia="仿宋" w:cs="仿宋"/>
          <w:b/>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14:textFill>
            <w14:solidFill>
              <w14:schemeClr w14:val="tx1"/>
            </w14:solidFill>
          </w14:textFill>
        </w:rPr>
        <w:t>分包意向协议（如果有）</w:t>
      </w:r>
    </w:p>
    <w:p w14:paraId="7F518632">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422134C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（项目名称）【项目编号：（采购编号）】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的成交供应商，将依法采取分包方式履行合同。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460BB95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7F6CFD1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（分包供应商2名称），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625AC8D2">
      <w:pPr>
        <w:pStyle w:val="3"/>
        <w:tabs>
          <w:tab w:val="left" w:pos="432"/>
        </w:tabs>
        <w:ind w:left="664" w:leftChars="316" w:firstLine="229" w:firstLineChars="95"/>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14:paraId="45D631CF">
      <w:pPr>
        <w:ind w:firstLine="30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07B6BC4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二、分包供应商中小企业合同份额（如果有）</w:t>
      </w:r>
    </w:p>
    <w:p w14:paraId="0C0E5DEB">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（分包供应商X,……）提供的服务全部由小微企业承接，</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2D577819">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要求合同分包形式参加的项目或采购包，供应商按磋商文件第一部分竞争性磋商邀请公告申请人的资格要求中规定的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1D22BAC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13144378">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1CDBEF0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320AA72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6442AA7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1B1CDD9E">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2BB545F1">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105BB94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7CFF62E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5A6581F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1B8D858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516248A3">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                                           供应商名称(电子签名)：</w:t>
      </w:r>
    </w:p>
    <w:p w14:paraId="4F235E42">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187C8F36">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5BB9DB24">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E0A00C4">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00048655">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五</w:t>
      </w:r>
      <w:r>
        <w:rPr>
          <w:rFonts w:hint="eastAsia" w:ascii="仿宋" w:hAnsi="仿宋" w:eastAsia="仿宋" w:cs="仿宋"/>
          <w:b/>
          <w:color w:val="000000" w:themeColor="text1"/>
          <w:sz w:val="32"/>
          <w:szCs w:val="32"/>
          <w:highlight w:val="none"/>
          <w14:textFill>
            <w14:solidFill>
              <w14:schemeClr w14:val="tx1"/>
            </w14:solidFill>
          </w14:textFill>
        </w:rPr>
        <w:t>、所有资信文件（复印件）</w:t>
      </w:r>
    </w:p>
    <w:p w14:paraId="6D4E8B48">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7A06B1C1">
      <w:pPr>
        <w:spacing w:line="360" w:lineRule="auto"/>
        <w:jc w:val="center"/>
        <w:rPr>
          <w:rFonts w:hint="eastAsia" w:ascii="仿宋" w:hAnsi="仿宋" w:eastAsia="仿宋" w:cs="仿宋"/>
          <w:b/>
          <w:color w:val="000000" w:themeColor="text1"/>
          <w:sz w:val="30"/>
          <w:szCs w:val="30"/>
          <w:highlight w:val="none"/>
          <w14:textFill>
            <w14:solidFill>
              <w14:schemeClr w14:val="tx1"/>
            </w14:solidFill>
          </w14:textFill>
        </w:rPr>
      </w:pPr>
    </w:p>
    <w:p w14:paraId="261341AB">
      <w:pPr>
        <w:snapToGrid w:val="0"/>
        <w:spacing w:line="360" w:lineRule="auto"/>
        <w:ind w:firstLine="5160" w:firstLineChars="215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569B2C39">
      <w:pPr>
        <w:snapToGrid w:val="0"/>
        <w:spacing w:line="360" w:lineRule="auto"/>
        <w:ind w:firstLine="5160" w:firstLineChars="215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26E49ACA">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5A1E21">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主要业绩证明</w:t>
      </w:r>
    </w:p>
    <w:p w14:paraId="5E67831B">
      <w:pPr>
        <w:autoSpaceDE w:val="0"/>
        <w:autoSpaceDN w:val="0"/>
        <w:spacing w:line="360" w:lineRule="auto"/>
        <w:ind w:firstLine="12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1AB2C37">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3F7FA6E">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B242D0B">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w:t>
            </w:r>
          </w:p>
          <w:p w14:paraId="248FDF7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85176FE">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DB8D793">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w:t>
            </w:r>
          </w:p>
          <w:p w14:paraId="76E2E49D">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投资</w:t>
            </w:r>
          </w:p>
          <w:p w14:paraId="7953EE0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41E7042">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1BC15D9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9B99B0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所在页码</w:t>
            </w:r>
          </w:p>
        </w:tc>
      </w:tr>
      <w:tr w14:paraId="3F9AA450">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A06C92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6C88E67E">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3611DBD1">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03F0F13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16BA2CF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6793935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3B674E6">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2DB82E82">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0E7AFC8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49E80DF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2A91E59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39D078B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5DF05B1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4A6B16A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4BE7B93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61DCE22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1B0C68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64B93DF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389B84BD">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4D314CD1">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56024BB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36135AB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17CA2C81">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2CDFC48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BF74291">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0E8C3C1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239F606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7B33F8A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7084B90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3F82670D">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3EE4302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3973887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1E3110D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5A610D9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6509B41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0DEE44B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1312C36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708C0FC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1548EC8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4EC5546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注：供应商可按上述的格式自行编制，须随表提交相应的合同复印件和用户单位验收证明并注明所在文件页码。</w:t>
      </w:r>
    </w:p>
    <w:p w14:paraId="5F3881C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05386583">
      <w:pPr>
        <w:autoSpaceDE w:val="0"/>
        <w:autoSpaceDN w:val="0"/>
        <w:spacing w:line="360" w:lineRule="auto"/>
        <w:ind w:firstLine="5280" w:firstLineChars="2200"/>
        <w:rPr>
          <w:rFonts w:hint="eastAsia" w:ascii="仿宋" w:hAnsi="仿宋" w:eastAsia="仿宋" w:cs="仿宋"/>
          <w:color w:val="000000" w:themeColor="text1"/>
          <w:kern w:val="0"/>
          <w:sz w:val="24"/>
          <w:highlight w:val="none"/>
          <w14:textFill>
            <w14:solidFill>
              <w14:schemeClr w14:val="tx1"/>
            </w14:solidFill>
          </w14:textFill>
        </w:rPr>
      </w:pPr>
    </w:p>
    <w:p w14:paraId="2B9E7AD3">
      <w:pPr>
        <w:autoSpaceDE w:val="0"/>
        <w:autoSpaceDN w:val="0"/>
        <w:spacing w:line="360" w:lineRule="auto"/>
        <w:ind w:firstLine="5280" w:firstLineChars="2200"/>
        <w:rPr>
          <w:rFonts w:hint="eastAsia" w:ascii="仿宋" w:hAnsi="仿宋" w:eastAsia="仿宋" w:cs="仿宋"/>
          <w:color w:val="000000" w:themeColor="text1"/>
          <w:kern w:val="0"/>
          <w:sz w:val="24"/>
          <w:highlight w:val="none"/>
          <w14:textFill>
            <w14:solidFill>
              <w14:schemeClr w14:val="tx1"/>
            </w14:solidFill>
          </w14:textFill>
        </w:rPr>
      </w:pPr>
    </w:p>
    <w:p w14:paraId="253DDDA1">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7E342965">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3EA754D3">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七、关于</w:t>
      </w:r>
      <w:r>
        <w:rPr>
          <w:rFonts w:hint="eastAsia" w:ascii="仿宋" w:hAnsi="仿宋" w:eastAsia="仿宋" w:cs="仿宋"/>
          <w:b/>
          <w:color w:val="000000" w:themeColor="text1"/>
          <w:kern w:val="0"/>
          <w:sz w:val="32"/>
          <w:szCs w:val="32"/>
          <w:highlight w:val="none"/>
          <w:lang w:val="zh-CN"/>
          <w14:textFill>
            <w14:solidFill>
              <w14:schemeClr w14:val="tx1"/>
            </w14:solidFill>
          </w14:textFill>
        </w:rPr>
        <w:t>对磋商文件中有关条款的拒绝声明</w:t>
      </w:r>
    </w:p>
    <w:p w14:paraId="22B502F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1988901B">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2E361465">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7F8BFA5C">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1397CFAD">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2EE1B47C">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6E634C4C">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05F959C6">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25441D76">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八、认为需要的</w:t>
      </w:r>
      <w:r>
        <w:rPr>
          <w:rFonts w:hint="eastAsia" w:ascii="仿宋" w:hAnsi="仿宋" w:eastAsia="仿宋" w:cs="仿宋"/>
          <w:b/>
          <w:color w:val="000000" w:themeColor="text1"/>
          <w:kern w:val="0"/>
          <w:sz w:val="32"/>
          <w:szCs w:val="32"/>
          <w:highlight w:val="none"/>
          <w:lang w:val="zh-CN"/>
          <w14:textFill>
            <w14:solidFill>
              <w14:schemeClr w14:val="tx1"/>
            </w14:solidFill>
          </w14:textFill>
        </w:rPr>
        <w:t>其他商务文件或说明</w:t>
      </w:r>
    </w:p>
    <w:p w14:paraId="6A5940C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19ADF9F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AEDE110">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6CE8F64B">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3B57140F">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6E29E383">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688D86F8">
      <w:pPr>
        <w:spacing w:line="360" w:lineRule="auto"/>
        <w:rPr>
          <w:rFonts w:hint="eastAsia" w:ascii="仿宋" w:hAnsi="仿宋" w:eastAsia="仿宋" w:cs="仿宋"/>
          <w:b/>
          <w:bCs/>
          <w:color w:val="000000" w:themeColor="text1"/>
          <w:kern w:val="0"/>
          <w:sz w:val="24"/>
          <w:highlight w:val="none"/>
          <w14:textFill>
            <w14:solidFill>
              <w14:schemeClr w14:val="tx1"/>
            </w14:solidFill>
          </w14:textFill>
        </w:rPr>
      </w:pPr>
    </w:p>
    <w:p w14:paraId="64666B35">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3F2A7D8D">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九、技术解决方案</w:t>
      </w:r>
    </w:p>
    <w:p w14:paraId="605AD3A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22A69CD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409FF832">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73B683E9">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4A8D26B9">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669F748">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4D304AAF">
      <w:pPr>
        <w:tabs>
          <w:tab w:val="left" w:pos="2790"/>
          <w:tab w:val="left" w:pos="4230"/>
        </w:tabs>
        <w:autoSpaceDE w:val="0"/>
        <w:autoSpaceDN w:val="0"/>
        <w:spacing w:line="360" w:lineRule="auto"/>
        <w:ind w:right="1400"/>
        <w:jc w:val="center"/>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b/>
          <w:bCs/>
          <w:color w:val="000000" w:themeColor="text1"/>
          <w:kern w:val="0"/>
          <w:sz w:val="24"/>
          <w:highlight w:val="none"/>
          <w:lang w:val="zh-CN"/>
          <w14:textFill>
            <w14:solidFill>
              <w14:schemeClr w14:val="tx1"/>
            </w14:solidFill>
          </w14:textFill>
        </w:rPr>
        <w:t xml:space="preserve">       </w:t>
      </w:r>
    </w:p>
    <w:p w14:paraId="1014D372">
      <w:pPr>
        <w:snapToGrid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响应产品规格配置清单</w:t>
      </w:r>
    </w:p>
    <w:tbl>
      <w:tblPr>
        <w:tblStyle w:val="6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E20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36C9119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531" w:type="dxa"/>
            <w:vAlign w:val="center"/>
          </w:tcPr>
          <w:p w14:paraId="298FBD1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设备名称</w:t>
            </w:r>
          </w:p>
        </w:tc>
        <w:tc>
          <w:tcPr>
            <w:tcW w:w="2160" w:type="dxa"/>
            <w:vAlign w:val="center"/>
          </w:tcPr>
          <w:p w14:paraId="3411AB5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响应品牌及型号</w:t>
            </w:r>
          </w:p>
        </w:tc>
        <w:tc>
          <w:tcPr>
            <w:tcW w:w="2340" w:type="dxa"/>
            <w:vAlign w:val="center"/>
          </w:tcPr>
          <w:p w14:paraId="270BAF9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1080" w:type="dxa"/>
            <w:vAlign w:val="center"/>
          </w:tcPr>
          <w:p w14:paraId="525F92D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332" w:type="dxa"/>
            <w:vAlign w:val="center"/>
          </w:tcPr>
          <w:p w14:paraId="7760D6C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606A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2637BE3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531" w:type="dxa"/>
            <w:vAlign w:val="center"/>
          </w:tcPr>
          <w:p w14:paraId="32EB860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60" w:type="dxa"/>
            <w:vAlign w:val="center"/>
          </w:tcPr>
          <w:p w14:paraId="4500FA4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340" w:type="dxa"/>
            <w:vAlign w:val="center"/>
          </w:tcPr>
          <w:p w14:paraId="5B53369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80" w:type="dxa"/>
            <w:vAlign w:val="center"/>
          </w:tcPr>
          <w:p w14:paraId="6BD6885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vAlign w:val="center"/>
          </w:tcPr>
          <w:p w14:paraId="04674B0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55D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1A39EAA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531" w:type="dxa"/>
            <w:vAlign w:val="center"/>
          </w:tcPr>
          <w:p w14:paraId="13E2755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60" w:type="dxa"/>
            <w:vAlign w:val="center"/>
          </w:tcPr>
          <w:p w14:paraId="1524246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340" w:type="dxa"/>
            <w:vAlign w:val="center"/>
          </w:tcPr>
          <w:p w14:paraId="3DFFF9E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80" w:type="dxa"/>
            <w:vAlign w:val="center"/>
          </w:tcPr>
          <w:p w14:paraId="2F62CE9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vAlign w:val="center"/>
          </w:tcPr>
          <w:p w14:paraId="314B1B4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137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2E8BF9B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531" w:type="dxa"/>
            <w:vAlign w:val="center"/>
          </w:tcPr>
          <w:p w14:paraId="5B86056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60" w:type="dxa"/>
            <w:vAlign w:val="center"/>
          </w:tcPr>
          <w:p w14:paraId="043CB70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340" w:type="dxa"/>
            <w:vAlign w:val="center"/>
          </w:tcPr>
          <w:p w14:paraId="03CA063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80" w:type="dxa"/>
            <w:vAlign w:val="center"/>
          </w:tcPr>
          <w:p w14:paraId="6564E07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vAlign w:val="center"/>
          </w:tcPr>
          <w:p w14:paraId="1F2B0BE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AEA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4E08962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531" w:type="dxa"/>
            <w:vAlign w:val="center"/>
          </w:tcPr>
          <w:p w14:paraId="064D684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60" w:type="dxa"/>
            <w:vAlign w:val="center"/>
          </w:tcPr>
          <w:p w14:paraId="18820A0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340" w:type="dxa"/>
            <w:vAlign w:val="center"/>
          </w:tcPr>
          <w:p w14:paraId="7E27066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80" w:type="dxa"/>
            <w:vAlign w:val="center"/>
          </w:tcPr>
          <w:p w14:paraId="76DCB3A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vAlign w:val="center"/>
          </w:tcPr>
          <w:p w14:paraId="5AFBAF3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B32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008BE0F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531" w:type="dxa"/>
            <w:vAlign w:val="center"/>
          </w:tcPr>
          <w:p w14:paraId="4080923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60" w:type="dxa"/>
            <w:vAlign w:val="center"/>
          </w:tcPr>
          <w:p w14:paraId="66C236F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340" w:type="dxa"/>
            <w:vAlign w:val="center"/>
          </w:tcPr>
          <w:p w14:paraId="467EAF9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80" w:type="dxa"/>
            <w:vAlign w:val="center"/>
          </w:tcPr>
          <w:p w14:paraId="41D016B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vAlign w:val="center"/>
          </w:tcPr>
          <w:p w14:paraId="66922D8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78CD6E89">
      <w:pPr>
        <w:autoSpaceDE w:val="0"/>
        <w:autoSpaceDN w:val="0"/>
        <w:spacing w:line="360" w:lineRule="auto"/>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注：</w:t>
      </w:r>
      <w:r>
        <w:rPr>
          <w:rFonts w:hint="eastAsia" w:ascii="仿宋" w:hAnsi="仿宋" w:eastAsia="仿宋" w:cs="仿宋"/>
          <w:b/>
          <w:color w:val="000000" w:themeColor="text1"/>
          <w:sz w:val="28"/>
          <w:szCs w:val="28"/>
          <w:highlight w:val="none"/>
          <w14:textFill>
            <w14:solidFill>
              <w14:schemeClr w14:val="tx1"/>
            </w14:solidFill>
          </w14:textFill>
        </w:rPr>
        <w:t>如果本项目涉及硬件设备采购，须在响应文件中提供此配置清单。</w:t>
      </w:r>
    </w:p>
    <w:p w14:paraId="2AC9FFB7">
      <w:pPr>
        <w:spacing w:line="360" w:lineRule="auto"/>
        <w:ind w:firstLine="1333" w:firstLineChars="400"/>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5A858019">
      <w:pPr>
        <w:spacing w:line="360" w:lineRule="auto"/>
        <w:ind w:firstLine="1333" w:firstLineChars="400"/>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7D35C45D">
      <w:pPr>
        <w:spacing w:line="360" w:lineRule="auto"/>
        <w:ind w:firstLine="1333" w:firstLineChars="400"/>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节能产品认证证书（电子签名）</w:t>
      </w:r>
    </w:p>
    <w:p w14:paraId="28364089">
      <w:pPr>
        <w:spacing w:line="360" w:lineRule="auto"/>
        <w:ind w:firstLine="1333" w:firstLineChars="400"/>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136A1177">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w:t>
      </w:r>
    </w:p>
    <w:p w14:paraId="4A131E89">
      <w:pPr>
        <w:spacing w:line="360" w:lineRule="auto"/>
        <w:ind w:firstLine="1000" w:firstLineChars="300"/>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环境标志产品认证证书（电子签名）</w:t>
      </w:r>
    </w:p>
    <w:p w14:paraId="1C8AB143">
      <w:pPr>
        <w:autoSpaceDE w:val="0"/>
        <w:autoSpaceDN w:val="0"/>
        <w:spacing w:line="360" w:lineRule="auto"/>
        <w:rPr>
          <w:rFonts w:hint="eastAsia" w:ascii="仿宋" w:hAnsi="仿宋" w:eastAsia="仿宋" w:cs="仿宋"/>
          <w:b/>
          <w:color w:val="000000" w:themeColor="text1"/>
          <w:kern w:val="0"/>
          <w:sz w:val="28"/>
          <w:szCs w:val="28"/>
          <w:highlight w:val="none"/>
          <w14:textFill>
            <w14:solidFill>
              <w14:schemeClr w14:val="tx1"/>
            </w14:solidFill>
          </w14:textFill>
        </w:rPr>
      </w:pPr>
    </w:p>
    <w:p w14:paraId="20F6141F">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4FCAEF1D">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5C946BDF">
      <w:pPr>
        <w:tabs>
          <w:tab w:val="left" w:pos="2790"/>
          <w:tab w:val="left" w:pos="4230"/>
        </w:tabs>
        <w:autoSpaceDE w:val="0"/>
        <w:autoSpaceDN w:val="0"/>
        <w:spacing w:line="360" w:lineRule="auto"/>
        <w:ind w:right="1400"/>
        <w:jc w:val="center"/>
        <w:rPr>
          <w:rFonts w:hint="eastAsia" w:ascii="仿宋" w:hAnsi="仿宋" w:eastAsia="仿宋" w:cs="仿宋"/>
          <w:b/>
          <w:bCs/>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kern w:val="0"/>
          <w:sz w:val="32"/>
          <w:szCs w:val="32"/>
          <w:highlight w:val="none"/>
          <w:lang w:val="zh-CN"/>
          <w14:textFill>
            <w14:solidFill>
              <w14:schemeClr w14:val="tx1"/>
            </w14:solidFill>
          </w14:textFill>
        </w:rPr>
        <w:t>十、组织实施方案</w:t>
      </w:r>
    </w:p>
    <w:p w14:paraId="3B098FC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54244F69">
      <w:pPr>
        <w:tabs>
          <w:tab w:val="left" w:pos="2790"/>
          <w:tab w:val="left" w:pos="4230"/>
        </w:tabs>
        <w:autoSpaceDE w:val="0"/>
        <w:autoSpaceDN w:val="0"/>
        <w:spacing w:line="360" w:lineRule="auto"/>
        <w:ind w:right="14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b/>
          <w:bCs/>
          <w:color w:val="000000" w:themeColor="text1"/>
          <w:kern w:val="0"/>
          <w:sz w:val="24"/>
          <w:highlight w:val="none"/>
          <w:lang w:val="zh-CN"/>
          <w14:textFill>
            <w14:solidFill>
              <w14:schemeClr w14:val="tx1"/>
            </w14:solidFill>
          </w14:textFill>
        </w:rPr>
        <w:t>附表:项目实施进度计划表</w:t>
      </w:r>
      <w:r>
        <w:rPr>
          <w:rFonts w:hint="eastAsia" w:ascii="仿宋" w:hAnsi="仿宋" w:eastAsia="仿宋" w:cs="仿宋"/>
          <w:b/>
          <w:color w:val="000000" w:themeColor="text1"/>
          <w:sz w:val="24"/>
          <w:highlight w:val="none"/>
          <w14:textFill>
            <w14:solidFill>
              <w14:schemeClr w14:val="tx1"/>
            </w14:solidFill>
          </w14:textFill>
        </w:rPr>
        <w:t xml:space="preserve">(以生效日算起) </w:t>
      </w:r>
    </w:p>
    <w:tbl>
      <w:tblPr>
        <w:tblStyle w:val="61"/>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DD5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188" w:type="dxa"/>
            <w:vAlign w:val="center"/>
          </w:tcPr>
          <w:p w14:paraId="70B91B5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3FD5C5D">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29A5AAD">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D86FC4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3FD5C5D">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29A5AAD">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D86FC44">
                              <w:pPr>
                                <w:snapToGrid w:val="0"/>
                              </w:pPr>
                              <w:r>
                                <w:rPr>
                                  <w:rFonts w:hint="eastAsia"/>
                                </w:rPr>
                                <w:t>日</w:t>
                              </w:r>
                            </w:p>
                          </w:txbxContent>
                        </v:textbox>
                      </v:shape>
                    </v:group>
                  </w:pict>
                </mc:Fallback>
              </mc:AlternateContent>
            </w:r>
          </w:p>
          <w:p w14:paraId="5DB71F01">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3AF1C8BF">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0AC126C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内容</w:t>
            </w:r>
          </w:p>
        </w:tc>
        <w:tc>
          <w:tcPr>
            <w:tcW w:w="552" w:type="dxa"/>
            <w:vAlign w:val="center"/>
          </w:tcPr>
          <w:p w14:paraId="2CC99C6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552" w:type="dxa"/>
            <w:vAlign w:val="center"/>
          </w:tcPr>
          <w:p w14:paraId="161B4E3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552" w:type="dxa"/>
            <w:vAlign w:val="center"/>
          </w:tcPr>
          <w:p w14:paraId="69B52DF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552" w:type="dxa"/>
            <w:vAlign w:val="center"/>
          </w:tcPr>
          <w:p w14:paraId="7F839E0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552" w:type="dxa"/>
            <w:vAlign w:val="center"/>
          </w:tcPr>
          <w:p w14:paraId="360D457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552" w:type="dxa"/>
            <w:vAlign w:val="center"/>
          </w:tcPr>
          <w:p w14:paraId="1BC7AAC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553" w:type="dxa"/>
            <w:vAlign w:val="center"/>
          </w:tcPr>
          <w:p w14:paraId="0B75F52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553" w:type="dxa"/>
            <w:vAlign w:val="center"/>
          </w:tcPr>
          <w:p w14:paraId="21E109B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553" w:type="dxa"/>
            <w:vAlign w:val="center"/>
          </w:tcPr>
          <w:p w14:paraId="5896F3F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553" w:type="dxa"/>
            <w:vAlign w:val="center"/>
          </w:tcPr>
          <w:p w14:paraId="1DCC18B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553" w:type="dxa"/>
            <w:vAlign w:val="center"/>
          </w:tcPr>
          <w:p w14:paraId="7FFCE54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553" w:type="dxa"/>
            <w:vAlign w:val="center"/>
          </w:tcPr>
          <w:p w14:paraId="478A369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553" w:type="dxa"/>
            <w:vAlign w:val="center"/>
          </w:tcPr>
          <w:p w14:paraId="004CCCD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553" w:type="dxa"/>
            <w:vAlign w:val="center"/>
          </w:tcPr>
          <w:p w14:paraId="4AA4C57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553" w:type="dxa"/>
            <w:vAlign w:val="center"/>
          </w:tcPr>
          <w:p w14:paraId="3223635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553" w:type="dxa"/>
            <w:vAlign w:val="center"/>
          </w:tcPr>
          <w:p w14:paraId="009F0EB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r w14:paraId="7FB4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35DAF29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D0B011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648B9D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DD8941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18AB61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26B35C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4EE40C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BCCF6F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12333E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F62840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64E84E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ED04C4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E02CC5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9555C0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633D3B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988B91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60F1F3C">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3881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FD0FA6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E195FC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F85268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4C40CC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182A75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BA3A2F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D365FC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16BF44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FAEF6A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5F036B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482882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FAE686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930C83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12542E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64E09B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A78DC1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8302CDB">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E80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8AC3BE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EDBFD2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62911A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A72297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FA1700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21ACAB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26C73A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00B331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BE4E02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BD7CCD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1CBF41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463C2F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E95377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FE7D24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AABB4B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326FFB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7703A4D">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1232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C479F5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119793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9BE40A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ED8C5D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96FEC9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6B74F2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B118FD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648A0B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5A7A05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FEC7D7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C1433F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E6E357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8E7367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459650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8E494C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30C6D5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F7E8B94">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6F30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BC11CD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8C78CA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4EBDA7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B5A6B1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F18822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F7B5A6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2082DA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DC267E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80BC11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628243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234711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D58E35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4FFAF8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3DFD66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3A6C39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04C9B4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776E273">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1E22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F37522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60E2BF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68B5A7A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1962DA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EF92D3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62DA09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1FFB4B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E0305F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980CDF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59543A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65B126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16A4E5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4DE423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FC7F9E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FB4092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A42225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ED2D0A3">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6105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D095E7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62D30A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BC6430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4720B5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D88462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B66360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5D83E6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BC9893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555D3C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A082EB7">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A49B47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9B84BA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105B27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ECD829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372945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C3B353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59094C8">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17C8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DA2DA6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98211B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A5A1F2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BA0931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5F5DAC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B8AFA8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8C9501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513C53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9A5691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1E9580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B463C0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25362A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D847F0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C92862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1664A7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BF6888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0E24ECF">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DAC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198AE6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9AA829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139142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55418A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AA3638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208A64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E7E414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2A1817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5C9666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9CE99B5">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65855D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59F561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837A1A4">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114992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243C62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FADE0B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5953EDC">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7CA4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3F3C78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51342BB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62288E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41445C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B1AD00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03717D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7B778F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9E8C8B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8C5963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4905F1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710CAF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2C7E13B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368E28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5D7DD7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3BEBB0B">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F083126">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46E672FB">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43A6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5C99EE0">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48B1B583">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19BBC45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78573DD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02E7BD32">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2529AA11">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2" w:type="dxa"/>
          </w:tcPr>
          <w:p w14:paraId="338CFD9C">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518FD9E">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79E0E0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BA5B5C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550FB78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06F62B8">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02D2F0D9">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7BEBD99F">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322F395A">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6AF0AD7D">
            <w:pPr>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53" w:type="dxa"/>
          </w:tcPr>
          <w:p w14:paraId="1C28045A">
            <w:pPr>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7FB4ACBF">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注：供应商可按上述时间表的格式自行编制切合实际的具体时间表。</w:t>
      </w:r>
    </w:p>
    <w:p w14:paraId="09F4BAF3">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p>
    <w:p w14:paraId="0B2094C3">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21CCB26B">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643ACFAC">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6F88F655">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十一、售后服务方案</w:t>
      </w:r>
    </w:p>
    <w:p w14:paraId="66C80792">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w:t>
      </w:r>
      <w:r>
        <w:rPr>
          <w:rFonts w:hint="eastAsia" w:ascii="仿宋" w:hAnsi="仿宋" w:eastAsia="仿宋" w:cs="仿宋"/>
          <w:color w:val="000000" w:themeColor="text1"/>
          <w:kern w:val="0"/>
          <w:sz w:val="24"/>
          <w:highlight w:val="none"/>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根据采购需求及磋商文件要求编制）</w:t>
      </w:r>
    </w:p>
    <w:p w14:paraId="2C372B2C">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3E64FB63">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72BA71B5">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22D30B3">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十二、项目小组人员名单</w:t>
      </w:r>
    </w:p>
    <w:p w14:paraId="3B80ACD4">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7DB52CB1">
      <w:pPr>
        <w:keepNext/>
        <w:autoSpaceDE w:val="0"/>
        <w:autoSpaceDN w:val="0"/>
        <w:spacing w:line="360" w:lineRule="auto"/>
        <w:ind w:firstLine="477"/>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附表A:本项目的项目经理情况表</w:t>
      </w:r>
    </w:p>
    <w:tbl>
      <w:tblPr>
        <w:tblStyle w:val="61"/>
        <w:tblW w:w="9286" w:type="dxa"/>
        <w:jc w:val="center"/>
        <w:tblLayout w:type="fixed"/>
        <w:tblCellMar>
          <w:top w:w="0" w:type="dxa"/>
          <w:left w:w="108" w:type="dxa"/>
          <w:bottom w:w="0" w:type="dxa"/>
          <w:right w:w="108" w:type="dxa"/>
        </w:tblCellMar>
      </w:tblPr>
      <w:tblGrid>
        <w:gridCol w:w="2554"/>
        <w:gridCol w:w="1595"/>
        <w:gridCol w:w="5137"/>
      </w:tblGrid>
      <w:tr w14:paraId="7D9D1F9B">
        <w:tblPrEx>
          <w:tblCellMar>
            <w:top w:w="0" w:type="dxa"/>
            <w:left w:w="108" w:type="dxa"/>
            <w:bottom w:w="0" w:type="dxa"/>
            <w:right w:w="108" w:type="dxa"/>
          </w:tblCellMar>
        </w:tblPrEx>
        <w:trPr>
          <w:trHeight w:val="604" w:hRule="atLeast"/>
          <w:jc w:val="center"/>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0D370A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4F09FE92">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14:paraId="4E678D5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响应截止时间近3年业绩及承担的主要工作情况，曾担任项目经理的项目应列明细</w:t>
            </w:r>
          </w:p>
        </w:tc>
      </w:tr>
      <w:tr w14:paraId="5B644FD6">
        <w:tblPrEx>
          <w:tblCellMar>
            <w:top w:w="0" w:type="dxa"/>
            <w:left w:w="108" w:type="dxa"/>
            <w:bottom w:w="0" w:type="dxa"/>
            <w:right w:w="108" w:type="dxa"/>
          </w:tblCellMar>
        </w:tblPrEx>
        <w:trPr>
          <w:cantSplit/>
          <w:trHeight w:val="345"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21E15F66">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67330F8">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6A6D17B8">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5ED1912">
        <w:tblPrEx>
          <w:tblCellMar>
            <w:top w:w="0" w:type="dxa"/>
            <w:left w:w="108" w:type="dxa"/>
            <w:bottom w:w="0" w:type="dxa"/>
            <w:right w:w="108" w:type="dxa"/>
          </w:tblCellMar>
        </w:tblPrEx>
        <w:trPr>
          <w:cantSplit/>
          <w:trHeight w:val="337"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002BA91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2477574">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3BF573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93134A2">
        <w:tblPrEx>
          <w:tblCellMar>
            <w:top w:w="0" w:type="dxa"/>
            <w:left w:w="108" w:type="dxa"/>
            <w:bottom w:w="0" w:type="dxa"/>
            <w:right w:w="108" w:type="dxa"/>
          </w:tblCellMar>
        </w:tblPrEx>
        <w:trPr>
          <w:cantSplit/>
          <w:trHeight w:val="345"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524D3BC3">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5981BA0">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D0F7D9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650442A7">
        <w:tblPrEx>
          <w:tblCellMar>
            <w:top w:w="0" w:type="dxa"/>
            <w:left w:w="108" w:type="dxa"/>
            <w:bottom w:w="0" w:type="dxa"/>
            <w:right w:w="108" w:type="dxa"/>
          </w:tblCellMar>
        </w:tblPrEx>
        <w:trPr>
          <w:cantSplit/>
          <w:trHeight w:val="345"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0518C73B">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60E4DB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30642B6">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DAB0350">
        <w:tblPrEx>
          <w:tblCellMar>
            <w:top w:w="0" w:type="dxa"/>
            <w:left w:w="108" w:type="dxa"/>
            <w:bottom w:w="0" w:type="dxa"/>
            <w:right w:w="108" w:type="dxa"/>
          </w:tblCellMar>
        </w:tblPrEx>
        <w:trPr>
          <w:cantSplit/>
          <w:trHeight w:val="422"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04F22A09">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7F3F4C3">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D74622">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54C27A9">
        <w:tblPrEx>
          <w:tblCellMar>
            <w:top w:w="0" w:type="dxa"/>
            <w:left w:w="108" w:type="dxa"/>
            <w:bottom w:w="0" w:type="dxa"/>
            <w:right w:w="108" w:type="dxa"/>
          </w:tblCellMar>
        </w:tblPrEx>
        <w:trPr>
          <w:cantSplit/>
          <w:trHeight w:val="416"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3A7BA554">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DCB0DD6">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7B43FE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698EE5DC">
        <w:tblPrEx>
          <w:tblCellMar>
            <w:top w:w="0" w:type="dxa"/>
            <w:left w:w="108" w:type="dxa"/>
            <w:bottom w:w="0" w:type="dxa"/>
            <w:right w:w="108" w:type="dxa"/>
          </w:tblCellMar>
        </w:tblPrEx>
        <w:trPr>
          <w:cantSplit/>
          <w:trHeight w:val="200"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4F944533">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112A8F8B">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26AA4D">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C2C6CC7">
        <w:tblPrEx>
          <w:tblCellMar>
            <w:top w:w="0" w:type="dxa"/>
            <w:left w:w="108" w:type="dxa"/>
            <w:bottom w:w="0" w:type="dxa"/>
            <w:right w:w="108" w:type="dxa"/>
          </w:tblCellMar>
        </w:tblPrEx>
        <w:trPr>
          <w:cantSplit/>
          <w:trHeight w:val="177"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45B7591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6BBD23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FB47EDE">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C352AA3">
        <w:tblPrEx>
          <w:tblCellMar>
            <w:top w:w="0" w:type="dxa"/>
            <w:left w:w="108" w:type="dxa"/>
            <w:bottom w:w="0" w:type="dxa"/>
            <w:right w:w="108" w:type="dxa"/>
          </w:tblCellMar>
        </w:tblPrEx>
        <w:trPr>
          <w:cantSplit/>
          <w:trHeight w:val="473" w:hRule="atLeast"/>
          <w:jc w:val="center"/>
        </w:trPr>
        <w:tc>
          <w:tcPr>
            <w:tcW w:w="2554" w:type="dxa"/>
            <w:tcBorders>
              <w:top w:val="single" w:color="auto" w:sz="6" w:space="0"/>
              <w:left w:val="single" w:color="auto" w:sz="6" w:space="0"/>
              <w:bottom w:val="single" w:color="auto" w:sz="6" w:space="0"/>
              <w:right w:val="single" w:color="auto" w:sz="6" w:space="0"/>
            </w:tcBorders>
            <w:vAlign w:val="center"/>
          </w:tcPr>
          <w:p w14:paraId="230F2EB0">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BE507E6">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5C54D2C">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508EFCC6">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注：须随表提交相应的证书复印件并注明所在响应文件页码。</w:t>
      </w:r>
    </w:p>
    <w:p w14:paraId="65E42BA0">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附表B:本项目的项目小组人员情况表</w:t>
      </w:r>
      <w:r>
        <w:rPr>
          <w:rFonts w:hint="eastAsia" w:ascii="仿宋" w:hAnsi="仿宋" w:eastAsia="仿宋" w:cs="仿宋"/>
          <w:color w:val="000000" w:themeColor="text1"/>
          <w:sz w:val="24"/>
          <w:highlight w:val="none"/>
          <w14:textFill>
            <w14:solidFill>
              <w14:schemeClr w14:val="tx1"/>
            </w14:solidFill>
          </w14:textFill>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C5C9A86">
        <w:tc>
          <w:tcPr>
            <w:tcW w:w="420" w:type="dxa"/>
            <w:tcBorders>
              <w:top w:val="single" w:color="auto" w:sz="6" w:space="0"/>
              <w:left w:val="single" w:color="auto" w:sz="6" w:space="0"/>
              <w:bottom w:val="single" w:color="auto" w:sz="6" w:space="0"/>
              <w:right w:val="single" w:color="auto" w:sz="6" w:space="0"/>
            </w:tcBorders>
            <w:vAlign w:val="center"/>
          </w:tcPr>
          <w:p w14:paraId="180C76E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837432E">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2CB71E2">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9BE7470">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146E76C">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学历</w:t>
            </w:r>
          </w:p>
          <w:p w14:paraId="41A12F6E">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9959C9E">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专业</w:t>
            </w:r>
          </w:p>
          <w:p w14:paraId="1FBA3E4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AD7FE6D">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职称</w:t>
            </w:r>
          </w:p>
          <w:p w14:paraId="6CE9C05D">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F8B8F47">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53E91AA">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8F65611">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参与本项目的到位情况</w:t>
            </w:r>
          </w:p>
        </w:tc>
      </w:tr>
      <w:tr w14:paraId="55DEAF5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3393DB5">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382248A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5C2EB21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7D1ED08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01CC47E4">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6D4000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211C30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AFFCDB4">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31C8338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77D21F47">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1908539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A243E68">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3C660AAE">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4E47A69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247AF5B7">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04BB1057">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1B55EB7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BC5F567">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FD47A4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37C538C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5B568E4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2EC2F481">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DDDEE7A">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5F25399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40A61D7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1318DFDE">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6647C83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42973A67">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CC3DC7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BBC250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4A47EDA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68DEFD0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54A0C604">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注：供应商可按上述的格式自行编制，须随表提交相应的证书复印件并注明所在响应文件页码。</w:t>
      </w:r>
    </w:p>
    <w:p w14:paraId="5BC2361F">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B943690">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附表C:本项目的项目经理和小组人员交纳社保记录情况表</w:t>
      </w:r>
      <w:r>
        <w:rPr>
          <w:rFonts w:hint="eastAsia" w:ascii="仿宋" w:hAnsi="仿宋" w:eastAsia="仿宋" w:cs="仿宋"/>
          <w:color w:val="000000" w:themeColor="text1"/>
          <w:sz w:val="24"/>
          <w:highlight w:val="none"/>
          <w14:textFill>
            <w14:solidFill>
              <w14:schemeClr w14:val="tx1"/>
            </w14:solidFill>
          </w14:textFill>
        </w:rPr>
        <w:t>（以社保局缴纳凭证作附件）</w:t>
      </w:r>
    </w:p>
    <w:p w14:paraId="002D1938">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131E075F">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419EEF36">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lang w:val="zh-CN"/>
          <w14:textFill>
            <w14:solidFill>
              <w14:schemeClr w14:val="tx1"/>
            </w14:solidFill>
          </w14:textFill>
        </w:rPr>
        <w:t>十三</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优惠条件及特殊承诺</w:t>
      </w:r>
    </w:p>
    <w:p w14:paraId="565C87B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1040CD4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00971B80">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0AF7276A">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34FBCA85">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3F0ADEC4">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118062F5">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十四、</w:t>
      </w:r>
      <w:r>
        <w:rPr>
          <w:rFonts w:hint="eastAsia" w:ascii="仿宋" w:hAnsi="仿宋" w:eastAsia="仿宋" w:cs="仿宋"/>
          <w:b/>
          <w:color w:val="000000" w:themeColor="text1"/>
          <w:kern w:val="0"/>
          <w:sz w:val="32"/>
          <w:szCs w:val="32"/>
          <w:highlight w:val="none"/>
          <w:lang w:val="zh-CN"/>
          <w14:textFill>
            <w14:solidFill>
              <w14:schemeClr w14:val="tx1"/>
            </w14:solidFill>
          </w14:textFill>
        </w:rPr>
        <w:t>培训计划</w:t>
      </w:r>
    </w:p>
    <w:p w14:paraId="66D4517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0AAB36DD">
      <w:pPr>
        <w:keepNext/>
        <w:autoSpaceDE w:val="0"/>
        <w:autoSpaceDN w:val="0"/>
        <w:spacing w:line="360" w:lineRule="auto"/>
        <w:ind w:firstLine="477"/>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67CD80ED">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97376E4">
            <w:pPr>
              <w:tabs>
                <w:tab w:val="center" w:pos="1690"/>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129D6A3">
            <w:pPr>
              <w:tabs>
                <w:tab w:val="center" w:pos="595"/>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提供的资料</w:t>
            </w:r>
          </w:p>
        </w:tc>
        <w:tc>
          <w:tcPr>
            <w:tcW w:w="930" w:type="dxa"/>
            <w:tcBorders>
              <w:top w:val="single" w:color="auto" w:sz="6" w:space="0"/>
              <w:left w:val="single" w:color="auto" w:sz="6" w:space="0"/>
              <w:bottom w:val="nil"/>
              <w:right w:val="nil"/>
            </w:tcBorders>
            <w:shd w:val="pct10" w:color="auto" w:fill="auto"/>
            <w:vAlign w:val="center"/>
          </w:tcPr>
          <w:p w14:paraId="15D708FD">
            <w:pPr>
              <w:tabs>
                <w:tab w:val="center" w:pos="595"/>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持续时间</w:t>
            </w:r>
          </w:p>
        </w:tc>
        <w:tc>
          <w:tcPr>
            <w:tcW w:w="953" w:type="dxa"/>
            <w:tcBorders>
              <w:top w:val="single" w:color="auto" w:sz="6" w:space="0"/>
              <w:left w:val="single" w:color="auto" w:sz="6" w:space="0"/>
              <w:bottom w:val="nil"/>
              <w:right w:val="nil"/>
            </w:tcBorders>
            <w:shd w:val="pct10" w:color="auto" w:fill="auto"/>
            <w:vAlign w:val="center"/>
          </w:tcPr>
          <w:p w14:paraId="4E996E01">
            <w:pPr>
              <w:tabs>
                <w:tab w:val="center" w:pos="1028"/>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授课教师</w:t>
            </w:r>
          </w:p>
        </w:tc>
        <w:tc>
          <w:tcPr>
            <w:tcW w:w="997" w:type="dxa"/>
            <w:tcBorders>
              <w:top w:val="single" w:color="auto" w:sz="6" w:space="0"/>
              <w:left w:val="single" w:color="auto" w:sz="6" w:space="0"/>
              <w:bottom w:val="nil"/>
              <w:right w:val="nil"/>
            </w:tcBorders>
            <w:shd w:val="pct10" w:color="auto" w:fill="auto"/>
            <w:vAlign w:val="center"/>
          </w:tcPr>
          <w:p w14:paraId="6BFC7D99">
            <w:pPr>
              <w:tabs>
                <w:tab w:val="center" w:pos="595"/>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培训对象</w:t>
            </w:r>
          </w:p>
        </w:tc>
        <w:tc>
          <w:tcPr>
            <w:tcW w:w="1440" w:type="dxa"/>
            <w:tcBorders>
              <w:top w:val="single" w:color="auto" w:sz="6" w:space="0"/>
              <w:left w:val="single" w:color="auto" w:sz="6" w:space="0"/>
              <w:bottom w:val="nil"/>
              <w:right w:val="nil"/>
            </w:tcBorders>
            <w:shd w:val="pct10" w:color="auto" w:fill="auto"/>
            <w:vAlign w:val="center"/>
          </w:tcPr>
          <w:p w14:paraId="5BA5C8CE">
            <w:pPr>
              <w:tabs>
                <w:tab w:val="center" w:pos="520"/>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6E103C3">
            <w:pPr>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课程费用</w:t>
            </w:r>
          </w:p>
        </w:tc>
      </w:tr>
      <w:tr w14:paraId="7005D272">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1D3561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4CE5BE2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36BEB05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35ABDD7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7DCE0AB2">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54D3E60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62F6A8E0">
            <w:pPr>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8165391">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55ED1A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707AA4D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7F1B740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178B7AD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253821B9">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492FB7C6">
            <w:pPr>
              <w:tabs>
                <w:tab w:val="left" w:pos="7"/>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09492BE2">
            <w:pPr>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6B20BDA2">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704D2F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6C43247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79487A1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3308EB5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26082709">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6B5DC569">
            <w:pPr>
              <w:tabs>
                <w:tab w:val="left" w:pos="7"/>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0B68E505">
            <w:pPr>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021DE291">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34AEDF1">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费用总计</w:t>
            </w:r>
          </w:p>
        </w:tc>
        <w:tc>
          <w:tcPr>
            <w:tcW w:w="1254" w:type="dxa"/>
            <w:tcBorders>
              <w:top w:val="single" w:color="auto" w:sz="6" w:space="0"/>
              <w:left w:val="single" w:color="auto" w:sz="6" w:space="0"/>
              <w:bottom w:val="single" w:color="auto" w:sz="6" w:space="0"/>
              <w:right w:val="single" w:color="auto" w:sz="6" w:space="0"/>
            </w:tcBorders>
          </w:tcPr>
          <w:p w14:paraId="0531807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tcPr>
          <w:p w14:paraId="40D97FC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single" w:color="auto" w:sz="6" w:space="0"/>
              <w:right w:val="single" w:color="auto" w:sz="6" w:space="0"/>
            </w:tcBorders>
          </w:tcPr>
          <w:p w14:paraId="7484622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single" w:color="auto" w:sz="6" w:space="0"/>
              <w:right w:val="single" w:color="auto" w:sz="6" w:space="0"/>
            </w:tcBorders>
          </w:tcPr>
          <w:p w14:paraId="0BDCE031">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14:paraId="777476C6">
            <w:pPr>
              <w:tabs>
                <w:tab w:val="left" w:pos="7"/>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tcPr>
          <w:p w14:paraId="629933CE">
            <w:pPr>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4AC85E55">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注解:A</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课程清单按时间顺序排列，并提供以下详细资料：</w:t>
      </w:r>
    </w:p>
    <w:p w14:paraId="53D9D695">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课程概要</w:t>
      </w:r>
    </w:p>
    <w:p w14:paraId="7C675136">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课程目的</w:t>
      </w:r>
    </w:p>
    <w:p w14:paraId="2F814AEC">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教学方式</w:t>
      </w:r>
    </w:p>
    <w:p w14:paraId="133F3E87">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先决条件</w:t>
      </w:r>
    </w:p>
    <w:p w14:paraId="4B69723A">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教材目录</w:t>
      </w:r>
    </w:p>
    <w:p w14:paraId="6EC8830E">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  按照附表A提供授课教师的简历</w:t>
      </w:r>
    </w:p>
    <w:p w14:paraId="53DF7F80">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注：须随表提交相应的证书复印件并注明所在响应文件页码。</w:t>
      </w:r>
    </w:p>
    <w:p w14:paraId="40C67440">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D8B8F91">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0AB38281">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1474A7E8">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70922AF3">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3CE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DF30B4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900" w:type="dxa"/>
            <w:vAlign w:val="center"/>
          </w:tcPr>
          <w:p w14:paraId="005A3BD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品牌</w:t>
            </w:r>
          </w:p>
        </w:tc>
        <w:tc>
          <w:tcPr>
            <w:tcW w:w="1800" w:type="dxa"/>
            <w:vAlign w:val="center"/>
          </w:tcPr>
          <w:p w14:paraId="45116F7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制造厂/原产地</w:t>
            </w:r>
          </w:p>
        </w:tc>
        <w:tc>
          <w:tcPr>
            <w:tcW w:w="2880" w:type="dxa"/>
            <w:vAlign w:val="center"/>
          </w:tcPr>
          <w:p w14:paraId="6724076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规格型号</w:t>
            </w:r>
          </w:p>
        </w:tc>
        <w:tc>
          <w:tcPr>
            <w:tcW w:w="1332" w:type="dxa"/>
            <w:vAlign w:val="center"/>
          </w:tcPr>
          <w:p w14:paraId="5284CDE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 量</w:t>
            </w:r>
          </w:p>
        </w:tc>
      </w:tr>
      <w:tr w14:paraId="5FCA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E3441F7">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14039CAE">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6C347DC0">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077BC6B5">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722CCB56">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042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3387674">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44B39C73">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6202A5A4">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3A3BE945">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4E956D43">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730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C013204">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6AA3A002">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5CCD12FE">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5ABC5593">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072D820C">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053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99A1C30">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411DE006">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195CBB96">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79EAE53E">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62765870">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086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1D19FF4">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61EF9BB9">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78DE63C2">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3CECB841">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681A2969">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341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5F1E1FE">
            <w:pPr>
              <w:pStyle w:val="35"/>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2186BD3D">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01B00F41">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31A34AD1">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6DD47BF0">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78F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9017188">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0" w:type="dxa"/>
          </w:tcPr>
          <w:p w14:paraId="695247B3">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00" w:type="dxa"/>
          </w:tcPr>
          <w:p w14:paraId="2B1B924B">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880" w:type="dxa"/>
          </w:tcPr>
          <w:p w14:paraId="6E2A853C">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32" w:type="dxa"/>
          </w:tcPr>
          <w:p w14:paraId="3E861D62">
            <w:pPr>
              <w:pStyle w:val="35"/>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2BF9DCB3">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注：随机特殊工具和备品备件是指供应商在供货时免费赠送给采购人的工具及零配件，以备用。</w:t>
      </w:r>
    </w:p>
    <w:p w14:paraId="4BB6492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B8C94F1">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57EBFF7">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778AE175">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1F61FEEE">
      <w:pPr>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p w14:paraId="3B410F2C">
      <w:pPr>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p w14:paraId="42D5B6BF">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十六、认为需求的</w:t>
      </w:r>
      <w:r>
        <w:rPr>
          <w:rFonts w:hint="eastAsia" w:ascii="仿宋" w:hAnsi="仿宋" w:eastAsia="仿宋" w:cs="仿宋"/>
          <w:b/>
          <w:color w:val="000000" w:themeColor="text1"/>
          <w:kern w:val="0"/>
          <w:sz w:val="32"/>
          <w:szCs w:val="32"/>
          <w:highlight w:val="none"/>
          <w:lang w:val="zh-CN"/>
          <w14:textFill>
            <w14:solidFill>
              <w14:schemeClr w14:val="tx1"/>
            </w14:solidFill>
          </w14:textFill>
        </w:rPr>
        <w:t>其他技术文件或说明</w:t>
      </w:r>
    </w:p>
    <w:p w14:paraId="3771520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4BD259F8">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5A92594E">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61BD8121">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FFB0CA4">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2F8D46E7">
      <w:pPr>
        <w:tabs>
          <w:tab w:val="left" w:pos="0"/>
        </w:tabs>
        <w:autoSpaceDE w:val="0"/>
        <w:autoSpaceDN w:val="0"/>
        <w:spacing w:line="360" w:lineRule="auto"/>
        <w:ind w:firstLine="2409" w:firstLineChars="800"/>
        <w:rPr>
          <w:rFonts w:hint="eastAsia" w:ascii="仿宋" w:hAnsi="仿宋" w:eastAsia="仿宋" w:cs="仿宋"/>
          <w:b/>
          <w:bCs/>
          <w:color w:val="000000" w:themeColor="text1"/>
          <w:sz w:val="30"/>
          <w:szCs w:val="30"/>
          <w:highlight w:val="none"/>
          <w14:textFill>
            <w14:solidFill>
              <w14:schemeClr w14:val="tx1"/>
            </w14:solidFill>
          </w14:textFill>
        </w:rPr>
      </w:pPr>
    </w:p>
    <w:p w14:paraId="12E9F66F">
      <w:pPr>
        <w:tabs>
          <w:tab w:val="left" w:pos="0"/>
        </w:tabs>
        <w:autoSpaceDE w:val="0"/>
        <w:autoSpaceDN w:val="0"/>
        <w:spacing w:line="360" w:lineRule="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7D25D8B2">
      <w:pPr>
        <w:widowControl/>
        <w:adjustRightInd/>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br w:type="page"/>
      </w:r>
    </w:p>
    <w:p w14:paraId="3C9C3E8E">
      <w:pPr>
        <w:tabs>
          <w:tab w:val="left" w:pos="0"/>
        </w:tabs>
        <w:autoSpaceDE w:val="0"/>
        <w:autoSpaceDN w:val="0"/>
        <w:spacing w:line="360" w:lineRule="auto"/>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十七、</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71B7A723">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3B3D0DD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7828CCBC">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CB95B1B">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F38E653">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79E52E13">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156C06C8">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808DF14">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73EED7A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57A61795">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529686CB">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743C8848">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3D6410A9">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190BB270">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w:t>
      </w:r>
      <w:r>
        <w:rPr>
          <w:rFonts w:hint="eastAsia" w:ascii="仿宋" w:hAnsi="仿宋" w:eastAsia="仿宋" w:cs="仿宋"/>
          <w:color w:val="000000" w:themeColor="text1"/>
          <w:kern w:val="0"/>
          <w:sz w:val="24"/>
          <w:highlight w:val="none"/>
          <w:lang w:val="zh-CN"/>
          <w14:textFill>
            <w14:solidFill>
              <w14:schemeClr w14:val="tx1"/>
            </w14:solidFill>
          </w14:textFill>
        </w:rPr>
        <w:t>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40F3A845">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56A4340B">
      <w:pPr>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0C1488B3">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390097DE">
      <w:pPr>
        <w:pStyle w:val="128"/>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1" w:type="first"/>
          <w:footerReference r:id="rId14" w:type="first"/>
          <w:headerReference r:id="rId10" w:type="default"/>
          <w:footerReference r:id="rId12" w:type="default"/>
          <w:footerReference r:id="rId13" w:type="even"/>
          <w:pgSz w:w="11906" w:h="16838"/>
          <w:pgMar w:top="1474" w:right="1814" w:bottom="1474" w:left="1814" w:header="851" w:footer="992" w:gutter="0"/>
          <w:cols w:space="720" w:num="1"/>
          <w:titlePg/>
          <w:docGrid w:linePitch="312" w:charSpace="0"/>
        </w:sectPr>
      </w:pPr>
    </w:p>
    <w:p w14:paraId="77C9BCBC">
      <w:pPr>
        <w:pStyle w:val="404"/>
        <w:ind w:firstLine="0" w:firstLineChars="0"/>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第八部分 最后报价格式</w:t>
      </w:r>
    </w:p>
    <w:p w14:paraId="5A7BD14C">
      <w:pPr>
        <w:pStyle w:val="128"/>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（一）最后报价一览表</w:t>
      </w:r>
    </w:p>
    <w:p w14:paraId="7C0A3FC0">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0D24A59">
      <w:pPr>
        <w:spacing w:line="360" w:lineRule="auto"/>
        <w:ind w:firstLine="72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w:t>
      </w:r>
      <w:r>
        <w:rPr>
          <w:rFonts w:hint="eastAsia" w:ascii="仿宋" w:hAnsi="仿宋" w:eastAsia="仿宋" w:cs="仿宋"/>
          <w:color w:val="000000" w:themeColor="text1"/>
          <w:sz w:val="24"/>
          <w:highlight w:val="none"/>
          <w14:textFill>
            <w14:solidFill>
              <w14:schemeClr w14:val="tx1"/>
            </w14:solidFill>
          </w14:textFill>
        </w:rPr>
        <w:t>我们即</w:t>
      </w:r>
      <w:r>
        <w:rPr>
          <w:rFonts w:hint="eastAsia" w:ascii="仿宋" w:hAnsi="仿宋" w:eastAsia="仿宋" w:cs="仿宋"/>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ascii="仿宋" w:hAnsi="仿宋" w:eastAsia="仿宋" w:cs="仿宋"/>
          <w:color w:val="000000" w:themeColor="text1"/>
          <w:sz w:val="24"/>
          <w:highlight w:val="none"/>
          <w14:textFill>
            <w14:solidFill>
              <w14:schemeClr w14:val="tx1"/>
            </w14:solidFill>
          </w14:textFill>
        </w:rPr>
        <w:t>（项目名称）【项目编号：（采购编号）】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的实施。</w:t>
      </w:r>
    </w:p>
    <w:p w14:paraId="5C65197A">
      <w:pPr>
        <w:snapToGrid w:val="0"/>
        <w:spacing w:line="360" w:lineRule="auto"/>
        <w:ind w:left="480"/>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最后报价一览表(单位均为人民币元)</w:t>
      </w:r>
    </w:p>
    <w:tbl>
      <w:tblPr>
        <w:tblStyle w:val="61"/>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4B1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33935D7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992" w:type="dxa"/>
            <w:vAlign w:val="center"/>
          </w:tcPr>
          <w:p w14:paraId="3DCCCF0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2268" w:type="dxa"/>
          </w:tcPr>
          <w:p w14:paraId="5E8C012D">
            <w:pPr>
              <w:spacing w:line="360" w:lineRule="auto"/>
              <w:jc w:val="center"/>
              <w:rPr>
                <w:rFonts w:hint="eastAsia" w:ascii="仿宋" w:hAnsi="仿宋" w:eastAsia="仿宋" w:cs="仿宋"/>
                <w:b/>
                <w:sz w:val="24"/>
                <w:highlight w:val="none"/>
              </w:rPr>
            </w:pPr>
          </w:p>
          <w:p w14:paraId="3305B4F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2410" w:type="dxa"/>
            <w:vAlign w:val="center"/>
          </w:tcPr>
          <w:p w14:paraId="3D0B122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2268" w:type="dxa"/>
            <w:vAlign w:val="center"/>
          </w:tcPr>
          <w:p w14:paraId="00FCB36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2126" w:type="dxa"/>
            <w:vAlign w:val="center"/>
          </w:tcPr>
          <w:p w14:paraId="64602A29">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2127" w:type="dxa"/>
          </w:tcPr>
          <w:p w14:paraId="4F85ADAB">
            <w:pPr>
              <w:spacing w:line="360" w:lineRule="auto"/>
              <w:jc w:val="center"/>
              <w:rPr>
                <w:rFonts w:hint="eastAsia" w:ascii="仿宋" w:hAnsi="仿宋" w:eastAsia="仿宋" w:cs="仿宋"/>
                <w:b/>
                <w:sz w:val="24"/>
                <w:highlight w:val="none"/>
              </w:rPr>
            </w:pPr>
          </w:p>
          <w:p w14:paraId="42860CD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服务人数</w:t>
            </w:r>
          </w:p>
        </w:tc>
        <w:tc>
          <w:tcPr>
            <w:tcW w:w="2126" w:type="dxa"/>
            <w:vAlign w:val="center"/>
          </w:tcPr>
          <w:p w14:paraId="717C6751">
            <w:pPr>
              <w:spacing w:line="360" w:lineRule="auto"/>
              <w:jc w:val="center"/>
              <w:rPr>
                <w:rFonts w:hint="eastAsia" w:ascii="仿宋" w:hAnsi="仿宋" w:eastAsia="仿宋" w:cs="仿宋"/>
                <w:b/>
                <w:sz w:val="24"/>
                <w:highlight w:val="none"/>
              </w:rPr>
            </w:pPr>
          </w:p>
          <w:p w14:paraId="65F3768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p w14:paraId="24A03CFD">
            <w:pPr>
              <w:spacing w:line="360" w:lineRule="auto"/>
              <w:jc w:val="center"/>
              <w:rPr>
                <w:rFonts w:hint="eastAsia" w:ascii="仿宋" w:hAnsi="仿宋" w:eastAsia="仿宋" w:cs="仿宋"/>
                <w:b/>
                <w:sz w:val="24"/>
                <w:highlight w:val="none"/>
              </w:rPr>
            </w:pPr>
          </w:p>
        </w:tc>
      </w:tr>
      <w:tr w14:paraId="382C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7BF6846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992" w:type="dxa"/>
            <w:vAlign w:val="center"/>
          </w:tcPr>
          <w:p w14:paraId="17A43C2F">
            <w:pPr>
              <w:snapToGrid w:val="0"/>
              <w:spacing w:line="360" w:lineRule="auto"/>
              <w:jc w:val="center"/>
              <w:rPr>
                <w:rFonts w:hint="eastAsia" w:ascii="仿宋" w:hAnsi="仿宋" w:eastAsia="仿宋" w:cs="仿宋"/>
                <w:sz w:val="24"/>
                <w:highlight w:val="none"/>
              </w:rPr>
            </w:pPr>
          </w:p>
        </w:tc>
        <w:tc>
          <w:tcPr>
            <w:tcW w:w="2268" w:type="dxa"/>
            <w:vAlign w:val="center"/>
          </w:tcPr>
          <w:p w14:paraId="1210F459">
            <w:pPr>
              <w:snapToGrid w:val="0"/>
              <w:spacing w:line="360" w:lineRule="auto"/>
              <w:jc w:val="center"/>
              <w:rPr>
                <w:rFonts w:hint="eastAsia" w:ascii="仿宋" w:hAnsi="仿宋" w:eastAsia="仿宋" w:cs="仿宋"/>
                <w:sz w:val="24"/>
                <w:highlight w:val="none"/>
              </w:rPr>
            </w:pPr>
          </w:p>
        </w:tc>
        <w:tc>
          <w:tcPr>
            <w:tcW w:w="2410" w:type="dxa"/>
            <w:vAlign w:val="center"/>
          </w:tcPr>
          <w:p w14:paraId="315A370A">
            <w:pPr>
              <w:snapToGrid w:val="0"/>
              <w:spacing w:line="360" w:lineRule="auto"/>
              <w:jc w:val="center"/>
              <w:rPr>
                <w:rFonts w:hint="eastAsia" w:ascii="仿宋" w:hAnsi="仿宋" w:eastAsia="仿宋" w:cs="仿宋"/>
                <w:sz w:val="24"/>
                <w:highlight w:val="none"/>
              </w:rPr>
            </w:pPr>
          </w:p>
        </w:tc>
        <w:tc>
          <w:tcPr>
            <w:tcW w:w="2268" w:type="dxa"/>
            <w:vAlign w:val="center"/>
          </w:tcPr>
          <w:p w14:paraId="5910E3BE">
            <w:pPr>
              <w:snapToGrid w:val="0"/>
              <w:spacing w:line="360" w:lineRule="auto"/>
              <w:jc w:val="center"/>
              <w:rPr>
                <w:rFonts w:hint="eastAsia" w:ascii="仿宋" w:hAnsi="仿宋" w:eastAsia="仿宋" w:cs="仿宋"/>
                <w:sz w:val="24"/>
                <w:highlight w:val="none"/>
              </w:rPr>
            </w:pPr>
          </w:p>
        </w:tc>
        <w:tc>
          <w:tcPr>
            <w:tcW w:w="2126" w:type="dxa"/>
            <w:vAlign w:val="center"/>
          </w:tcPr>
          <w:p w14:paraId="6A64A621">
            <w:pPr>
              <w:spacing w:line="360" w:lineRule="auto"/>
              <w:jc w:val="center"/>
              <w:rPr>
                <w:rFonts w:hint="eastAsia" w:ascii="仿宋" w:hAnsi="仿宋" w:eastAsia="仿宋" w:cs="仿宋"/>
                <w:sz w:val="24"/>
                <w:highlight w:val="none"/>
              </w:rPr>
            </w:pPr>
          </w:p>
        </w:tc>
        <w:tc>
          <w:tcPr>
            <w:tcW w:w="2127" w:type="dxa"/>
          </w:tcPr>
          <w:p w14:paraId="093E3F39">
            <w:pPr>
              <w:spacing w:line="360" w:lineRule="auto"/>
              <w:jc w:val="center"/>
              <w:rPr>
                <w:rFonts w:hint="eastAsia" w:ascii="仿宋" w:hAnsi="仿宋" w:eastAsia="仿宋" w:cs="仿宋"/>
                <w:sz w:val="24"/>
                <w:highlight w:val="none"/>
              </w:rPr>
            </w:pPr>
          </w:p>
        </w:tc>
        <w:tc>
          <w:tcPr>
            <w:tcW w:w="2126" w:type="dxa"/>
            <w:vAlign w:val="center"/>
          </w:tcPr>
          <w:p w14:paraId="3C403412">
            <w:pPr>
              <w:spacing w:line="360" w:lineRule="auto"/>
              <w:jc w:val="center"/>
              <w:rPr>
                <w:rFonts w:hint="eastAsia" w:ascii="仿宋" w:hAnsi="仿宋" w:eastAsia="仿宋" w:cs="仿宋"/>
                <w:sz w:val="24"/>
                <w:highlight w:val="none"/>
              </w:rPr>
            </w:pPr>
          </w:p>
        </w:tc>
      </w:tr>
      <w:tr w14:paraId="3014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40FF4C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992" w:type="dxa"/>
            <w:vAlign w:val="center"/>
          </w:tcPr>
          <w:p w14:paraId="2EAFE1E7">
            <w:pPr>
              <w:snapToGrid w:val="0"/>
              <w:spacing w:line="360" w:lineRule="auto"/>
              <w:jc w:val="center"/>
              <w:rPr>
                <w:rFonts w:hint="eastAsia" w:ascii="仿宋" w:hAnsi="仿宋" w:eastAsia="仿宋" w:cs="仿宋"/>
                <w:sz w:val="24"/>
                <w:highlight w:val="none"/>
              </w:rPr>
            </w:pPr>
          </w:p>
        </w:tc>
        <w:tc>
          <w:tcPr>
            <w:tcW w:w="2268" w:type="dxa"/>
            <w:vAlign w:val="center"/>
          </w:tcPr>
          <w:p w14:paraId="7AFF6ECF">
            <w:pPr>
              <w:snapToGrid w:val="0"/>
              <w:spacing w:line="360" w:lineRule="auto"/>
              <w:jc w:val="center"/>
              <w:rPr>
                <w:rFonts w:hint="eastAsia" w:ascii="仿宋" w:hAnsi="仿宋" w:eastAsia="仿宋" w:cs="仿宋"/>
                <w:sz w:val="24"/>
                <w:highlight w:val="none"/>
              </w:rPr>
            </w:pPr>
          </w:p>
        </w:tc>
        <w:tc>
          <w:tcPr>
            <w:tcW w:w="2410" w:type="dxa"/>
            <w:vAlign w:val="center"/>
          </w:tcPr>
          <w:p w14:paraId="1E17F09D">
            <w:pPr>
              <w:snapToGrid w:val="0"/>
              <w:spacing w:line="360" w:lineRule="auto"/>
              <w:jc w:val="center"/>
              <w:rPr>
                <w:rFonts w:hint="eastAsia" w:ascii="仿宋" w:hAnsi="仿宋" w:eastAsia="仿宋" w:cs="仿宋"/>
                <w:sz w:val="24"/>
                <w:highlight w:val="none"/>
              </w:rPr>
            </w:pPr>
          </w:p>
        </w:tc>
        <w:tc>
          <w:tcPr>
            <w:tcW w:w="2268" w:type="dxa"/>
            <w:vAlign w:val="center"/>
          </w:tcPr>
          <w:p w14:paraId="784E21BF">
            <w:pPr>
              <w:snapToGrid w:val="0"/>
              <w:spacing w:line="360" w:lineRule="auto"/>
              <w:jc w:val="center"/>
              <w:rPr>
                <w:rFonts w:hint="eastAsia" w:ascii="仿宋" w:hAnsi="仿宋" w:eastAsia="仿宋" w:cs="仿宋"/>
                <w:sz w:val="24"/>
                <w:highlight w:val="none"/>
              </w:rPr>
            </w:pPr>
          </w:p>
        </w:tc>
        <w:tc>
          <w:tcPr>
            <w:tcW w:w="2126" w:type="dxa"/>
            <w:vAlign w:val="center"/>
          </w:tcPr>
          <w:p w14:paraId="5F827F66">
            <w:pPr>
              <w:spacing w:line="360" w:lineRule="auto"/>
              <w:jc w:val="center"/>
              <w:rPr>
                <w:rFonts w:hint="eastAsia" w:ascii="仿宋" w:hAnsi="仿宋" w:eastAsia="仿宋" w:cs="仿宋"/>
                <w:sz w:val="24"/>
                <w:highlight w:val="none"/>
              </w:rPr>
            </w:pPr>
          </w:p>
        </w:tc>
        <w:tc>
          <w:tcPr>
            <w:tcW w:w="2127" w:type="dxa"/>
          </w:tcPr>
          <w:p w14:paraId="43DFB1A1">
            <w:pPr>
              <w:spacing w:line="360" w:lineRule="auto"/>
              <w:jc w:val="center"/>
              <w:rPr>
                <w:rFonts w:hint="eastAsia" w:ascii="仿宋" w:hAnsi="仿宋" w:eastAsia="仿宋" w:cs="仿宋"/>
                <w:sz w:val="24"/>
                <w:highlight w:val="none"/>
              </w:rPr>
            </w:pPr>
          </w:p>
        </w:tc>
        <w:tc>
          <w:tcPr>
            <w:tcW w:w="2126" w:type="dxa"/>
            <w:vAlign w:val="center"/>
          </w:tcPr>
          <w:p w14:paraId="7F142668">
            <w:pPr>
              <w:spacing w:line="360" w:lineRule="auto"/>
              <w:jc w:val="center"/>
              <w:rPr>
                <w:rFonts w:hint="eastAsia" w:ascii="仿宋" w:hAnsi="仿宋" w:eastAsia="仿宋" w:cs="仿宋"/>
                <w:sz w:val="24"/>
                <w:highlight w:val="none"/>
              </w:rPr>
            </w:pPr>
          </w:p>
        </w:tc>
      </w:tr>
      <w:tr w14:paraId="7AA7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CDA14F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992" w:type="dxa"/>
            <w:vAlign w:val="center"/>
          </w:tcPr>
          <w:p w14:paraId="2F965466">
            <w:pPr>
              <w:snapToGrid w:val="0"/>
              <w:spacing w:line="360" w:lineRule="auto"/>
              <w:jc w:val="center"/>
              <w:rPr>
                <w:rFonts w:hint="eastAsia" w:ascii="仿宋" w:hAnsi="仿宋" w:eastAsia="仿宋" w:cs="仿宋"/>
                <w:sz w:val="24"/>
                <w:highlight w:val="none"/>
              </w:rPr>
            </w:pPr>
          </w:p>
        </w:tc>
        <w:tc>
          <w:tcPr>
            <w:tcW w:w="2268" w:type="dxa"/>
            <w:vAlign w:val="center"/>
          </w:tcPr>
          <w:p w14:paraId="3A67B27B">
            <w:pPr>
              <w:snapToGrid w:val="0"/>
              <w:spacing w:line="360" w:lineRule="auto"/>
              <w:jc w:val="center"/>
              <w:rPr>
                <w:rFonts w:hint="eastAsia" w:ascii="仿宋" w:hAnsi="仿宋" w:eastAsia="仿宋" w:cs="仿宋"/>
                <w:sz w:val="24"/>
                <w:highlight w:val="none"/>
              </w:rPr>
            </w:pPr>
          </w:p>
        </w:tc>
        <w:tc>
          <w:tcPr>
            <w:tcW w:w="2410" w:type="dxa"/>
            <w:vAlign w:val="center"/>
          </w:tcPr>
          <w:p w14:paraId="4E13DFD2">
            <w:pPr>
              <w:snapToGrid w:val="0"/>
              <w:spacing w:line="360" w:lineRule="auto"/>
              <w:jc w:val="center"/>
              <w:rPr>
                <w:rFonts w:hint="eastAsia" w:ascii="仿宋" w:hAnsi="仿宋" w:eastAsia="仿宋" w:cs="仿宋"/>
                <w:sz w:val="24"/>
                <w:highlight w:val="none"/>
              </w:rPr>
            </w:pPr>
          </w:p>
        </w:tc>
        <w:tc>
          <w:tcPr>
            <w:tcW w:w="2268" w:type="dxa"/>
            <w:vAlign w:val="center"/>
          </w:tcPr>
          <w:p w14:paraId="19187BC0">
            <w:pPr>
              <w:snapToGrid w:val="0"/>
              <w:spacing w:line="360" w:lineRule="auto"/>
              <w:jc w:val="center"/>
              <w:rPr>
                <w:rFonts w:hint="eastAsia" w:ascii="仿宋" w:hAnsi="仿宋" w:eastAsia="仿宋" w:cs="仿宋"/>
                <w:sz w:val="24"/>
                <w:highlight w:val="none"/>
              </w:rPr>
            </w:pPr>
          </w:p>
        </w:tc>
        <w:tc>
          <w:tcPr>
            <w:tcW w:w="2126" w:type="dxa"/>
            <w:vAlign w:val="center"/>
          </w:tcPr>
          <w:p w14:paraId="65151BE1">
            <w:pPr>
              <w:spacing w:line="360" w:lineRule="auto"/>
              <w:jc w:val="center"/>
              <w:rPr>
                <w:rFonts w:hint="eastAsia" w:ascii="仿宋" w:hAnsi="仿宋" w:eastAsia="仿宋" w:cs="仿宋"/>
                <w:sz w:val="24"/>
                <w:highlight w:val="none"/>
              </w:rPr>
            </w:pPr>
          </w:p>
        </w:tc>
        <w:tc>
          <w:tcPr>
            <w:tcW w:w="2127" w:type="dxa"/>
          </w:tcPr>
          <w:p w14:paraId="4B0B1F7F">
            <w:pPr>
              <w:spacing w:line="360" w:lineRule="auto"/>
              <w:jc w:val="center"/>
              <w:rPr>
                <w:rFonts w:hint="eastAsia" w:ascii="仿宋" w:hAnsi="仿宋" w:eastAsia="仿宋" w:cs="仿宋"/>
                <w:sz w:val="24"/>
                <w:highlight w:val="none"/>
              </w:rPr>
            </w:pPr>
          </w:p>
        </w:tc>
        <w:tc>
          <w:tcPr>
            <w:tcW w:w="2126" w:type="dxa"/>
            <w:vAlign w:val="center"/>
          </w:tcPr>
          <w:p w14:paraId="677FBC32">
            <w:pPr>
              <w:spacing w:line="360" w:lineRule="auto"/>
              <w:jc w:val="center"/>
              <w:rPr>
                <w:rFonts w:hint="eastAsia" w:ascii="仿宋" w:hAnsi="仿宋" w:eastAsia="仿宋" w:cs="仿宋"/>
                <w:sz w:val="24"/>
                <w:highlight w:val="none"/>
              </w:rPr>
            </w:pPr>
          </w:p>
        </w:tc>
      </w:tr>
      <w:tr w14:paraId="5544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CAC18D7">
            <w:pPr>
              <w:spacing w:line="360" w:lineRule="auto"/>
              <w:jc w:val="center"/>
              <w:rPr>
                <w:rFonts w:hint="eastAsia" w:ascii="仿宋" w:hAnsi="仿宋" w:eastAsia="仿宋" w:cs="仿宋"/>
                <w:sz w:val="24"/>
                <w:highlight w:val="none"/>
              </w:rPr>
            </w:pPr>
          </w:p>
        </w:tc>
        <w:tc>
          <w:tcPr>
            <w:tcW w:w="992" w:type="dxa"/>
            <w:vAlign w:val="center"/>
          </w:tcPr>
          <w:p w14:paraId="531A241B">
            <w:pPr>
              <w:snapToGrid w:val="0"/>
              <w:spacing w:line="360" w:lineRule="auto"/>
              <w:jc w:val="center"/>
              <w:rPr>
                <w:rFonts w:hint="eastAsia" w:ascii="仿宋" w:hAnsi="仿宋" w:eastAsia="仿宋" w:cs="仿宋"/>
                <w:sz w:val="24"/>
                <w:highlight w:val="none"/>
              </w:rPr>
            </w:pPr>
          </w:p>
        </w:tc>
        <w:tc>
          <w:tcPr>
            <w:tcW w:w="2268" w:type="dxa"/>
            <w:vAlign w:val="center"/>
          </w:tcPr>
          <w:p w14:paraId="3E033E3B">
            <w:pPr>
              <w:snapToGrid w:val="0"/>
              <w:spacing w:line="360" w:lineRule="auto"/>
              <w:jc w:val="center"/>
              <w:rPr>
                <w:rFonts w:hint="eastAsia" w:ascii="仿宋" w:hAnsi="仿宋" w:eastAsia="仿宋" w:cs="仿宋"/>
                <w:sz w:val="24"/>
                <w:highlight w:val="none"/>
              </w:rPr>
            </w:pPr>
          </w:p>
        </w:tc>
        <w:tc>
          <w:tcPr>
            <w:tcW w:w="2410" w:type="dxa"/>
            <w:vAlign w:val="center"/>
          </w:tcPr>
          <w:p w14:paraId="60D04809">
            <w:pPr>
              <w:snapToGrid w:val="0"/>
              <w:spacing w:line="360" w:lineRule="auto"/>
              <w:jc w:val="center"/>
              <w:rPr>
                <w:rFonts w:hint="eastAsia" w:ascii="仿宋" w:hAnsi="仿宋" w:eastAsia="仿宋" w:cs="仿宋"/>
                <w:sz w:val="24"/>
                <w:highlight w:val="none"/>
              </w:rPr>
            </w:pPr>
          </w:p>
        </w:tc>
        <w:tc>
          <w:tcPr>
            <w:tcW w:w="2268" w:type="dxa"/>
            <w:vAlign w:val="center"/>
          </w:tcPr>
          <w:p w14:paraId="10C6A932">
            <w:pPr>
              <w:snapToGrid w:val="0"/>
              <w:spacing w:line="360" w:lineRule="auto"/>
              <w:jc w:val="center"/>
              <w:rPr>
                <w:rFonts w:hint="eastAsia" w:ascii="仿宋" w:hAnsi="仿宋" w:eastAsia="仿宋" w:cs="仿宋"/>
                <w:sz w:val="24"/>
                <w:highlight w:val="none"/>
              </w:rPr>
            </w:pPr>
          </w:p>
        </w:tc>
        <w:tc>
          <w:tcPr>
            <w:tcW w:w="2126" w:type="dxa"/>
            <w:vAlign w:val="center"/>
          </w:tcPr>
          <w:p w14:paraId="2EE4C2B4">
            <w:pPr>
              <w:spacing w:line="360" w:lineRule="auto"/>
              <w:jc w:val="center"/>
              <w:rPr>
                <w:rFonts w:hint="eastAsia" w:ascii="仿宋" w:hAnsi="仿宋" w:eastAsia="仿宋" w:cs="仿宋"/>
                <w:sz w:val="24"/>
                <w:highlight w:val="none"/>
              </w:rPr>
            </w:pPr>
          </w:p>
        </w:tc>
        <w:tc>
          <w:tcPr>
            <w:tcW w:w="2127" w:type="dxa"/>
          </w:tcPr>
          <w:p w14:paraId="5A7BC614">
            <w:pPr>
              <w:spacing w:line="360" w:lineRule="auto"/>
              <w:jc w:val="center"/>
              <w:rPr>
                <w:rFonts w:hint="eastAsia" w:ascii="仿宋" w:hAnsi="仿宋" w:eastAsia="仿宋" w:cs="仿宋"/>
                <w:sz w:val="24"/>
                <w:highlight w:val="none"/>
              </w:rPr>
            </w:pPr>
          </w:p>
        </w:tc>
        <w:tc>
          <w:tcPr>
            <w:tcW w:w="2126" w:type="dxa"/>
            <w:vAlign w:val="center"/>
          </w:tcPr>
          <w:p w14:paraId="2B8B755A">
            <w:pPr>
              <w:spacing w:line="360" w:lineRule="auto"/>
              <w:jc w:val="center"/>
              <w:rPr>
                <w:rFonts w:hint="eastAsia" w:ascii="仿宋" w:hAnsi="仿宋" w:eastAsia="仿宋" w:cs="仿宋"/>
                <w:sz w:val="24"/>
                <w:highlight w:val="none"/>
              </w:rPr>
            </w:pPr>
          </w:p>
        </w:tc>
      </w:tr>
      <w:tr w14:paraId="0BCD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4AB115B">
            <w:pPr>
              <w:spacing w:line="360" w:lineRule="auto"/>
              <w:jc w:val="center"/>
              <w:rPr>
                <w:rFonts w:hint="eastAsia" w:ascii="仿宋" w:hAnsi="仿宋" w:eastAsia="仿宋" w:cs="仿宋"/>
                <w:sz w:val="24"/>
                <w:highlight w:val="none"/>
              </w:rPr>
            </w:pPr>
          </w:p>
        </w:tc>
        <w:tc>
          <w:tcPr>
            <w:tcW w:w="992" w:type="dxa"/>
            <w:vAlign w:val="center"/>
          </w:tcPr>
          <w:p w14:paraId="34A33C50">
            <w:pPr>
              <w:snapToGrid w:val="0"/>
              <w:spacing w:line="360" w:lineRule="auto"/>
              <w:jc w:val="center"/>
              <w:rPr>
                <w:rFonts w:hint="eastAsia" w:ascii="仿宋" w:hAnsi="仿宋" w:eastAsia="仿宋" w:cs="仿宋"/>
                <w:sz w:val="24"/>
                <w:highlight w:val="none"/>
              </w:rPr>
            </w:pPr>
          </w:p>
        </w:tc>
        <w:tc>
          <w:tcPr>
            <w:tcW w:w="2268" w:type="dxa"/>
            <w:vAlign w:val="center"/>
          </w:tcPr>
          <w:p w14:paraId="00B629E8">
            <w:pPr>
              <w:snapToGrid w:val="0"/>
              <w:spacing w:line="360" w:lineRule="auto"/>
              <w:jc w:val="center"/>
              <w:rPr>
                <w:rFonts w:hint="eastAsia" w:ascii="仿宋" w:hAnsi="仿宋" w:eastAsia="仿宋" w:cs="仿宋"/>
                <w:sz w:val="24"/>
                <w:highlight w:val="none"/>
              </w:rPr>
            </w:pPr>
          </w:p>
        </w:tc>
        <w:tc>
          <w:tcPr>
            <w:tcW w:w="2410" w:type="dxa"/>
            <w:vAlign w:val="center"/>
          </w:tcPr>
          <w:p w14:paraId="17B6F81B">
            <w:pPr>
              <w:snapToGrid w:val="0"/>
              <w:spacing w:line="360" w:lineRule="auto"/>
              <w:jc w:val="center"/>
              <w:rPr>
                <w:rFonts w:hint="eastAsia" w:ascii="仿宋" w:hAnsi="仿宋" w:eastAsia="仿宋" w:cs="仿宋"/>
                <w:sz w:val="24"/>
                <w:highlight w:val="none"/>
              </w:rPr>
            </w:pPr>
          </w:p>
        </w:tc>
        <w:tc>
          <w:tcPr>
            <w:tcW w:w="2268" w:type="dxa"/>
            <w:vAlign w:val="center"/>
          </w:tcPr>
          <w:p w14:paraId="575CA1FF">
            <w:pPr>
              <w:snapToGrid w:val="0"/>
              <w:spacing w:line="360" w:lineRule="auto"/>
              <w:jc w:val="center"/>
              <w:rPr>
                <w:rFonts w:hint="eastAsia" w:ascii="仿宋" w:hAnsi="仿宋" w:eastAsia="仿宋" w:cs="仿宋"/>
                <w:sz w:val="24"/>
                <w:highlight w:val="none"/>
              </w:rPr>
            </w:pPr>
          </w:p>
        </w:tc>
        <w:tc>
          <w:tcPr>
            <w:tcW w:w="2126" w:type="dxa"/>
            <w:vAlign w:val="center"/>
          </w:tcPr>
          <w:p w14:paraId="2810DD55">
            <w:pPr>
              <w:spacing w:line="360" w:lineRule="auto"/>
              <w:jc w:val="center"/>
              <w:rPr>
                <w:rFonts w:hint="eastAsia" w:ascii="仿宋" w:hAnsi="仿宋" w:eastAsia="仿宋" w:cs="仿宋"/>
                <w:sz w:val="24"/>
                <w:highlight w:val="none"/>
              </w:rPr>
            </w:pPr>
          </w:p>
        </w:tc>
        <w:tc>
          <w:tcPr>
            <w:tcW w:w="2127" w:type="dxa"/>
          </w:tcPr>
          <w:p w14:paraId="116203A6">
            <w:pPr>
              <w:spacing w:line="360" w:lineRule="auto"/>
              <w:jc w:val="center"/>
              <w:rPr>
                <w:rFonts w:hint="eastAsia" w:ascii="仿宋" w:hAnsi="仿宋" w:eastAsia="仿宋" w:cs="仿宋"/>
                <w:sz w:val="24"/>
                <w:highlight w:val="none"/>
              </w:rPr>
            </w:pPr>
          </w:p>
        </w:tc>
        <w:tc>
          <w:tcPr>
            <w:tcW w:w="2126" w:type="dxa"/>
            <w:vAlign w:val="center"/>
          </w:tcPr>
          <w:p w14:paraId="77863E59">
            <w:pPr>
              <w:spacing w:line="360" w:lineRule="auto"/>
              <w:jc w:val="center"/>
              <w:rPr>
                <w:rFonts w:hint="eastAsia" w:ascii="仿宋" w:hAnsi="仿宋" w:eastAsia="仿宋" w:cs="仿宋"/>
                <w:sz w:val="24"/>
                <w:highlight w:val="none"/>
              </w:rPr>
            </w:pPr>
          </w:p>
        </w:tc>
      </w:tr>
      <w:tr w14:paraId="3F88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3F60259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最后报价（小写）</w:t>
            </w:r>
          </w:p>
        </w:tc>
        <w:tc>
          <w:tcPr>
            <w:tcW w:w="8647" w:type="dxa"/>
            <w:gridSpan w:val="4"/>
          </w:tcPr>
          <w:p w14:paraId="4224D4D8">
            <w:pPr>
              <w:spacing w:line="360" w:lineRule="auto"/>
              <w:jc w:val="center"/>
              <w:rPr>
                <w:rFonts w:hint="eastAsia" w:ascii="仿宋" w:hAnsi="仿宋" w:eastAsia="仿宋" w:cs="仿宋"/>
                <w:sz w:val="24"/>
                <w:highlight w:val="none"/>
              </w:rPr>
            </w:pPr>
          </w:p>
        </w:tc>
      </w:tr>
      <w:tr w14:paraId="44F9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7758E9E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最后报价（大写）</w:t>
            </w:r>
          </w:p>
        </w:tc>
        <w:tc>
          <w:tcPr>
            <w:tcW w:w="8647" w:type="dxa"/>
            <w:gridSpan w:val="4"/>
          </w:tcPr>
          <w:p w14:paraId="0ECBAA90">
            <w:pPr>
              <w:spacing w:line="360" w:lineRule="auto"/>
              <w:jc w:val="center"/>
              <w:rPr>
                <w:rFonts w:hint="eastAsia" w:ascii="仿宋" w:hAnsi="仿宋" w:eastAsia="仿宋" w:cs="仿宋"/>
                <w:sz w:val="24"/>
                <w:highlight w:val="none"/>
              </w:rPr>
            </w:pPr>
          </w:p>
        </w:tc>
      </w:tr>
    </w:tbl>
    <w:p w14:paraId="2D4FF1F5">
      <w:pPr>
        <w:pStyle w:val="24"/>
        <w:rPr>
          <w:highlight w:val="none"/>
        </w:rPr>
      </w:pPr>
    </w:p>
    <w:p w14:paraId="7C9BF4F4">
      <w:p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kern w:val="0"/>
          <w:sz w:val="24"/>
          <w:highlight w:val="none"/>
          <w:lang w:val="zh-CN"/>
          <w14:textFill>
            <w14:solidFill>
              <w14:schemeClr w14:val="tx1"/>
            </w14:solidFill>
          </w14:textFill>
        </w:rPr>
        <w:t>1、供应商需按本表格式填写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响应文件含有采购人不能接受的附加条件，响应无效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9490AB9">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最后报价文件含有采购人不能接受的附加条件，响应无效</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；采购内容未包含在《最后报价一览表》名称栏中，供应商不能作出合理解释的，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响应文件含有采购人不能接受的附加条件的，响应无效。</w:t>
      </w:r>
    </w:p>
    <w:p w14:paraId="0F21F820">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3、特别提示：采购代理机构将对项目名称和项目编号，成交供应商名称、地址和成交金额，主要成交标的名称、服务范围、服务要求、服务时间、服务标准等予以公示。</w:t>
      </w:r>
    </w:p>
    <w:p w14:paraId="2B2707EF">
      <w:pPr>
        <w:spacing w:line="360" w:lineRule="auto"/>
        <w:ind w:firstLine="480" w:firstLineChars="200"/>
        <w:rPr>
          <w:rFonts w:hint="eastAsia" w:ascii="仿宋" w:hAnsi="仿宋" w:eastAsia="仿宋" w:cs="仿宋"/>
          <w:color w:val="000000" w:themeColor="text1"/>
          <w:kern w:val="0"/>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D3DF82F">
      <w:pPr>
        <w:spacing w:line="360" w:lineRule="auto"/>
        <w:ind w:right="-874" w:rightChars="-416"/>
        <w:rPr>
          <w:rFonts w:hint="eastAsia" w:ascii="仿宋" w:hAnsi="仿宋" w:eastAsia="仿宋" w:cs="仿宋"/>
          <w:color w:val="000000" w:themeColor="text1"/>
          <w:sz w:val="24"/>
          <w:highlight w:val="none"/>
          <w14:textFill>
            <w14:solidFill>
              <w14:schemeClr w14:val="tx1"/>
            </w14:solidFill>
          </w14:textFill>
        </w:rPr>
      </w:pPr>
    </w:p>
    <w:p w14:paraId="2D43B578">
      <w:pPr>
        <w:spacing w:line="360" w:lineRule="auto"/>
        <w:ind w:right="-874" w:rightChars="-41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628A51A0">
      <w:pPr>
        <w:autoSpaceDE w:val="0"/>
        <w:autoSpaceDN w:val="0"/>
        <w:spacing w:line="360" w:lineRule="auto"/>
        <w:ind w:left="5040"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15ABD52D">
      <w:pPr>
        <w:widowControl/>
        <w:adjustRightInd/>
        <w:jc w:val="left"/>
        <w:rPr>
          <w:rFonts w:hint="eastAsia" w:ascii="仿宋" w:hAnsi="仿宋" w:eastAsia="仿宋" w:cs="仿宋"/>
          <w:color w:val="000000" w:themeColor="text1"/>
          <w:kern w:val="0"/>
          <w:sz w:val="24"/>
          <w:highlight w:val="none"/>
          <w:lang w:val="zh-CN"/>
          <w14:textFill>
            <w14:solidFill>
              <w14:schemeClr w14:val="tx1"/>
            </w14:solidFill>
          </w14:textFill>
        </w:rPr>
        <w:sectPr>
          <w:headerReference r:id="rId16" w:type="first"/>
          <w:footerReference r:id="rId18" w:type="first"/>
          <w:headerReference r:id="rId15" w:type="default"/>
          <w:footerReference r:id="rId17" w:type="default"/>
          <w:pgSz w:w="16838" w:h="11906" w:orient="landscape"/>
          <w:pgMar w:top="1440" w:right="1800" w:bottom="1440" w:left="1800" w:header="851" w:footer="992" w:gutter="0"/>
          <w:cols w:space="720" w:num="1"/>
          <w:titlePg/>
          <w:docGrid w:linePitch="312" w:charSpace="0"/>
        </w:sectPr>
      </w:pPr>
    </w:p>
    <w:p w14:paraId="24D4A0BA">
      <w:pPr>
        <w:widowControl/>
        <w:adjustRightInd/>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（二）中小企业声明函</w:t>
      </w:r>
      <w:bookmarkStart w:id="184" w:name="_Toc465665161"/>
      <w:r>
        <w:rPr>
          <w:rFonts w:hint="eastAsia" w:ascii="仿宋" w:hAnsi="仿宋" w:eastAsia="仿宋" w:cs="仿宋"/>
          <w:b/>
          <w:color w:val="000000" w:themeColor="text1"/>
          <w:sz w:val="32"/>
          <w:szCs w:val="32"/>
          <w:highlight w:val="none"/>
          <w14:textFill>
            <w14:solidFill>
              <w14:schemeClr w14:val="tx1"/>
            </w14:solidFill>
          </w14:textFill>
        </w:rPr>
        <w:t>（如果有）</w:t>
      </w:r>
    </w:p>
    <w:p w14:paraId="236AFC98">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p>
    <w:p w14:paraId="1AAB7C1D">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b/>
          <w:color w:val="000000" w:themeColor="text1"/>
          <w:sz w:val="24"/>
          <w:highlight w:val="none"/>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511C6A7">
      <w:pPr>
        <w:widowControl/>
        <w:adjustRightInd/>
        <w:jc w:val="center"/>
        <w:rPr>
          <w:rFonts w:hint="eastAsia" w:ascii="仿宋" w:hAnsi="仿宋" w:eastAsia="仿宋" w:cs="仿宋"/>
          <w:color w:val="000000" w:themeColor="text1"/>
          <w:sz w:val="24"/>
          <w:highlight w:val="none"/>
          <w14:textFill>
            <w14:solidFill>
              <w14:schemeClr w14:val="tx1"/>
            </w14:solidFill>
          </w14:textFill>
        </w:rPr>
      </w:pPr>
    </w:p>
    <w:p w14:paraId="32727A02">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399A94E3">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bookmarkEnd w:id="184"/>
    </w:p>
    <w:p w14:paraId="2053718F">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附件1：质疑函范本及制作说明</w:t>
      </w:r>
    </w:p>
    <w:p w14:paraId="31DFB9F4">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682CF5D7">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6974E5E9">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D627AB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50656A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D57CBD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920D6D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3E2E7D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1BB02F1">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1735320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A7DD67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1C887D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BAFEA7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008CE40">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11AF5FBE">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CEA19C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4991ED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E117863">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D52D2CB">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E38F123">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0AFC010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3AB88893">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17016DD0">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AE09AA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51FDF8D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3C416937">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0DAE6C6C">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1CBA7003">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40BB4B3">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05C1A43D">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61475A5F">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54037DB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710AFEB">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00BF4348">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spacing w:val="6"/>
          <w:sz w:val="32"/>
          <w:szCs w:val="32"/>
          <w:highlight w:val="none"/>
          <w14:textFill>
            <w14:solidFill>
              <w14:schemeClr w14:val="tx1"/>
            </w14:solidFill>
          </w14:textFill>
        </w:rPr>
        <w:t>附件2：投诉书范本及制作说明</w:t>
      </w:r>
    </w:p>
    <w:p w14:paraId="3CA3FB6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14F508F8">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58D7CFE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24C23812">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B79033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8701E21">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9030131">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FB32FD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F7749E8">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579433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6DEF20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684179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D3DF48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0D271CB3">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91F946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FEF77EB">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06AA5E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175EE4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29D37FC0">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1C7062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9EE042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CEEA8A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ABC8865">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4C281A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AA20FB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37CEAE26">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249A16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27A2115">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4FC1CBD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7C2C7480">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0C80E3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DEDA872">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4EC1A0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9CE64E5">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7AE72F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312C02D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F40B9B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3A72D04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2086438B">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C9FE97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20175B7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3533DEC3">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5D1FC43">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0AC41935">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2CF5E1F2">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E66E6F0">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189D135">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5A8E433E">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64D5CD9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1319275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5081A47A">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29F0ED7">
      <w:pPr>
        <w:rPr>
          <w:rFonts w:hint="eastAsia" w:ascii="仿宋" w:hAnsi="仿宋" w:eastAsia="仿宋" w:cs="仿宋"/>
          <w:b/>
          <w:color w:val="000000" w:themeColor="text1"/>
          <w:sz w:val="24"/>
          <w:highlight w:val="none"/>
          <w14:textFill>
            <w14:solidFill>
              <w14:schemeClr w14:val="tx1"/>
            </w14:solidFill>
          </w14:textFill>
        </w:rPr>
      </w:pPr>
    </w:p>
    <w:p w14:paraId="4C48557F">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3B28E1ED">
      <w:pPr>
        <w:spacing w:line="360" w:lineRule="auto"/>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附件3：</w:t>
      </w:r>
    </w:p>
    <w:p w14:paraId="7C96A392">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p>
    <w:p w14:paraId="2F552AB2">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p w14:paraId="5C0525FD">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271E2C6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000000" w:themeColor="text1"/>
          <w:sz w:val="24"/>
          <w:highlight w:val="none"/>
          <w:u w:val="single"/>
          <w14:textFill>
            <w14:solidFill>
              <w14:schemeClr w14:val="tx1"/>
            </w14:solidFill>
          </w14:textFill>
        </w:rPr>
        <w:t xml:space="preserve">   （采购人）    </w:t>
      </w:r>
      <w:r>
        <w:rPr>
          <w:rFonts w:hint="eastAsia" w:ascii="仿宋" w:hAnsi="仿宋" w:eastAsia="仿宋" w:cs="仿宋"/>
          <w:color w:val="000000" w:themeColor="text1"/>
          <w:sz w:val="24"/>
          <w:highlight w:val="none"/>
          <w14:textFill>
            <w14:solidFill>
              <w14:schemeClr w14:val="tx1"/>
            </w14:solidFill>
          </w14:textFill>
        </w:rPr>
        <w:t>单位的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4A6CAD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79B7352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B62C43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2FB4EAA">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单位名称（</w:t>
      </w:r>
      <w:r>
        <w:rPr>
          <w:rFonts w:hint="eastAsia" w:ascii="仿宋" w:hAnsi="仿宋" w:eastAsia="仿宋" w:cs="仿宋"/>
          <w:color w:val="000000" w:themeColor="text1"/>
          <w:kern w:val="0"/>
          <w:sz w:val="24"/>
          <w:highlight w:val="none"/>
          <w14:textFill>
            <w14:solidFill>
              <w14:schemeClr w14:val="tx1"/>
            </w14:solidFill>
          </w14:textFill>
        </w:rPr>
        <w:t>电子签名</w:t>
      </w:r>
      <w:r>
        <w:rPr>
          <w:rFonts w:hint="eastAsia" w:ascii="仿宋" w:hAnsi="仿宋" w:eastAsia="仿宋" w:cs="仿宋"/>
          <w:color w:val="000000" w:themeColor="text1"/>
          <w:sz w:val="24"/>
          <w:highlight w:val="none"/>
          <w14:textFill>
            <w14:solidFill>
              <w14:schemeClr w14:val="tx1"/>
            </w14:solidFill>
          </w14:textFill>
        </w:rPr>
        <w:t>）：</w:t>
      </w:r>
    </w:p>
    <w:p w14:paraId="787E7A89">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0F909B5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45B14AF9">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79F2E547">
      <w:pPr>
        <w:autoSpaceDE w:val="0"/>
        <w:autoSpaceDN w:val="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附件4：</w:t>
      </w:r>
    </w:p>
    <w:p w14:paraId="7C7725BA">
      <w:pPr>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14:paraId="484376D8">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1D039E92">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5EF751A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2650F14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贵方组织的（项目名称）【项目编号：（采购编号）】</w:t>
      </w:r>
      <w:r>
        <w:rPr>
          <w:rFonts w:hint="eastAsia" w:ascii="仿宋" w:hAnsi="仿宋" w:eastAsia="仿宋" w:cs="仿宋"/>
          <w:bCs/>
          <w:color w:val="000000" w:themeColor="text1"/>
          <w:sz w:val="24"/>
          <w:highlight w:val="none"/>
          <w14:textFill>
            <w14:solidFill>
              <w14:schemeClr w14:val="tx1"/>
            </w14:solidFill>
          </w14:textFill>
        </w:rPr>
        <w:t>采购活动中作如下说明：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1DF0548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0B920159">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551EB049">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291EB154">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159FAF5D">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7BF1BCB6">
      <w:pPr>
        <w:spacing w:line="360" w:lineRule="auto"/>
        <w:ind w:right="482"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供应商（法定名称章）：</w:t>
      </w:r>
    </w:p>
    <w:p w14:paraId="1C50FCCD">
      <w:pPr>
        <w:spacing w:line="360" w:lineRule="auto"/>
        <w:ind w:right="482"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7A59423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2216EC41">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供应商法定名称章（印模）                供应商“XX专用章”（印模）</w:t>
      </w:r>
    </w:p>
    <w:p w14:paraId="38065161">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p>
    <w:p w14:paraId="5989AB2E">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7F66E9D1">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3E565F2A">
      <w:pPr>
        <w:autoSpaceDE w:val="0"/>
        <w:autoSpaceDN w:val="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附件5：</w:t>
      </w:r>
    </w:p>
    <w:p w14:paraId="0406D08F">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中小企业声明函（服务）</w:t>
      </w:r>
    </w:p>
    <w:p w14:paraId="00C714C1">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1BF7965D">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 xml:space="preserve">（采购人）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2841D8D">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小型水库和山塘运行维修养护管理服务</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其他未列明（采购文件中明确的所属行业）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2086765C">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643DB35C">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713407B">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1745645">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16E59E0C">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14:paraId="7E45398F">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060CCF90">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0599E632">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14:paraId="3B3C68AE">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p>
    <w:p w14:paraId="06A15D69">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CD8A841">
      <w:pPr>
        <w:spacing w:line="360" w:lineRule="auto"/>
        <w:ind w:right="42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4C9A610">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2F0B83A">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46607C6D">
      <w:pPr>
        <w:autoSpaceDE w:val="0"/>
        <w:autoSpaceDN w:val="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附件6：</w:t>
      </w:r>
    </w:p>
    <w:p w14:paraId="6C512AFC">
      <w:pPr>
        <w:autoSpaceDE w:val="0"/>
        <w:autoSpaceDN w:val="0"/>
        <w:snapToGrid w:val="0"/>
        <w:spacing w:line="380" w:lineRule="exact"/>
        <w:jc w:val="center"/>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政府采购活动现场确认声明书</w:t>
      </w:r>
    </w:p>
    <w:p w14:paraId="5A297424">
      <w:pPr>
        <w:pStyle w:val="627"/>
        <w:snapToGrid w:val="0"/>
        <w:spacing w:line="380" w:lineRule="exact"/>
        <w:ind w:firstLine="0" w:firstLineChars="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浙江中瑞工程管理有限公司：</w:t>
      </w:r>
    </w:p>
    <w:p w14:paraId="15B04E8C">
      <w:pPr>
        <w:pStyle w:val="35"/>
        <w:spacing w:before="120" w:after="120" w:line="380"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本人</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（授权代表姓名），经由</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（单位）</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（法定代表人姓名）合法授权参加</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（编号：        ）</w:t>
      </w:r>
      <w:r>
        <w:rPr>
          <w:rFonts w:hint="eastAsia" w:ascii="仿宋" w:hAnsi="仿宋" w:eastAsia="仿宋" w:cs="仿宋"/>
          <w:color w:val="000000" w:themeColor="text1"/>
          <w:spacing w:val="6"/>
          <w:sz w:val="24"/>
          <w:szCs w:val="24"/>
          <w:highlight w:val="none"/>
          <w14:textFill>
            <w14:solidFill>
              <w14:schemeClr w14:val="tx1"/>
            </w14:solidFill>
          </w14:textFill>
        </w:rPr>
        <w:t xml:space="preserve">政府采购活动，经与本单位法人代表（负责人）联系确认，现就有关公平竞争事项郑重声明如下： </w:t>
      </w:r>
    </w:p>
    <w:p w14:paraId="571325C0">
      <w:pPr>
        <w:pStyle w:val="74"/>
        <w:widowControl/>
        <w:numPr>
          <w:ilvl w:val="0"/>
          <w:numId w:val="13"/>
        </w:numPr>
        <w:snapToGrid w:val="0"/>
        <w:spacing w:line="380" w:lineRule="exact"/>
        <w:ind w:firstLine="453" w:firstLineChars="189"/>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本单位与采购人之间 □不存在利害关系 □存在下列利害关系</w:t>
      </w:r>
      <w:r>
        <w:rPr>
          <w:rFonts w:hint="eastAsia" w:ascii="仿宋" w:hAnsi="仿宋" w:eastAsia="仿宋" w:cs="仿宋"/>
          <w:color w:val="000000" w:themeColor="text1"/>
          <w:kern w:val="0"/>
          <w:highlight w:val="none"/>
          <w:u w:val="single"/>
          <w14:textFill>
            <w14:solidFill>
              <w14:schemeClr w14:val="tx1"/>
            </w14:solidFill>
          </w14:textFill>
        </w:rPr>
        <w:t xml:space="preserve">           </w:t>
      </w:r>
      <w:r>
        <w:rPr>
          <w:rFonts w:hint="eastAsia" w:ascii="仿宋" w:hAnsi="仿宋" w:eastAsia="仿宋" w:cs="仿宋"/>
          <w:color w:val="000000" w:themeColor="text1"/>
          <w:kern w:val="0"/>
          <w:highlight w:val="none"/>
          <w14:textFill>
            <w14:solidFill>
              <w14:schemeClr w14:val="tx1"/>
            </w14:solidFill>
          </w14:textFill>
        </w:rPr>
        <w:t>：</w:t>
      </w:r>
    </w:p>
    <w:p w14:paraId="0CB5DF04">
      <w:pPr>
        <w:pStyle w:val="74"/>
        <w:widowControl/>
        <w:snapToGrid w:val="0"/>
        <w:spacing w:line="380" w:lineRule="exac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xml:space="preserve">  A.投资关系    B.行政隶属关系    C.业务指导关系</w:t>
      </w:r>
    </w:p>
    <w:p w14:paraId="223E7439">
      <w:pPr>
        <w:pStyle w:val="74"/>
        <w:widowControl/>
        <w:snapToGrid w:val="0"/>
        <w:spacing w:line="380" w:lineRule="exac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xml:space="preserve">  D.其他可能</w:t>
      </w:r>
      <w:r>
        <w:rPr>
          <w:rFonts w:hint="eastAsia" w:ascii="仿宋" w:hAnsi="仿宋" w:eastAsia="仿宋" w:cs="仿宋"/>
          <w:color w:val="000000" w:themeColor="text1"/>
          <w:highlight w:val="none"/>
          <w14:textFill>
            <w14:solidFill>
              <w14:schemeClr w14:val="tx1"/>
            </w14:solidFill>
          </w14:textFill>
        </w:rPr>
        <w:t>影响采购公正的</w:t>
      </w:r>
      <w:r>
        <w:rPr>
          <w:rFonts w:hint="eastAsia" w:ascii="仿宋" w:hAnsi="仿宋" w:eastAsia="仿宋" w:cs="仿宋"/>
          <w:color w:val="000000" w:themeColor="text1"/>
          <w:kern w:val="0"/>
          <w:highlight w:val="none"/>
          <w14:textFill>
            <w14:solidFill>
              <w14:schemeClr w14:val="tx1"/>
            </w14:solidFill>
          </w14:textFill>
        </w:rPr>
        <w:t xml:space="preserve">利害关系（如有，请如实说明） </w:t>
      </w:r>
      <w:r>
        <w:rPr>
          <w:rFonts w:hint="eastAsia" w:ascii="仿宋" w:hAnsi="仿宋" w:eastAsia="仿宋" w:cs="仿宋"/>
          <w:color w:val="000000" w:themeColor="text1"/>
          <w:kern w:val="0"/>
          <w:highlight w:val="none"/>
          <w:u w:val="single"/>
          <w14:textFill>
            <w14:solidFill>
              <w14:schemeClr w14:val="tx1"/>
            </w14:solidFill>
          </w14:textFill>
        </w:rPr>
        <w:t xml:space="preserve">                </w:t>
      </w:r>
      <w:r>
        <w:rPr>
          <w:rFonts w:hint="eastAsia" w:ascii="仿宋" w:hAnsi="仿宋" w:eastAsia="仿宋" w:cs="仿宋"/>
          <w:color w:val="000000" w:themeColor="text1"/>
          <w:kern w:val="0"/>
          <w:highlight w:val="none"/>
          <w14:textFill>
            <w14:solidFill>
              <w14:schemeClr w14:val="tx1"/>
            </w14:solidFill>
          </w14:textFill>
        </w:rPr>
        <w:t>。</w:t>
      </w:r>
    </w:p>
    <w:p w14:paraId="1F243A03">
      <w:pPr>
        <w:pStyle w:val="74"/>
        <w:widowControl/>
        <w:numPr>
          <w:ilvl w:val="0"/>
          <w:numId w:val="13"/>
        </w:numPr>
        <w:snapToGrid w:val="0"/>
        <w:spacing w:line="380" w:lineRule="exact"/>
        <w:ind w:firstLine="453" w:firstLineChars="189"/>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xml:space="preserve">现已清楚知道参加本项目采购活动的其他所有供应商名称，本单位 □与其他所有供应商之间均不存在利害关系 □与 </w:t>
      </w:r>
      <w:r>
        <w:rPr>
          <w:rFonts w:hint="eastAsia" w:ascii="仿宋" w:hAnsi="仿宋" w:eastAsia="仿宋" w:cs="仿宋"/>
          <w:color w:val="000000" w:themeColor="text1"/>
          <w:kern w:val="0"/>
          <w:highlight w:val="none"/>
          <w:u w:val="single"/>
          <w14:textFill>
            <w14:solidFill>
              <w14:schemeClr w14:val="tx1"/>
            </w14:solidFill>
          </w14:textFill>
        </w:rPr>
        <w:t xml:space="preserve">               </w:t>
      </w:r>
      <w:r>
        <w:rPr>
          <w:rFonts w:hint="eastAsia" w:ascii="仿宋" w:hAnsi="仿宋" w:eastAsia="仿宋" w:cs="仿宋"/>
          <w:color w:val="000000" w:themeColor="text1"/>
          <w:kern w:val="0"/>
          <w:highlight w:val="none"/>
          <w14:textFill>
            <w14:solidFill>
              <w14:schemeClr w14:val="tx1"/>
            </w14:solidFill>
          </w14:textFill>
        </w:rPr>
        <w:t>（供应商名称）之间存在下列利害关系</w:t>
      </w:r>
      <w:r>
        <w:rPr>
          <w:rFonts w:hint="eastAsia" w:ascii="仿宋" w:hAnsi="仿宋" w:eastAsia="仿宋" w:cs="仿宋"/>
          <w:color w:val="000000" w:themeColor="text1"/>
          <w:kern w:val="0"/>
          <w:highlight w:val="none"/>
          <w:u w:val="single"/>
          <w14:textFill>
            <w14:solidFill>
              <w14:schemeClr w14:val="tx1"/>
            </w14:solidFill>
          </w14:textFill>
        </w:rPr>
        <w:t xml:space="preserve">               </w:t>
      </w:r>
      <w:r>
        <w:rPr>
          <w:rFonts w:hint="eastAsia" w:ascii="仿宋" w:hAnsi="仿宋" w:eastAsia="仿宋" w:cs="仿宋"/>
          <w:color w:val="000000" w:themeColor="text1"/>
          <w:kern w:val="0"/>
          <w:highlight w:val="none"/>
          <w14:textFill>
            <w14:solidFill>
              <w14:schemeClr w14:val="tx1"/>
            </w14:solidFill>
          </w14:textFill>
        </w:rPr>
        <w:t>：</w:t>
      </w:r>
    </w:p>
    <w:p w14:paraId="5493C310">
      <w:pPr>
        <w:pStyle w:val="627"/>
        <w:snapToGrid w:val="0"/>
        <w:spacing w:line="38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A.法定代表人或负责人或实际控制人是同一人</w:t>
      </w:r>
    </w:p>
    <w:p w14:paraId="3B5237A3">
      <w:pPr>
        <w:pStyle w:val="627"/>
        <w:snapToGrid w:val="0"/>
        <w:spacing w:line="380" w:lineRule="exac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B.法定代表人或负责人或实际控制人是夫妻关系</w:t>
      </w:r>
    </w:p>
    <w:p w14:paraId="36AFBD3D">
      <w:pPr>
        <w:pStyle w:val="627"/>
        <w:snapToGrid w:val="0"/>
        <w:spacing w:line="380" w:lineRule="exac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C.法定代表人或负责人或实际控制人是直系血亲关系</w:t>
      </w:r>
    </w:p>
    <w:p w14:paraId="75FC77D1">
      <w:pPr>
        <w:pStyle w:val="627"/>
        <w:snapToGrid w:val="0"/>
        <w:spacing w:line="380" w:lineRule="exac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D.法定代表人或负责人或实际控制人存在三代以内旁系血亲关系</w:t>
      </w:r>
    </w:p>
    <w:p w14:paraId="150D8C8A">
      <w:pPr>
        <w:pStyle w:val="627"/>
        <w:snapToGrid w:val="0"/>
        <w:spacing w:line="38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E.法定代表人或负责人或实际控制人存在近姻亲关系</w:t>
      </w:r>
    </w:p>
    <w:p w14:paraId="691AAB57">
      <w:pPr>
        <w:pStyle w:val="627"/>
        <w:snapToGrid w:val="0"/>
        <w:spacing w:line="38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F.法定代表人或负责人或实际控制人存在股份控制或实际控制关系</w:t>
      </w:r>
    </w:p>
    <w:p w14:paraId="6B9E581F">
      <w:pPr>
        <w:pStyle w:val="627"/>
        <w:snapToGrid w:val="0"/>
        <w:spacing w:line="38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G.存在共同直接或间接投资设立子公司、联营企业和合营企业情况</w:t>
      </w:r>
    </w:p>
    <w:p w14:paraId="7134FF3D">
      <w:pPr>
        <w:pStyle w:val="627"/>
        <w:snapToGrid w:val="0"/>
        <w:spacing w:line="38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14:paraId="21A4A6B4">
      <w:pPr>
        <w:pStyle w:val="627"/>
        <w:snapToGrid w:val="0"/>
        <w:spacing w:line="380" w:lineRule="exact"/>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I.其他利害关系情况</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D0E6CCD">
      <w:pPr>
        <w:pStyle w:val="74"/>
        <w:widowControl/>
        <w:numPr>
          <w:ilvl w:val="0"/>
          <w:numId w:val="14"/>
        </w:numPr>
        <w:snapToGrid w:val="0"/>
        <w:spacing w:line="380" w:lineRule="exact"/>
        <w:ind w:firstLine="453" w:firstLineChars="189"/>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现已清楚知道并</w:t>
      </w:r>
      <w:r>
        <w:rPr>
          <w:rFonts w:hint="eastAsia" w:ascii="仿宋" w:hAnsi="仿宋" w:eastAsia="仿宋" w:cs="仿宋"/>
          <w:color w:val="000000" w:themeColor="text1"/>
          <w:kern w:val="0"/>
          <w:highlight w:val="none"/>
          <w14:textFill>
            <w14:solidFill>
              <w14:schemeClr w14:val="tx1"/>
            </w14:solidFill>
          </w14:textFill>
        </w:rPr>
        <w:t>严格遵守政府采购法律法规和现场纪律。</w:t>
      </w:r>
    </w:p>
    <w:p w14:paraId="524897C1">
      <w:pPr>
        <w:pStyle w:val="74"/>
        <w:widowControl/>
        <w:numPr>
          <w:ilvl w:val="0"/>
          <w:numId w:val="14"/>
        </w:numPr>
        <w:snapToGrid w:val="0"/>
        <w:spacing w:line="380" w:lineRule="exact"/>
        <w:ind w:firstLine="453" w:firstLineChars="18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我发现</w:t>
      </w:r>
      <w:r>
        <w:rPr>
          <w:rFonts w:hint="eastAsia" w:ascii="仿宋" w:hAnsi="仿宋" w:eastAsia="仿宋" w:cs="仿宋"/>
          <w:color w:val="000000" w:themeColor="text1"/>
          <w:kern w:val="0"/>
          <w:highlight w:val="none"/>
          <w:u w:val="single"/>
          <w14:textFill>
            <w14:solidFill>
              <w14:schemeClr w14:val="tx1"/>
            </w14:solidFill>
          </w14:textFill>
        </w:rPr>
        <w:t xml:space="preserve">       </w:t>
      </w:r>
      <w:r>
        <w:rPr>
          <w:rFonts w:hint="eastAsia" w:ascii="仿宋" w:hAnsi="仿宋" w:eastAsia="仿宋" w:cs="仿宋"/>
          <w:color w:val="000000" w:themeColor="text1"/>
          <w:kern w:val="0"/>
          <w:highlight w:val="none"/>
          <w14:textFill>
            <w14:solidFill>
              <w14:schemeClr w14:val="tx1"/>
            </w14:solidFill>
          </w14:textFill>
        </w:rPr>
        <w:t>供应商之间存在或可能存在上述第二条第</w:t>
      </w:r>
      <w:r>
        <w:rPr>
          <w:rFonts w:hint="eastAsia" w:ascii="仿宋" w:hAnsi="仿宋" w:eastAsia="仿宋" w:cs="仿宋"/>
          <w:color w:val="000000" w:themeColor="text1"/>
          <w:kern w:val="0"/>
          <w:highlight w:val="none"/>
          <w:u w:val="single"/>
          <w14:textFill>
            <w14:solidFill>
              <w14:schemeClr w14:val="tx1"/>
            </w14:solidFill>
          </w14:textFill>
        </w:rPr>
        <w:t xml:space="preserve">      </w:t>
      </w:r>
      <w:r>
        <w:rPr>
          <w:rFonts w:hint="eastAsia" w:ascii="仿宋" w:hAnsi="仿宋" w:eastAsia="仿宋" w:cs="仿宋"/>
          <w:color w:val="000000" w:themeColor="text1"/>
          <w:kern w:val="0"/>
          <w:highlight w:val="none"/>
          <w14:textFill>
            <w14:solidFill>
              <w14:schemeClr w14:val="tx1"/>
            </w14:solidFill>
          </w14:textFill>
        </w:rPr>
        <w:t>项利害关系。</w:t>
      </w:r>
      <w:r>
        <w:rPr>
          <w:rFonts w:hint="eastAsia" w:ascii="仿宋" w:hAnsi="仿宋" w:eastAsia="仿宋" w:cs="仿宋"/>
          <w:color w:val="000000" w:themeColor="text1"/>
          <w:highlight w:val="none"/>
          <w14:textFill>
            <w14:solidFill>
              <w14:schemeClr w14:val="tx1"/>
            </w14:solidFill>
          </w14:textFill>
        </w:rPr>
        <w:t xml:space="preserve">                               </w:t>
      </w:r>
    </w:p>
    <w:p w14:paraId="49B4A23B">
      <w:pPr>
        <w:pStyle w:val="627"/>
        <w:snapToGrid w:val="0"/>
        <w:spacing w:line="380" w:lineRule="exact"/>
        <w:ind w:firstLine="5040" w:firstLineChars="2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（供应商代表签名）：</w:t>
      </w:r>
    </w:p>
    <w:p w14:paraId="19F3B967">
      <w:pPr>
        <w:pStyle w:val="627"/>
        <w:snapToGrid w:val="0"/>
        <w:spacing w:line="3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年   月   日</w:t>
      </w:r>
    </w:p>
    <w:p w14:paraId="746CF534">
      <w:pPr>
        <w:pStyle w:val="25"/>
        <w:ind w:firstLine="281"/>
        <w:rPr>
          <w:rFonts w:hint="eastAsia" w:ascii="仿宋" w:hAnsi="仿宋" w:eastAsia="仿宋" w:cs="仿宋"/>
          <w:b/>
          <w:color w:val="000000" w:themeColor="text1"/>
          <w:sz w:val="36"/>
          <w:szCs w:val="36"/>
          <w:highlight w:val="none"/>
          <w:lang w:val="en-US"/>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注</w:t>
      </w:r>
      <w:r>
        <w:rPr>
          <w:rFonts w:hint="eastAsia" w:ascii="仿宋" w:hAnsi="仿宋" w:eastAsia="仿宋" w:cs="仿宋"/>
          <w:b/>
          <w:color w:val="000000" w:themeColor="text1"/>
          <w:szCs w:val="24"/>
          <w:highlight w:val="none"/>
          <w:lang w:val="en-US"/>
          <w14:textFill>
            <w14:solidFill>
              <w14:schemeClr w14:val="tx1"/>
            </w14:solidFill>
          </w14:textFill>
        </w:rPr>
        <w:t>：</w:t>
      </w:r>
      <w:r>
        <w:rPr>
          <w:rFonts w:hint="eastAsia" w:ascii="仿宋" w:hAnsi="仿宋" w:eastAsia="仿宋" w:cs="仿宋"/>
          <w:b/>
          <w:color w:val="000000" w:themeColor="text1"/>
          <w:szCs w:val="24"/>
          <w:highlight w:val="none"/>
          <w14:textFill>
            <w14:solidFill>
              <w14:schemeClr w14:val="tx1"/>
            </w14:solidFill>
          </w14:textFill>
        </w:rPr>
        <w:t>《政府采购活动现场确认声明书》按前附表要求提交</w:t>
      </w:r>
      <w:r>
        <w:rPr>
          <w:rFonts w:hint="eastAsia" w:ascii="仿宋" w:hAnsi="仿宋" w:eastAsia="仿宋" w:cs="仿宋"/>
          <w:b/>
          <w:color w:val="000000" w:themeColor="text1"/>
          <w:szCs w:val="24"/>
          <w:highlight w:val="none"/>
          <w:lang w:val="en-US"/>
          <w14:textFill>
            <w14:solidFill>
              <w14:schemeClr w14:val="tx1"/>
            </w14:solidFill>
          </w14:textFill>
        </w:rPr>
        <w:t>（</w:t>
      </w:r>
      <w:r>
        <w:rPr>
          <w:rFonts w:hint="eastAsia" w:ascii="仿宋" w:hAnsi="仿宋" w:eastAsia="仿宋" w:cs="仿宋"/>
          <w:b/>
          <w:color w:val="000000" w:themeColor="text1"/>
          <w:szCs w:val="24"/>
          <w:highlight w:val="none"/>
          <w14:textFill>
            <w14:solidFill>
              <w14:schemeClr w14:val="tx1"/>
            </w14:solidFill>
          </w14:textFill>
        </w:rPr>
        <w:t>解密开启后</w:t>
      </w:r>
      <w:r>
        <w:rPr>
          <w:rFonts w:hint="eastAsia" w:ascii="仿宋" w:hAnsi="仿宋" w:eastAsia="仿宋" w:cs="仿宋"/>
          <w:b/>
          <w:color w:val="000000" w:themeColor="text1"/>
          <w:szCs w:val="24"/>
          <w:highlight w:val="none"/>
          <w:lang w:val="en-US"/>
          <w14:textFill>
            <w14:solidFill>
              <w14:schemeClr w14:val="tx1"/>
            </w14:solidFill>
          </w14:textFill>
        </w:rPr>
        <w:t>30</w:t>
      </w:r>
      <w:r>
        <w:rPr>
          <w:rFonts w:hint="eastAsia" w:ascii="仿宋" w:hAnsi="仿宋" w:eastAsia="仿宋" w:cs="仿宋"/>
          <w:b/>
          <w:color w:val="000000" w:themeColor="text1"/>
          <w:szCs w:val="24"/>
          <w:highlight w:val="none"/>
          <w14:textFill>
            <w14:solidFill>
              <w14:schemeClr w14:val="tx1"/>
            </w14:solidFill>
          </w14:textFill>
        </w:rPr>
        <w:t>分钟内</w:t>
      </w:r>
      <w:r>
        <w:rPr>
          <w:rFonts w:hint="eastAsia" w:ascii="仿宋" w:hAnsi="仿宋" w:eastAsia="仿宋" w:cs="仿宋"/>
          <w:b/>
          <w:color w:val="000000" w:themeColor="text1"/>
          <w:szCs w:val="24"/>
          <w:highlight w:val="none"/>
          <w:lang w:val="en-US"/>
          <w14:textFill>
            <w14:solidFill>
              <w14:schemeClr w14:val="tx1"/>
            </w14:solidFill>
          </w14:textFill>
        </w:rPr>
        <w:t>，</w:t>
      </w:r>
      <w:r>
        <w:rPr>
          <w:rFonts w:hint="eastAsia" w:ascii="仿宋" w:hAnsi="仿宋" w:eastAsia="仿宋" w:cs="仿宋"/>
          <w:b/>
          <w:color w:val="000000" w:themeColor="text1"/>
          <w:szCs w:val="24"/>
          <w:highlight w:val="none"/>
          <w14:textFill>
            <w14:solidFill>
              <w14:schemeClr w14:val="tx1"/>
            </w14:solidFill>
          </w14:textFill>
        </w:rPr>
        <w:t>投标供应商将填写完整且经授权代表签署的《政府采购活动现场确认声明书》原件扫描件发送至邮箱</w:t>
      </w:r>
      <w:r>
        <w:rPr>
          <w:rFonts w:hint="eastAsia" w:ascii="仿宋" w:hAnsi="仿宋" w:eastAsia="仿宋" w:cs="仿宋"/>
          <w:b/>
          <w:color w:val="000000" w:themeColor="text1"/>
          <w:szCs w:val="24"/>
          <w:highlight w:val="none"/>
          <w:lang w:val="en-US"/>
          <w14:textFill>
            <w14:solidFill>
              <w14:schemeClr w14:val="tx1"/>
            </w14:solidFill>
          </w14:textFill>
        </w:rPr>
        <w:t>：541983336@qq.com）</w:t>
      </w:r>
      <w:r>
        <w:rPr>
          <w:rFonts w:hint="eastAsia" w:ascii="仿宋" w:hAnsi="仿宋" w:eastAsia="仿宋" w:cs="仿宋"/>
          <w:b/>
          <w:color w:val="000000" w:themeColor="text1"/>
          <w:szCs w:val="24"/>
          <w:highlight w:val="none"/>
          <w14:textFill>
            <w14:solidFill>
              <w14:schemeClr w14:val="tx1"/>
            </w14:solidFill>
          </w14:textFill>
        </w:rPr>
        <w:t>。</w:t>
      </w:r>
    </w:p>
    <w:p w14:paraId="2BD9AE15">
      <w:pPr>
        <w:rPr>
          <w:rFonts w:hint="eastAsia" w:ascii="仿宋" w:hAnsi="仿宋" w:eastAsia="仿宋" w:cs="仿宋"/>
          <w:color w:val="000000" w:themeColor="text1"/>
          <w:highlight w:val="none"/>
          <w14:textFill>
            <w14:solidFill>
              <w14:schemeClr w14:val="tx1"/>
            </w14:solidFill>
          </w14:textFill>
        </w:rPr>
      </w:pPr>
    </w:p>
    <w:sectPr>
      <w:headerReference r:id="rId20" w:type="first"/>
      <w:headerReference r:id="rId19" w:type="default"/>
      <w:pgSz w:w="11906" w:h="16838"/>
      <w:pgMar w:top="1474" w:right="1814" w:bottom="1474" w:left="181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7C92F">
    <w:pPr>
      <w:pStyle w:val="40"/>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C4DD8">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39EC4DD8">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29DCB">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8629B">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7B38629B">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744A7">
    <w:pPr>
      <w:pStyle w:val="40"/>
      <w:framePr w:wrap="around" w:vAnchor="text" w:hAnchor="margin" w:xAlign="right" w:y="1"/>
      <w:rPr>
        <w:rStyle w:val="65"/>
      </w:rPr>
    </w:pPr>
    <w:r>
      <w:fldChar w:fldCharType="begin"/>
    </w:r>
    <w:r>
      <w:rPr>
        <w:rStyle w:val="65"/>
      </w:rPr>
      <w:instrText xml:space="preserve">PAGE  </w:instrText>
    </w:r>
    <w:r>
      <w:fldChar w:fldCharType="end"/>
    </w:r>
  </w:p>
  <w:p w14:paraId="78AF4EED">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E6512">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4B926">
                          <w:pPr>
                            <w:pStyle w:val="4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5D84B926">
                    <w:pPr>
                      <w:pStyle w:val="4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78A73">
    <w:pPr>
      <w:pStyle w:val="40"/>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E6EAD">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447E6EAD">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CD8D7">
    <w:pPr>
      <w:pStyle w:val="40"/>
      <w:framePr w:wrap="around" w:vAnchor="text" w:hAnchor="margin" w:xAlign="right" w:y="1"/>
      <w:rPr>
        <w:rStyle w:val="65"/>
      </w:rPr>
    </w:pPr>
    <w:r>
      <w:fldChar w:fldCharType="begin"/>
    </w:r>
    <w:r>
      <w:rPr>
        <w:rStyle w:val="65"/>
      </w:rPr>
      <w:instrText xml:space="preserve">PAGE  </w:instrText>
    </w:r>
    <w:r>
      <w:fldChar w:fldCharType="end"/>
    </w:r>
  </w:p>
  <w:p w14:paraId="44B6B289">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276CE">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7EF22">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09A7EF22">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9A97">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E6D3C">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107E6D3C">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0CE8">
    <w:pPr>
      <w:pStyle w:val="4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94270">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6C594270">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7A069">
    <w:pPr>
      <w:pStyle w:val="41"/>
      <w:jc w:val="right"/>
      <w:rPr>
        <w:bCs/>
        <w:sz w:val="4"/>
        <w:szCs w:val="4"/>
      </w:rPr>
    </w:pPr>
    <w:r>
      <w:rPr>
        <w:rFonts w:hint="eastAsia" w:ascii="仿宋" w:hAnsi="仿宋" w:eastAsia="仿宋" w:cs="仿宋"/>
        <w:bCs/>
        <w:sz w:val="20"/>
        <w:szCs w:val="20"/>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11187">
    <w:pPr>
      <w:pStyle w:val="58"/>
      <w:tabs>
        <w:tab w:val="left" w:pos="3360"/>
      </w:tabs>
      <w:jc w:val="both"/>
      <w:rPr>
        <w:rFonts w:hint="eastAsia" w:ascii="宋体" w:hAnsi="宋体" w:cs="宋体"/>
        <w:b w:val="0"/>
        <w:iCs/>
        <w:sz w:val="18"/>
        <w:u w:val="single"/>
        <w:lang w:val="en-US"/>
      </w:rPr>
    </w:pPr>
    <w:r>
      <w:rPr>
        <w:rFonts w:hint="eastAsia" w:eastAsia="仿宋_GB2312"/>
        <w:b w:val="0"/>
        <w:i/>
        <w:sz w:val="18"/>
        <w:u w:val="single"/>
        <w:lang w:val="en-US"/>
      </w:rPr>
      <w:t xml:space="preserve">                                                                            </w:t>
    </w:r>
    <w:r>
      <w:rPr>
        <w:rFonts w:hint="eastAsia" w:ascii="仿宋" w:hAnsi="仿宋" w:eastAsia="仿宋" w:cs="仿宋"/>
        <w:b w:val="0"/>
        <w:bCs/>
        <w:kern w:val="2"/>
        <w:sz w:val="20"/>
        <w:u w:val="single"/>
        <w:lang w:val="en-US"/>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DB605">
    <w:pPr>
      <w:pStyle w:val="41"/>
      <w:jc w:val="right"/>
      <w:rPr>
        <w:rFonts w:hint="eastAsia" w:ascii="仿宋" w:hAnsi="仿宋" w:eastAsia="仿宋" w:cs="仿宋"/>
        <w:bCs/>
        <w:sz w:val="20"/>
        <w:szCs w:val="20"/>
      </w:rPr>
    </w:pPr>
    <w:r>
      <w:rPr>
        <w:rFonts w:hint="eastAsia" w:ascii="仿宋" w:hAnsi="仿宋" w:eastAsia="仿宋" w:cs="仿宋"/>
        <w:bCs/>
        <w:sz w:val="20"/>
        <w:szCs w:val="20"/>
      </w:rPr>
      <w:t>杭州市临安区小型水库和山塘运行维修养护管理服务竞争性磋商文件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429C3">
    <w:pPr>
      <w:pStyle w:val="58"/>
      <w:tabs>
        <w:tab w:val="left" w:pos="3360"/>
      </w:tabs>
      <w:jc w:val="both"/>
      <w:rPr>
        <w:rFonts w:hint="eastAsia" w:ascii="宋体" w:hAnsi="宋体" w:cs="宋体"/>
        <w:b w:val="0"/>
        <w:iCs/>
        <w:sz w:val="18"/>
        <w:u w:val="single"/>
        <w:lang w:val="en-US"/>
      </w:rPr>
    </w:pPr>
    <w:r>
      <w:rPr>
        <w:rFonts w:hint="eastAsia" w:eastAsia="仿宋_GB2312"/>
        <w:b w:val="0"/>
        <w:i/>
        <w:sz w:val="18"/>
        <w:u w:val="single"/>
        <w:lang w:val="en-US"/>
      </w:rPr>
      <w:t xml:space="preserve">                                                                            </w:t>
    </w:r>
    <w:r>
      <w:rPr>
        <w:rFonts w:hint="eastAsia" w:ascii="仿宋" w:hAnsi="仿宋" w:eastAsia="仿宋" w:cs="仿宋"/>
        <w:b w:val="0"/>
        <w:bCs/>
        <w:kern w:val="2"/>
        <w:sz w:val="20"/>
        <w:u w:val="single"/>
        <w:lang w:val="en-US"/>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ADAB5">
    <w:pPr>
      <w:pStyle w:val="41"/>
      <w:jc w:val="right"/>
      <w:rPr>
        <w:rFonts w:hint="eastAsia" w:ascii="宋体" w:hAnsi="宋体" w:cs="宋体"/>
      </w:rPr>
    </w:pPr>
    <w:r>
      <w:rPr>
        <w:rFonts w:hint="eastAsia" w:ascii="仿宋" w:hAnsi="仿宋" w:eastAsia="仿宋" w:cs="仿宋"/>
        <w:bCs/>
        <w:sz w:val="20"/>
        <w:szCs w:val="20"/>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953F">
    <w:pPr>
      <w:pStyle w:val="58"/>
      <w:tabs>
        <w:tab w:val="left" w:pos="3360"/>
      </w:tabs>
      <w:jc w:val="right"/>
      <w:rPr>
        <w:rFonts w:hint="eastAsia" w:ascii="宋体" w:hAnsi="宋体" w:cs="宋体"/>
        <w:b w:val="0"/>
        <w:iCs/>
        <w:sz w:val="18"/>
        <w:u w:val="single"/>
        <w:lang w:val="en-US"/>
      </w:rPr>
    </w:pPr>
    <w:r>
      <w:rPr>
        <w:rFonts w:hint="eastAsia" w:ascii="仿宋" w:hAnsi="仿宋" w:eastAsia="仿宋" w:cs="仿宋"/>
        <w:b w:val="0"/>
        <w:bCs/>
        <w:kern w:val="2"/>
        <w:sz w:val="20"/>
        <w:u w:val="single"/>
        <w:lang w:val="en-US"/>
      </w:rPr>
      <w:t xml:space="preserve">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2F759">
    <w:pPr>
      <w:pStyle w:val="41"/>
      <w:jc w:val="right"/>
      <w:rPr>
        <w:rFonts w:hint="eastAsia" w:ascii="宋体" w:hAnsi="宋体" w:cs="宋体"/>
      </w:rPr>
    </w:pPr>
    <w:r>
      <w:rPr>
        <w:rFonts w:hint="eastAsia" w:ascii="仿宋" w:hAnsi="仿宋" w:eastAsia="仿宋" w:cs="仿宋"/>
        <w:bCs/>
        <w:sz w:val="20"/>
        <w:szCs w:val="20"/>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33428">
    <w:pPr>
      <w:pStyle w:val="58"/>
      <w:tabs>
        <w:tab w:val="left" w:pos="3360"/>
      </w:tabs>
      <w:jc w:val="both"/>
      <w:rPr>
        <w:rFonts w:hint="eastAsia" w:ascii="宋体" w:hAnsi="宋体" w:cs="宋体"/>
        <w:b w:val="0"/>
        <w:iCs/>
        <w:sz w:val="18"/>
        <w:u w:val="single"/>
        <w:lang w:val="en-US"/>
      </w:rPr>
    </w:pPr>
    <w:r>
      <w:rPr>
        <w:rFonts w:hint="eastAsia" w:eastAsia="仿宋_GB2312"/>
        <w:b w:val="0"/>
        <w:i/>
        <w:sz w:val="18"/>
        <w:u w:val="single"/>
        <w:lang w:val="en-US"/>
      </w:rPr>
      <w:t xml:space="preserve">                                                                            </w:t>
    </w:r>
    <w:r>
      <w:rPr>
        <w:rFonts w:hint="eastAsia" w:ascii="仿宋" w:hAnsi="仿宋" w:eastAsia="仿宋" w:cs="仿宋"/>
        <w:b w:val="0"/>
        <w:bCs/>
        <w:kern w:val="2"/>
        <w:sz w:val="20"/>
        <w:u w:val="single"/>
        <w:lang w:val="en-US"/>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C2FC7">
    <w:pPr>
      <w:pStyle w:val="41"/>
      <w:jc w:val="right"/>
      <w:rPr>
        <w:rFonts w:hint="eastAsia" w:ascii="宋体" w:hAnsi="宋体" w:cs="宋体"/>
      </w:rPr>
    </w:pPr>
    <w:r>
      <w:rPr>
        <w:rFonts w:hint="eastAsia" w:ascii="仿宋" w:hAnsi="仿宋" w:eastAsia="仿宋" w:cs="仿宋"/>
        <w:bCs/>
        <w:sz w:val="20"/>
        <w:szCs w:val="20"/>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797AC"/>
    <w:multiLevelType w:val="singleLevel"/>
    <w:tmpl w:val="B08797AC"/>
    <w:lvl w:ilvl="0" w:tentative="0">
      <w:start w:val="4"/>
      <w:numFmt w:val="decimal"/>
      <w:lvlText w:val="%1."/>
      <w:lvlJc w:val="left"/>
      <w:pPr>
        <w:tabs>
          <w:tab w:val="left" w:pos="312"/>
        </w:tabs>
      </w:pPr>
    </w:lvl>
  </w:abstractNum>
  <w:abstractNum w:abstractNumId="1">
    <w:nsid w:val="F70BA14E"/>
    <w:multiLevelType w:val="singleLevel"/>
    <w:tmpl w:val="F70BA14E"/>
    <w:lvl w:ilvl="0" w:tentative="0">
      <w:start w:val="1"/>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14"/>
      <w:lvlText w:val=""/>
      <w:lvlJc w:val="left"/>
      <w:pPr>
        <w:tabs>
          <w:tab w:val="left" w:pos="840"/>
        </w:tabs>
        <w:ind w:left="840" w:hanging="420"/>
      </w:pPr>
      <w:rPr>
        <w:rFonts w:hint="default" w:ascii="Wingdings" w:hAnsi="Wingdings"/>
      </w:rPr>
    </w:lvl>
    <w:lvl w:ilvl="1" w:tentative="0">
      <w:start w:val="1"/>
      <w:numFmt w:val="bullet"/>
      <w:pStyle w:val="97"/>
      <w:lvlText w:val=""/>
      <w:lvlJc w:val="left"/>
      <w:pPr>
        <w:tabs>
          <w:tab w:val="left" w:pos="1260"/>
        </w:tabs>
        <w:ind w:left="1260" w:hanging="420"/>
      </w:pPr>
      <w:rPr>
        <w:rFonts w:hint="default" w:ascii="Wingdings" w:hAnsi="Wingdings"/>
      </w:rPr>
    </w:lvl>
    <w:lvl w:ilvl="2" w:tentative="0">
      <w:start w:val="1"/>
      <w:numFmt w:val="bullet"/>
      <w:pStyle w:val="351"/>
      <w:lvlText w:val=""/>
      <w:lvlJc w:val="left"/>
      <w:pPr>
        <w:tabs>
          <w:tab w:val="left" w:pos="1680"/>
        </w:tabs>
        <w:ind w:left="1680" w:hanging="420"/>
      </w:pPr>
      <w:rPr>
        <w:rFonts w:hint="default" w:ascii="Wingdings" w:hAnsi="Wingdings"/>
      </w:rPr>
    </w:lvl>
    <w:lvl w:ilvl="3" w:tentative="0">
      <w:start w:val="1"/>
      <w:numFmt w:val="bullet"/>
      <w:pStyle w:val="186"/>
      <w:lvlText w:val=""/>
      <w:lvlJc w:val="left"/>
      <w:pPr>
        <w:tabs>
          <w:tab w:val="left" w:pos="2100"/>
        </w:tabs>
        <w:ind w:left="2100" w:hanging="420"/>
      </w:pPr>
      <w:rPr>
        <w:rFonts w:hint="default" w:ascii="Wingdings" w:hAnsi="Wingdings"/>
      </w:rPr>
    </w:lvl>
    <w:lvl w:ilvl="4" w:tentative="0">
      <w:start w:val="1"/>
      <w:numFmt w:val="bullet"/>
      <w:pStyle w:val="420"/>
      <w:lvlText w:val=""/>
      <w:lvlJc w:val="left"/>
      <w:pPr>
        <w:tabs>
          <w:tab w:val="left" w:pos="2520"/>
        </w:tabs>
        <w:ind w:left="2520" w:hanging="420"/>
      </w:pPr>
      <w:rPr>
        <w:rFonts w:hint="default" w:ascii="Wingdings" w:hAnsi="Wingdings"/>
      </w:rPr>
    </w:lvl>
    <w:lvl w:ilvl="5" w:tentative="0">
      <w:start w:val="1"/>
      <w:numFmt w:val="bullet"/>
      <w:pStyle w:val="184"/>
      <w:lvlText w:val=""/>
      <w:lvlJc w:val="left"/>
      <w:pPr>
        <w:tabs>
          <w:tab w:val="left" w:pos="2940"/>
        </w:tabs>
        <w:ind w:left="2940" w:hanging="420"/>
      </w:pPr>
      <w:rPr>
        <w:rFonts w:hint="default" w:ascii="Wingdings" w:hAnsi="Wingdings"/>
      </w:rPr>
    </w:lvl>
    <w:lvl w:ilvl="6" w:tentative="0">
      <w:start w:val="1"/>
      <w:numFmt w:val="bullet"/>
      <w:pStyle w:val="409"/>
      <w:lvlText w:val=""/>
      <w:lvlJc w:val="left"/>
      <w:pPr>
        <w:tabs>
          <w:tab w:val="left" w:pos="3360"/>
        </w:tabs>
        <w:ind w:left="3360" w:hanging="420"/>
      </w:pPr>
      <w:rPr>
        <w:rFonts w:hint="default" w:ascii="Wingdings" w:hAnsi="Wingdings"/>
      </w:rPr>
    </w:lvl>
    <w:lvl w:ilvl="7" w:tentative="0">
      <w:start w:val="1"/>
      <w:numFmt w:val="bullet"/>
      <w:pStyle w:val="290"/>
      <w:lvlText w:val=""/>
      <w:lvlJc w:val="left"/>
      <w:pPr>
        <w:tabs>
          <w:tab w:val="left" w:pos="3780"/>
        </w:tabs>
        <w:ind w:left="3780" w:hanging="420"/>
      </w:pPr>
      <w:rPr>
        <w:rFonts w:hint="default" w:ascii="Wingdings" w:hAnsi="Wingdings"/>
      </w:rPr>
    </w:lvl>
    <w:lvl w:ilvl="8" w:tentative="0">
      <w:start w:val="1"/>
      <w:numFmt w:val="bullet"/>
      <w:pStyle w:val="382"/>
      <w:lvlText w:val=""/>
      <w:lvlJc w:val="left"/>
      <w:pPr>
        <w:tabs>
          <w:tab w:val="left" w:pos="4200"/>
        </w:tabs>
        <w:ind w:left="4200" w:hanging="420"/>
      </w:pPr>
      <w:rPr>
        <w:rFonts w:hint="default" w:ascii="Wingdings" w:hAnsi="Wingdings"/>
      </w:r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78B3BD2"/>
    <w:multiLevelType w:val="multilevel"/>
    <w:tmpl w:val="578B3BD2"/>
    <w:lvl w:ilvl="0" w:tentative="0">
      <w:start w:val="1"/>
      <w:numFmt w:val="decimal"/>
      <w:pStyle w:val="423"/>
      <w:lvlText w:val="%1"/>
      <w:lvlJc w:val="left"/>
      <w:pPr>
        <w:tabs>
          <w:tab w:val="left" w:pos="480"/>
        </w:tabs>
        <w:ind w:left="480" w:hanging="480"/>
      </w:pPr>
      <w:rPr>
        <w:rFonts w:hint="eastAsia"/>
        <w:sz w:val="44"/>
        <w:szCs w:val="44"/>
      </w:rPr>
    </w:lvl>
    <w:lvl w:ilvl="1" w:tentative="0">
      <w:start w:val="1"/>
      <w:numFmt w:val="decimal"/>
      <w:pStyle w:val="34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12"/>
      <w:lvlText w:val="%1.%2.%3.%4.%5"/>
      <w:lvlJc w:val="left"/>
      <w:pPr>
        <w:tabs>
          <w:tab w:val="left" w:pos="1080"/>
        </w:tabs>
        <w:ind w:left="1080" w:hanging="1080"/>
      </w:pPr>
      <w:rPr>
        <w:rFonts w:hint="default"/>
      </w:rPr>
    </w:lvl>
    <w:lvl w:ilvl="5" w:tentative="0">
      <w:start w:val="1"/>
      <w:numFmt w:val="decimal"/>
      <w:pStyle w:val="22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3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3"/>
  </w:num>
  <w:num w:numId="4">
    <w:abstractNumId w:val="10"/>
  </w:num>
  <w:num w:numId="5">
    <w:abstractNumId w:val="12"/>
  </w:num>
  <w:num w:numId="6">
    <w:abstractNumId w:val="0"/>
  </w:num>
  <w:num w:numId="7">
    <w:abstractNumId w:val="13"/>
  </w:num>
  <w:num w:numId="8">
    <w:abstractNumId w:val="1"/>
  </w:num>
  <w:num w:numId="9">
    <w:abstractNumId w:val="6"/>
  </w:num>
  <w:num w:numId="10">
    <w:abstractNumId w:val="11"/>
  </w:num>
  <w:num w:numId="11">
    <w:abstractNumId w:val="7"/>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TNhZGIyNTEwOTE2N2JjNGIyN2VmODU5ZjMwMTQifQ=="/>
    <w:docVar w:name="KSO_WPS_MARK_KEY" w:val="fc65104c-0e8b-4f55-8d42-94a64054493d"/>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699"/>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2933"/>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2345"/>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4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649C"/>
    <w:rsid w:val="00457CF7"/>
    <w:rsid w:val="00457D37"/>
    <w:rsid w:val="00460E68"/>
    <w:rsid w:val="00461F80"/>
    <w:rsid w:val="0046240D"/>
    <w:rsid w:val="00463576"/>
    <w:rsid w:val="0046399D"/>
    <w:rsid w:val="00465264"/>
    <w:rsid w:val="00465781"/>
    <w:rsid w:val="00465A21"/>
    <w:rsid w:val="00466ABA"/>
    <w:rsid w:val="0046775D"/>
    <w:rsid w:val="00470410"/>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6BA"/>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05E"/>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07EB2"/>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CBD"/>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4688E"/>
    <w:rsid w:val="00850013"/>
    <w:rsid w:val="008500DD"/>
    <w:rsid w:val="008521BF"/>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4965"/>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C1B"/>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B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607E"/>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44EC"/>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816"/>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2D5A"/>
    <w:rsid w:val="00E3533E"/>
    <w:rsid w:val="00E35A45"/>
    <w:rsid w:val="00E37C85"/>
    <w:rsid w:val="00E43006"/>
    <w:rsid w:val="00E43551"/>
    <w:rsid w:val="00E50809"/>
    <w:rsid w:val="00E510CF"/>
    <w:rsid w:val="00E51FB6"/>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8C8"/>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02BBB"/>
    <w:rsid w:val="01404C38"/>
    <w:rsid w:val="0145402C"/>
    <w:rsid w:val="018B18BE"/>
    <w:rsid w:val="01BD0B8F"/>
    <w:rsid w:val="02485020"/>
    <w:rsid w:val="026B74AB"/>
    <w:rsid w:val="028265A2"/>
    <w:rsid w:val="02887473"/>
    <w:rsid w:val="02DA0C0E"/>
    <w:rsid w:val="02EE42AA"/>
    <w:rsid w:val="03411CE5"/>
    <w:rsid w:val="034C72DC"/>
    <w:rsid w:val="03DD35E4"/>
    <w:rsid w:val="0416040D"/>
    <w:rsid w:val="042C2D6A"/>
    <w:rsid w:val="044F1646"/>
    <w:rsid w:val="04A47949"/>
    <w:rsid w:val="051A0FB1"/>
    <w:rsid w:val="055E131B"/>
    <w:rsid w:val="05CC3B18"/>
    <w:rsid w:val="061518B2"/>
    <w:rsid w:val="065A6178"/>
    <w:rsid w:val="068A4D19"/>
    <w:rsid w:val="075562B7"/>
    <w:rsid w:val="07B91445"/>
    <w:rsid w:val="07F6164B"/>
    <w:rsid w:val="080C528C"/>
    <w:rsid w:val="083C062D"/>
    <w:rsid w:val="087A19F6"/>
    <w:rsid w:val="087A1B7A"/>
    <w:rsid w:val="088975D0"/>
    <w:rsid w:val="08EB2F3B"/>
    <w:rsid w:val="09187C60"/>
    <w:rsid w:val="096B2097"/>
    <w:rsid w:val="0A517A72"/>
    <w:rsid w:val="0A5B7E63"/>
    <w:rsid w:val="0B2B73A9"/>
    <w:rsid w:val="0B316DB7"/>
    <w:rsid w:val="0B634D0C"/>
    <w:rsid w:val="0BFB4241"/>
    <w:rsid w:val="0C87121B"/>
    <w:rsid w:val="0CA21DF2"/>
    <w:rsid w:val="0CCA26E5"/>
    <w:rsid w:val="0DA25D4B"/>
    <w:rsid w:val="0DB609B5"/>
    <w:rsid w:val="0DF537AA"/>
    <w:rsid w:val="0DF702FE"/>
    <w:rsid w:val="0E181BD6"/>
    <w:rsid w:val="0E3F698B"/>
    <w:rsid w:val="0E931D63"/>
    <w:rsid w:val="0F2138C1"/>
    <w:rsid w:val="0F21508F"/>
    <w:rsid w:val="0F3E237F"/>
    <w:rsid w:val="0F563DC4"/>
    <w:rsid w:val="0F816ACD"/>
    <w:rsid w:val="0FB73D2F"/>
    <w:rsid w:val="0FB94501"/>
    <w:rsid w:val="0FBD4715"/>
    <w:rsid w:val="0FE178FD"/>
    <w:rsid w:val="10830E07"/>
    <w:rsid w:val="10B047CF"/>
    <w:rsid w:val="10F468BD"/>
    <w:rsid w:val="10FC16EA"/>
    <w:rsid w:val="1108297D"/>
    <w:rsid w:val="11806A47"/>
    <w:rsid w:val="118963A1"/>
    <w:rsid w:val="119F228D"/>
    <w:rsid w:val="127723A9"/>
    <w:rsid w:val="128537E3"/>
    <w:rsid w:val="13072A44"/>
    <w:rsid w:val="1330127E"/>
    <w:rsid w:val="134351FA"/>
    <w:rsid w:val="13C13302"/>
    <w:rsid w:val="13D11138"/>
    <w:rsid w:val="14276FAA"/>
    <w:rsid w:val="143D1395"/>
    <w:rsid w:val="145044FA"/>
    <w:rsid w:val="14B754D4"/>
    <w:rsid w:val="15676505"/>
    <w:rsid w:val="15A9236C"/>
    <w:rsid w:val="15D01AE6"/>
    <w:rsid w:val="162D297A"/>
    <w:rsid w:val="1650051A"/>
    <w:rsid w:val="16F72C63"/>
    <w:rsid w:val="17DF5EA9"/>
    <w:rsid w:val="18196CF9"/>
    <w:rsid w:val="185008B8"/>
    <w:rsid w:val="186742B0"/>
    <w:rsid w:val="186C3836"/>
    <w:rsid w:val="186E3A86"/>
    <w:rsid w:val="186E7371"/>
    <w:rsid w:val="18925339"/>
    <w:rsid w:val="1A2F5742"/>
    <w:rsid w:val="1AA62D85"/>
    <w:rsid w:val="1ADA4D76"/>
    <w:rsid w:val="1AE259D8"/>
    <w:rsid w:val="1B1056C1"/>
    <w:rsid w:val="1B2A271F"/>
    <w:rsid w:val="1B53571C"/>
    <w:rsid w:val="1B890139"/>
    <w:rsid w:val="1BA61538"/>
    <w:rsid w:val="1BAD12D0"/>
    <w:rsid w:val="1BDA384D"/>
    <w:rsid w:val="1BFB0F3C"/>
    <w:rsid w:val="1C35495A"/>
    <w:rsid w:val="1C6238D6"/>
    <w:rsid w:val="1C726676"/>
    <w:rsid w:val="1C8D4AC0"/>
    <w:rsid w:val="1D266CE1"/>
    <w:rsid w:val="1D35285D"/>
    <w:rsid w:val="1D3963AF"/>
    <w:rsid w:val="1D75477A"/>
    <w:rsid w:val="1D7C1CF3"/>
    <w:rsid w:val="1DB96E84"/>
    <w:rsid w:val="1DC002FF"/>
    <w:rsid w:val="1DC619F7"/>
    <w:rsid w:val="1E1C4383"/>
    <w:rsid w:val="1E714A66"/>
    <w:rsid w:val="1E8431B9"/>
    <w:rsid w:val="1EC03373"/>
    <w:rsid w:val="1EE238C7"/>
    <w:rsid w:val="1F4B71D4"/>
    <w:rsid w:val="1F727532"/>
    <w:rsid w:val="1F9B45A5"/>
    <w:rsid w:val="1FAE5C96"/>
    <w:rsid w:val="1FE868A9"/>
    <w:rsid w:val="1FF07436"/>
    <w:rsid w:val="1FFC1618"/>
    <w:rsid w:val="203879FC"/>
    <w:rsid w:val="203C098B"/>
    <w:rsid w:val="20AA6F98"/>
    <w:rsid w:val="211E26D6"/>
    <w:rsid w:val="21283D08"/>
    <w:rsid w:val="215E7817"/>
    <w:rsid w:val="216433BF"/>
    <w:rsid w:val="216830DB"/>
    <w:rsid w:val="21845CBA"/>
    <w:rsid w:val="21AA19C9"/>
    <w:rsid w:val="21F27493"/>
    <w:rsid w:val="221E2B5B"/>
    <w:rsid w:val="22310C15"/>
    <w:rsid w:val="224F6A6D"/>
    <w:rsid w:val="23481E03"/>
    <w:rsid w:val="236B046C"/>
    <w:rsid w:val="237942B8"/>
    <w:rsid w:val="23F101A6"/>
    <w:rsid w:val="23F77920"/>
    <w:rsid w:val="23FA3D93"/>
    <w:rsid w:val="24727BE5"/>
    <w:rsid w:val="247C3F2C"/>
    <w:rsid w:val="248E26F9"/>
    <w:rsid w:val="24D77848"/>
    <w:rsid w:val="25083871"/>
    <w:rsid w:val="25164BFC"/>
    <w:rsid w:val="256162F1"/>
    <w:rsid w:val="25B440B3"/>
    <w:rsid w:val="26312831"/>
    <w:rsid w:val="2644234E"/>
    <w:rsid w:val="267A3577"/>
    <w:rsid w:val="268B193A"/>
    <w:rsid w:val="26962499"/>
    <w:rsid w:val="26966684"/>
    <w:rsid w:val="26AD77E2"/>
    <w:rsid w:val="274254BB"/>
    <w:rsid w:val="2762006E"/>
    <w:rsid w:val="284D42CD"/>
    <w:rsid w:val="28590ABD"/>
    <w:rsid w:val="28832986"/>
    <w:rsid w:val="28E53263"/>
    <w:rsid w:val="28F00706"/>
    <w:rsid w:val="299233C9"/>
    <w:rsid w:val="29EC4E01"/>
    <w:rsid w:val="2A1A2020"/>
    <w:rsid w:val="2A5306A1"/>
    <w:rsid w:val="2AA1365A"/>
    <w:rsid w:val="2AAF79A4"/>
    <w:rsid w:val="2AD055CA"/>
    <w:rsid w:val="2AE02C1E"/>
    <w:rsid w:val="2B1C6CE5"/>
    <w:rsid w:val="2B45181B"/>
    <w:rsid w:val="2B894E2A"/>
    <w:rsid w:val="2B9D70AA"/>
    <w:rsid w:val="2C0E72C5"/>
    <w:rsid w:val="2C241AC1"/>
    <w:rsid w:val="2C971B37"/>
    <w:rsid w:val="2CD97481"/>
    <w:rsid w:val="2CF97BF6"/>
    <w:rsid w:val="2DC07DFB"/>
    <w:rsid w:val="2DD15014"/>
    <w:rsid w:val="2E385BE3"/>
    <w:rsid w:val="2E516BDC"/>
    <w:rsid w:val="2E9028D3"/>
    <w:rsid w:val="2E9E067A"/>
    <w:rsid w:val="2F056915"/>
    <w:rsid w:val="2F8558C5"/>
    <w:rsid w:val="2F942F78"/>
    <w:rsid w:val="2F9A0543"/>
    <w:rsid w:val="2FD25781"/>
    <w:rsid w:val="303B124E"/>
    <w:rsid w:val="30B92CC1"/>
    <w:rsid w:val="30E55F63"/>
    <w:rsid w:val="312D5853"/>
    <w:rsid w:val="3180616D"/>
    <w:rsid w:val="31903F88"/>
    <w:rsid w:val="319C6071"/>
    <w:rsid w:val="31A55C86"/>
    <w:rsid w:val="322F554F"/>
    <w:rsid w:val="324B2107"/>
    <w:rsid w:val="327068FF"/>
    <w:rsid w:val="32DB72BE"/>
    <w:rsid w:val="3331174F"/>
    <w:rsid w:val="33421C25"/>
    <w:rsid w:val="33AE0703"/>
    <w:rsid w:val="33C63C91"/>
    <w:rsid w:val="340854CA"/>
    <w:rsid w:val="340933E4"/>
    <w:rsid w:val="342E63AB"/>
    <w:rsid w:val="345D260B"/>
    <w:rsid w:val="34E00D83"/>
    <w:rsid w:val="3529272A"/>
    <w:rsid w:val="35943DE7"/>
    <w:rsid w:val="35B629AE"/>
    <w:rsid w:val="35F623BD"/>
    <w:rsid w:val="365302AE"/>
    <w:rsid w:val="371A4138"/>
    <w:rsid w:val="378E0E6E"/>
    <w:rsid w:val="37F142D2"/>
    <w:rsid w:val="38D5590C"/>
    <w:rsid w:val="3904719D"/>
    <w:rsid w:val="393B5286"/>
    <w:rsid w:val="396A3260"/>
    <w:rsid w:val="39A13F14"/>
    <w:rsid w:val="39C71902"/>
    <w:rsid w:val="39F5456C"/>
    <w:rsid w:val="3A35391F"/>
    <w:rsid w:val="3AC841DA"/>
    <w:rsid w:val="3B1615D3"/>
    <w:rsid w:val="3C5F759A"/>
    <w:rsid w:val="3CED550D"/>
    <w:rsid w:val="3D097CDC"/>
    <w:rsid w:val="3D2264AA"/>
    <w:rsid w:val="3D2C3D4E"/>
    <w:rsid w:val="3D5C78D4"/>
    <w:rsid w:val="3DCC57F0"/>
    <w:rsid w:val="3E4D3BD3"/>
    <w:rsid w:val="3EE51C6A"/>
    <w:rsid w:val="3F1400B3"/>
    <w:rsid w:val="3FFF72A6"/>
    <w:rsid w:val="403D064C"/>
    <w:rsid w:val="41036525"/>
    <w:rsid w:val="412E1D25"/>
    <w:rsid w:val="41351650"/>
    <w:rsid w:val="42C82990"/>
    <w:rsid w:val="42E1381E"/>
    <w:rsid w:val="435A0E6C"/>
    <w:rsid w:val="43C91856"/>
    <w:rsid w:val="43FB717C"/>
    <w:rsid w:val="440A5987"/>
    <w:rsid w:val="44571EB8"/>
    <w:rsid w:val="44896A7B"/>
    <w:rsid w:val="44B22189"/>
    <w:rsid w:val="44C47134"/>
    <w:rsid w:val="44C9055B"/>
    <w:rsid w:val="451E447A"/>
    <w:rsid w:val="45345B76"/>
    <w:rsid w:val="45BF7EF1"/>
    <w:rsid w:val="45CE3E81"/>
    <w:rsid w:val="463131AB"/>
    <w:rsid w:val="46A51269"/>
    <w:rsid w:val="46C36F7E"/>
    <w:rsid w:val="47307808"/>
    <w:rsid w:val="47374ECF"/>
    <w:rsid w:val="47C43E3F"/>
    <w:rsid w:val="47D11E35"/>
    <w:rsid w:val="47D17428"/>
    <w:rsid w:val="486F747C"/>
    <w:rsid w:val="487D5B10"/>
    <w:rsid w:val="48A52D41"/>
    <w:rsid w:val="49CF75FE"/>
    <w:rsid w:val="49FC5E8B"/>
    <w:rsid w:val="4A4C1A86"/>
    <w:rsid w:val="4A5D308E"/>
    <w:rsid w:val="4A6C513B"/>
    <w:rsid w:val="4A820975"/>
    <w:rsid w:val="4A9E3850"/>
    <w:rsid w:val="4AC97E68"/>
    <w:rsid w:val="4B523F4E"/>
    <w:rsid w:val="4B5C10BD"/>
    <w:rsid w:val="4B9F2748"/>
    <w:rsid w:val="4BB44C8F"/>
    <w:rsid w:val="4BE62643"/>
    <w:rsid w:val="4C325106"/>
    <w:rsid w:val="4D2951F8"/>
    <w:rsid w:val="4D7D3BAF"/>
    <w:rsid w:val="4D861CF6"/>
    <w:rsid w:val="4DBA3781"/>
    <w:rsid w:val="4DF94C4A"/>
    <w:rsid w:val="4E7C58ED"/>
    <w:rsid w:val="4EEA612F"/>
    <w:rsid w:val="4F937F25"/>
    <w:rsid w:val="4F997502"/>
    <w:rsid w:val="50102C97"/>
    <w:rsid w:val="5031403E"/>
    <w:rsid w:val="50485D02"/>
    <w:rsid w:val="514217DA"/>
    <w:rsid w:val="51600013"/>
    <w:rsid w:val="51A0432A"/>
    <w:rsid w:val="52073BE1"/>
    <w:rsid w:val="52224331"/>
    <w:rsid w:val="52586507"/>
    <w:rsid w:val="527140E5"/>
    <w:rsid w:val="5292508F"/>
    <w:rsid w:val="52A96B6F"/>
    <w:rsid w:val="533C5172"/>
    <w:rsid w:val="53404D12"/>
    <w:rsid w:val="53C51418"/>
    <w:rsid w:val="540A3E1E"/>
    <w:rsid w:val="54585ABE"/>
    <w:rsid w:val="550764A4"/>
    <w:rsid w:val="551926E0"/>
    <w:rsid w:val="561279B9"/>
    <w:rsid w:val="56480568"/>
    <w:rsid w:val="56515F3B"/>
    <w:rsid w:val="572B71CA"/>
    <w:rsid w:val="57C447BA"/>
    <w:rsid w:val="57CD5C65"/>
    <w:rsid w:val="58760B8B"/>
    <w:rsid w:val="588010E1"/>
    <w:rsid w:val="58AE4F0C"/>
    <w:rsid w:val="58ED2706"/>
    <w:rsid w:val="59B45AF9"/>
    <w:rsid w:val="59B85CA7"/>
    <w:rsid w:val="5A2A7C7B"/>
    <w:rsid w:val="5AF32712"/>
    <w:rsid w:val="5BBD2610"/>
    <w:rsid w:val="5C0C60F3"/>
    <w:rsid w:val="5C275690"/>
    <w:rsid w:val="5C801F82"/>
    <w:rsid w:val="5C80234E"/>
    <w:rsid w:val="5C981DBF"/>
    <w:rsid w:val="5D464695"/>
    <w:rsid w:val="5DB365C8"/>
    <w:rsid w:val="5E261785"/>
    <w:rsid w:val="5E285A25"/>
    <w:rsid w:val="5E5B087A"/>
    <w:rsid w:val="5E98312C"/>
    <w:rsid w:val="5EF944A9"/>
    <w:rsid w:val="5F151426"/>
    <w:rsid w:val="5FB962D5"/>
    <w:rsid w:val="5FCC5339"/>
    <w:rsid w:val="5FE0662B"/>
    <w:rsid w:val="5FE70807"/>
    <w:rsid w:val="60A136DE"/>
    <w:rsid w:val="60AF2097"/>
    <w:rsid w:val="60E53485"/>
    <w:rsid w:val="60FA2214"/>
    <w:rsid w:val="61054A27"/>
    <w:rsid w:val="611D2366"/>
    <w:rsid w:val="612E661F"/>
    <w:rsid w:val="616E7593"/>
    <w:rsid w:val="61EF70A3"/>
    <w:rsid w:val="623D1B08"/>
    <w:rsid w:val="62621AF5"/>
    <w:rsid w:val="62885958"/>
    <w:rsid w:val="62BE2D04"/>
    <w:rsid w:val="62CF0D0F"/>
    <w:rsid w:val="62D46A7B"/>
    <w:rsid w:val="62DF3F38"/>
    <w:rsid w:val="62FB5EB5"/>
    <w:rsid w:val="637033E3"/>
    <w:rsid w:val="639170EF"/>
    <w:rsid w:val="63BF6579"/>
    <w:rsid w:val="63E853DA"/>
    <w:rsid w:val="63F20007"/>
    <w:rsid w:val="64826DE3"/>
    <w:rsid w:val="64A146BD"/>
    <w:rsid w:val="64CE15B4"/>
    <w:rsid w:val="64CE2EAA"/>
    <w:rsid w:val="64FB6666"/>
    <w:rsid w:val="65247C56"/>
    <w:rsid w:val="65253A1B"/>
    <w:rsid w:val="6569254B"/>
    <w:rsid w:val="65D5198E"/>
    <w:rsid w:val="662A7F2C"/>
    <w:rsid w:val="662E75B1"/>
    <w:rsid w:val="66342C2E"/>
    <w:rsid w:val="663E784C"/>
    <w:rsid w:val="665832C3"/>
    <w:rsid w:val="666E5BAC"/>
    <w:rsid w:val="671556AF"/>
    <w:rsid w:val="674B5169"/>
    <w:rsid w:val="676D3242"/>
    <w:rsid w:val="678A67D7"/>
    <w:rsid w:val="67A525AA"/>
    <w:rsid w:val="67E86C11"/>
    <w:rsid w:val="682735EF"/>
    <w:rsid w:val="682771F0"/>
    <w:rsid w:val="682D18B9"/>
    <w:rsid w:val="685867EC"/>
    <w:rsid w:val="68C847F0"/>
    <w:rsid w:val="68E25AE1"/>
    <w:rsid w:val="68E774A3"/>
    <w:rsid w:val="68FB5BB0"/>
    <w:rsid w:val="696848C8"/>
    <w:rsid w:val="69CD707E"/>
    <w:rsid w:val="6A540CCD"/>
    <w:rsid w:val="6A753740"/>
    <w:rsid w:val="6ABF49BB"/>
    <w:rsid w:val="6AE47E93"/>
    <w:rsid w:val="6B3B6738"/>
    <w:rsid w:val="6B607ED6"/>
    <w:rsid w:val="6B6167DD"/>
    <w:rsid w:val="6B723526"/>
    <w:rsid w:val="6BE412D2"/>
    <w:rsid w:val="6C2456CA"/>
    <w:rsid w:val="6C4C227F"/>
    <w:rsid w:val="6C5A4594"/>
    <w:rsid w:val="6C7C51F6"/>
    <w:rsid w:val="6C892993"/>
    <w:rsid w:val="6CDC1683"/>
    <w:rsid w:val="6D325918"/>
    <w:rsid w:val="6D685922"/>
    <w:rsid w:val="6DE210EC"/>
    <w:rsid w:val="6DFC5F99"/>
    <w:rsid w:val="6E8E12EF"/>
    <w:rsid w:val="6F032CBB"/>
    <w:rsid w:val="6F555079"/>
    <w:rsid w:val="6FC9117A"/>
    <w:rsid w:val="70B321E8"/>
    <w:rsid w:val="7113776B"/>
    <w:rsid w:val="71812C95"/>
    <w:rsid w:val="71D43752"/>
    <w:rsid w:val="725074F1"/>
    <w:rsid w:val="729B18D8"/>
    <w:rsid w:val="72BE75B1"/>
    <w:rsid w:val="72C63ED1"/>
    <w:rsid w:val="72F25EDA"/>
    <w:rsid w:val="73632A5E"/>
    <w:rsid w:val="73DD6243"/>
    <w:rsid w:val="73F76ABD"/>
    <w:rsid w:val="74012891"/>
    <w:rsid w:val="74470E83"/>
    <w:rsid w:val="74860944"/>
    <w:rsid w:val="749C4185"/>
    <w:rsid w:val="74AC7D5F"/>
    <w:rsid w:val="74B36E1F"/>
    <w:rsid w:val="753422E3"/>
    <w:rsid w:val="75DA2C18"/>
    <w:rsid w:val="76124721"/>
    <w:rsid w:val="762E5132"/>
    <w:rsid w:val="768714B9"/>
    <w:rsid w:val="770E2F52"/>
    <w:rsid w:val="775319EF"/>
    <w:rsid w:val="77C00863"/>
    <w:rsid w:val="790F1C77"/>
    <w:rsid w:val="797B5BDA"/>
    <w:rsid w:val="7A67303B"/>
    <w:rsid w:val="7AAB1D04"/>
    <w:rsid w:val="7ABA4368"/>
    <w:rsid w:val="7ACD473D"/>
    <w:rsid w:val="7B0F7299"/>
    <w:rsid w:val="7B257FFD"/>
    <w:rsid w:val="7B62596B"/>
    <w:rsid w:val="7C0D10D8"/>
    <w:rsid w:val="7C2B1DA5"/>
    <w:rsid w:val="7CDA6661"/>
    <w:rsid w:val="7CFE62F8"/>
    <w:rsid w:val="7D534011"/>
    <w:rsid w:val="7D655E3E"/>
    <w:rsid w:val="7D7F4224"/>
    <w:rsid w:val="7DA77C5D"/>
    <w:rsid w:val="7DBF7FFE"/>
    <w:rsid w:val="7DDC7906"/>
    <w:rsid w:val="7DF4317E"/>
    <w:rsid w:val="7E1B26BE"/>
    <w:rsid w:val="7E2364DE"/>
    <w:rsid w:val="7E325778"/>
    <w:rsid w:val="7E4844ED"/>
    <w:rsid w:val="7E64308B"/>
    <w:rsid w:val="7E663674"/>
    <w:rsid w:val="7EAD4230"/>
    <w:rsid w:val="7F7D4352"/>
    <w:rsid w:val="7FB251EB"/>
    <w:rsid w:val="7FE6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6"/>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42"/>
    <w:qFormat/>
    <w:uiPriority w:val="9"/>
    <w:pPr>
      <w:keepNext/>
      <w:keepLines/>
      <w:adjustRightInd/>
      <w:spacing w:line="360" w:lineRule="auto"/>
      <w:jc w:val="left"/>
      <w:outlineLvl w:val="1"/>
    </w:pPr>
    <w:rPr>
      <w:rFonts w:ascii="仿宋_GB2312" w:hAnsi="仿宋_GB2312" w:eastAsia="仿宋_GB2312"/>
      <w:b/>
      <w:bCs/>
      <w:sz w:val="32"/>
      <w:szCs w:val="32"/>
      <w:lang w:val="zh-CN"/>
    </w:rPr>
  </w:style>
  <w:style w:type="paragraph" w:styleId="4">
    <w:name w:val="heading 3"/>
    <w:basedOn w:val="5"/>
    <w:next w:val="1"/>
    <w:qFormat/>
    <w:uiPriority w:val="0"/>
    <w:pPr>
      <w:numPr>
        <w:ilvl w:val="2"/>
      </w:numPr>
      <w:tabs>
        <w:tab w:val="left" w:pos="864"/>
      </w:tabs>
      <w:spacing w:before="260" w:after="260" w:line="416" w:lineRule="auto"/>
      <w:outlineLvl w:val="2"/>
    </w:pPr>
    <w:rPr>
      <w:sz w:val="32"/>
      <w:szCs w:val="32"/>
    </w:rPr>
  </w:style>
  <w:style w:type="paragraph" w:styleId="5">
    <w:name w:val="heading 4"/>
    <w:basedOn w:val="1"/>
    <w:next w:val="1"/>
    <w:link w:val="7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7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8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8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6"/>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619"/>
    <w:semiHidden/>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next w:val="1"/>
    <w:link w:val="617"/>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8"/>
    <w:qFormat/>
    <w:uiPriority w:val="99"/>
    <w:pPr>
      <w:jc w:val="left"/>
    </w:pPr>
  </w:style>
  <w:style w:type="paragraph" w:styleId="22">
    <w:name w:val="Salutation"/>
    <w:basedOn w:val="1"/>
    <w:next w:val="1"/>
    <w:link w:val="489"/>
    <w:qFormat/>
    <w:uiPriority w:val="0"/>
    <w:rPr>
      <w:rFonts w:ascii="仿宋_GB2312" w:eastAsia="仿宋_GB2312"/>
      <w:sz w:val="28"/>
      <w:szCs w:val="20"/>
    </w:rPr>
  </w:style>
  <w:style w:type="paragraph" w:styleId="23">
    <w:name w:val="Body Text 3"/>
    <w:basedOn w:val="1"/>
    <w:link w:val="587"/>
    <w:qFormat/>
    <w:uiPriority w:val="0"/>
    <w:pPr>
      <w:jc w:val="center"/>
    </w:pPr>
    <w:rPr>
      <w:szCs w:val="20"/>
    </w:rPr>
  </w:style>
  <w:style w:type="paragraph" w:styleId="24">
    <w:name w:val="Body Text"/>
    <w:basedOn w:val="1"/>
    <w:next w:val="25"/>
    <w:link w:val="519"/>
    <w:qFormat/>
    <w:uiPriority w:val="0"/>
    <w:pPr>
      <w:autoSpaceDE w:val="0"/>
      <w:autoSpaceDN w:val="0"/>
      <w:spacing w:line="360" w:lineRule="auto"/>
    </w:pPr>
    <w:rPr>
      <w:rFonts w:ascii="宋体"/>
      <w:sz w:val="24"/>
      <w:szCs w:val="21"/>
      <w:lang w:val="zh-CN"/>
    </w:rPr>
  </w:style>
  <w:style w:type="paragraph" w:styleId="25">
    <w:name w:val="Body Text First Indent"/>
    <w:basedOn w:val="24"/>
    <w:next w:val="26"/>
    <w:link w:val="552"/>
    <w:qFormat/>
    <w:uiPriority w:val="0"/>
    <w:pPr>
      <w:ind w:firstLine="420"/>
    </w:pPr>
    <w:rPr>
      <w:szCs w:val="20"/>
    </w:rPr>
  </w:style>
  <w:style w:type="paragraph" w:styleId="26">
    <w:name w:val="toc 6"/>
    <w:basedOn w:val="1"/>
    <w:next w:val="1"/>
    <w:qFormat/>
    <w:uiPriority w:val="0"/>
    <w:pPr>
      <w:ind w:left="2100" w:leftChars="1000"/>
    </w:pPr>
  </w:style>
  <w:style w:type="paragraph" w:styleId="27">
    <w:name w:val="Body Text Indent"/>
    <w:basedOn w:val="1"/>
    <w:next w:val="14"/>
    <w:link w:val="48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496"/>
    <w:qFormat/>
    <w:uiPriority w:val="0"/>
    <w:rPr>
      <w:rFonts w:ascii="宋体" w:hAnsi="Courier New"/>
      <w:szCs w:val="20"/>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604"/>
    <w:qFormat/>
    <w:uiPriority w:val="0"/>
    <w:pPr>
      <w:ind w:left="100" w:leftChars="2500"/>
    </w:pPr>
    <w:rPr>
      <w:rFonts w:ascii="宋体"/>
      <w:sz w:val="24"/>
      <w:szCs w:val="21"/>
      <w:lang w:val="zh-CN"/>
    </w:rPr>
  </w:style>
  <w:style w:type="paragraph" w:styleId="38">
    <w:name w:val="Body Text Indent 2"/>
    <w:basedOn w:val="1"/>
    <w:link w:val="510"/>
    <w:qFormat/>
    <w:uiPriority w:val="0"/>
    <w:pPr>
      <w:spacing w:line="360" w:lineRule="auto"/>
      <w:ind w:firstLine="601"/>
      <w:textAlignment w:val="baseline"/>
    </w:pPr>
    <w:rPr>
      <w:rFonts w:ascii="宋体"/>
      <w:kern w:val="0"/>
      <w:sz w:val="28"/>
      <w:szCs w:val="20"/>
    </w:rPr>
  </w:style>
  <w:style w:type="paragraph" w:styleId="39">
    <w:name w:val="endnote text"/>
    <w:basedOn w:val="1"/>
    <w:unhideWhenUsed/>
    <w:qFormat/>
    <w:uiPriority w:val="99"/>
    <w:pPr>
      <w:snapToGrid w:val="0"/>
      <w:jc w:val="left"/>
    </w:p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9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next w:val="1"/>
    <w:qFormat/>
    <w:uiPriority w:val="0"/>
    <w:pPr>
      <w:ind w:left="200" w:hanging="200" w:hangingChars="200"/>
    </w:pPr>
  </w:style>
  <w:style w:type="paragraph" w:styleId="50">
    <w:name w:val="footnote text"/>
    <w:basedOn w:val="17"/>
    <w:link w:val="481"/>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9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2"/>
    <w:basedOn w:val="27"/>
    <w:next w:val="25"/>
    <w:link w:val="509"/>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3">
    <w:name w:val="样式 表格正文 + 两端对齐"/>
    <w:basedOn w:val="1"/>
    <w:next w:val="74"/>
    <w:qFormat/>
    <w:uiPriority w:val="0"/>
    <w:pPr>
      <w:spacing w:line="300" w:lineRule="auto"/>
    </w:pPr>
  </w:style>
  <w:style w:type="paragraph" w:customStyle="1" w:styleId="74">
    <w:name w:val="正文1"/>
    <w:basedOn w:val="34"/>
    <w:next w:val="75"/>
    <w:qFormat/>
    <w:uiPriority w:val="0"/>
    <w:pPr>
      <w:ind w:left="0" w:leftChars="0" w:firstLine="480" w:firstLineChars="200"/>
    </w:pPr>
    <w:rPr>
      <w:rFonts w:ascii="仿宋_GB2312" w:hAnsi="Courier New" w:eastAsia="仿宋_GB2312"/>
      <w:kern w:val="28"/>
      <w:sz w:val="24"/>
    </w:rPr>
  </w:style>
  <w:style w:type="paragraph" w:customStyle="1" w:styleId="7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标题 2 Char"/>
    <w:qFormat/>
    <w:uiPriority w:val="0"/>
    <w:rPr>
      <w:rFonts w:ascii="Arial" w:hAnsi="Arial" w:eastAsia="黑体"/>
      <w:b/>
      <w:kern w:val="2"/>
      <w:sz w:val="32"/>
      <w:lang w:val="en-US" w:eastAsia="zh-CN"/>
    </w:rPr>
  </w:style>
  <w:style w:type="character" w:customStyle="1" w:styleId="77">
    <w:name w:val="标题 4 字符"/>
    <w:link w:val="5"/>
    <w:qFormat/>
    <w:uiPriority w:val="0"/>
    <w:rPr>
      <w:rFonts w:ascii="Arial" w:hAnsi="Arial" w:eastAsia="黑体"/>
      <w:b/>
      <w:bCs/>
      <w:kern w:val="2"/>
      <w:sz w:val="28"/>
      <w:szCs w:val="28"/>
      <w:lang w:val="zh-CN"/>
    </w:rPr>
  </w:style>
  <w:style w:type="character" w:customStyle="1" w:styleId="78">
    <w:name w:val="标题 5 字符"/>
    <w:link w:val="6"/>
    <w:qFormat/>
    <w:uiPriority w:val="0"/>
    <w:rPr>
      <w:b/>
      <w:bCs/>
      <w:kern w:val="2"/>
      <w:sz w:val="28"/>
      <w:szCs w:val="28"/>
    </w:rPr>
  </w:style>
  <w:style w:type="character" w:customStyle="1" w:styleId="79">
    <w:name w:val="标题 7 字符"/>
    <w:link w:val="8"/>
    <w:qFormat/>
    <w:uiPriority w:val="0"/>
    <w:rPr>
      <w:b/>
      <w:bCs/>
      <w:kern w:val="2"/>
      <w:sz w:val="24"/>
      <w:szCs w:val="24"/>
    </w:rPr>
  </w:style>
  <w:style w:type="character" w:customStyle="1" w:styleId="80">
    <w:name w:val="标题 6 字符"/>
    <w:link w:val="7"/>
    <w:qFormat/>
    <w:uiPriority w:val="0"/>
    <w:rPr>
      <w:rFonts w:ascii="Arial" w:hAnsi="Arial" w:eastAsia="黑体"/>
      <w:b/>
      <w:bCs/>
      <w:kern w:val="2"/>
      <w:sz w:val="24"/>
      <w:szCs w:val="24"/>
    </w:rPr>
  </w:style>
  <w:style w:type="character" w:customStyle="1" w:styleId="81">
    <w:name w:val="标题 8 字符"/>
    <w:link w:val="9"/>
    <w:qFormat/>
    <w:uiPriority w:val="0"/>
    <w:rPr>
      <w:rFonts w:ascii="Arial" w:hAnsi="Arial" w:eastAsia="黑体"/>
      <w:kern w:val="2"/>
      <w:sz w:val="24"/>
      <w:szCs w:val="24"/>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Body Text First Indent1"/>
    <w:basedOn w:val="24"/>
    <w:next w:val="41"/>
    <w:qFormat/>
    <w:uiPriority w:val="0"/>
    <w:pPr>
      <w:ind w:firstLine="420" w:firstLineChars="100"/>
    </w:pPr>
    <w:rPr>
      <w:sz w:val="20"/>
    </w:rPr>
  </w:style>
  <w:style w:type="paragraph" w:customStyle="1" w:styleId="84">
    <w:name w:val="正文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6">
    <w:name w:val="冯"/>
    <w:basedOn w:val="1"/>
    <w:link w:val="523"/>
    <w:qFormat/>
    <w:uiPriority w:val="0"/>
    <w:pPr>
      <w:widowControl/>
      <w:adjustRightInd/>
      <w:spacing w:line="360" w:lineRule="auto"/>
      <w:ind w:firstLine="480" w:firstLineChars="200"/>
    </w:pPr>
    <w:rPr>
      <w:rFonts w:ascii="宋体" w:hAnsi="宋体"/>
      <w:color w:val="000000"/>
      <w:kern w:val="0"/>
      <w:sz w:val="24"/>
    </w:rPr>
  </w:style>
  <w:style w:type="paragraph" w:customStyle="1" w:styleId="87">
    <w:name w:val="样式3"/>
    <w:basedOn w:val="88"/>
    <w:qFormat/>
    <w:uiPriority w:val="0"/>
    <w:pPr>
      <w:tabs>
        <w:tab w:val="left" w:pos="2790"/>
        <w:tab w:val="left" w:pos="4230"/>
      </w:tabs>
      <w:spacing w:before="312" w:beforeLines="100"/>
      <w:jc w:val="left"/>
    </w:pPr>
  </w:style>
  <w:style w:type="paragraph" w:customStyle="1" w:styleId="8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9">
    <w:name w:val="P1"/>
    <w:basedOn w:val="1"/>
    <w:qFormat/>
    <w:uiPriority w:val="0"/>
    <w:pPr>
      <w:adjustRightInd/>
      <w:spacing w:line="288" w:lineRule="auto"/>
      <w:ind w:firstLine="425" w:firstLineChars="200"/>
    </w:pPr>
  </w:style>
  <w:style w:type="paragraph" w:customStyle="1" w:styleId="90">
    <w:name w:val="Char1 Char Char Char"/>
    <w:basedOn w:val="1"/>
    <w:qFormat/>
    <w:uiPriority w:val="0"/>
    <w:rPr>
      <w:rFonts w:ascii="Tahoma" w:hAnsi="Tahoma"/>
      <w:sz w:val="24"/>
      <w:szCs w:val="20"/>
    </w:rPr>
  </w:style>
  <w:style w:type="paragraph" w:customStyle="1" w:styleId="9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9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5">
    <w:name w:val="样式7"/>
    <w:basedOn w:val="96"/>
    <w:next w:val="1"/>
    <w:qFormat/>
    <w:uiPriority w:val="0"/>
    <w:pPr>
      <w:spacing w:after="156" w:afterLines="50"/>
      <w:jc w:val="left"/>
      <w:outlineLvl w:val="3"/>
    </w:pPr>
    <w:rPr>
      <w:sz w:val="24"/>
      <w:szCs w:val="24"/>
    </w:rPr>
  </w:style>
  <w:style w:type="paragraph" w:customStyle="1" w:styleId="9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7">
    <w:name w:val="Bulleted List"/>
    <w:basedOn w:val="1"/>
    <w:qFormat/>
    <w:uiPriority w:val="0"/>
    <w:pPr>
      <w:numPr>
        <w:ilvl w:val="1"/>
        <w:numId w:val="3"/>
      </w:numPr>
      <w:adjustRightInd/>
    </w:pPr>
  </w:style>
  <w:style w:type="paragraph" w:customStyle="1" w:styleId="98">
    <w:name w:val="Char3"/>
    <w:basedOn w:val="1"/>
    <w:qFormat/>
    <w:uiPriority w:val="0"/>
    <w:pPr>
      <w:adjustRightInd/>
    </w:pPr>
    <w:rPr>
      <w:rFonts w:ascii="仿宋_GB2312" w:eastAsia="仿宋_GB2312"/>
      <w:b/>
      <w:sz w:val="32"/>
      <w:szCs w:val="32"/>
    </w:rPr>
  </w:style>
  <w:style w:type="paragraph" w:customStyle="1" w:styleId="99">
    <w:name w:val="Char Char1 Char Char Char Char Char Char"/>
    <w:basedOn w:val="1"/>
    <w:qFormat/>
    <w:uiPriority w:val="0"/>
    <w:rPr>
      <w:rFonts w:ascii="仿宋_GB2312" w:eastAsia="仿宋_GB2312"/>
      <w:b/>
      <w:sz w:val="32"/>
      <w:szCs w:val="20"/>
    </w:rPr>
  </w:style>
  <w:style w:type="paragraph" w:customStyle="1" w:styleId="100">
    <w:name w:val="文本正文 Char"/>
    <w:basedOn w:val="1"/>
    <w:qFormat/>
    <w:uiPriority w:val="0"/>
    <w:pPr>
      <w:spacing w:line="360" w:lineRule="auto"/>
      <w:ind w:firstLine="200" w:firstLineChars="200"/>
    </w:pPr>
    <w:rPr>
      <w:kern w:val="0"/>
      <w:sz w:val="24"/>
      <w:szCs w:val="20"/>
    </w:rPr>
  </w:style>
  <w:style w:type="paragraph" w:customStyle="1" w:styleId="10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10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6">
    <w:name w:val="样式 标题 22h2L1 Heading 2H2sect 1.2H21sect 1.21H22sect 1.2..."/>
    <w:basedOn w:val="3"/>
    <w:next w:val="1"/>
    <w:qFormat/>
    <w:uiPriority w:val="0"/>
    <w:pPr>
      <w:tabs>
        <w:tab w:val="left" w:pos="425"/>
      </w:tabs>
      <w:spacing w:before="260" w:after="260" w:line="415" w:lineRule="auto"/>
      <w:ind w:left="425" w:hanging="425"/>
    </w:pPr>
    <w:rPr>
      <w:rFonts w:ascii="微软雅黑" w:hAnsi="微软雅黑" w:eastAsia="微软雅黑"/>
      <w:lang w:val="en-US"/>
    </w:rPr>
  </w:style>
  <w:style w:type="paragraph" w:customStyle="1" w:styleId="10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10">
    <w:name w:val="Char1"/>
    <w:basedOn w:val="1"/>
    <w:qFormat/>
    <w:uiPriority w:val="0"/>
    <w:rPr>
      <w:rFonts w:ascii="仿宋_GB2312" w:eastAsia="仿宋_GB2312"/>
      <w:b/>
      <w:sz w:val="32"/>
      <w:szCs w:val="32"/>
    </w:rPr>
  </w:style>
  <w:style w:type="paragraph" w:customStyle="1" w:styleId="111">
    <w:name w:val="CM14"/>
    <w:basedOn w:val="112"/>
    <w:next w:val="112"/>
    <w:qFormat/>
    <w:uiPriority w:val="0"/>
    <w:pPr>
      <w:spacing w:after="68"/>
    </w:pPr>
    <w:rPr>
      <w:rFonts w:ascii="FHLHE E+ Futura Bk" w:eastAsia="FHLHE E+ Futura Bk" w:cs="Times New Roman"/>
      <w:color w:val="auto"/>
    </w:rPr>
  </w:style>
  <w:style w:type="paragraph" w:customStyle="1" w:styleId="112">
    <w:name w:val="Default"/>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14">
    <w:name w:val="正文 编号"/>
    <w:basedOn w:val="1"/>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8">
    <w:name w:val="List Paragraph"/>
    <w:basedOn w:val="1"/>
    <w:qFormat/>
    <w:uiPriority w:val="0"/>
    <w:pPr>
      <w:spacing w:line="360" w:lineRule="auto"/>
      <w:ind w:firstLine="200" w:firstLineChars="200"/>
    </w:pPr>
    <w:rPr>
      <w:rFonts w:eastAsia="楷体_GB2312" w:cs="Lucida Sans"/>
      <w:sz w:val="24"/>
    </w:rPr>
  </w:style>
  <w:style w:type="paragraph" w:customStyle="1" w:styleId="11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20">
    <w:name w:val="Char2 Char Char Char"/>
    <w:basedOn w:val="1"/>
    <w:qFormat/>
    <w:uiPriority w:val="0"/>
    <w:rPr>
      <w:rFonts w:ascii="仿宋_GB2312" w:eastAsia="仿宋_GB2312"/>
      <w:b/>
      <w:sz w:val="32"/>
      <w:szCs w:val="32"/>
    </w:rPr>
  </w:style>
  <w:style w:type="paragraph" w:customStyle="1" w:styleId="12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Char Char Char"/>
    <w:basedOn w:val="1"/>
    <w:qFormat/>
    <w:uiPriority w:val="0"/>
    <w:rPr>
      <w:rFonts w:ascii="Tahoma" w:hAnsi="Tahoma"/>
      <w:sz w:val="24"/>
      <w:szCs w:val="20"/>
    </w:rPr>
  </w:style>
  <w:style w:type="paragraph" w:customStyle="1" w:styleId="12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2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26">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2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3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3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32">
    <w:name w:val="FA正文"/>
    <w:basedOn w:val="1"/>
    <w:qFormat/>
    <w:uiPriority w:val="0"/>
    <w:pPr>
      <w:spacing w:line="360" w:lineRule="auto"/>
      <w:ind w:firstLine="480" w:firstLineChars="200"/>
    </w:pPr>
    <w:rPr>
      <w:rFonts w:hAnsi="宋体"/>
      <w:sz w:val="24"/>
      <w:szCs w:val="20"/>
    </w:rPr>
  </w:style>
  <w:style w:type="paragraph" w:customStyle="1" w:styleId="13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3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35">
    <w:name w:val="有符号正文"/>
    <w:basedOn w:val="1"/>
    <w:qFormat/>
    <w:uiPriority w:val="0"/>
    <w:pPr>
      <w:adjustRightInd/>
      <w:spacing w:line="400" w:lineRule="exact"/>
      <w:ind w:firstLine="200" w:firstLineChars="200"/>
    </w:pPr>
    <w:rPr>
      <w:rFonts w:ascii="Arial" w:hAnsi="Arial"/>
    </w:rPr>
  </w:style>
  <w:style w:type="paragraph" w:customStyle="1" w:styleId="1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37">
    <w:name w:val="默认段落字体 Para Char"/>
    <w:basedOn w:val="1"/>
    <w:qFormat/>
    <w:uiPriority w:val="0"/>
    <w:rPr>
      <w:rFonts w:ascii="Tahoma" w:hAnsi="Tahoma"/>
      <w:sz w:val="24"/>
      <w:szCs w:val="20"/>
    </w:rPr>
  </w:style>
  <w:style w:type="paragraph" w:customStyle="1" w:styleId="138">
    <w:name w:val="Char1 Char Char Char2"/>
    <w:basedOn w:val="1"/>
    <w:qFormat/>
    <w:uiPriority w:val="0"/>
    <w:pPr>
      <w:adjustRightInd/>
      <w:ind w:firstLine="200" w:firstLineChars="200"/>
    </w:pPr>
    <w:rPr>
      <w:rFonts w:ascii="Tahoma" w:hAnsi="Tahoma"/>
      <w:sz w:val="24"/>
      <w:szCs w:val="20"/>
    </w:rPr>
  </w:style>
  <w:style w:type="paragraph" w:customStyle="1" w:styleId="13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41">
    <w:name w:val="注释"/>
    <w:basedOn w:val="1"/>
    <w:qFormat/>
    <w:uiPriority w:val="0"/>
    <w:pPr>
      <w:adjustRightInd/>
      <w:spacing w:line="360" w:lineRule="auto"/>
      <w:ind w:firstLine="480"/>
    </w:pPr>
    <w:rPr>
      <w:sz w:val="24"/>
    </w:rPr>
  </w:style>
  <w:style w:type="paragraph" w:customStyle="1" w:styleId="14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4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44">
    <w:name w:val="trademark"/>
    <w:qFormat/>
    <w:uiPriority w:val="0"/>
    <w:pPr>
      <w:spacing w:after="60"/>
    </w:pPr>
    <w:rPr>
      <w:rFonts w:ascii="Futura Bk" w:hAnsi="Futura Bk" w:eastAsia="宋体" w:cs="Times New Roman"/>
      <w:sz w:val="15"/>
      <w:lang w:val="en-US" w:eastAsia="en-US" w:bidi="ar-SA"/>
    </w:rPr>
  </w:style>
  <w:style w:type="paragraph" w:customStyle="1" w:styleId="1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46">
    <w:name w:val="EB_表格"/>
    <w:basedOn w:val="1"/>
    <w:qFormat/>
    <w:uiPriority w:val="0"/>
    <w:pPr>
      <w:adjustRightInd/>
      <w:spacing w:line="300" w:lineRule="auto"/>
      <w:jc w:val="center"/>
    </w:pPr>
  </w:style>
  <w:style w:type="paragraph" w:customStyle="1" w:styleId="147">
    <w:name w:val="Char Char Char1 Char"/>
    <w:basedOn w:val="1"/>
    <w:qFormat/>
    <w:uiPriority w:val="0"/>
    <w:rPr>
      <w:szCs w:val="20"/>
    </w:rPr>
  </w:style>
  <w:style w:type="paragraph" w:customStyle="1" w:styleId="14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50">
    <w:name w:val="章标题"/>
    <w:next w:val="15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5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5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55">
    <w:name w:val="表文字"/>
    <w:qFormat/>
    <w:uiPriority w:val="0"/>
    <w:rPr>
      <w:rFonts w:ascii="宋体" w:hAnsi="Times New Roman" w:eastAsia="宋体" w:cs="Times New Roman"/>
      <w:kern w:val="2"/>
      <w:lang w:val="en-US" w:eastAsia="zh-CN" w:bidi="ar-SA"/>
    </w:rPr>
  </w:style>
  <w:style w:type="paragraph" w:customStyle="1" w:styleId="15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5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9">
    <w:name w:val="列表内容"/>
    <w:basedOn w:val="1"/>
    <w:next w:val="1"/>
    <w:qFormat/>
    <w:uiPriority w:val="0"/>
    <w:pPr>
      <w:widowControl/>
      <w:tabs>
        <w:tab w:val="left" w:pos="840"/>
      </w:tabs>
      <w:ind w:left="840" w:hanging="420"/>
      <w:jc w:val="left"/>
    </w:pPr>
    <w:rPr>
      <w:kern w:val="0"/>
      <w:sz w:val="18"/>
    </w:rPr>
  </w:style>
  <w:style w:type="paragraph" w:customStyle="1" w:styleId="16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6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6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6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6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8">
    <w:name w:val="Char Char1 Char Char Char"/>
    <w:basedOn w:val="1"/>
    <w:qFormat/>
    <w:uiPriority w:val="0"/>
    <w:rPr>
      <w:rFonts w:ascii="仿宋_GB2312" w:eastAsia="仿宋_GB2312"/>
      <w:b/>
      <w:sz w:val="32"/>
      <w:szCs w:val="20"/>
    </w:rPr>
  </w:style>
  <w:style w:type="paragraph" w:customStyle="1" w:styleId="16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70">
    <w:name w:val="WW-正文文字缩进 2"/>
    <w:basedOn w:val="1"/>
    <w:qFormat/>
    <w:uiPriority w:val="0"/>
    <w:pPr>
      <w:suppressAutoHyphens/>
      <w:adjustRightInd/>
      <w:ind w:firstLine="420"/>
    </w:pPr>
    <w:rPr>
      <w:kern w:val="1"/>
      <w:szCs w:val="20"/>
    </w:rPr>
  </w:style>
  <w:style w:type="paragraph" w:customStyle="1" w:styleId="1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7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73">
    <w:name w:val="默认段落字体 Para Char Char Char Char"/>
    <w:basedOn w:val="1"/>
    <w:qFormat/>
    <w:uiPriority w:val="0"/>
    <w:pPr>
      <w:spacing w:line="360" w:lineRule="auto"/>
    </w:pPr>
    <w:rPr>
      <w:szCs w:val="20"/>
    </w:rPr>
  </w:style>
  <w:style w:type="paragraph" w:customStyle="1" w:styleId="174">
    <w:name w:val="Char Char11 Char Char Char"/>
    <w:basedOn w:val="1"/>
    <w:qFormat/>
    <w:uiPriority w:val="0"/>
    <w:pPr>
      <w:spacing w:line="360" w:lineRule="auto"/>
    </w:pPr>
    <w:rPr>
      <w:szCs w:val="20"/>
    </w:rPr>
  </w:style>
  <w:style w:type="paragraph" w:customStyle="1" w:styleId="17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7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77">
    <w:name w:val="左对齐表格文字"/>
    <w:basedOn w:val="1"/>
    <w:qFormat/>
    <w:uiPriority w:val="0"/>
    <w:pPr>
      <w:adjustRightInd/>
      <w:ind w:firstLine="200" w:firstLineChars="200"/>
      <w:jc w:val="right"/>
    </w:pPr>
  </w:style>
  <w:style w:type="paragraph" w:customStyle="1" w:styleId="17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8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81">
    <w:name w:val="无间隔1"/>
    <w:link w:val="538"/>
    <w:qFormat/>
    <w:uiPriority w:val="1"/>
    <w:rPr>
      <w:rFonts w:ascii="Calibri" w:hAnsi="Calibri" w:eastAsia="宋体" w:cs="Times New Roman"/>
      <w:sz w:val="22"/>
      <w:szCs w:val="22"/>
      <w:lang w:val="en-US" w:eastAsia="zh-CN" w:bidi="ar-SA"/>
    </w:rPr>
  </w:style>
  <w:style w:type="paragraph" w:customStyle="1" w:styleId="182">
    <w:name w:val="样式 样式 标题 4h4H4Fab-4T5Ref Heading 1rh1Heading sqlsect 1.2.3.... +..."/>
    <w:basedOn w:val="183"/>
    <w:link w:val="614"/>
    <w:qFormat/>
    <w:uiPriority w:val="0"/>
    <w:pPr>
      <w:tabs>
        <w:tab w:val="left" w:pos="2356"/>
      </w:tabs>
    </w:pPr>
  </w:style>
  <w:style w:type="paragraph" w:customStyle="1" w:styleId="183">
    <w:name w:val="样式 标题 4h4H4Fab-4T5Ref Heading 1rh1Heading sqlsect 1.2.3...."/>
    <w:basedOn w:val="5"/>
    <w:link w:val="566"/>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84">
    <w:name w:val="四级条标题"/>
    <w:basedOn w:val="185"/>
    <w:next w:val="151"/>
    <w:qFormat/>
    <w:uiPriority w:val="0"/>
    <w:pPr>
      <w:numPr>
        <w:ilvl w:val="5"/>
        <w:numId w:val="3"/>
      </w:numPr>
      <w:tabs>
        <w:tab w:val="left" w:pos="1680"/>
        <w:tab w:val="left" w:pos="2100"/>
        <w:tab w:val="left" w:pos="2520"/>
      </w:tabs>
      <w:outlineLvl w:val="5"/>
    </w:pPr>
  </w:style>
  <w:style w:type="paragraph" w:customStyle="1" w:styleId="185">
    <w:name w:val="三级条标题"/>
    <w:basedOn w:val="186"/>
    <w:next w:val="151"/>
    <w:qFormat/>
    <w:uiPriority w:val="0"/>
    <w:pPr>
      <w:numPr>
        <w:ilvl w:val="0"/>
        <w:numId w:val="0"/>
      </w:numPr>
      <w:tabs>
        <w:tab w:val="left" w:pos="1680"/>
        <w:tab w:val="left" w:pos="2100"/>
        <w:tab w:val="left" w:pos="2520"/>
      </w:tabs>
      <w:ind w:left="2520" w:hanging="420"/>
      <w:outlineLvl w:val="4"/>
    </w:pPr>
  </w:style>
  <w:style w:type="paragraph" w:customStyle="1" w:styleId="186">
    <w:name w:val="二级条标题"/>
    <w:basedOn w:val="187"/>
    <w:next w:val="151"/>
    <w:qFormat/>
    <w:uiPriority w:val="0"/>
    <w:pPr>
      <w:numPr>
        <w:ilvl w:val="3"/>
        <w:numId w:val="3"/>
      </w:numPr>
      <w:tabs>
        <w:tab w:val="left" w:pos="1680"/>
      </w:tabs>
      <w:ind w:left="0"/>
      <w:outlineLvl w:val="3"/>
    </w:pPr>
  </w:style>
  <w:style w:type="paragraph" w:customStyle="1" w:styleId="187">
    <w:name w:val="一级条标题"/>
    <w:basedOn w:val="150"/>
    <w:next w:val="151"/>
    <w:qFormat/>
    <w:uiPriority w:val="0"/>
    <w:pPr>
      <w:tabs>
        <w:tab w:val="left" w:pos="1680"/>
        <w:tab w:val="clear" w:pos="1260"/>
      </w:tabs>
      <w:spacing w:before="0" w:beforeLines="0" w:after="0" w:afterLines="0"/>
      <w:ind w:left="1680"/>
      <w:outlineLvl w:val="2"/>
    </w:pPr>
  </w:style>
  <w:style w:type="paragraph" w:customStyle="1" w:styleId="18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9">
    <w:name w:val="标准小四"/>
    <w:basedOn w:val="1"/>
    <w:qFormat/>
    <w:uiPriority w:val="0"/>
    <w:pPr>
      <w:spacing w:line="360" w:lineRule="auto"/>
      <w:ind w:firstLine="480" w:firstLineChars="200"/>
    </w:pPr>
    <w:rPr>
      <w:rFonts w:ascii="Arial" w:hAnsi="Arial"/>
      <w:sz w:val="24"/>
      <w:szCs w:val="21"/>
    </w:rPr>
  </w:style>
  <w:style w:type="paragraph" w:customStyle="1" w:styleId="190">
    <w:name w:val="表格"/>
    <w:basedOn w:val="1"/>
    <w:qFormat/>
    <w:uiPriority w:val="0"/>
    <w:pPr>
      <w:snapToGrid w:val="0"/>
      <w:ind w:firstLine="42" w:firstLineChars="21"/>
    </w:pPr>
    <w:rPr>
      <w:rFonts w:ascii="宋体" w:hAnsi="宋体"/>
      <w:kern w:val="0"/>
      <w:sz w:val="20"/>
      <w:szCs w:val="20"/>
    </w:rPr>
  </w:style>
  <w:style w:type="paragraph" w:customStyle="1" w:styleId="19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9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94">
    <w:name w:val="封面公司名"/>
    <w:qFormat/>
    <w:uiPriority w:val="0"/>
    <w:pPr>
      <w:jc w:val="center"/>
    </w:pPr>
    <w:rPr>
      <w:rFonts w:ascii="Arial" w:hAnsi="Arial" w:eastAsia="楷体_GB2312" w:cs="宋体"/>
      <w:bCs/>
      <w:kern w:val="2"/>
      <w:sz w:val="28"/>
      <w:lang w:val="en-US" w:eastAsia="zh-CN" w:bidi="ar-SA"/>
    </w:rPr>
  </w:style>
  <w:style w:type="paragraph" w:customStyle="1" w:styleId="195">
    <w:name w:val="Char2 Char Char Char1"/>
    <w:basedOn w:val="1"/>
    <w:qFormat/>
    <w:uiPriority w:val="0"/>
    <w:rPr>
      <w:rFonts w:ascii="仿宋_GB2312" w:eastAsia="仿宋_GB2312"/>
      <w:b/>
      <w:sz w:val="32"/>
      <w:szCs w:val="32"/>
    </w:rPr>
  </w:style>
  <w:style w:type="paragraph" w:customStyle="1" w:styleId="19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9">
    <w:name w:val="Char2"/>
    <w:basedOn w:val="1"/>
    <w:qFormat/>
    <w:uiPriority w:val="0"/>
    <w:rPr>
      <w:rFonts w:ascii="仿宋_GB2312" w:eastAsia="仿宋_GB2312"/>
      <w:b/>
      <w:sz w:val="32"/>
      <w:szCs w:val="32"/>
    </w:rPr>
  </w:style>
  <w:style w:type="paragraph" w:customStyle="1" w:styleId="20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0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0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0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04">
    <w:name w:val="!大节"/>
    <w:basedOn w:val="3"/>
    <w:qFormat/>
    <w:uiPriority w:val="0"/>
    <w:pPr>
      <w:tabs>
        <w:tab w:val="left" w:pos="432"/>
      </w:tabs>
      <w:spacing w:before="260" w:after="260" w:line="415" w:lineRule="auto"/>
      <w:ind w:left="420" w:hanging="420"/>
    </w:pPr>
    <w:rPr>
      <w:rFonts w:ascii="Arial" w:hAnsi="Arial" w:eastAsia="微软雅黑"/>
      <w:lang w:val="en-US"/>
    </w:rPr>
  </w:style>
  <w:style w:type="paragraph" w:customStyle="1" w:styleId="205">
    <w:name w:val="Char Char4 Char Char"/>
    <w:basedOn w:val="1"/>
    <w:qFormat/>
    <w:uiPriority w:val="0"/>
    <w:pPr>
      <w:widowControl/>
      <w:adjustRightInd/>
      <w:spacing w:after="160" w:line="240" w:lineRule="exact"/>
      <w:jc w:val="left"/>
    </w:pPr>
  </w:style>
  <w:style w:type="paragraph" w:customStyle="1" w:styleId="206">
    <w:name w:val="Char2 Char Char1"/>
    <w:basedOn w:val="1"/>
    <w:qFormat/>
    <w:uiPriority w:val="0"/>
    <w:pPr>
      <w:adjustRightInd/>
    </w:pPr>
    <w:rPr>
      <w:rFonts w:ascii="Tahoma" w:hAnsi="Tahoma"/>
      <w:sz w:val="24"/>
      <w:szCs w:val="20"/>
    </w:rPr>
  </w:style>
  <w:style w:type="paragraph" w:customStyle="1" w:styleId="207">
    <w:name w:val="默认段落字体 Para Char Char Char Char Char Char Char"/>
    <w:basedOn w:val="1"/>
    <w:qFormat/>
    <w:uiPriority w:val="0"/>
    <w:rPr>
      <w:rFonts w:eastAsia="仿宋_GB2312"/>
      <w:sz w:val="28"/>
      <w:szCs w:val="20"/>
    </w:rPr>
  </w:style>
  <w:style w:type="paragraph" w:customStyle="1" w:styleId="20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9">
    <w:name w:val="正文21"/>
    <w:basedOn w:val="1"/>
    <w:qFormat/>
    <w:uiPriority w:val="0"/>
    <w:pPr>
      <w:adjustRightInd/>
      <w:spacing w:before="156" w:line="360" w:lineRule="auto"/>
      <w:ind w:firstLine="510" w:firstLineChars="200"/>
    </w:pPr>
    <w:rPr>
      <w:sz w:val="24"/>
      <w:szCs w:val="20"/>
    </w:rPr>
  </w:style>
  <w:style w:type="paragraph" w:customStyle="1" w:styleId="21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1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2">
    <w:name w:val="标题五"/>
    <w:basedOn w:val="1"/>
    <w:qFormat/>
    <w:uiPriority w:val="0"/>
    <w:pPr>
      <w:adjustRightInd/>
      <w:spacing w:before="156" w:beforeLines="50" w:line="360" w:lineRule="auto"/>
    </w:pPr>
    <w:rPr>
      <w:b/>
      <w:sz w:val="24"/>
    </w:rPr>
  </w:style>
  <w:style w:type="paragraph" w:customStyle="1" w:styleId="21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14">
    <w:name w:val="Char Char11"/>
    <w:basedOn w:val="1"/>
    <w:qFormat/>
    <w:uiPriority w:val="0"/>
    <w:pPr>
      <w:spacing w:line="360" w:lineRule="auto"/>
    </w:pPr>
    <w:rPr>
      <w:szCs w:val="20"/>
    </w:rPr>
  </w:style>
  <w:style w:type="paragraph" w:customStyle="1" w:styleId="21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1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20">
    <w:name w:val="Char Char11 Char Char Char Char Char Char Char Char Char"/>
    <w:basedOn w:val="1"/>
    <w:qFormat/>
    <w:uiPriority w:val="0"/>
    <w:pPr>
      <w:spacing w:line="360" w:lineRule="auto"/>
    </w:pPr>
    <w:rPr>
      <w:szCs w:val="20"/>
    </w:rPr>
  </w:style>
  <w:style w:type="paragraph" w:customStyle="1" w:styleId="221">
    <w:name w:val="Char Char1 Char Char Char1"/>
    <w:basedOn w:val="1"/>
    <w:qFormat/>
    <w:uiPriority w:val="0"/>
    <w:rPr>
      <w:rFonts w:ascii="仿宋_GB2312" w:eastAsia="仿宋_GB2312"/>
      <w:b/>
      <w:sz w:val="32"/>
      <w:szCs w:val="32"/>
    </w:rPr>
  </w:style>
  <w:style w:type="paragraph" w:customStyle="1" w:styleId="222">
    <w:name w:val="样式 标题 4PIM 4H4h4bulletblbbH41H42H43H44H45H46H47H48...1"/>
    <w:basedOn w:val="5"/>
    <w:qFormat/>
    <w:uiPriority w:val="0"/>
    <w:pPr>
      <w:widowControl/>
      <w:jc w:val="left"/>
    </w:pPr>
    <w:rPr>
      <w:rFonts w:cs="宋体"/>
      <w:sz w:val="24"/>
      <w:szCs w:val="20"/>
    </w:rPr>
  </w:style>
  <w:style w:type="paragraph" w:customStyle="1" w:styleId="22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24">
    <w:name w:val="表格标题2"/>
    <w:basedOn w:val="225"/>
    <w:qFormat/>
    <w:uiPriority w:val="0"/>
    <w:rPr>
      <w:b/>
    </w:rPr>
  </w:style>
  <w:style w:type="paragraph" w:customStyle="1" w:styleId="225">
    <w:name w:val="表格内文"/>
    <w:basedOn w:val="1"/>
    <w:qFormat/>
    <w:uiPriority w:val="0"/>
    <w:pPr>
      <w:adjustRightInd/>
      <w:spacing w:line="360" w:lineRule="auto"/>
    </w:pPr>
    <w:rPr>
      <w:rFonts w:ascii="宋体" w:hAnsi="宋体" w:cs="宋体"/>
      <w:color w:val="000000"/>
      <w:szCs w:val="20"/>
    </w:rPr>
  </w:style>
  <w:style w:type="paragraph" w:customStyle="1" w:styleId="226">
    <w:name w:val="Char Char Char Char Char Char Char"/>
    <w:basedOn w:val="1"/>
    <w:qFormat/>
    <w:uiPriority w:val="0"/>
    <w:rPr>
      <w:rFonts w:ascii="仿宋_GB2312" w:eastAsia="仿宋_GB2312"/>
      <w:b/>
      <w:sz w:val="32"/>
      <w:szCs w:val="32"/>
    </w:rPr>
  </w:style>
  <w:style w:type="paragraph" w:customStyle="1" w:styleId="2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8">
    <w:name w:val="数字标题6"/>
    <w:basedOn w:val="7"/>
    <w:next w:val="1"/>
    <w:qFormat/>
    <w:uiPriority w:val="0"/>
    <w:pPr>
      <w:numPr>
        <w:numId w:val="4"/>
      </w:numPr>
      <w:tabs>
        <w:tab w:val="left" w:pos="480"/>
        <w:tab w:val="left" w:pos="1080"/>
        <w:tab w:val="clear" w:pos="1152"/>
      </w:tabs>
    </w:pPr>
    <w:rPr>
      <w:rFonts w:ascii="Times New Roman" w:hAnsi="Times New Roman" w:eastAsia="宋体"/>
      <w:i/>
    </w:rPr>
  </w:style>
  <w:style w:type="paragraph" w:customStyle="1" w:styleId="2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0">
    <w:name w:val="列出段落2"/>
    <w:basedOn w:val="1"/>
    <w:qFormat/>
    <w:uiPriority w:val="0"/>
    <w:pPr>
      <w:adjustRightInd/>
      <w:ind w:firstLine="420" w:firstLineChars="200"/>
    </w:pPr>
    <w:rPr>
      <w:rFonts w:ascii="宋体" w:hAnsi="宋体"/>
      <w:sz w:val="24"/>
    </w:rPr>
  </w:style>
  <w:style w:type="paragraph" w:customStyle="1" w:styleId="23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3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3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34">
    <w:name w:val="正文 首行缩进:  2 字符 Char"/>
    <w:basedOn w:val="1"/>
    <w:qFormat/>
    <w:uiPriority w:val="0"/>
    <w:pPr>
      <w:adjustRightInd/>
      <w:spacing w:line="360" w:lineRule="auto"/>
      <w:ind w:firstLine="480"/>
    </w:pPr>
    <w:rPr>
      <w:rFonts w:cs="宋体"/>
      <w:sz w:val="24"/>
      <w:szCs w:val="20"/>
    </w:rPr>
  </w:style>
  <w:style w:type="paragraph" w:customStyle="1" w:styleId="23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36">
    <w:name w:val="Table Text"/>
    <w:basedOn w:val="1"/>
    <w:qFormat/>
    <w:uiPriority w:val="0"/>
    <w:pPr>
      <w:widowControl/>
      <w:spacing w:before="60" w:after="60"/>
      <w:jc w:val="left"/>
    </w:pPr>
    <w:rPr>
      <w:kern w:val="0"/>
      <w:sz w:val="24"/>
    </w:rPr>
  </w:style>
  <w:style w:type="paragraph" w:customStyle="1" w:styleId="23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9">
    <w:name w:val="Char Char Char Char Char Char Char Char Char Char"/>
    <w:basedOn w:val="1"/>
    <w:qFormat/>
    <w:uiPriority w:val="0"/>
    <w:rPr>
      <w:rFonts w:ascii="仿宋_GB2312" w:eastAsia="仿宋_GB2312"/>
      <w:b/>
      <w:sz w:val="32"/>
      <w:szCs w:val="32"/>
    </w:rPr>
  </w:style>
  <w:style w:type="paragraph" w:customStyle="1" w:styleId="24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41">
    <w:name w:val="正文文字表格居中"/>
    <w:basedOn w:val="1"/>
    <w:next w:val="55"/>
    <w:qFormat/>
    <w:uiPriority w:val="0"/>
    <w:pPr>
      <w:snapToGrid w:val="0"/>
      <w:spacing w:line="360" w:lineRule="auto"/>
    </w:pPr>
    <w:rPr>
      <w:rFonts w:ascii="宋体"/>
      <w:b/>
      <w:sz w:val="24"/>
      <w:szCs w:val="20"/>
    </w:rPr>
  </w:style>
  <w:style w:type="paragraph" w:customStyle="1" w:styleId="2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4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4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46">
    <w:name w:val="Char"/>
    <w:basedOn w:val="1"/>
    <w:qFormat/>
    <w:uiPriority w:val="0"/>
    <w:rPr>
      <w:rFonts w:ascii="仿宋_GB2312" w:eastAsia="仿宋_GB2312"/>
      <w:b/>
      <w:sz w:val="32"/>
      <w:szCs w:val="32"/>
    </w:rPr>
  </w:style>
  <w:style w:type="paragraph" w:customStyle="1" w:styleId="247">
    <w:name w:val="冯广丽"/>
    <w:basedOn w:val="1"/>
    <w:link w:val="480"/>
    <w:qFormat/>
    <w:uiPriority w:val="0"/>
    <w:pPr>
      <w:adjustRightInd/>
      <w:spacing w:line="360" w:lineRule="auto"/>
      <w:ind w:firstLine="480" w:firstLineChars="200"/>
    </w:pPr>
    <w:rPr>
      <w:rFonts w:ascii="宋体" w:hAnsi="宋体"/>
      <w:sz w:val="24"/>
      <w:szCs w:val="22"/>
    </w:rPr>
  </w:style>
  <w:style w:type="paragraph" w:customStyle="1" w:styleId="24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9">
    <w:name w:val="Char31"/>
    <w:basedOn w:val="1"/>
    <w:qFormat/>
    <w:uiPriority w:val="0"/>
    <w:pPr>
      <w:adjustRightInd/>
      <w:ind w:firstLine="200" w:firstLineChars="200"/>
    </w:pPr>
    <w:rPr>
      <w:rFonts w:ascii="Tahoma" w:hAnsi="Tahoma"/>
      <w:sz w:val="24"/>
      <w:szCs w:val="20"/>
    </w:rPr>
  </w:style>
  <w:style w:type="paragraph" w:customStyle="1" w:styleId="250">
    <w:name w:val="Char Char11 Char Char Char1"/>
    <w:basedOn w:val="1"/>
    <w:qFormat/>
    <w:uiPriority w:val="0"/>
    <w:pPr>
      <w:spacing w:line="360" w:lineRule="auto"/>
    </w:pPr>
    <w:rPr>
      <w:szCs w:val="20"/>
    </w:rPr>
  </w:style>
  <w:style w:type="paragraph" w:customStyle="1" w:styleId="25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52">
    <w:name w:val="_Style 236"/>
    <w:qFormat/>
    <w:uiPriority w:val="0"/>
    <w:rPr>
      <w:rFonts w:ascii="Times New Roman" w:hAnsi="Times New Roman" w:eastAsia="宋体" w:cs="Times New Roman"/>
      <w:kern w:val="2"/>
      <w:sz w:val="21"/>
      <w:lang w:val="en-US" w:eastAsia="zh-CN" w:bidi="ar-SA"/>
    </w:rPr>
  </w:style>
  <w:style w:type="paragraph" w:customStyle="1" w:styleId="25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5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5">
    <w:name w:val="正文文字缩进项目"/>
    <w:basedOn w:val="27"/>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8">
    <w:name w:val="文章标题"/>
    <w:next w:val="19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9">
    <w:name w:val="4"/>
    <w:basedOn w:val="1"/>
    <w:next w:val="38"/>
    <w:qFormat/>
    <w:uiPriority w:val="0"/>
    <w:pPr>
      <w:spacing w:after="120" w:line="480" w:lineRule="auto"/>
      <w:ind w:left="420" w:leftChars="200"/>
    </w:pPr>
    <w:rPr>
      <w:sz w:val="24"/>
      <w:szCs w:val="20"/>
    </w:rPr>
  </w:style>
  <w:style w:type="paragraph" w:customStyle="1" w:styleId="26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61">
    <w:name w:val="Char Char Char Char Char Char Char Char Char Char Char1 Char"/>
    <w:basedOn w:val="1"/>
    <w:qFormat/>
    <w:uiPriority w:val="0"/>
    <w:pPr>
      <w:adjustRightInd/>
    </w:pPr>
    <w:rPr>
      <w:rFonts w:ascii="Tahoma" w:hAnsi="Tahoma"/>
      <w:sz w:val="24"/>
    </w:rPr>
  </w:style>
  <w:style w:type="paragraph" w:customStyle="1" w:styleId="2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63">
    <w:name w:val="标书表格字体格式"/>
    <w:next w:val="167"/>
    <w:qFormat/>
    <w:uiPriority w:val="0"/>
    <w:rPr>
      <w:rFonts w:ascii="Times New Roman" w:hAnsi="Times New Roman" w:eastAsia="宋体" w:cs="Times New Roman"/>
      <w:kern w:val="2"/>
      <w:sz w:val="21"/>
      <w:szCs w:val="24"/>
      <w:lang w:val="en-US" w:eastAsia="zh-CN" w:bidi="ar-SA"/>
    </w:rPr>
  </w:style>
  <w:style w:type="paragraph" w:customStyle="1" w:styleId="2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6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66">
    <w:name w:val="带编号样式"/>
    <w:basedOn w:val="100"/>
    <w:qFormat/>
    <w:uiPriority w:val="0"/>
    <w:pPr>
      <w:tabs>
        <w:tab w:val="left" w:pos="840"/>
      </w:tabs>
      <w:snapToGrid w:val="0"/>
      <w:ind w:left="840" w:firstLine="0" w:firstLineChars="0"/>
    </w:pPr>
    <w:rPr>
      <w:rFonts w:ascii="仿宋_GB2312" w:eastAsia="仿宋_GB2312"/>
      <w:color w:val="000000"/>
    </w:rPr>
  </w:style>
  <w:style w:type="paragraph" w:customStyle="1" w:styleId="267">
    <w:name w:val="正文文字 2"/>
    <w:basedOn w:val="112"/>
    <w:next w:val="112"/>
    <w:qFormat/>
    <w:uiPriority w:val="0"/>
    <w:rPr>
      <w:rFonts w:ascii="宋体" w:eastAsia="宋体" w:cs="Times New Roman"/>
      <w:color w:val="auto"/>
    </w:rPr>
  </w:style>
  <w:style w:type="paragraph" w:customStyle="1" w:styleId="2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9">
    <w:name w:val="样式 标题 3h33rd level3Heading 3 - oldH3l3CTheading 3Headin..."/>
    <w:basedOn w:val="4"/>
    <w:qFormat/>
    <w:uiPriority w:val="0"/>
    <w:pPr>
      <w:snapToGrid w:val="0"/>
      <w:ind w:left="0" w:firstLine="0"/>
      <w:jc w:val="left"/>
    </w:pPr>
    <w:rPr>
      <w:rFonts w:cs="宋体"/>
      <w:sz w:val="28"/>
      <w:szCs w:val="20"/>
    </w:rPr>
  </w:style>
  <w:style w:type="paragraph" w:customStyle="1" w:styleId="270">
    <w:name w:val="Char5"/>
    <w:basedOn w:val="1"/>
    <w:qFormat/>
    <w:uiPriority w:val="0"/>
    <w:rPr>
      <w:rFonts w:ascii="仿宋_GB2312" w:eastAsia="仿宋_GB2312"/>
      <w:b/>
      <w:sz w:val="32"/>
      <w:szCs w:val="32"/>
    </w:rPr>
  </w:style>
  <w:style w:type="paragraph" w:customStyle="1" w:styleId="2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3">
    <w:name w:val="Item List"/>
    <w:link w:val="48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7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7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7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8">
    <w:name w:val="Char Char1 Char Char Char Char Char Char1"/>
    <w:basedOn w:val="1"/>
    <w:qFormat/>
    <w:uiPriority w:val="0"/>
    <w:rPr>
      <w:rFonts w:ascii="仿宋_GB2312" w:eastAsia="仿宋_GB2312"/>
      <w:b/>
      <w:sz w:val="32"/>
      <w:szCs w:val="20"/>
    </w:rPr>
  </w:style>
  <w:style w:type="paragraph" w:customStyle="1" w:styleId="279">
    <w:name w:val="Char Char Char Char Char Char Char Char Char Char Char Char1 Char"/>
    <w:basedOn w:val="1"/>
    <w:qFormat/>
    <w:uiPriority w:val="0"/>
    <w:rPr>
      <w:rFonts w:ascii="Tahoma" w:hAnsi="Tahoma" w:cs="仿宋_GB2312"/>
      <w:sz w:val="24"/>
      <w:szCs w:val="20"/>
    </w:rPr>
  </w:style>
  <w:style w:type="paragraph" w:customStyle="1" w:styleId="28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8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82">
    <w:name w:val="样式 标题 2标题2H2Heading 2 HiddenHeading 2 CCBSheading 22nd lev..."/>
    <w:basedOn w:val="3"/>
    <w:qFormat/>
    <w:uiPriority w:val="0"/>
    <w:pPr>
      <w:widowControl/>
      <w:tabs>
        <w:tab w:val="left" w:pos="432"/>
      </w:tabs>
      <w:spacing w:before="260" w:after="260" w:line="416" w:lineRule="auto"/>
    </w:pPr>
    <w:rPr>
      <w:rFonts w:ascii="Arial" w:hAnsi="Arial" w:eastAsia="黑体"/>
      <w:sz w:val="30"/>
      <w:szCs w:val="21"/>
    </w:rPr>
  </w:style>
  <w:style w:type="paragraph" w:customStyle="1" w:styleId="28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84">
    <w:name w:val="样式 正文文本缩进 + 段前: 2 字符"/>
    <w:basedOn w:val="1"/>
    <w:qFormat/>
    <w:uiPriority w:val="0"/>
    <w:pPr>
      <w:adjustRightInd/>
      <w:ind w:left="420" w:leftChars="200"/>
      <w:jc w:val="left"/>
    </w:pPr>
    <w:rPr>
      <w:sz w:val="28"/>
      <w:szCs w:val="20"/>
      <w:lang w:eastAsia="zh-TW"/>
    </w:rPr>
  </w:style>
  <w:style w:type="paragraph" w:customStyle="1" w:styleId="285">
    <w:name w:val="Char1 Char Char Char3"/>
    <w:basedOn w:val="1"/>
    <w:qFormat/>
    <w:uiPriority w:val="0"/>
    <w:pPr>
      <w:adjustRightInd/>
      <w:ind w:firstLine="200" w:firstLineChars="200"/>
    </w:pPr>
    <w:rPr>
      <w:rFonts w:ascii="Tahoma" w:hAnsi="Tahoma"/>
      <w:sz w:val="24"/>
      <w:szCs w:val="20"/>
    </w:rPr>
  </w:style>
  <w:style w:type="paragraph" w:customStyle="1" w:styleId="28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7">
    <w:name w:val="Char Char Char Char Char Char Char Char Char Char Char Char1 Char1"/>
    <w:basedOn w:val="1"/>
    <w:qFormat/>
    <w:uiPriority w:val="0"/>
    <w:rPr>
      <w:rFonts w:ascii="Tahoma" w:hAnsi="Tahoma" w:cs="仿宋_GB2312"/>
      <w:sz w:val="24"/>
      <w:szCs w:val="20"/>
    </w:rPr>
  </w:style>
  <w:style w:type="paragraph" w:customStyle="1" w:styleId="288">
    <w:name w:val="Char Char1 Char1"/>
    <w:basedOn w:val="1"/>
    <w:qFormat/>
    <w:uiPriority w:val="0"/>
    <w:rPr>
      <w:rFonts w:ascii="仿宋_GB2312" w:eastAsia="仿宋_GB2312"/>
      <w:b/>
      <w:sz w:val="32"/>
      <w:szCs w:val="32"/>
    </w:rPr>
  </w:style>
  <w:style w:type="paragraph" w:customStyle="1" w:styleId="28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90">
    <w:name w:val="插图题注"/>
    <w:next w:val="1"/>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9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2">
    <w:name w:val="Char Char1"/>
    <w:basedOn w:val="1"/>
    <w:qFormat/>
    <w:uiPriority w:val="0"/>
    <w:pPr>
      <w:widowControl/>
      <w:spacing w:after="160" w:line="240" w:lineRule="exact"/>
      <w:jc w:val="left"/>
    </w:pPr>
    <w:rPr>
      <w:rFonts w:eastAsia="仿宋_GB2312"/>
      <w:sz w:val="28"/>
    </w:rPr>
  </w:style>
  <w:style w:type="paragraph" w:customStyle="1" w:styleId="293">
    <w:name w:val="单元格居中"/>
    <w:basedOn w:val="1"/>
    <w:qFormat/>
    <w:uiPriority w:val="0"/>
    <w:pPr>
      <w:adjustRightInd/>
      <w:spacing w:line="360" w:lineRule="auto"/>
      <w:jc w:val="center"/>
    </w:pPr>
    <w:rPr>
      <w:sz w:val="24"/>
    </w:rPr>
  </w:style>
  <w:style w:type="paragraph" w:customStyle="1" w:styleId="29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9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8">
    <w:name w:val="MM Empty"/>
    <w:basedOn w:val="1"/>
    <w:qFormat/>
    <w:uiPriority w:val="0"/>
    <w:pPr>
      <w:adjustRightInd/>
    </w:pPr>
  </w:style>
  <w:style w:type="paragraph" w:customStyle="1" w:styleId="299">
    <w:name w:val="文档正文"/>
    <w:basedOn w:val="1"/>
    <w:qFormat/>
    <w:uiPriority w:val="0"/>
    <w:pPr>
      <w:spacing w:line="480" w:lineRule="atLeast"/>
      <w:ind w:firstLine="567"/>
      <w:textAlignment w:val="baseline"/>
    </w:pPr>
    <w:rPr>
      <w:kern w:val="0"/>
      <w:sz w:val="24"/>
      <w:szCs w:val="20"/>
    </w:rPr>
  </w:style>
  <w:style w:type="paragraph" w:customStyle="1" w:styleId="30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1">
    <w:name w:val="Char Char1 Char Char1 Char Char1"/>
    <w:basedOn w:val="1"/>
    <w:qFormat/>
    <w:uiPriority w:val="0"/>
    <w:pPr>
      <w:tabs>
        <w:tab w:val="left" w:pos="840"/>
      </w:tabs>
      <w:ind w:left="840" w:hanging="420"/>
    </w:pPr>
    <w:rPr>
      <w:rFonts w:ascii="Tahoma" w:hAnsi="Tahoma"/>
      <w:sz w:val="24"/>
    </w:rPr>
  </w:style>
  <w:style w:type="paragraph" w:customStyle="1" w:styleId="302">
    <w:name w:val="样式 标题 2H2h2Underrubrik1prop2l2Chapter Titlesect 1.2DO NO..."/>
    <w:basedOn w:val="3"/>
    <w:qFormat/>
    <w:uiPriority w:val="0"/>
    <w:pPr>
      <w:tabs>
        <w:tab w:val="left" w:pos="432"/>
      </w:tabs>
      <w:spacing w:before="120" w:after="120"/>
      <w:ind w:left="425" w:hanging="425"/>
    </w:pPr>
    <w:rPr>
      <w:rFonts w:ascii="微软雅黑" w:hAnsi="微软雅黑" w:eastAsia="微软雅黑" w:cs="宋体"/>
      <w:szCs w:val="20"/>
      <w:lang w:val="en-US"/>
    </w:rPr>
  </w:style>
  <w:style w:type="paragraph" w:customStyle="1" w:styleId="303">
    <w:name w:val="Char Char Char Char Char Char Char Char Char Char1"/>
    <w:basedOn w:val="1"/>
    <w:qFormat/>
    <w:uiPriority w:val="0"/>
    <w:rPr>
      <w:rFonts w:ascii="仿宋_GB2312" w:eastAsia="仿宋_GB2312"/>
      <w:b/>
      <w:sz w:val="32"/>
      <w:szCs w:val="32"/>
    </w:rPr>
  </w:style>
  <w:style w:type="paragraph" w:customStyle="1" w:styleId="30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05">
    <w:name w:val="默认段落字体 Para Char Char Char1 Char"/>
    <w:basedOn w:val="1"/>
    <w:qFormat/>
    <w:uiPriority w:val="0"/>
    <w:pPr>
      <w:spacing w:line="240" w:lineRule="atLeast"/>
      <w:ind w:left="420" w:firstLine="420"/>
    </w:pPr>
    <w:rPr>
      <w:sz w:val="24"/>
    </w:rPr>
  </w:style>
  <w:style w:type="paragraph" w:styleId="30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8">
    <w:name w:val="Char1 Char Char Char5"/>
    <w:basedOn w:val="1"/>
    <w:qFormat/>
    <w:uiPriority w:val="0"/>
    <w:pPr>
      <w:adjustRightInd/>
      <w:ind w:firstLine="200" w:firstLineChars="200"/>
    </w:pPr>
    <w:rPr>
      <w:rFonts w:ascii="Tahoma" w:hAnsi="Tahoma"/>
      <w:sz w:val="24"/>
      <w:szCs w:val="20"/>
    </w:rPr>
  </w:style>
  <w:style w:type="paragraph" w:customStyle="1" w:styleId="309">
    <w:name w:val="Char Char Char Char Char Char Char1"/>
    <w:basedOn w:val="1"/>
    <w:qFormat/>
    <w:uiPriority w:val="0"/>
    <w:rPr>
      <w:rFonts w:ascii="仿宋_GB2312" w:eastAsia="仿宋_GB2312"/>
      <w:b/>
      <w:sz w:val="32"/>
      <w:szCs w:val="32"/>
    </w:rPr>
  </w:style>
  <w:style w:type="paragraph" w:customStyle="1" w:styleId="31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11">
    <w:name w:val="正文表标题"/>
    <w:next w:val="15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13">
    <w:name w:val="四号　首行缩进"/>
    <w:basedOn w:val="1"/>
    <w:qFormat/>
    <w:uiPriority w:val="0"/>
    <w:pPr>
      <w:adjustRightInd/>
      <w:spacing w:line="360" w:lineRule="auto"/>
    </w:pPr>
    <w:rPr>
      <w:rFonts w:ascii="宋体" w:hAnsi="宋体"/>
      <w:szCs w:val="20"/>
    </w:rPr>
  </w:style>
  <w:style w:type="paragraph" w:customStyle="1" w:styleId="31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1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6">
    <w:name w:val="首行缩进"/>
    <w:basedOn w:val="1"/>
    <w:qFormat/>
    <w:uiPriority w:val="0"/>
    <w:pPr>
      <w:spacing w:line="360" w:lineRule="auto"/>
      <w:ind w:firstLine="480" w:firstLineChars="200"/>
    </w:pPr>
    <w:rPr>
      <w:rFonts w:ascii="宋体"/>
      <w:sz w:val="24"/>
      <w:szCs w:val="20"/>
    </w:rPr>
  </w:style>
  <w:style w:type="paragraph" w:customStyle="1" w:styleId="317">
    <w:name w:val="Char1 Char Char Char1"/>
    <w:basedOn w:val="1"/>
    <w:qFormat/>
    <w:uiPriority w:val="0"/>
    <w:pPr>
      <w:adjustRightInd/>
      <w:ind w:firstLine="200" w:firstLineChars="200"/>
    </w:pPr>
    <w:rPr>
      <w:rFonts w:ascii="Tahoma" w:hAnsi="Tahoma"/>
      <w:sz w:val="24"/>
      <w:szCs w:val="20"/>
    </w:rPr>
  </w:style>
  <w:style w:type="paragraph" w:customStyle="1" w:styleId="318">
    <w:name w:val="MM Topic 2"/>
    <w:basedOn w:val="3"/>
    <w:qFormat/>
    <w:uiPriority w:val="0"/>
    <w:pPr>
      <w:tabs>
        <w:tab w:val="left" w:pos="860"/>
        <w:tab w:val="left" w:pos="1260"/>
      </w:tabs>
      <w:ind w:left="1260" w:hanging="420"/>
    </w:pPr>
    <w:rPr>
      <w:rFonts w:ascii="Arial" w:hAnsi="Arial" w:eastAsia="黑体"/>
      <w:lang w:val="en-US"/>
    </w:rPr>
  </w:style>
  <w:style w:type="paragraph" w:customStyle="1" w:styleId="3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20">
    <w:name w:val="样式 样式2 + 左侧:  1 字符 右侧:  1 字符"/>
    <w:basedOn w:val="8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2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2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23">
    <w:name w:val="哈哈正文"/>
    <w:basedOn w:val="1"/>
    <w:link w:val="504"/>
    <w:qFormat/>
    <w:uiPriority w:val="0"/>
    <w:pPr>
      <w:adjustRightInd/>
      <w:spacing w:line="360" w:lineRule="auto"/>
      <w:ind w:firstLine="200" w:firstLineChars="200"/>
    </w:pPr>
    <w:rPr>
      <w:rFonts w:ascii="宋体" w:hAnsi="宋体"/>
      <w:sz w:val="24"/>
      <w:szCs w:val="20"/>
    </w:rPr>
  </w:style>
  <w:style w:type="paragraph" w:customStyle="1" w:styleId="324">
    <w:name w:val="List Paragraph1"/>
    <w:basedOn w:val="1"/>
    <w:qFormat/>
    <w:uiPriority w:val="34"/>
    <w:pPr>
      <w:spacing w:line="360" w:lineRule="auto"/>
      <w:ind w:firstLine="200" w:firstLineChars="200"/>
    </w:pPr>
    <w:rPr>
      <w:rFonts w:eastAsia="楷体_GB2312" w:cs="Lucida Sans"/>
      <w:sz w:val="24"/>
    </w:rPr>
  </w:style>
  <w:style w:type="paragraph" w:customStyle="1" w:styleId="32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8">
    <w:name w:val="Char Char11 Char Char Char Char Char Char Char Char Char1"/>
    <w:basedOn w:val="1"/>
    <w:qFormat/>
    <w:uiPriority w:val="0"/>
    <w:pPr>
      <w:spacing w:line="360" w:lineRule="auto"/>
    </w:pPr>
    <w:rPr>
      <w:szCs w:val="20"/>
    </w:rPr>
  </w:style>
  <w:style w:type="paragraph" w:customStyle="1" w:styleId="32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正文 项目2"/>
    <w:basedOn w:val="331"/>
    <w:qFormat/>
    <w:uiPriority w:val="0"/>
    <w:pPr>
      <w:numPr>
        <w:ilvl w:val="0"/>
        <w:numId w:val="5"/>
      </w:numPr>
      <w:tabs>
        <w:tab w:val="left" w:pos="840"/>
      </w:tabs>
      <w:spacing w:after="0"/>
    </w:pPr>
  </w:style>
  <w:style w:type="paragraph" w:customStyle="1" w:styleId="33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32">
    <w:name w:val="Char Char Char1 Char1"/>
    <w:basedOn w:val="1"/>
    <w:qFormat/>
    <w:uiPriority w:val="0"/>
    <w:rPr>
      <w:szCs w:val="20"/>
    </w:rPr>
  </w:style>
  <w:style w:type="paragraph" w:customStyle="1" w:styleId="33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3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35">
    <w:name w:val="封面"/>
    <w:basedOn w:val="1"/>
    <w:qFormat/>
    <w:uiPriority w:val="0"/>
    <w:pPr>
      <w:spacing w:line="360" w:lineRule="atLeast"/>
      <w:jc w:val="right"/>
      <w:textAlignment w:val="baseline"/>
    </w:pPr>
    <w:rPr>
      <w:rFonts w:ascii="Symbol" w:hAnsi="Symbol"/>
      <w:kern w:val="0"/>
      <w:szCs w:val="20"/>
    </w:rPr>
  </w:style>
  <w:style w:type="paragraph" w:customStyle="1" w:styleId="336">
    <w:name w:val="正文（缩进2汉字）"/>
    <w:basedOn w:val="1"/>
    <w:link w:val="59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7">
    <w:name w:val="数字标题3"/>
    <w:basedOn w:val="4"/>
    <w:next w:val="1"/>
    <w:qFormat/>
    <w:uiPriority w:val="0"/>
    <w:pPr>
      <w:numPr>
        <w:numId w:val="0"/>
      </w:numPr>
      <w:spacing w:line="240" w:lineRule="auto"/>
    </w:pPr>
    <w:rPr>
      <w:sz w:val="28"/>
      <w:szCs w:val="28"/>
    </w:rPr>
  </w:style>
  <w:style w:type="paragraph" w:customStyle="1" w:styleId="3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40">
    <w:name w:val="正文（首行缩进2字符）"/>
    <w:basedOn w:val="1"/>
    <w:qFormat/>
    <w:uiPriority w:val="0"/>
    <w:pPr>
      <w:adjustRightInd/>
      <w:spacing w:line="360" w:lineRule="auto"/>
      <w:ind w:firstLine="480" w:firstLineChars="200"/>
    </w:pPr>
    <w:rPr>
      <w:sz w:val="24"/>
      <w:szCs w:val="20"/>
    </w:rPr>
  </w:style>
  <w:style w:type="paragraph" w:customStyle="1" w:styleId="34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42">
    <w:name w:val="正文段"/>
    <w:basedOn w:val="1"/>
    <w:qFormat/>
    <w:uiPriority w:val="0"/>
    <w:pPr>
      <w:widowControl/>
      <w:snapToGrid w:val="0"/>
      <w:spacing w:after="156" w:afterLines="50"/>
      <w:ind w:firstLine="200" w:firstLineChars="200"/>
    </w:pPr>
    <w:rPr>
      <w:kern w:val="0"/>
      <w:sz w:val="24"/>
      <w:szCs w:val="20"/>
    </w:rPr>
  </w:style>
  <w:style w:type="paragraph" w:customStyle="1" w:styleId="343">
    <w:name w:val="Test2"/>
    <w:basedOn w:val="3"/>
    <w:qFormat/>
    <w:uiPriority w:val="0"/>
    <w:pPr>
      <w:widowControl/>
      <w:tabs>
        <w:tab w:val="left" w:pos="432"/>
      </w:tabs>
      <w:adjustRightInd w:val="0"/>
      <w:snapToGrid w:val="0"/>
      <w:spacing w:before="360" w:after="360" w:line="240" w:lineRule="atLeast"/>
    </w:pPr>
    <w:rPr>
      <w:rFonts w:ascii="宋体" w:hAnsi="Arial" w:eastAsia="宋体"/>
      <w:snapToGrid w:val="0"/>
      <w:kern w:val="0"/>
      <w:sz w:val="28"/>
      <w:lang w:val="en-US"/>
    </w:rPr>
  </w:style>
  <w:style w:type="paragraph" w:customStyle="1" w:styleId="344">
    <w:name w:val="数字标题2"/>
    <w:basedOn w:val="3"/>
    <w:next w:val="1"/>
    <w:qFormat/>
    <w:uiPriority w:val="0"/>
    <w:pPr>
      <w:numPr>
        <w:ilvl w:val="1"/>
        <w:numId w:val="4"/>
      </w:numPr>
    </w:pPr>
    <w:rPr>
      <w:rFonts w:ascii="Times New Roman" w:eastAsia="宋体"/>
      <w:i/>
      <w:sz w:val="36"/>
      <w:szCs w:val="36"/>
      <w:lang w:val="en-US"/>
    </w:rPr>
  </w:style>
  <w:style w:type="paragraph" w:customStyle="1" w:styleId="345">
    <w:name w:val="彩色列表 - 强调文字颜色 11"/>
    <w:basedOn w:val="1"/>
    <w:qFormat/>
    <w:uiPriority w:val="0"/>
    <w:pPr>
      <w:adjustRightInd/>
      <w:ind w:firstLine="420" w:firstLineChars="200"/>
    </w:pPr>
    <w:rPr>
      <w:rFonts w:ascii="Calibri" w:hAnsi="Calibri"/>
      <w:szCs w:val="22"/>
    </w:rPr>
  </w:style>
  <w:style w:type="paragraph" w:customStyle="1" w:styleId="34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8">
    <w:name w:val="样式1 + (中宋体"/>
    <w:basedOn w:val="17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9">
    <w:name w:val="仿宋正文"/>
    <w:basedOn w:val="1"/>
    <w:link w:val="472"/>
    <w:qFormat/>
    <w:uiPriority w:val="0"/>
    <w:pPr>
      <w:adjustRightInd/>
      <w:spacing w:line="360" w:lineRule="auto"/>
      <w:ind w:firstLine="480" w:firstLineChars="200"/>
    </w:pPr>
    <w:rPr>
      <w:rFonts w:ascii="仿宋_GB2312" w:eastAsia="仿宋_GB2312"/>
      <w:sz w:val="24"/>
      <w:szCs w:val="20"/>
    </w:rPr>
  </w:style>
  <w:style w:type="paragraph" w:customStyle="1" w:styleId="350">
    <w:name w:val="正文（标题三）"/>
    <w:basedOn w:val="1"/>
    <w:qFormat/>
    <w:uiPriority w:val="0"/>
    <w:pPr>
      <w:spacing w:line="360" w:lineRule="auto"/>
      <w:ind w:firstLine="200" w:firstLineChars="200"/>
    </w:pPr>
    <w:rPr>
      <w:sz w:val="24"/>
    </w:rPr>
  </w:style>
  <w:style w:type="paragraph" w:customStyle="1" w:styleId="351">
    <w:name w:val="MM Topic 3"/>
    <w:basedOn w:val="4"/>
    <w:qFormat/>
    <w:uiPriority w:val="0"/>
    <w:pPr>
      <w:numPr>
        <w:numId w:val="3"/>
      </w:numPr>
      <w:tabs>
        <w:tab w:val="left" w:pos="840"/>
        <w:tab w:val="left" w:pos="1680"/>
        <w:tab w:val="clear" w:pos="864"/>
      </w:tabs>
      <w:adjustRightInd/>
    </w:pPr>
  </w:style>
  <w:style w:type="paragraph" w:customStyle="1" w:styleId="3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53">
    <w:name w:val="图中文字"/>
    <w:basedOn w:val="1"/>
    <w:qFormat/>
    <w:uiPriority w:val="0"/>
    <w:pPr>
      <w:snapToGrid w:val="0"/>
      <w:spacing w:line="0" w:lineRule="atLeast"/>
      <w:ind w:firstLine="200" w:firstLineChars="200"/>
      <w:jc w:val="center"/>
    </w:pPr>
    <w:rPr>
      <w:sz w:val="24"/>
      <w:szCs w:val="20"/>
    </w:rPr>
  </w:style>
  <w:style w:type="paragraph" w:customStyle="1" w:styleId="35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55">
    <w:name w:val="Char21"/>
    <w:basedOn w:val="1"/>
    <w:qFormat/>
    <w:uiPriority w:val="0"/>
    <w:pPr>
      <w:adjustRightInd/>
      <w:ind w:firstLine="200" w:firstLineChars="200"/>
    </w:pPr>
    <w:rPr>
      <w:rFonts w:ascii="仿宋_GB2312" w:eastAsia="仿宋_GB2312"/>
      <w:b/>
      <w:sz w:val="32"/>
      <w:szCs w:val="32"/>
    </w:rPr>
  </w:style>
  <w:style w:type="paragraph" w:customStyle="1" w:styleId="35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7">
    <w:name w:val="标题4-dyf"/>
    <w:basedOn w:val="5"/>
    <w:link w:val="559"/>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8">
    <w:name w:val="Char1 Char Char Char4"/>
    <w:basedOn w:val="1"/>
    <w:qFormat/>
    <w:uiPriority w:val="0"/>
    <w:pPr>
      <w:adjustRightInd/>
      <w:ind w:firstLine="200" w:firstLineChars="200"/>
    </w:pPr>
    <w:rPr>
      <w:rFonts w:ascii="Tahoma" w:hAnsi="Tahoma"/>
      <w:sz w:val="24"/>
      <w:szCs w:val="20"/>
    </w:rPr>
  </w:style>
  <w:style w:type="paragraph" w:customStyle="1" w:styleId="35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1">
    <w:name w:val="Char23"/>
    <w:basedOn w:val="1"/>
    <w:qFormat/>
    <w:uiPriority w:val="0"/>
    <w:rPr>
      <w:rFonts w:ascii="仿宋_GB2312" w:eastAsia="仿宋_GB2312"/>
      <w:b/>
      <w:sz w:val="32"/>
      <w:szCs w:val="32"/>
    </w:rPr>
  </w:style>
  <w:style w:type="paragraph" w:customStyle="1" w:styleId="36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6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5">
    <w:name w:val="此正文"/>
    <w:basedOn w:val="1"/>
    <w:link w:val="450"/>
    <w:qFormat/>
    <w:uiPriority w:val="0"/>
    <w:pPr>
      <w:adjustRightInd/>
      <w:spacing w:line="360" w:lineRule="auto"/>
      <w:ind w:firstLine="200" w:firstLineChars="200"/>
    </w:pPr>
    <w:rPr>
      <w:sz w:val="24"/>
    </w:rPr>
  </w:style>
  <w:style w:type="paragraph" w:customStyle="1" w:styleId="3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8">
    <w:name w:val="Char3 Char Char Char"/>
    <w:basedOn w:val="1"/>
    <w:qFormat/>
    <w:uiPriority w:val="0"/>
    <w:pPr>
      <w:widowControl/>
      <w:adjustRightInd/>
      <w:spacing w:after="160" w:line="240" w:lineRule="exact"/>
      <w:jc w:val="left"/>
    </w:pPr>
    <w:rPr>
      <w:szCs w:val="20"/>
    </w:rPr>
  </w:style>
  <w:style w:type="paragraph" w:customStyle="1" w:styleId="36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70">
    <w:name w:val="Normal0"/>
    <w:qFormat/>
    <w:uiPriority w:val="0"/>
    <w:rPr>
      <w:rFonts w:ascii="Times New Roman" w:hAnsi="Times New Roman" w:eastAsia="宋体" w:cs="Times New Roman"/>
      <w:lang w:val="en-US" w:eastAsia="en-US" w:bidi="ar-SA"/>
    </w:rPr>
  </w:style>
  <w:style w:type="paragraph" w:customStyle="1" w:styleId="37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72">
    <w:name w:val="a1"/>
    <w:basedOn w:val="1"/>
    <w:qFormat/>
    <w:uiPriority w:val="0"/>
    <w:pPr>
      <w:widowControl/>
      <w:spacing w:line="300" w:lineRule="atLeast"/>
      <w:jc w:val="left"/>
    </w:pPr>
    <w:rPr>
      <w:rFonts w:ascii="宋体" w:hAnsi="宋体"/>
      <w:kern w:val="0"/>
      <w:sz w:val="18"/>
      <w:szCs w:val="20"/>
    </w:rPr>
  </w:style>
  <w:style w:type="paragraph" w:customStyle="1" w:styleId="37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7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7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6">
    <w:name w:val="Thf"/>
    <w:basedOn w:val="103"/>
    <w:qFormat/>
    <w:uiPriority w:val="0"/>
    <w:pPr>
      <w:ind w:left="0"/>
    </w:pPr>
  </w:style>
  <w:style w:type="paragraph" w:customStyle="1" w:styleId="37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8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81">
    <w:name w:val="_Style 12"/>
    <w:basedOn w:val="20"/>
    <w:qFormat/>
    <w:uiPriority w:val="0"/>
    <w:pPr>
      <w:snapToGrid w:val="0"/>
      <w:spacing w:line="360" w:lineRule="auto"/>
    </w:pPr>
  </w:style>
  <w:style w:type="paragraph" w:customStyle="1" w:styleId="382">
    <w:name w:val="表格题注"/>
    <w:next w:val="1"/>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8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84">
    <w:name w:val="标书标题2"/>
    <w:basedOn w:val="3"/>
    <w:qFormat/>
    <w:uiPriority w:val="0"/>
    <w:pPr>
      <w:keepLines w:val="0"/>
      <w:widowControl/>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85">
    <w:name w:val="Char Char"/>
    <w:basedOn w:val="1"/>
    <w:qFormat/>
    <w:uiPriority w:val="0"/>
    <w:pPr>
      <w:spacing w:line="360" w:lineRule="auto"/>
    </w:pPr>
    <w:rPr>
      <w:rFonts w:ascii="Tahoma" w:hAnsi="Tahoma"/>
      <w:sz w:val="24"/>
      <w:szCs w:val="20"/>
    </w:rPr>
  </w:style>
  <w:style w:type="paragraph" w:customStyle="1" w:styleId="38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8">
    <w:name w:val="彩色列表 - 强调文字颜色 12"/>
    <w:basedOn w:val="1"/>
    <w:qFormat/>
    <w:uiPriority w:val="0"/>
    <w:pPr>
      <w:adjustRightInd/>
      <w:ind w:firstLine="420" w:firstLineChars="200"/>
    </w:pPr>
    <w:rPr>
      <w:rFonts w:ascii="Calibri" w:hAnsi="Calibri"/>
      <w:szCs w:val="22"/>
    </w:rPr>
  </w:style>
  <w:style w:type="paragraph" w:customStyle="1" w:styleId="3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90">
    <w:name w:val="Char19"/>
    <w:basedOn w:val="1"/>
    <w:qFormat/>
    <w:uiPriority w:val="0"/>
    <w:pPr>
      <w:adjustRightInd/>
    </w:pPr>
    <w:rPr>
      <w:szCs w:val="20"/>
    </w:rPr>
  </w:style>
  <w:style w:type="paragraph" w:customStyle="1" w:styleId="39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92">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9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94">
    <w:name w:val="表格（小）"/>
    <w:basedOn w:val="1"/>
    <w:qFormat/>
    <w:uiPriority w:val="0"/>
    <w:pPr>
      <w:adjustRightInd/>
      <w:snapToGrid w:val="0"/>
      <w:spacing w:line="300" w:lineRule="auto"/>
    </w:pPr>
    <w:rPr>
      <w:rFonts w:eastAsia="仿宋"/>
      <w:szCs w:val="21"/>
    </w:rPr>
  </w:style>
  <w:style w:type="paragraph" w:customStyle="1" w:styleId="39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9">
    <w:name w:val="Char Char Char Char2"/>
    <w:basedOn w:val="1"/>
    <w:qFormat/>
    <w:uiPriority w:val="0"/>
    <w:rPr>
      <w:rFonts w:ascii="Tahoma" w:hAnsi="Tahoma"/>
      <w:sz w:val="24"/>
      <w:szCs w:val="20"/>
    </w:rPr>
  </w:style>
  <w:style w:type="paragraph" w:customStyle="1" w:styleId="400">
    <w:name w:val="p0"/>
    <w:basedOn w:val="1"/>
    <w:qFormat/>
    <w:uiPriority w:val="0"/>
    <w:pPr>
      <w:widowControl/>
      <w:adjustRightInd/>
    </w:pPr>
    <w:rPr>
      <w:kern w:val="0"/>
      <w:szCs w:val="21"/>
    </w:rPr>
  </w:style>
  <w:style w:type="paragraph" w:customStyle="1" w:styleId="40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0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03">
    <w:name w:val="默认段落样式"/>
    <w:basedOn w:val="404"/>
    <w:qFormat/>
    <w:uiPriority w:val="0"/>
    <w:pPr>
      <w:spacing w:before="0"/>
      <w:ind w:firstLine="480"/>
      <w:outlineLvl w:val="2"/>
    </w:pPr>
    <w:rPr>
      <w:rFonts w:ascii="仿宋_GB2312" w:hAnsi="宋体" w:eastAsia="仿宋_GB2312"/>
      <w:color w:val="000000"/>
      <w:szCs w:val="24"/>
    </w:rPr>
  </w:style>
  <w:style w:type="paragraph" w:customStyle="1" w:styleId="404">
    <w:name w:val="正文2"/>
    <w:basedOn w:val="1"/>
    <w:link w:val="457"/>
    <w:qFormat/>
    <w:uiPriority w:val="0"/>
    <w:pPr>
      <w:spacing w:before="156" w:line="360" w:lineRule="auto"/>
      <w:ind w:firstLine="510" w:firstLineChars="200"/>
    </w:pPr>
    <w:rPr>
      <w:sz w:val="24"/>
      <w:szCs w:val="20"/>
    </w:rPr>
  </w:style>
  <w:style w:type="paragraph" w:customStyle="1" w:styleId="40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8">
    <w:name w:val="bullet"/>
    <w:basedOn w:val="1"/>
    <w:qFormat/>
    <w:uiPriority w:val="0"/>
    <w:pPr>
      <w:tabs>
        <w:tab w:val="left" w:pos="840"/>
      </w:tabs>
      <w:adjustRightInd/>
      <w:ind w:left="840" w:hanging="420"/>
    </w:pPr>
  </w:style>
  <w:style w:type="paragraph" w:customStyle="1" w:styleId="409">
    <w:name w:val="五级条标题"/>
    <w:basedOn w:val="184"/>
    <w:next w:val="151"/>
    <w:qFormat/>
    <w:uiPriority w:val="0"/>
    <w:pPr>
      <w:numPr>
        <w:ilvl w:val="6"/>
      </w:numPr>
      <w:tabs>
        <w:tab w:val="clear" w:pos="2940"/>
      </w:tabs>
      <w:outlineLvl w:val="6"/>
    </w:pPr>
  </w:style>
  <w:style w:type="paragraph" w:customStyle="1" w:styleId="410">
    <w:name w:val="Char Char Char Char Char Char Char Char"/>
    <w:basedOn w:val="1"/>
    <w:qFormat/>
    <w:uiPriority w:val="0"/>
    <w:pPr>
      <w:tabs>
        <w:tab w:val="left" w:pos="360"/>
      </w:tabs>
    </w:pPr>
    <w:rPr>
      <w:sz w:val="24"/>
      <w:szCs w:val="20"/>
    </w:rPr>
  </w:style>
  <w:style w:type="paragraph" w:customStyle="1" w:styleId="41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12">
    <w:name w:val="数字标题5"/>
    <w:basedOn w:val="6"/>
    <w:next w:val="1"/>
    <w:qFormat/>
    <w:uiPriority w:val="0"/>
    <w:pPr>
      <w:numPr>
        <w:numId w:val="4"/>
      </w:numPr>
      <w:tabs>
        <w:tab w:val="left" w:pos="480"/>
        <w:tab w:val="left" w:pos="1080"/>
        <w:tab w:val="clear" w:pos="1008"/>
      </w:tabs>
    </w:pPr>
  </w:style>
  <w:style w:type="paragraph" w:customStyle="1" w:styleId="41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1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1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17">
    <w:name w:val="0"/>
    <w:basedOn w:val="1"/>
    <w:qFormat/>
    <w:uiPriority w:val="0"/>
    <w:pPr>
      <w:widowControl/>
    </w:pPr>
    <w:rPr>
      <w:kern w:val="0"/>
      <w:sz w:val="24"/>
      <w:szCs w:val="20"/>
    </w:rPr>
  </w:style>
  <w:style w:type="paragraph" w:customStyle="1" w:styleId="41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9">
    <w:name w:val="b11_01b"/>
    <w:basedOn w:val="1"/>
    <w:next w:val="1"/>
    <w:link w:val="55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20">
    <w:name w:val="MM Topic 5"/>
    <w:basedOn w:val="6"/>
    <w:qFormat/>
    <w:uiPriority w:val="0"/>
    <w:pPr>
      <w:numPr>
        <w:numId w:val="3"/>
      </w:numPr>
      <w:tabs>
        <w:tab w:val="left" w:pos="840"/>
        <w:tab w:val="left" w:pos="2520"/>
        <w:tab w:val="clear" w:pos="1008"/>
      </w:tabs>
      <w:adjustRightInd/>
    </w:pPr>
  </w:style>
  <w:style w:type="paragraph" w:customStyle="1" w:styleId="42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cs="宋体"/>
      <w:b w:val="0"/>
      <w:bCs w:val="0"/>
      <w:color w:val="000000"/>
      <w:kern w:val="0"/>
      <w:sz w:val="28"/>
      <w:szCs w:val="20"/>
    </w:rPr>
  </w:style>
  <w:style w:type="paragraph" w:customStyle="1" w:styleId="42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23">
    <w:name w:val="数字标题1"/>
    <w:basedOn w:val="2"/>
    <w:next w:val="1"/>
    <w:qFormat/>
    <w:uiPriority w:val="0"/>
    <w:pPr>
      <w:numPr>
        <w:numId w:val="4"/>
      </w:numPr>
      <w:tabs>
        <w:tab w:val="left" w:pos="480"/>
        <w:tab w:val="clear" w:pos="432"/>
      </w:tabs>
    </w:pPr>
  </w:style>
  <w:style w:type="paragraph" w:customStyle="1" w:styleId="42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3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31">
    <w:name w:val="MM Topic 1"/>
    <w:basedOn w:val="2"/>
    <w:qFormat/>
    <w:uiPriority w:val="0"/>
    <w:pPr>
      <w:numPr>
        <w:numId w:val="0"/>
      </w:numPr>
      <w:tabs>
        <w:tab w:val="left" w:pos="840"/>
        <w:tab w:val="clear" w:pos="432"/>
      </w:tabs>
      <w:adjustRightInd/>
      <w:ind w:left="840" w:hanging="420"/>
    </w:pPr>
  </w:style>
  <w:style w:type="paragraph" w:customStyle="1" w:styleId="432">
    <w:name w:val="Char Char Char Char Char Char Char Char1"/>
    <w:basedOn w:val="1"/>
    <w:qFormat/>
    <w:uiPriority w:val="0"/>
    <w:pPr>
      <w:tabs>
        <w:tab w:val="left" w:pos="360"/>
      </w:tabs>
    </w:pPr>
    <w:rPr>
      <w:sz w:val="24"/>
      <w:szCs w:val="20"/>
    </w:rPr>
  </w:style>
  <w:style w:type="paragraph" w:customStyle="1" w:styleId="43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34">
    <w:name w:val="Char3 Char Char Char1"/>
    <w:basedOn w:val="1"/>
    <w:qFormat/>
    <w:uiPriority w:val="0"/>
    <w:pPr>
      <w:widowControl/>
      <w:adjustRightInd/>
      <w:spacing w:after="160" w:line="240" w:lineRule="exact"/>
      <w:jc w:val="left"/>
    </w:pPr>
    <w:rPr>
      <w:szCs w:val="20"/>
    </w:rPr>
  </w:style>
  <w:style w:type="paragraph" w:customStyle="1" w:styleId="435">
    <w:name w:val="Char Char12"/>
    <w:basedOn w:val="1"/>
    <w:qFormat/>
    <w:uiPriority w:val="0"/>
    <w:pPr>
      <w:widowControl/>
      <w:spacing w:after="160" w:line="240" w:lineRule="exact"/>
      <w:jc w:val="left"/>
    </w:pPr>
    <w:rPr>
      <w:rFonts w:eastAsia="仿宋_GB2312"/>
      <w:sz w:val="28"/>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单元格左对齐"/>
    <w:basedOn w:val="1"/>
    <w:qFormat/>
    <w:uiPriority w:val="0"/>
    <w:pPr>
      <w:adjustRightInd/>
      <w:spacing w:line="360" w:lineRule="auto"/>
    </w:pPr>
    <w:rPr>
      <w:sz w:val="24"/>
    </w:rPr>
  </w:style>
  <w:style w:type="paragraph" w:customStyle="1" w:styleId="44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42">
    <w:name w:val="正文文本 Char"/>
    <w:qFormat/>
    <w:uiPriority w:val="0"/>
    <w:rPr>
      <w:rFonts w:eastAsia="宋体"/>
      <w:kern w:val="2"/>
      <w:sz w:val="24"/>
      <w:szCs w:val="24"/>
      <w:lang w:val="en-US" w:eastAsia="zh-CN" w:bidi="ar-SA"/>
    </w:rPr>
  </w:style>
  <w:style w:type="character" w:customStyle="1" w:styleId="443">
    <w:name w:val="myp1111"/>
    <w:qFormat/>
    <w:uiPriority w:val="0"/>
    <w:rPr>
      <w:rFonts w:hint="default" w:ascii="ˎ̥" w:hAnsi="ˎ̥"/>
      <w:color w:val="000000"/>
      <w:sz w:val="20"/>
      <w:szCs w:val="20"/>
      <w:u w:val="none"/>
    </w:rPr>
  </w:style>
  <w:style w:type="character" w:customStyle="1" w:styleId="444">
    <w:name w:val="mdeck"/>
    <w:qFormat/>
    <w:uiPriority w:val="0"/>
    <w:rPr>
      <w:rFonts w:ascii="仿宋_GB2312" w:eastAsia="微软雅黑"/>
      <w:b/>
      <w:kern w:val="2"/>
      <w:sz w:val="32"/>
      <w:szCs w:val="32"/>
      <w:lang w:val="en-US" w:eastAsia="zh-CN" w:bidi="ar-SA"/>
    </w:rPr>
  </w:style>
  <w:style w:type="character" w:customStyle="1" w:styleId="445">
    <w:name w:val="签名 字符"/>
    <w:link w:val="42"/>
    <w:qFormat/>
    <w:uiPriority w:val="0"/>
    <w:rPr>
      <w:rFonts w:eastAsia="仿宋_GB2312"/>
      <w:sz w:val="24"/>
    </w:rPr>
  </w:style>
  <w:style w:type="character" w:customStyle="1" w:styleId="446">
    <w:name w:val="tw4winMark"/>
    <w:qFormat/>
    <w:uiPriority w:val="0"/>
    <w:rPr>
      <w:rFonts w:ascii="Courier New" w:hAnsi="Courier New" w:cs="Courier New"/>
      <w:vanish/>
      <w:color w:val="800080"/>
      <w:sz w:val="24"/>
      <w:szCs w:val="24"/>
      <w:vertAlign w:val="subscript"/>
    </w:rPr>
  </w:style>
  <w:style w:type="character" w:customStyle="1" w:styleId="44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8">
    <w:name w:val="Balloon Text Char"/>
    <w:semiHidden/>
    <w:qFormat/>
    <w:locked/>
    <w:uiPriority w:val="0"/>
    <w:rPr>
      <w:rFonts w:eastAsia="宋体"/>
      <w:kern w:val="2"/>
      <w:sz w:val="18"/>
      <w:szCs w:val="18"/>
      <w:lang w:val="en-US" w:eastAsia="zh-CN" w:bidi="ar-SA"/>
    </w:rPr>
  </w:style>
  <w:style w:type="character" w:customStyle="1" w:styleId="449">
    <w:name w:val="正文非缩进 Char"/>
    <w:qFormat/>
    <w:uiPriority w:val="0"/>
    <w:rPr>
      <w:rFonts w:ascii="宋体" w:eastAsia="宋体"/>
      <w:snapToGrid w:val="0"/>
      <w:color w:val="000000"/>
      <w:kern w:val="28"/>
      <w:sz w:val="28"/>
      <w:lang w:val="en-US" w:eastAsia="zh-CN" w:bidi="ar-SA"/>
    </w:rPr>
  </w:style>
  <w:style w:type="character" w:customStyle="1" w:styleId="450">
    <w:name w:val="此正文 Char"/>
    <w:link w:val="365"/>
    <w:qFormat/>
    <w:uiPriority w:val="0"/>
    <w:rPr>
      <w:kern w:val="2"/>
      <w:sz w:val="24"/>
      <w:szCs w:val="24"/>
    </w:rPr>
  </w:style>
  <w:style w:type="character" w:customStyle="1" w:styleId="451">
    <w:name w:val="Ò³Ã¼ Char Char"/>
    <w:qFormat/>
    <w:uiPriority w:val="0"/>
    <w:rPr>
      <w:rFonts w:eastAsia="宋体"/>
      <w:kern w:val="2"/>
      <w:sz w:val="18"/>
      <w:lang w:val="en-US" w:eastAsia="zh-CN" w:bidi="ar-SA"/>
    </w:rPr>
  </w:style>
  <w:style w:type="character" w:customStyle="1" w:styleId="452">
    <w:name w:val="style91"/>
    <w:qFormat/>
    <w:uiPriority w:val="0"/>
    <w:rPr>
      <w:color w:val="333333"/>
    </w:rPr>
  </w:style>
  <w:style w:type="character" w:customStyle="1" w:styleId="453">
    <w:name w:val="标书1 Char"/>
    <w:qFormat/>
    <w:uiPriority w:val="0"/>
    <w:rPr>
      <w:rFonts w:eastAsia="宋体"/>
      <w:b/>
      <w:bCs/>
      <w:kern w:val="44"/>
      <w:sz w:val="44"/>
      <w:szCs w:val="44"/>
      <w:lang w:val="en-US" w:eastAsia="zh-CN" w:bidi="ar-SA"/>
    </w:rPr>
  </w:style>
  <w:style w:type="character" w:customStyle="1" w:styleId="454">
    <w:name w:val="ca-131"/>
    <w:qFormat/>
    <w:uiPriority w:val="0"/>
    <w:rPr>
      <w:rFonts w:hint="eastAsia" w:ascii="仿宋_GB2312" w:eastAsia="仿宋_GB2312"/>
      <w:b/>
      <w:bCs/>
      <w:color w:val="000000"/>
      <w:spacing w:val="-20"/>
      <w:sz w:val="24"/>
      <w:szCs w:val="24"/>
    </w:rPr>
  </w:style>
  <w:style w:type="character" w:customStyle="1" w:styleId="455">
    <w:name w:val="标书正文格式 Char"/>
    <w:qFormat/>
    <w:uiPriority w:val="0"/>
    <w:rPr>
      <w:rFonts w:eastAsia="楷体_GB2312"/>
      <w:kern w:val="2"/>
      <w:sz w:val="24"/>
      <w:szCs w:val="24"/>
      <w:lang w:bidi="ar-SA"/>
    </w:rPr>
  </w:style>
  <w:style w:type="character" w:customStyle="1" w:styleId="456">
    <w:name w:val="Char Char6"/>
    <w:qFormat/>
    <w:uiPriority w:val="0"/>
    <w:rPr>
      <w:rFonts w:eastAsia="宋体"/>
      <w:kern w:val="2"/>
      <w:sz w:val="21"/>
      <w:szCs w:val="24"/>
      <w:lang w:val="en-US" w:eastAsia="zh-CN" w:bidi="ar-SA"/>
    </w:rPr>
  </w:style>
  <w:style w:type="character" w:customStyle="1" w:styleId="457">
    <w:name w:val="正文2 Char Char"/>
    <w:link w:val="404"/>
    <w:qFormat/>
    <w:uiPriority w:val="0"/>
    <w:rPr>
      <w:rFonts w:eastAsia="宋体"/>
      <w:kern w:val="2"/>
      <w:sz w:val="24"/>
      <w:lang w:val="en-US" w:eastAsia="zh-CN" w:bidi="ar-SA"/>
    </w:rPr>
  </w:style>
  <w:style w:type="character" w:customStyle="1" w:styleId="458">
    <w:name w:val="content"/>
    <w:qFormat/>
    <w:uiPriority w:val="0"/>
  </w:style>
  <w:style w:type="character" w:customStyle="1" w:styleId="459">
    <w:name w:val="正文文本 2 Char"/>
    <w:qFormat/>
    <w:uiPriority w:val="0"/>
    <w:rPr>
      <w:rFonts w:eastAsia="宋体"/>
      <w:kern w:val="2"/>
      <w:sz w:val="21"/>
      <w:szCs w:val="24"/>
      <w:lang w:val="en-US" w:eastAsia="zh-CN" w:bidi="ar-SA"/>
    </w:rPr>
  </w:style>
  <w:style w:type="character" w:customStyle="1" w:styleId="460">
    <w:name w:val="Heading 2 Hidden Char"/>
    <w:qFormat/>
    <w:uiPriority w:val="0"/>
    <w:rPr>
      <w:rFonts w:ascii="仿宋_GB2312" w:eastAsia="仿宋_GB2312"/>
      <w:b/>
      <w:bCs/>
      <w:kern w:val="2"/>
      <w:sz w:val="24"/>
      <w:szCs w:val="24"/>
      <w:lang w:val="zh-CN" w:eastAsia="zh-CN" w:bidi="ar-SA"/>
    </w:rPr>
  </w:style>
  <w:style w:type="character" w:customStyle="1" w:styleId="461">
    <w:name w:val="首行缩进 Char"/>
    <w:qFormat/>
    <w:uiPriority w:val="0"/>
    <w:rPr>
      <w:rFonts w:ascii="宋体" w:eastAsia="宋体"/>
      <w:kern w:val="2"/>
      <w:sz w:val="24"/>
      <w:lang w:val="en-US" w:eastAsia="zh-CN" w:bidi="ar-SA"/>
    </w:rPr>
  </w:style>
  <w:style w:type="character" w:customStyle="1" w:styleId="46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63">
    <w:name w:val="普通文字 Char Char1"/>
    <w:qFormat/>
    <w:uiPriority w:val="0"/>
    <w:rPr>
      <w:rFonts w:ascii="宋体" w:hAnsi="Courier New"/>
      <w:kern w:val="2"/>
      <w:sz w:val="21"/>
    </w:rPr>
  </w:style>
  <w:style w:type="character" w:customStyle="1" w:styleId="464">
    <w:name w:val="Footer-Even Char"/>
    <w:qFormat/>
    <w:uiPriority w:val="0"/>
    <w:rPr>
      <w:rFonts w:eastAsia="宋体"/>
      <w:kern w:val="2"/>
      <w:sz w:val="18"/>
      <w:lang w:val="en-US" w:eastAsia="zh-CN" w:bidi="ar-SA"/>
    </w:rPr>
  </w:style>
  <w:style w:type="character" w:customStyle="1" w:styleId="465">
    <w:name w:val="dandyren_title1"/>
    <w:qFormat/>
    <w:uiPriority w:val="0"/>
    <w:rPr>
      <w:b/>
      <w:bCs/>
      <w:color w:val="FF6633"/>
      <w:sz w:val="18"/>
      <w:szCs w:val="18"/>
    </w:rPr>
  </w:style>
  <w:style w:type="character" w:customStyle="1" w:styleId="466">
    <w:name w:val="标题 3 Char2"/>
    <w:qFormat/>
    <w:uiPriority w:val="0"/>
    <w:rPr>
      <w:rFonts w:eastAsia="宋体"/>
      <w:b/>
      <w:bCs/>
      <w:kern w:val="2"/>
      <w:sz w:val="32"/>
      <w:szCs w:val="32"/>
      <w:lang w:val="en-US" w:eastAsia="zh-CN" w:bidi="ar-SA"/>
    </w:rPr>
  </w:style>
  <w:style w:type="character" w:customStyle="1" w:styleId="467">
    <w:name w:val="gray6"/>
    <w:basedOn w:val="63"/>
    <w:qFormat/>
    <w:uiPriority w:val="0"/>
  </w:style>
  <w:style w:type="character" w:customStyle="1" w:styleId="468">
    <w:name w:val="标准正文格式 Char"/>
    <w:qFormat/>
    <w:uiPriority w:val="0"/>
    <w:rPr>
      <w:rFonts w:ascii="宋体" w:eastAsia="仿宋_GB2312" w:cs="宋体"/>
      <w:color w:val="000000"/>
      <w:sz w:val="24"/>
      <w:lang w:val="en-US" w:eastAsia="zh-CN" w:bidi="ar-SA"/>
    </w:rPr>
  </w:style>
  <w:style w:type="character" w:customStyle="1" w:styleId="469">
    <w:name w:val="Char Char3"/>
    <w:qFormat/>
    <w:uiPriority w:val="0"/>
    <w:rPr>
      <w:rFonts w:eastAsia="宋体"/>
      <w:kern w:val="2"/>
      <w:sz w:val="21"/>
      <w:szCs w:val="24"/>
      <w:lang w:val="en-US" w:eastAsia="zh-CN" w:bidi="ar-SA"/>
    </w:rPr>
  </w:style>
  <w:style w:type="character" w:customStyle="1" w:styleId="470">
    <w:name w:val="px14"/>
    <w:qFormat/>
    <w:uiPriority w:val="0"/>
    <w:rPr>
      <w:rFonts w:ascii="仿宋_GB2312" w:eastAsia="微软雅黑" w:cs="Times New Roman"/>
      <w:b/>
      <w:kern w:val="2"/>
      <w:sz w:val="32"/>
      <w:szCs w:val="32"/>
      <w:lang w:val="en-US" w:eastAsia="zh-CN" w:bidi="ar-SA"/>
    </w:rPr>
  </w:style>
  <w:style w:type="character" w:customStyle="1" w:styleId="471">
    <w:name w:val="txt"/>
    <w:qFormat/>
    <w:uiPriority w:val="0"/>
    <w:rPr>
      <w:rFonts w:ascii="仿宋_GB2312" w:eastAsia="微软雅黑"/>
      <w:b/>
      <w:kern w:val="2"/>
      <w:sz w:val="32"/>
      <w:szCs w:val="32"/>
      <w:lang w:val="en-US" w:eastAsia="zh-CN" w:bidi="ar-SA"/>
    </w:rPr>
  </w:style>
  <w:style w:type="character" w:customStyle="1" w:styleId="472">
    <w:name w:val="仿宋正文 Char"/>
    <w:link w:val="349"/>
    <w:qFormat/>
    <w:uiPriority w:val="0"/>
    <w:rPr>
      <w:rFonts w:ascii="仿宋_GB2312" w:eastAsia="仿宋_GB2312"/>
      <w:kern w:val="2"/>
      <w:sz w:val="24"/>
      <w:lang w:val="en-US" w:eastAsia="zh-CN" w:bidi="ar-SA"/>
    </w:rPr>
  </w:style>
  <w:style w:type="character" w:customStyle="1" w:styleId="473">
    <w:name w:val="Comment Text Char"/>
    <w:semiHidden/>
    <w:qFormat/>
    <w:locked/>
    <w:uiPriority w:val="0"/>
    <w:rPr>
      <w:rFonts w:ascii="宋体" w:hAnsi="宋体" w:eastAsia="宋体"/>
      <w:kern w:val="2"/>
      <w:sz w:val="24"/>
      <w:lang w:val="en-US" w:eastAsia="zh-CN" w:bidi="ar-SA"/>
    </w:rPr>
  </w:style>
  <w:style w:type="character" w:customStyle="1" w:styleId="474">
    <w:name w:val="tw4winExternal"/>
    <w:qFormat/>
    <w:uiPriority w:val="0"/>
    <w:rPr>
      <w:rFonts w:ascii="Courier New" w:hAnsi="Courier New" w:cs="Courier New"/>
      <w:color w:val="808080"/>
    </w:rPr>
  </w:style>
  <w:style w:type="character" w:customStyle="1" w:styleId="475">
    <w:name w:val="Char Char10"/>
    <w:semiHidden/>
    <w:qFormat/>
    <w:uiPriority w:val="0"/>
    <w:rPr>
      <w:rFonts w:ascii="宋体" w:hAnsi="宋体"/>
      <w:kern w:val="2"/>
      <w:sz w:val="21"/>
      <w:szCs w:val="24"/>
    </w:rPr>
  </w:style>
  <w:style w:type="character" w:customStyle="1" w:styleId="476">
    <w:name w:val="Bold"/>
    <w:qFormat/>
    <w:uiPriority w:val="0"/>
    <w:rPr>
      <w:rFonts w:ascii="Arial" w:hAnsi="Arial" w:eastAsia="黑体" w:cs="Times New Roman"/>
      <w:b/>
      <w:kern w:val="2"/>
      <w:sz w:val="32"/>
      <w:szCs w:val="32"/>
      <w:lang w:val="en-US" w:eastAsia="zh-CN" w:bidi="ar-SA"/>
    </w:rPr>
  </w:style>
  <w:style w:type="character" w:customStyle="1" w:styleId="477">
    <w:name w:val="Font Style82"/>
    <w:qFormat/>
    <w:uiPriority w:val="99"/>
    <w:rPr>
      <w:rFonts w:ascii="宋体" w:eastAsia="宋体" w:cs="宋体"/>
      <w:color w:val="000000"/>
      <w:sz w:val="14"/>
      <w:szCs w:val="14"/>
    </w:rPr>
  </w:style>
  <w:style w:type="character" w:customStyle="1" w:styleId="478">
    <w:name w:val="h3 Char"/>
    <w:qFormat/>
    <w:uiPriority w:val="0"/>
    <w:rPr>
      <w:rFonts w:eastAsia="宋体"/>
      <w:b/>
      <w:kern w:val="2"/>
      <w:sz w:val="32"/>
      <w:lang w:val="en-US" w:eastAsia="zh-CN" w:bidi="ar-SA"/>
    </w:rPr>
  </w:style>
  <w:style w:type="character" w:customStyle="1" w:styleId="479">
    <w:name w:val="页眉 Char1"/>
    <w:qFormat/>
    <w:uiPriority w:val="0"/>
    <w:rPr>
      <w:rFonts w:eastAsia="宋体"/>
      <w:kern w:val="2"/>
      <w:sz w:val="18"/>
      <w:szCs w:val="18"/>
      <w:lang w:val="en-US" w:eastAsia="zh-CN" w:bidi="ar-SA"/>
    </w:rPr>
  </w:style>
  <w:style w:type="character" w:customStyle="1" w:styleId="480">
    <w:name w:val="冯广丽 Char"/>
    <w:link w:val="247"/>
    <w:qFormat/>
    <w:uiPriority w:val="0"/>
    <w:rPr>
      <w:rFonts w:ascii="宋体" w:hAnsi="宋体"/>
      <w:kern w:val="2"/>
      <w:sz w:val="24"/>
      <w:szCs w:val="22"/>
    </w:rPr>
  </w:style>
  <w:style w:type="character" w:customStyle="1" w:styleId="481">
    <w:name w:val="脚注文本 字符"/>
    <w:link w:val="50"/>
    <w:qFormat/>
    <w:uiPriority w:val="0"/>
    <w:rPr>
      <w:color w:val="0000FF"/>
      <w:sz w:val="21"/>
    </w:rPr>
  </w:style>
  <w:style w:type="character" w:customStyle="1" w:styleId="482">
    <w:name w:val="font12gray1"/>
    <w:qFormat/>
    <w:uiPriority w:val="0"/>
    <w:rPr>
      <w:rFonts w:ascii="仿宋_GB2312" w:eastAsia="微软雅黑"/>
      <w:b/>
      <w:spacing w:val="300"/>
      <w:kern w:val="2"/>
      <w:sz w:val="18"/>
      <w:szCs w:val="18"/>
      <w:lang w:val="en-US" w:eastAsia="zh-CN" w:bidi="ar-SA"/>
    </w:rPr>
  </w:style>
  <w:style w:type="character" w:customStyle="1" w:styleId="483">
    <w:name w:val="正文文本缩进 字符"/>
    <w:link w:val="27"/>
    <w:qFormat/>
    <w:uiPriority w:val="0"/>
    <w:rPr>
      <w:rFonts w:ascii="宋体" w:hAnsi="宋体"/>
      <w:kern w:val="2"/>
      <w:sz w:val="24"/>
      <w:szCs w:val="24"/>
    </w:rPr>
  </w:style>
  <w:style w:type="character" w:customStyle="1" w:styleId="484">
    <w:name w:val="方案正文 Char"/>
    <w:qFormat/>
    <w:uiPriority w:val="0"/>
    <w:rPr>
      <w:rFonts w:ascii="仿宋_GB2312" w:eastAsia="仿宋_GB2312"/>
      <w:b/>
      <w:color w:val="000000"/>
      <w:kern w:val="2"/>
      <w:sz w:val="24"/>
      <w:lang w:val="en-US" w:eastAsia="zh-CN" w:bidi="ar-SA"/>
    </w:rPr>
  </w:style>
  <w:style w:type="character" w:customStyle="1" w:styleId="485">
    <w:name w:val="Item List Char"/>
    <w:link w:val="273"/>
    <w:qFormat/>
    <w:uiPriority w:val="0"/>
    <w:rPr>
      <w:rFonts w:ascii="Arial"/>
      <w:bCs/>
      <w:sz w:val="21"/>
      <w:szCs w:val="21"/>
      <w:lang w:val="en-US" w:eastAsia="zh-CN" w:bidi="ar-SA"/>
    </w:rPr>
  </w:style>
  <w:style w:type="character" w:customStyle="1" w:styleId="486">
    <w:name w:val="Normal Indent Char Char"/>
    <w:qFormat/>
    <w:uiPriority w:val="0"/>
    <w:rPr>
      <w:rFonts w:eastAsia="宋体"/>
      <w:kern w:val="2"/>
      <w:sz w:val="21"/>
      <w:lang w:val="en-US" w:eastAsia="zh-CN" w:bidi="ar-SA"/>
    </w:rPr>
  </w:style>
  <w:style w:type="character" w:customStyle="1" w:styleId="487">
    <w:name w:val="t21"/>
    <w:qFormat/>
    <w:uiPriority w:val="0"/>
    <w:rPr>
      <w:rFonts w:ascii="仿宋_GB2312" w:eastAsia="微软雅黑"/>
      <w:b/>
      <w:kern w:val="2"/>
      <w:sz w:val="23"/>
      <w:szCs w:val="23"/>
      <w:lang w:val="en-US" w:eastAsia="zh-CN" w:bidi="ar-SA"/>
    </w:rPr>
  </w:style>
  <w:style w:type="character" w:customStyle="1" w:styleId="488">
    <w:name w:val="Char Char121"/>
    <w:qFormat/>
    <w:uiPriority w:val="0"/>
    <w:rPr>
      <w:rFonts w:ascii="仿宋_GB2312" w:eastAsia="仿宋_GB2312"/>
      <w:b/>
      <w:bCs/>
      <w:kern w:val="2"/>
      <w:sz w:val="24"/>
      <w:szCs w:val="24"/>
      <w:lang w:val="zh-CN" w:eastAsia="zh-CN" w:bidi="ar-SA"/>
    </w:rPr>
  </w:style>
  <w:style w:type="character" w:customStyle="1" w:styleId="489">
    <w:name w:val="称呼 字符"/>
    <w:link w:val="22"/>
    <w:qFormat/>
    <w:uiPriority w:val="0"/>
    <w:rPr>
      <w:rFonts w:ascii="仿宋_GB2312" w:eastAsia="仿宋_GB2312"/>
      <w:kern w:val="2"/>
      <w:sz w:val="28"/>
    </w:rPr>
  </w:style>
  <w:style w:type="character" w:customStyle="1" w:styleId="490">
    <w:name w:val="正文 项目 Char"/>
    <w:qFormat/>
    <w:uiPriority w:val="0"/>
    <w:rPr>
      <w:rFonts w:ascii="仿宋_GB2312" w:hAnsi="仿宋_GB2312" w:eastAsia="仿宋_GB2312"/>
      <w:kern w:val="2"/>
      <w:sz w:val="24"/>
      <w:lang w:bidi="ar-SA"/>
    </w:rPr>
  </w:style>
  <w:style w:type="character" w:customStyle="1" w:styleId="491">
    <w:name w:val="普通文字 Char1"/>
    <w:qFormat/>
    <w:uiPriority w:val="0"/>
    <w:rPr>
      <w:rFonts w:ascii="宋体" w:hAnsi="Courier New" w:eastAsia="宋体"/>
      <w:kern w:val="2"/>
      <w:sz w:val="21"/>
      <w:lang w:val="en-US" w:eastAsia="zh-CN"/>
    </w:rPr>
  </w:style>
  <w:style w:type="character" w:customStyle="1" w:styleId="492">
    <w:name w:val="正文1 Char1"/>
    <w:qFormat/>
    <w:uiPriority w:val="0"/>
    <w:rPr>
      <w:rFonts w:ascii="仿宋_GB2312" w:hAnsi="Courier New" w:eastAsia="仿宋_GB2312"/>
      <w:kern w:val="28"/>
      <w:sz w:val="24"/>
      <w:szCs w:val="24"/>
    </w:rPr>
  </w:style>
  <w:style w:type="character" w:customStyle="1" w:styleId="493">
    <w:name w:val="hei16b1"/>
    <w:qFormat/>
    <w:uiPriority w:val="0"/>
    <w:rPr>
      <w:rFonts w:hint="default" w:ascii="Arial" w:hAnsi="Arial" w:cs="Arial"/>
      <w:b/>
      <w:bCs/>
      <w:color w:val="000000"/>
      <w:sz w:val="24"/>
      <w:szCs w:val="24"/>
    </w:rPr>
  </w:style>
  <w:style w:type="character" w:customStyle="1" w:styleId="494">
    <w:name w:val="c7 style3"/>
    <w:qFormat/>
    <w:uiPriority w:val="0"/>
  </w:style>
  <w:style w:type="character" w:customStyle="1" w:styleId="495">
    <w:name w:val="副标题 字符"/>
    <w:link w:val="47"/>
    <w:qFormat/>
    <w:uiPriority w:val="0"/>
    <w:rPr>
      <w:rFonts w:ascii="Arial" w:hAnsi="Arial" w:eastAsia="隶书"/>
      <w:b/>
      <w:bCs/>
      <w:kern w:val="28"/>
      <w:sz w:val="44"/>
      <w:szCs w:val="32"/>
      <w:lang w:val="en-US" w:eastAsia="zh-CN" w:bidi="ar-SA"/>
    </w:rPr>
  </w:style>
  <w:style w:type="character" w:customStyle="1" w:styleId="496">
    <w:name w:val="纯文本 字符"/>
    <w:link w:val="35"/>
    <w:qFormat/>
    <w:uiPriority w:val="0"/>
    <w:rPr>
      <w:rFonts w:ascii="宋体" w:hAnsi="Courier New" w:eastAsia="宋体" w:cs="Arial"/>
      <w:snapToGrid w:val="0"/>
      <w:kern w:val="2"/>
      <w:sz w:val="21"/>
      <w:szCs w:val="21"/>
      <w:lang w:val="en-US" w:eastAsia="zh-CN" w:bidi="ar-SA"/>
    </w:rPr>
  </w:style>
  <w:style w:type="character" w:customStyle="1" w:styleId="497">
    <w:name w:val="表正文 Char1"/>
    <w:qFormat/>
    <w:uiPriority w:val="0"/>
    <w:rPr>
      <w:rFonts w:ascii="宋体" w:eastAsia="宋体"/>
      <w:snapToGrid w:val="0"/>
      <w:color w:val="000000"/>
      <w:kern w:val="28"/>
      <w:sz w:val="28"/>
    </w:rPr>
  </w:style>
  <w:style w:type="character" w:customStyle="1" w:styleId="498">
    <w:name w:val="Char Char5"/>
    <w:qFormat/>
    <w:uiPriority w:val="0"/>
    <w:rPr>
      <w:rFonts w:ascii="宋体" w:hAnsi="Courier New" w:eastAsia="宋体"/>
      <w:kern w:val="2"/>
      <w:sz w:val="21"/>
      <w:lang w:val="en-US" w:eastAsia="zh-CN"/>
    </w:rPr>
  </w:style>
  <w:style w:type="character" w:customStyle="1" w:styleId="499">
    <w:name w:val="标题 1 Char Char"/>
    <w:qFormat/>
    <w:uiPriority w:val="0"/>
    <w:rPr>
      <w:rFonts w:hint="eastAsia" w:ascii="宋体" w:hAnsi="宋体" w:eastAsia="宋体"/>
      <w:b/>
      <w:spacing w:val="-2"/>
      <w:sz w:val="24"/>
      <w:lang w:val="en-US" w:eastAsia="zh-CN" w:bidi="ar-SA"/>
    </w:rPr>
  </w:style>
  <w:style w:type="character" w:customStyle="1" w:styleId="500">
    <w:name w:val="Char Char4"/>
    <w:qFormat/>
    <w:uiPriority w:val="0"/>
    <w:rPr>
      <w:rFonts w:eastAsia="宋体"/>
      <w:b/>
      <w:sz w:val="24"/>
      <w:lang w:val="en-GB" w:eastAsia="zh-CN" w:bidi="ar-SA"/>
    </w:rPr>
  </w:style>
  <w:style w:type="character" w:customStyle="1" w:styleId="501">
    <w:name w:val="zbggmain style9"/>
    <w:qFormat/>
    <w:uiPriority w:val="0"/>
  </w:style>
  <w:style w:type="character" w:customStyle="1" w:styleId="502">
    <w:name w:val="Header Char"/>
    <w:semiHidden/>
    <w:qFormat/>
    <w:locked/>
    <w:uiPriority w:val="0"/>
    <w:rPr>
      <w:rFonts w:eastAsia="宋体"/>
      <w:kern w:val="2"/>
      <w:sz w:val="18"/>
      <w:szCs w:val="18"/>
      <w:lang w:val="en-US" w:eastAsia="zh-CN" w:bidi="ar-SA"/>
    </w:rPr>
  </w:style>
  <w:style w:type="character" w:customStyle="1" w:styleId="503">
    <w:name w:val="样式 宋体"/>
    <w:qFormat/>
    <w:uiPriority w:val="0"/>
    <w:rPr>
      <w:rFonts w:ascii="宋体" w:hAnsi="宋体"/>
      <w:sz w:val="24"/>
    </w:rPr>
  </w:style>
  <w:style w:type="character" w:customStyle="1" w:styleId="504">
    <w:name w:val="哈哈正文 Char"/>
    <w:link w:val="323"/>
    <w:qFormat/>
    <w:uiPriority w:val="0"/>
    <w:rPr>
      <w:rFonts w:ascii="宋体" w:hAnsi="宋体" w:eastAsia="宋体"/>
      <w:kern w:val="2"/>
      <w:sz w:val="24"/>
      <w:lang w:bidi="ar-SA"/>
    </w:rPr>
  </w:style>
  <w:style w:type="character" w:customStyle="1" w:styleId="505">
    <w:name w:val="标题 Char"/>
    <w:qFormat/>
    <w:uiPriority w:val="0"/>
    <w:rPr>
      <w:rFonts w:eastAsia="宋体"/>
      <w:b/>
      <w:sz w:val="24"/>
      <w:lang w:val="en-GB" w:eastAsia="zh-CN" w:bidi="ar-SA"/>
    </w:rPr>
  </w:style>
  <w:style w:type="character" w:customStyle="1" w:styleId="506">
    <w:name w:val="纯文本 Char Char Char"/>
    <w:qFormat/>
    <w:uiPriority w:val="0"/>
    <w:rPr>
      <w:rFonts w:ascii="宋体" w:hAnsi="Courier New" w:eastAsia="宋体"/>
      <w:kern w:val="2"/>
      <w:sz w:val="21"/>
      <w:lang w:val="en-US" w:eastAsia="zh-CN" w:bidi="ar-SA"/>
    </w:rPr>
  </w:style>
  <w:style w:type="character" w:customStyle="1" w:styleId="507">
    <w:name w:val="正文 编号 Char"/>
    <w:qFormat/>
    <w:uiPriority w:val="0"/>
    <w:rPr>
      <w:rFonts w:ascii="仿宋_GB2312" w:hAnsi="仿宋_GB2312" w:eastAsia="仿宋_GB2312"/>
      <w:kern w:val="2"/>
      <w:sz w:val="24"/>
      <w:lang w:bidi="ar-SA"/>
    </w:rPr>
  </w:style>
  <w:style w:type="character" w:customStyle="1" w:styleId="508">
    <w:name w:val="插图说明 Char"/>
    <w:qFormat/>
    <w:uiPriority w:val="0"/>
    <w:rPr>
      <w:rFonts w:eastAsia="黑体"/>
      <w:sz w:val="24"/>
      <w:lang w:val="en-US" w:eastAsia="zh-CN"/>
    </w:rPr>
  </w:style>
  <w:style w:type="character" w:customStyle="1" w:styleId="509">
    <w:name w:val="正文文本首行缩进 2 字符"/>
    <w:link w:val="60"/>
    <w:qFormat/>
    <w:uiPriority w:val="0"/>
    <w:rPr>
      <w:rFonts w:ascii="宋体" w:hAnsi="宋体"/>
      <w:kern w:val="2"/>
      <w:sz w:val="21"/>
      <w:szCs w:val="24"/>
    </w:rPr>
  </w:style>
  <w:style w:type="character" w:customStyle="1" w:styleId="510">
    <w:name w:val="正文文本缩进 2 字符"/>
    <w:link w:val="38"/>
    <w:qFormat/>
    <w:uiPriority w:val="0"/>
    <w:rPr>
      <w:rFonts w:ascii="宋体"/>
      <w:sz w:val="28"/>
    </w:rPr>
  </w:style>
  <w:style w:type="character" w:customStyle="1" w:styleId="511">
    <w:name w:val="公文正文 Char"/>
    <w:qFormat/>
    <w:uiPriority w:val="0"/>
    <w:rPr>
      <w:rFonts w:ascii="仿宋_GB2312" w:eastAsia="仿宋_GB2312"/>
      <w:kern w:val="2"/>
      <w:sz w:val="24"/>
      <w:szCs w:val="24"/>
      <w:lang w:val="en-US" w:eastAsia="zh-CN" w:bidi="ar-SA"/>
    </w:rPr>
  </w:style>
  <w:style w:type="character" w:customStyle="1" w:styleId="512">
    <w:name w:val="Char Char41"/>
    <w:qFormat/>
    <w:uiPriority w:val="0"/>
    <w:rPr>
      <w:rFonts w:eastAsia="宋体"/>
      <w:b/>
      <w:sz w:val="24"/>
      <w:lang w:val="en-GB" w:eastAsia="zh-CN" w:bidi="ar-SA"/>
    </w:rPr>
  </w:style>
  <w:style w:type="character" w:customStyle="1" w:styleId="513">
    <w:name w:val="unnamed31"/>
    <w:qFormat/>
    <w:uiPriority w:val="0"/>
    <w:rPr>
      <w:rFonts w:ascii="Tahoma" w:hAnsi="Tahoma" w:eastAsia="宋体"/>
      <w:b/>
      <w:kern w:val="2"/>
      <w:sz w:val="24"/>
      <w:szCs w:val="32"/>
      <w:u w:val="none"/>
      <w:lang w:val="en-US" w:eastAsia="zh-CN" w:bidi="ar-SA"/>
    </w:rPr>
  </w:style>
  <w:style w:type="character" w:customStyle="1" w:styleId="514">
    <w:name w:val="Char Char91"/>
    <w:qFormat/>
    <w:uiPriority w:val="0"/>
    <w:rPr>
      <w:rFonts w:eastAsia="宋体"/>
      <w:kern w:val="2"/>
      <w:sz w:val="18"/>
      <w:szCs w:val="18"/>
      <w:lang w:val="en-US" w:eastAsia="zh-CN" w:bidi="ar-SA"/>
    </w:rPr>
  </w:style>
  <w:style w:type="character" w:customStyle="1" w:styleId="515">
    <w:name w:val="Footer-Even Char1"/>
    <w:qFormat/>
    <w:uiPriority w:val="0"/>
    <w:rPr>
      <w:rFonts w:eastAsia="宋体"/>
      <w:kern w:val="2"/>
      <w:sz w:val="18"/>
      <w:szCs w:val="18"/>
      <w:lang w:val="en-US" w:eastAsia="zh-CN" w:bidi="ar-SA"/>
    </w:rPr>
  </w:style>
  <w:style w:type="character" w:customStyle="1" w:styleId="516">
    <w:name w:val="gf正文1 Char"/>
    <w:qFormat/>
    <w:uiPriority w:val="0"/>
    <w:rPr>
      <w:rFonts w:ascii="宋体" w:hAnsi="宋体" w:eastAsia="宋体" w:cs="宋体"/>
      <w:kern w:val="2"/>
      <w:sz w:val="24"/>
      <w:szCs w:val="24"/>
      <w:lang w:val="en-US" w:eastAsia="zh-CN" w:bidi="ar-SA"/>
    </w:rPr>
  </w:style>
  <w:style w:type="character" w:customStyle="1" w:styleId="517">
    <w:name w:val="javascript"/>
    <w:qFormat/>
    <w:uiPriority w:val="0"/>
  </w:style>
  <w:style w:type="character" w:customStyle="1" w:styleId="518">
    <w:name w:val="列出段落 Char"/>
    <w:qFormat/>
    <w:uiPriority w:val="34"/>
    <w:rPr>
      <w:rFonts w:eastAsia="楷体_GB2312" w:cs="Lucida Sans"/>
      <w:kern w:val="2"/>
      <w:sz w:val="24"/>
      <w:szCs w:val="24"/>
      <w:lang w:val="en-US" w:eastAsia="zh-CN" w:bidi="ar-SA"/>
    </w:rPr>
  </w:style>
  <w:style w:type="character" w:customStyle="1" w:styleId="51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520">
    <w:name w:val="标书表格字体格式 Char"/>
    <w:qFormat/>
    <w:uiPriority w:val="0"/>
    <w:rPr>
      <w:kern w:val="2"/>
      <w:sz w:val="21"/>
      <w:szCs w:val="24"/>
      <w:lang w:bidi="ar-SA"/>
    </w:rPr>
  </w:style>
  <w:style w:type="character" w:customStyle="1" w:styleId="521">
    <w:name w:val="普通文字 Char3"/>
    <w:qFormat/>
    <w:uiPriority w:val="0"/>
    <w:rPr>
      <w:rFonts w:ascii="宋体" w:hAnsi="Courier New" w:eastAsia="宋体"/>
      <w:kern w:val="2"/>
      <w:sz w:val="21"/>
      <w:lang w:val="en-US" w:eastAsia="zh-CN" w:bidi="ar-SA"/>
    </w:rPr>
  </w:style>
  <w:style w:type="character" w:customStyle="1" w:styleId="522">
    <w:name w:val="h Char Char1"/>
    <w:qFormat/>
    <w:uiPriority w:val="0"/>
    <w:rPr>
      <w:rFonts w:eastAsia="宋体"/>
      <w:kern w:val="2"/>
      <w:sz w:val="18"/>
      <w:szCs w:val="18"/>
      <w:lang w:val="en-US" w:eastAsia="zh-CN" w:bidi="ar-SA"/>
    </w:rPr>
  </w:style>
  <w:style w:type="character" w:customStyle="1" w:styleId="523">
    <w:name w:val="冯 Char"/>
    <w:link w:val="86"/>
    <w:qFormat/>
    <w:uiPriority w:val="0"/>
    <w:rPr>
      <w:rFonts w:ascii="宋体" w:hAnsi="宋体"/>
      <w:color w:val="000000"/>
      <w:sz w:val="24"/>
      <w:szCs w:val="24"/>
    </w:rPr>
  </w:style>
  <w:style w:type="character" w:customStyle="1" w:styleId="524">
    <w:name w:val="highlight1"/>
    <w:qFormat/>
    <w:uiPriority w:val="0"/>
    <w:rPr>
      <w:rFonts w:ascii="仿宋_GB2312" w:eastAsia="微软雅黑"/>
      <w:b/>
      <w:kern w:val="2"/>
      <w:sz w:val="23"/>
      <w:szCs w:val="23"/>
      <w:lang w:val="en-US" w:eastAsia="zh-CN" w:bidi="ar-SA"/>
    </w:rPr>
  </w:style>
  <w:style w:type="character" w:customStyle="1" w:styleId="525">
    <w:name w:val="样式6 Char"/>
    <w:qFormat/>
    <w:uiPriority w:val="0"/>
    <w:rPr>
      <w:rFonts w:ascii="仿宋_GB2312" w:hAnsi="宋体" w:eastAsia="仿宋_GB2312"/>
      <w:b/>
      <w:bCs/>
      <w:kern w:val="2"/>
      <w:sz w:val="24"/>
      <w:szCs w:val="24"/>
      <w:lang w:val="en-US" w:eastAsia="zh-CN" w:bidi="ar-SA"/>
    </w:rPr>
  </w:style>
  <w:style w:type="character" w:customStyle="1" w:styleId="526">
    <w:name w:val="标题 9 字符"/>
    <w:link w:val="10"/>
    <w:qFormat/>
    <w:uiPriority w:val="0"/>
    <w:rPr>
      <w:rFonts w:ascii="Arial" w:hAnsi="Arial" w:eastAsia="黑体"/>
      <w:kern w:val="2"/>
      <w:sz w:val="21"/>
      <w:szCs w:val="21"/>
    </w:rPr>
  </w:style>
  <w:style w:type="character" w:customStyle="1" w:styleId="527">
    <w:name w:val="md"/>
    <w:basedOn w:val="63"/>
    <w:qFormat/>
    <w:uiPriority w:val="0"/>
  </w:style>
  <w:style w:type="character" w:customStyle="1" w:styleId="528">
    <w:name w:val="myp11"/>
    <w:qFormat/>
    <w:uiPriority w:val="0"/>
    <w:rPr>
      <w:rFonts w:ascii="仿宋_GB2312" w:eastAsia="微软雅黑"/>
      <w:b/>
      <w:kern w:val="2"/>
      <w:sz w:val="32"/>
      <w:szCs w:val="32"/>
      <w:lang w:val="en-US" w:eastAsia="zh-CN" w:bidi="ar-SA"/>
    </w:rPr>
  </w:style>
  <w:style w:type="character" w:customStyle="1" w:styleId="529">
    <w:name w:val="Ò³Ã¼ Char Char1"/>
    <w:qFormat/>
    <w:uiPriority w:val="0"/>
    <w:rPr>
      <w:rFonts w:eastAsia="宋体"/>
      <w:kern w:val="2"/>
      <w:sz w:val="18"/>
      <w:szCs w:val="18"/>
      <w:lang w:val="en-US" w:eastAsia="zh-CN" w:bidi="ar-SA"/>
    </w:rPr>
  </w:style>
  <w:style w:type="character" w:customStyle="1" w:styleId="530">
    <w:name w:val="tw4winTerm"/>
    <w:qFormat/>
    <w:uiPriority w:val="0"/>
    <w:rPr>
      <w:color w:val="0000FF"/>
    </w:rPr>
  </w:style>
  <w:style w:type="character" w:customStyle="1" w:styleId="531">
    <w:name w:val="表格 Char Char"/>
    <w:qFormat/>
    <w:uiPriority w:val="0"/>
    <w:rPr>
      <w:rFonts w:ascii="宋体" w:hAnsi="宋体" w:eastAsia="宋体"/>
      <w:lang w:bidi="ar-SA"/>
    </w:rPr>
  </w:style>
  <w:style w:type="character" w:customStyle="1" w:styleId="532">
    <w:name w:val="样式8 Char"/>
    <w:qFormat/>
    <w:uiPriority w:val="0"/>
    <w:rPr>
      <w:rFonts w:ascii="仿宋_GB2312" w:hAnsi="宋体" w:eastAsia="仿宋_GB2312"/>
      <w:b/>
      <w:bCs/>
      <w:kern w:val="2"/>
      <w:sz w:val="24"/>
      <w:szCs w:val="24"/>
    </w:rPr>
  </w:style>
  <w:style w:type="character" w:customStyle="1" w:styleId="533">
    <w:name w:val="样式5 Char"/>
    <w:qFormat/>
    <w:uiPriority w:val="0"/>
    <w:rPr>
      <w:rFonts w:ascii="仿宋_GB2312" w:hAnsi="仿宋" w:eastAsia="仿宋_GB2312"/>
      <w:kern w:val="2"/>
      <w:sz w:val="24"/>
      <w:szCs w:val="24"/>
    </w:rPr>
  </w:style>
  <w:style w:type="character" w:customStyle="1" w:styleId="534">
    <w:name w:val="页脚 Char1"/>
    <w:qFormat/>
    <w:uiPriority w:val="0"/>
    <w:rPr>
      <w:rFonts w:eastAsia="宋体"/>
      <w:kern w:val="2"/>
      <w:sz w:val="18"/>
      <w:szCs w:val="18"/>
      <w:lang w:val="en-US" w:eastAsia="zh-CN" w:bidi="ar-SA"/>
    </w:rPr>
  </w:style>
  <w:style w:type="character" w:customStyle="1" w:styleId="535">
    <w:name w:val="tw4winJump"/>
    <w:qFormat/>
    <w:uiPriority w:val="0"/>
    <w:rPr>
      <w:rFonts w:ascii="Courier New" w:hAnsi="Courier New" w:cs="Courier New"/>
      <w:color w:val="008080"/>
    </w:rPr>
  </w:style>
  <w:style w:type="character" w:customStyle="1" w:styleId="536">
    <w:name w:val="批注文字 Char"/>
    <w:qFormat/>
    <w:uiPriority w:val="99"/>
    <w:rPr>
      <w:kern w:val="2"/>
      <w:sz w:val="21"/>
      <w:szCs w:val="24"/>
    </w:rPr>
  </w:style>
  <w:style w:type="character" w:customStyle="1" w:styleId="537">
    <w:name w:val="Char Char122"/>
    <w:qFormat/>
    <w:uiPriority w:val="0"/>
    <w:rPr>
      <w:rFonts w:ascii="仿宋_GB2312" w:eastAsia="仿宋_GB2312"/>
      <w:b/>
      <w:bCs/>
      <w:kern w:val="2"/>
      <w:sz w:val="24"/>
      <w:szCs w:val="24"/>
      <w:lang w:val="zh-CN" w:eastAsia="zh-CN" w:bidi="ar-SA"/>
    </w:rPr>
  </w:style>
  <w:style w:type="character" w:customStyle="1" w:styleId="538">
    <w:name w:val="No Spacing Char"/>
    <w:link w:val="181"/>
    <w:qFormat/>
    <w:uiPriority w:val="1"/>
    <w:rPr>
      <w:rFonts w:ascii="Calibri" w:hAnsi="Calibri"/>
      <w:sz w:val="22"/>
      <w:szCs w:val="22"/>
      <w:lang w:val="en-US" w:eastAsia="zh-CN" w:bidi="ar-SA"/>
    </w:rPr>
  </w:style>
  <w:style w:type="character" w:customStyle="1" w:styleId="539">
    <w:name w:val="Char Char21"/>
    <w:qFormat/>
    <w:uiPriority w:val="0"/>
    <w:rPr>
      <w:rFonts w:ascii="宋体" w:hAnsi="Courier New" w:eastAsia="宋体"/>
      <w:kern w:val="2"/>
      <w:sz w:val="21"/>
      <w:lang w:val="en-US" w:eastAsia="zh-CN" w:bidi="ar-SA"/>
    </w:rPr>
  </w:style>
  <w:style w:type="character" w:customStyle="1" w:styleId="540">
    <w:name w:val="Char Char8"/>
    <w:qFormat/>
    <w:uiPriority w:val="0"/>
    <w:rPr>
      <w:rFonts w:eastAsia="宋体"/>
      <w:b/>
      <w:sz w:val="24"/>
      <w:lang w:val="en-GB" w:eastAsia="zh-CN"/>
    </w:rPr>
  </w:style>
  <w:style w:type="character" w:customStyle="1" w:styleId="541">
    <w:name w:val="font21"/>
    <w:basedOn w:val="63"/>
    <w:qFormat/>
    <w:uiPriority w:val="0"/>
    <w:rPr>
      <w:rFonts w:hint="eastAsia" w:ascii="宋体" w:hAnsi="宋体" w:eastAsia="宋体"/>
      <w:kern w:val="2"/>
      <w:sz w:val="28"/>
      <w:szCs w:val="28"/>
      <w:lang w:val="en-US" w:eastAsia="zh-CN" w:bidi="ar-SA"/>
    </w:rPr>
  </w:style>
  <w:style w:type="character" w:customStyle="1" w:styleId="542">
    <w:name w:val="正文2 Char"/>
    <w:qFormat/>
    <w:uiPriority w:val="0"/>
    <w:rPr>
      <w:rFonts w:eastAsia="宋体"/>
      <w:kern w:val="2"/>
      <w:sz w:val="24"/>
      <w:lang w:val="en-US" w:eastAsia="zh-CN" w:bidi="ar-SA"/>
    </w:rPr>
  </w:style>
  <w:style w:type="character" w:customStyle="1" w:styleId="543">
    <w:name w:val="big1"/>
    <w:qFormat/>
    <w:uiPriority w:val="0"/>
    <w:rPr>
      <w:rFonts w:hint="eastAsia" w:ascii="宋体" w:hAnsi="宋体" w:eastAsia="宋体"/>
      <w:color w:val="333333"/>
      <w:sz w:val="22"/>
      <w:szCs w:val="22"/>
    </w:rPr>
  </w:style>
  <w:style w:type="character" w:customStyle="1" w:styleId="544">
    <w:name w:val="Body Text(ch) Char Char"/>
    <w:qFormat/>
    <w:uiPriority w:val="0"/>
    <w:rPr>
      <w:rFonts w:ascii="宋体"/>
      <w:kern w:val="2"/>
      <w:sz w:val="24"/>
      <w:szCs w:val="21"/>
      <w:lang w:val="zh-CN"/>
    </w:rPr>
  </w:style>
  <w:style w:type="character" w:customStyle="1" w:styleId="545">
    <w:name w:val="blue1"/>
    <w:basedOn w:val="63"/>
    <w:qFormat/>
    <w:uiPriority w:val="0"/>
  </w:style>
  <w:style w:type="character" w:customStyle="1" w:styleId="546">
    <w:name w:val="正文 项目2 Char"/>
    <w:basedOn w:val="490"/>
    <w:qFormat/>
    <w:uiPriority w:val="0"/>
    <w:rPr>
      <w:rFonts w:ascii="仿宋_GB2312" w:hAnsi="仿宋_GB2312" w:eastAsia="仿宋_GB2312"/>
      <w:kern w:val="2"/>
      <w:sz w:val="24"/>
      <w:lang w:bidi="ar-SA"/>
    </w:rPr>
  </w:style>
  <w:style w:type="character" w:customStyle="1" w:styleId="547">
    <w:name w:val="solutionfonts"/>
    <w:qFormat/>
    <w:uiPriority w:val="0"/>
  </w:style>
  <w:style w:type="character" w:customStyle="1" w:styleId="548">
    <w:name w:val="Char Char81"/>
    <w:qFormat/>
    <w:uiPriority w:val="0"/>
    <w:rPr>
      <w:rFonts w:eastAsia="宋体"/>
      <w:b/>
      <w:sz w:val="24"/>
      <w:lang w:val="en-GB" w:eastAsia="zh-CN"/>
    </w:rPr>
  </w:style>
  <w:style w:type="character" w:customStyle="1" w:styleId="549">
    <w:name w:val="Char Char2"/>
    <w:qFormat/>
    <w:uiPriority w:val="0"/>
    <w:rPr>
      <w:rFonts w:eastAsia="宋体"/>
      <w:b/>
      <w:bCs/>
      <w:kern w:val="2"/>
      <w:sz w:val="21"/>
      <w:szCs w:val="24"/>
      <w:lang w:val="en-US" w:eastAsia="zh-CN" w:bidi="ar-SA"/>
    </w:rPr>
  </w:style>
  <w:style w:type="character" w:customStyle="1" w:styleId="550">
    <w:name w:val="HTML 预设格式 字符"/>
    <w:link w:val="56"/>
    <w:qFormat/>
    <w:uiPriority w:val="0"/>
    <w:rPr>
      <w:rFonts w:ascii="黑体" w:hAnsi="Courier New" w:eastAsia="黑体"/>
    </w:rPr>
  </w:style>
  <w:style w:type="character" w:customStyle="1" w:styleId="551">
    <w:name w:val="Heading 7 Char"/>
    <w:qFormat/>
    <w:locked/>
    <w:uiPriority w:val="0"/>
    <w:rPr>
      <w:rFonts w:ascii="宋体" w:hAnsi="宋体" w:eastAsia="宋体"/>
      <w:b/>
      <w:bCs/>
      <w:kern w:val="2"/>
      <w:sz w:val="24"/>
      <w:szCs w:val="24"/>
      <w:lang w:val="en-US" w:eastAsia="zh-CN" w:bidi="ar-SA"/>
    </w:rPr>
  </w:style>
  <w:style w:type="character" w:customStyle="1" w:styleId="552">
    <w:name w:val="正文文本首行缩进 字符"/>
    <w:link w:val="25"/>
    <w:qFormat/>
    <w:uiPriority w:val="0"/>
    <w:rPr>
      <w:rFonts w:ascii="宋体"/>
      <w:kern w:val="2"/>
      <w:sz w:val="24"/>
      <w:lang w:val="zh-CN"/>
    </w:rPr>
  </w:style>
  <w:style w:type="character" w:customStyle="1" w:styleId="553">
    <w:name w:val="标题 2 Char Char"/>
    <w:qFormat/>
    <w:uiPriority w:val="0"/>
    <w:rPr>
      <w:rFonts w:ascii="楷体_GB2312" w:hAnsi="Arial" w:eastAsia="楷体_GB2312"/>
      <w:b/>
      <w:bCs/>
      <w:kern w:val="2"/>
      <w:sz w:val="24"/>
      <w:szCs w:val="32"/>
      <w:lang w:val="en-US" w:eastAsia="zh-CN" w:bidi="ar-SA"/>
    </w:rPr>
  </w:style>
  <w:style w:type="character" w:customStyle="1" w:styleId="554">
    <w:name w:val="pt141"/>
    <w:qFormat/>
    <w:uiPriority w:val="0"/>
    <w:rPr>
      <w:color w:val="330066"/>
      <w:sz w:val="22"/>
      <w:szCs w:val="22"/>
    </w:rPr>
  </w:style>
  <w:style w:type="character" w:customStyle="1" w:styleId="555">
    <w:name w:val="h Char Char"/>
    <w:qFormat/>
    <w:uiPriority w:val="0"/>
    <w:rPr>
      <w:rFonts w:eastAsia="宋体"/>
      <w:kern w:val="2"/>
      <w:sz w:val="18"/>
      <w:lang w:val="en-US" w:eastAsia="zh-CN" w:bidi="ar-SA"/>
    </w:rPr>
  </w:style>
  <w:style w:type="character" w:customStyle="1" w:styleId="556">
    <w:name w:val="标题 1 字符"/>
    <w:link w:val="2"/>
    <w:qFormat/>
    <w:uiPriority w:val="0"/>
    <w:rPr>
      <w:b/>
      <w:bCs/>
      <w:kern w:val="44"/>
      <w:sz w:val="44"/>
      <w:szCs w:val="44"/>
    </w:rPr>
  </w:style>
  <w:style w:type="character" w:customStyle="1" w:styleId="557">
    <w:name w:val="页眉 Char"/>
    <w:qFormat/>
    <w:uiPriority w:val="0"/>
    <w:rPr>
      <w:rFonts w:eastAsia="仿宋_GB2312"/>
      <w:kern w:val="2"/>
      <w:sz w:val="18"/>
      <w:lang w:val="en-US" w:eastAsia="zh-CN"/>
    </w:rPr>
  </w:style>
  <w:style w:type="character" w:customStyle="1" w:styleId="558">
    <w:name w:val="b11_01b Char"/>
    <w:link w:val="419"/>
    <w:qFormat/>
    <w:uiPriority w:val="0"/>
    <w:rPr>
      <w:rFonts w:ascii="Verdana" w:hAnsi="Verdana"/>
      <w:b/>
      <w:bCs/>
      <w:color w:val="4A82CA"/>
      <w:sz w:val="17"/>
      <w:szCs w:val="17"/>
    </w:rPr>
  </w:style>
  <w:style w:type="character" w:customStyle="1" w:styleId="559">
    <w:name w:val="标题4-dyf Char"/>
    <w:link w:val="357"/>
    <w:qFormat/>
    <w:uiPriority w:val="0"/>
    <w:rPr>
      <w:rFonts w:ascii="Cambria" w:hAnsi="Cambria"/>
      <w:b/>
      <w:bCs/>
      <w:color w:val="000000"/>
      <w:kern w:val="2"/>
      <w:sz w:val="21"/>
      <w:szCs w:val="21"/>
    </w:rPr>
  </w:style>
  <w:style w:type="character" w:customStyle="1" w:styleId="560">
    <w:name w:val="批注主题 Char"/>
    <w:qFormat/>
    <w:uiPriority w:val="0"/>
    <w:rPr>
      <w:rFonts w:eastAsia="宋体"/>
      <w:b/>
      <w:bCs/>
      <w:kern w:val="2"/>
      <w:sz w:val="21"/>
      <w:szCs w:val="24"/>
      <w:lang w:val="en-US" w:eastAsia="zh-CN" w:bidi="ar-SA"/>
    </w:rPr>
  </w:style>
  <w:style w:type="character" w:customStyle="1" w:styleId="56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62">
    <w:name w:val="正文首行缩进两字 Char"/>
    <w:qFormat/>
    <w:uiPriority w:val="0"/>
    <w:rPr>
      <w:sz w:val="24"/>
      <w:szCs w:val="24"/>
      <w:lang w:val="en-US" w:eastAsia="zh-CN" w:bidi="ar-SA"/>
    </w:rPr>
  </w:style>
  <w:style w:type="character" w:customStyle="1" w:styleId="563">
    <w:name w:val="Char Char51"/>
    <w:qFormat/>
    <w:uiPriority w:val="0"/>
    <w:rPr>
      <w:rFonts w:ascii="宋体" w:hAnsi="Courier New" w:eastAsia="宋体"/>
      <w:kern w:val="2"/>
      <w:sz w:val="21"/>
      <w:lang w:val="en-US" w:eastAsia="zh-CN"/>
    </w:rPr>
  </w:style>
  <w:style w:type="character" w:customStyle="1" w:styleId="564">
    <w:name w:val="带编号样式 Char"/>
    <w:qFormat/>
    <w:uiPriority w:val="0"/>
    <w:rPr>
      <w:rFonts w:ascii="仿宋_GB2312" w:eastAsia="仿宋_GB2312"/>
      <w:color w:val="000000"/>
      <w:sz w:val="24"/>
      <w:lang w:bidi="ar-SA"/>
    </w:rPr>
  </w:style>
  <w:style w:type="character" w:customStyle="1" w:styleId="565">
    <w:name w:val="样式4 Char"/>
    <w:qFormat/>
    <w:uiPriority w:val="0"/>
    <w:rPr>
      <w:rFonts w:ascii="仿宋_GB2312" w:hAnsi="仿宋" w:eastAsia="仿宋_GB2312"/>
      <w:b/>
      <w:kern w:val="2"/>
      <w:sz w:val="32"/>
      <w:szCs w:val="32"/>
      <w:lang w:bidi="ar-SA"/>
    </w:rPr>
  </w:style>
  <w:style w:type="character" w:customStyle="1" w:styleId="566">
    <w:name w:val="样式 标题 4h4H4Fab-4T5Ref Heading 1rh1Heading sqlsect 1.2.3.... Char"/>
    <w:link w:val="183"/>
    <w:qFormat/>
    <w:uiPriority w:val="0"/>
    <w:rPr>
      <w:rFonts w:ascii="微软雅黑" w:hAnsi="微软雅黑" w:eastAsia="微软雅黑"/>
      <w:b/>
      <w:bCs/>
      <w:kern w:val="2"/>
      <w:sz w:val="24"/>
      <w:szCs w:val="28"/>
    </w:rPr>
  </w:style>
  <w:style w:type="character" w:customStyle="1" w:styleId="567">
    <w:name w:val="PI Char"/>
    <w:qFormat/>
    <w:uiPriority w:val="0"/>
    <w:rPr>
      <w:rFonts w:ascii="宋体" w:hAnsi="宋体" w:eastAsia="宋体"/>
      <w:kern w:val="2"/>
      <w:sz w:val="24"/>
      <w:szCs w:val="24"/>
      <w:lang w:val="en-US" w:eastAsia="zh-CN" w:bidi="ar-SA"/>
    </w:rPr>
  </w:style>
  <w:style w:type="character" w:customStyle="1" w:styleId="568">
    <w:name w:val="Char Char111"/>
    <w:qFormat/>
    <w:locked/>
    <w:uiPriority w:val="0"/>
    <w:rPr>
      <w:rFonts w:ascii="宋体" w:hAnsi="宋体" w:eastAsia="宋体"/>
      <w:b/>
      <w:kern w:val="2"/>
      <w:sz w:val="24"/>
      <w:szCs w:val="24"/>
      <w:lang w:val="en-US" w:eastAsia="zh-CN" w:bidi="ar-SA"/>
    </w:rPr>
  </w:style>
  <w:style w:type="character" w:customStyle="1" w:styleId="569">
    <w:name w:val="Document Map Char"/>
    <w:semiHidden/>
    <w:qFormat/>
    <w:locked/>
    <w:uiPriority w:val="0"/>
    <w:rPr>
      <w:rFonts w:eastAsia="宋体"/>
      <w:kern w:val="2"/>
      <w:sz w:val="21"/>
      <w:szCs w:val="24"/>
      <w:lang w:val="en-US" w:eastAsia="zh-CN" w:bidi="ar-SA"/>
    </w:rPr>
  </w:style>
  <w:style w:type="character" w:customStyle="1" w:styleId="570">
    <w:name w:val="正文文本缩进 Char"/>
    <w:qFormat/>
    <w:uiPriority w:val="0"/>
    <w:rPr>
      <w:rFonts w:ascii="宋体" w:hAnsi="宋体"/>
      <w:kern w:val="2"/>
      <w:sz w:val="24"/>
      <w:szCs w:val="24"/>
    </w:rPr>
  </w:style>
  <w:style w:type="character" w:customStyle="1" w:styleId="571">
    <w:name w:val="文本正文 Char Char"/>
    <w:qFormat/>
    <w:locked/>
    <w:uiPriority w:val="0"/>
    <w:rPr>
      <w:sz w:val="24"/>
      <w:lang w:bidi="ar-SA"/>
    </w:rPr>
  </w:style>
  <w:style w:type="character" w:customStyle="1" w:styleId="572">
    <w:name w:val="样式7 Char"/>
    <w:qFormat/>
    <w:uiPriority w:val="0"/>
    <w:rPr>
      <w:rFonts w:ascii="仿宋_GB2312" w:hAnsi="仿宋" w:eastAsia="仿宋_GB2312"/>
      <w:b/>
      <w:kern w:val="2"/>
      <w:sz w:val="24"/>
      <w:szCs w:val="24"/>
    </w:rPr>
  </w:style>
  <w:style w:type="character" w:customStyle="1" w:styleId="573">
    <w:name w:val="样式3 Char"/>
    <w:basedOn w:val="574"/>
    <w:qFormat/>
    <w:uiPriority w:val="0"/>
    <w:rPr>
      <w:rFonts w:ascii="仿宋_GB2312" w:hAnsi="仿宋" w:eastAsia="仿宋_GB2312" w:cs="仿宋_GB2312"/>
      <w:sz w:val="32"/>
      <w:szCs w:val="30"/>
      <w:lang w:val="zh-CN"/>
    </w:rPr>
  </w:style>
  <w:style w:type="character" w:customStyle="1" w:styleId="574">
    <w:name w:val="样式2 Char"/>
    <w:qFormat/>
    <w:uiPriority w:val="0"/>
    <w:rPr>
      <w:rFonts w:ascii="仿宋_GB2312" w:hAnsi="仿宋" w:eastAsia="仿宋_GB2312" w:cs="仿宋_GB2312"/>
      <w:b/>
      <w:bCs/>
      <w:sz w:val="32"/>
      <w:szCs w:val="30"/>
      <w:lang w:val="zh-CN"/>
    </w:rPr>
  </w:style>
  <w:style w:type="character" w:customStyle="1" w:styleId="575">
    <w:name w:val="二级标题 Char Char"/>
    <w:qFormat/>
    <w:uiPriority w:val="0"/>
    <w:rPr>
      <w:rFonts w:ascii="宋体" w:hAnsi="宋体" w:eastAsia="宋体"/>
      <w:b/>
      <w:snapToGrid w:val="0"/>
      <w:kern w:val="2"/>
      <w:sz w:val="24"/>
      <w:szCs w:val="24"/>
      <w:lang w:val="en-US" w:eastAsia="zh-CN" w:bidi="ar-SA"/>
    </w:rPr>
  </w:style>
  <w:style w:type="character" w:customStyle="1" w:styleId="576">
    <w:name w:val="Table Text Char1"/>
    <w:qFormat/>
    <w:uiPriority w:val="0"/>
    <w:rPr>
      <w:rFonts w:eastAsia="宋体"/>
      <w:sz w:val="24"/>
      <w:szCs w:val="24"/>
      <w:lang w:val="en-US" w:eastAsia="zh-CN" w:bidi="ar-SA"/>
    </w:rPr>
  </w:style>
  <w:style w:type="character" w:customStyle="1" w:styleId="577">
    <w:name w:val="shadow11"/>
    <w:qFormat/>
    <w:uiPriority w:val="0"/>
    <w:rPr>
      <w:color w:val="000000"/>
      <w:sz w:val="21"/>
    </w:rPr>
  </w:style>
  <w:style w:type="character" w:customStyle="1" w:styleId="578">
    <w:name w:val="HTML 地址 字符"/>
    <w:link w:val="32"/>
    <w:qFormat/>
    <w:uiPriority w:val="0"/>
    <w:rPr>
      <w:rFonts w:ascii="宋体" w:hAnsi="宋体"/>
      <w:i/>
      <w:iCs/>
      <w:sz w:val="24"/>
      <w:szCs w:val="24"/>
    </w:rPr>
  </w:style>
  <w:style w:type="character" w:customStyle="1" w:styleId="579">
    <w:name w:val="Char Char22"/>
    <w:qFormat/>
    <w:uiPriority w:val="0"/>
    <w:rPr>
      <w:rFonts w:eastAsia="宋体"/>
      <w:b/>
      <w:bCs/>
      <w:kern w:val="2"/>
      <w:sz w:val="21"/>
      <w:szCs w:val="24"/>
      <w:lang w:val="en-US" w:eastAsia="zh-CN" w:bidi="ar-SA"/>
    </w:rPr>
  </w:style>
  <w:style w:type="character" w:customStyle="1" w:styleId="580">
    <w:name w:val="h3 Char1"/>
    <w:qFormat/>
    <w:uiPriority w:val="0"/>
    <w:rPr>
      <w:rFonts w:eastAsia="宋体"/>
      <w:b/>
      <w:bCs/>
      <w:kern w:val="2"/>
      <w:sz w:val="32"/>
      <w:szCs w:val="32"/>
      <w:lang w:bidi="ar-SA"/>
    </w:rPr>
  </w:style>
  <w:style w:type="character" w:customStyle="1" w:styleId="581">
    <w:name w:val="FA正文 Char Char"/>
    <w:qFormat/>
    <w:uiPriority w:val="0"/>
    <w:rPr>
      <w:rFonts w:hAnsi="宋体"/>
      <w:kern w:val="2"/>
      <w:sz w:val="24"/>
      <w:lang w:bidi="ar-SA"/>
    </w:rPr>
  </w:style>
  <w:style w:type="character" w:customStyle="1" w:styleId="582">
    <w:name w:val="Char Char7"/>
    <w:semiHidden/>
    <w:qFormat/>
    <w:uiPriority w:val="0"/>
    <w:rPr>
      <w:rFonts w:eastAsia="宋体"/>
      <w:kern w:val="2"/>
      <w:sz w:val="21"/>
      <w:szCs w:val="24"/>
      <w:lang w:val="en-US" w:eastAsia="zh-CN" w:bidi="ar-SA"/>
    </w:rPr>
  </w:style>
  <w:style w:type="character" w:customStyle="1" w:styleId="583">
    <w:name w:val="hui"/>
    <w:basedOn w:val="63"/>
    <w:qFormat/>
    <w:uiPriority w:val="0"/>
  </w:style>
  <w:style w:type="character" w:customStyle="1" w:styleId="584">
    <w:name w:val="正文缩进 Char"/>
    <w:qFormat/>
    <w:uiPriority w:val="0"/>
    <w:rPr>
      <w:rFonts w:eastAsia="宋体"/>
      <w:kern w:val="2"/>
      <w:sz w:val="21"/>
      <w:lang w:val="en-US" w:eastAsia="zh-CN"/>
    </w:rPr>
  </w:style>
  <w:style w:type="character" w:customStyle="1" w:styleId="585">
    <w:name w:val="正文1 Char"/>
    <w:qFormat/>
    <w:uiPriority w:val="0"/>
    <w:rPr>
      <w:rFonts w:ascii="宋体" w:eastAsia="宋体"/>
      <w:snapToGrid w:val="0"/>
      <w:color w:val="000000"/>
      <w:kern w:val="28"/>
      <w:sz w:val="28"/>
      <w:lang w:val="en-US" w:eastAsia="zh-CN" w:bidi="ar-SA"/>
    </w:rPr>
  </w:style>
  <w:style w:type="character" w:customStyle="1" w:styleId="586">
    <w:name w:val="Char Char61"/>
    <w:qFormat/>
    <w:uiPriority w:val="0"/>
    <w:rPr>
      <w:rFonts w:eastAsia="宋体"/>
      <w:kern w:val="2"/>
      <w:sz w:val="21"/>
      <w:szCs w:val="24"/>
      <w:lang w:val="en-US" w:eastAsia="zh-CN" w:bidi="ar-SA"/>
    </w:rPr>
  </w:style>
  <w:style w:type="character" w:customStyle="1" w:styleId="587">
    <w:name w:val="正文文本 3 字符"/>
    <w:link w:val="23"/>
    <w:qFormat/>
    <w:uiPriority w:val="0"/>
    <w:rPr>
      <w:kern w:val="2"/>
      <w:sz w:val="21"/>
    </w:rPr>
  </w:style>
  <w:style w:type="character" w:customStyle="1" w:styleId="588">
    <w:name w:val="message1"/>
    <w:qFormat/>
    <w:uiPriority w:val="0"/>
    <w:rPr>
      <w:rFonts w:hint="default" w:ascii="Tahoma" w:hAnsi="Tahoma" w:cs="Tahoma"/>
      <w:sz w:val="18"/>
      <w:szCs w:val="18"/>
    </w:rPr>
  </w:style>
  <w:style w:type="character" w:customStyle="1" w:styleId="589">
    <w:name w:val="DO_NOT_TRANSLATE"/>
    <w:qFormat/>
    <w:uiPriority w:val="0"/>
    <w:rPr>
      <w:rFonts w:ascii="Courier New" w:hAnsi="Courier New" w:cs="Courier New"/>
      <w:color w:val="800000"/>
    </w:rPr>
  </w:style>
  <w:style w:type="character" w:customStyle="1" w:styleId="590">
    <w:name w:val="unnamed11"/>
    <w:qFormat/>
    <w:uiPriority w:val="0"/>
    <w:rPr>
      <w:sz w:val="20"/>
      <w:szCs w:val="20"/>
    </w:rPr>
  </w:style>
  <w:style w:type="character" w:customStyle="1" w:styleId="591">
    <w:name w:val="tw4winInternal"/>
    <w:qFormat/>
    <w:uiPriority w:val="0"/>
    <w:rPr>
      <w:rFonts w:ascii="Courier New" w:hAnsi="Courier New" w:cs="Courier New"/>
      <w:color w:val="FF0000"/>
    </w:rPr>
  </w:style>
  <w:style w:type="character" w:customStyle="1" w:styleId="592">
    <w:name w:val="正文（缩进2汉字） Char"/>
    <w:link w:val="336"/>
    <w:qFormat/>
    <w:uiPriority w:val="0"/>
    <w:rPr>
      <w:rFonts w:ascii="宋体"/>
    </w:rPr>
  </w:style>
  <w:style w:type="character" w:customStyle="1" w:styleId="593">
    <w:name w:val="页脚 Char"/>
    <w:qFormat/>
    <w:uiPriority w:val="0"/>
    <w:rPr>
      <w:rFonts w:eastAsia="仿宋_GB2312"/>
      <w:kern w:val="2"/>
      <w:sz w:val="18"/>
      <w:lang w:val="en-US" w:eastAsia="zh-CN"/>
    </w:rPr>
  </w:style>
  <w:style w:type="character" w:customStyle="1" w:styleId="594">
    <w:name w:val="正文文本缩进 3 字符"/>
    <w:link w:val="52"/>
    <w:qFormat/>
    <w:uiPriority w:val="0"/>
    <w:rPr>
      <w:kern w:val="2"/>
      <w:sz w:val="24"/>
    </w:rPr>
  </w:style>
  <w:style w:type="character" w:customStyle="1" w:styleId="595">
    <w:name w:val="正文缩进 Char1"/>
    <w:qFormat/>
    <w:uiPriority w:val="0"/>
    <w:rPr>
      <w:rFonts w:ascii="宋体" w:eastAsia="宋体"/>
      <w:snapToGrid w:val="0"/>
      <w:color w:val="000000"/>
      <w:kern w:val="28"/>
      <w:sz w:val="28"/>
      <w:lang w:val="en-US" w:eastAsia="zh-CN" w:bidi="ar-SA"/>
    </w:rPr>
  </w:style>
  <w:style w:type="character" w:customStyle="1" w:styleId="596">
    <w:name w:val="style36"/>
    <w:basedOn w:val="63"/>
    <w:qFormat/>
    <w:uiPriority w:val="0"/>
  </w:style>
  <w:style w:type="character" w:customStyle="1" w:styleId="597">
    <w:name w:val="hui3"/>
    <w:qFormat/>
    <w:uiPriority w:val="0"/>
    <w:rPr>
      <w:color w:val="333333"/>
    </w:rPr>
  </w:style>
  <w:style w:type="character" w:customStyle="1" w:styleId="598">
    <w:name w:val="apple-converted-space"/>
    <w:qFormat/>
    <w:uiPriority w:val="0"/>
  </w:style>
  <w:style w:type="character" w:customStyle="1" w:styleId="599">
    <w:name w:val="文档结构图 Char"/>
    <w:qFormat/>
    <w:uiPriority w:val="0"/>
    <w:rPr>
      <w:rFonts w:eastAsia="宋体"/>
      <w:kern w:val="2"/>
      <w:sz w:val="21"/>
      <w:szCs w:val="24"/>
      <w:lang w:val="en-US" w:eastAsia="zh-CN" w:bidi="ar-SA"/>
    </w:rPr>
  </w:style>
  <w:style w:type="character" w:customStyle="1" w:styleId="600">
    <w:name w:val="正文非缩进 Char3"/>
    <w:qFormat/>
    <w:uiPriority w:val="0"/>
    <w:rPr>
      <w:rFonts w:ascii="宋体" w:eastAsia="宋体"/>
      <w:snapToGrid w:val="0"/>
      <w:color w:val="000000"/>
      <w:kern w:val="28"/>
      <w:sz w:val="28"/>
      <w:lang w:val="en-US" w:eastAsia="zh-CN" w:bidi="ar-SA"/>
    </w:rPr>
  </w:style>
  <w:style w:type="character" w:customStyle="1" w:styleId="601">
    <w:name w:val="dectext1"/>
    <w:qFormat/>
    <w:uiPriority w:val="0"/>
    <w:rPr>
      <w:rFonts w:ascii="宋体" w:hAnsi="宋体" w:eastAsia="宋体"/>
      <w:color w:val="333333"/>
      <w:sz w:val="21"/>
      <w:szCs w:val="21"/>
      <w:u w:val="none"/>
    </w:rPr>
  </w:style>
  <w:style w:type="character" w:customStyle="1" w:styleId="602">
    <w:name w:val="副标题 Char1"/>
    <w:qFormat/>
    <w:uiPriority w:val="0"/>
    <w:rPr>
      <w:rFonts w:ascii="Cambria" w:hAnsi="Cambria" w:eastAsia="宋体" w:cs="Times New Roman"/>
      <w:b/>
      <w:bCs/>
      <w:snapToGrid w:val="0"/>
      <w:kern w:val="28"/>
      <w:sz w:val="32"/>
      <w:szCs w:val="32"/>
    </w:rPr>
  </w:style>
  <w:style w:type="character" w:customStyle="1" w:styleId="603">
    <w:name w:val="f141"/>
    <w:qFormat/>
    <w:uiPriority w:val="0"/>
    <w:rPr>
      <w:rFonts w:ascii="Tahoma" w:hAnsi="Tahoma" w:eastAsia="宋体"/>
      <w:b/>
      <w:kern w:val="2"/>
      <w:sz w:val="21"/>
      <w:szCs w:val="21"/>
      <w:lang w:val="en-US" w:eastAsia="zh-CN" w:bidi="ar-SA"/>
    </w:rPr>
  </w:style>
  <w:style w:type="character" w:customStyle="1" w:styleId="604">
    <w:name w:val="日期 字符"/>
    <w:link w:val="37"/>
    <w:qFormat/>
    <w:uiPriority w:val="0"/>
    <w:rPr>
      <w:rFonts w:ascii="宋体"/>
      <w:kern w:val="2"/>
      <w:sz w:val="24"/>
      <w:szCs w:val="21"/>
      <w:lang w:val="zh-CN"/>
    </w:rPr>
  </w:style>
  <w:style w:type="character" w:customStyle="1" w:styleId="605">
    <w:name w:val="链接"/>
    <w:qFormat/>
    <w:uiPriority w:val="0"/>
    <w:rPr>
      <w:color w:val="0000FF"/>
      <w:sz w:val="21"/>
      <w:szCs w:val="21"/>
      <w:u w:val="single"/>
    </w:rPr>
  </w:style>
  <w:style w:type="character" w:customStyle="1" w:styleId="606">
    <w:name w:val="正文首行缩进 Char Char Char Char Char Char"/>
    <w:qFormat/>
    <w:uiPriority w:val="0"/>
    <w:rPr>
      <w:rFonts w:ascii="宋体" w:eastAsia="宋体"/>
      <w:kern w:val="2"/>
      <w:sz w:val="24"/>
      <w:lang w:val="zh-CN" w:bidi="ar-SA"/>
    </w:rPr>
  </w:style>
  <w:style w:type="character" w:customStyle="1" w:styleId="607">
    <w:name w:val="tw4winError"/>
    <w:qFormat/>
    <w:uiPriority w:val="0"/>
    <w:rPr>
      <w:rFonts w:ascii="Courier New" w:hAnsi="Courier New" w:cs="Courier New"/>
      <w:color w:val="00FF00"/>
      <w:sz w:val="40"/>
      <w:szCs w:val="40"/>
    </w:rPr>
  </w:style>
  <w:style w:type="character" w:customStyle="1" w:styleId="608">
    <w:name w:val="Used by Word for text of Help footnotes Char Char"/>
    <w:semiHidden/>
    <w:qFormat/>
    <w:uiPriority w:val="0"/>
    <w:rPr>
      <w:rFonts w:ascii="Times New Roman" w:hAnsi="Times New Roman" w:eastAsia="宋体" w:cs="Times New Roman"/>
      <w:sz w:val="20"/>
      <w:szCs w:val="20"/>
    </w:rPr>
  </w:style>
  <w:style w:type="character" w:customStyle="1" w:styleId="609">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10">
    <w:name w:val="表正文 Char"/>
    <w:qFormat/>
    <w:uiPriority w:val="0"/>
    <w:rPr>
      <w:rFonts w:ascii="宋体" w:eastAsia="宋体"/>
      <w:snapToGrid w:val="0"/>
      <w:color w:val="000000"/>
      <w:kern w:val="28"/>
      <w:sz w:val="28"/>
      <w:lang w:val="en-US" w:eastAsia="zh-CN" w:bidi="ar-SA"/>
    </w:rPr>
  </w:style>
  <w:style w:type="character" w:customStyle="1" w:styleId="611">
    <w:name w:val="普通文字 Char1 Char"/>
    <w:qFormat/>
    <w:uiPriority w:val="0"/>
    <w:rPr>
      <w:rFonts w:ascii="宋体" w:hAnsi="Courier New" w:eastAsia="宋体"/>
      <w:kern w:val="2"/>
      <w:sz w:val="21"/>
      <w:szCs w:val="24"/>
      <w:lang w:val="en-US" w:eastAsia="zh-CN" w:bidi="ar-SA"/>
    </w:rPr>
  </w:style>
  <w:style w:type="character" w:customStyle="1" w:styleId="612">
    <w:name w:val="pt9"/>
    <w:qFormat/>
    <w:uiPriority w:val="0"/>
    <w:rPr>
      <w:rFonts w:ascii="仿宋_GB2312" w:eastAsia="微软雅黑"/>
      <w:b/>
      <w:kern w:val="2"/>
      <w:sz w:val="32"/>
      <w:szCs w:val="32"/>
      <w:lang w:val="en-US" w:eastAsia="zh-CN" w:bidi="ar-SA"/>
    </w:rPr>
  </w:style>
  <w:style w:type="character" w:customStyle="1" w:styleId="613">
    <w:name w:val="large1"/>
    <w:qFormat/>
    <w:uiPriority w:val="0"/>
    <w:rPr>
      <w:rFonts w:hint="eastAsia" w:ascii="宋体" w:hAnsi="宋体" w:eastAsia="宋体"/>
      <w:sz w:val="21"/>
      <w:szCs w:val="21"/>
    </w:rPr>
  </w:style>
  <w:style w:type="character" w:customStyle="1" w:styleId="614">
    <w:name w:val="样式 样式 标题 4h4H4Fab-4T5Ref Heading 1rh1Heading sqlsect 1.2.3.... +... Char"/>
    <w:link w:val="182"/>
    <w:qFormat/>
    <w:uiPriority w:val="0"/>
    <w:rPr>
      <w:rFonts w:ascii="微软雅黑" w:hAnsi="微软雅黑" w:eastAsia="微软雅黑"/>
      <w:b/>
      <w:bCs/>
      <w:kern w:val="2"/>
      <w:sz w:val="24"/>
      <w:szCs w:val="28"/>
    </w:rPr>
  </w:style>
  <w:style w:type="character" w:customStyle="1" w:styleId="615">
    <w:name w:val="标题 4 Char1"/>
    <w:semiHidden/>
    <w:qFormat/>
    <w:uiPriority w:val="9"/>
    <w:rPr>
      <w:rFonts w:ascii="Cambria" w:hAnsi="Cambria" w:eastAsia="宋体" w:cs="Times New Roman"/>
      <w:b/>
      <w:bCs/>
      <w:kern w:val="2"/>
      <w:sz w:val="28"/>
      <w:szCs w:val="28"/>
    </w:rPr>
  </w:style>
  <w:style w:type="character" w:customStyle="1" w:styleId="616">
    <w:name w:val="tw4winPopup"/>
    <w:qFormat/>
    <w:uiPriority w:val="0"/>
    <w:rPr>
      <w:rFonts w:ascii="Courier New" w:hAnsi="Courier New" w:cs="Courier New"/>
      <w:color w:val="008000"/>
    </w:rPr>
  </w:style>
  <w:style w:type="character" w:customStyle="1" w:styleId="617">
    <w:name w:val="正文缩进 字符"/>
    <w:link w:val="17"/>
    <w:qFormat/>
    <w:uiPriority w:val="0"/>
    <w:rPr>
      <w:rFonts w:ascii="宋体" w:eastAsia="宋体"/>
      <w:snapToGrid w:val="0"/>
      <w:color w:val="000000"/>
      <w:kern w:val="28"/>
      <w:sz w:val="28"/>
      <w:lang w:val="en-US" w:eastAsia="zh-CN" w:bidi="ar-SA"/>
    </w:rPr>
  </w:style>
  <w:style w:type="character" w:customStyle="1" w:styleId="618">
    <w:name w:val="批注文字 字符"/>
    <w:link w:val="21"/>
    <w:qFormat/>
    <w:uiPriority w:val="99"/>
    <w:rPr>
      <w:kern w:val="2"/>
      <w:sz w:val="21"/>
      <w:szCs w:val="24"/>
    </w:rPr>
  </w:style>
  <w:style w:type="character" w:customStyle="1" w:styleId="619">
    <w:name w:val="批注框文本 字符"/>
    <w:link w:val="15"/>
    <w:semiHidden/>
    <w:qFormat/>
    <w:uiPriority w:val="0"/>
    <w:rPr>
      <w:kern w:val="2"/>
      <w:sz w:val="18"/>
      <w:szCs w:val="18"/>
    </w:rPr>
  </w:style>
  <w:style w:type="character" w:customStyle="1" w:styleId="620">
    <w:name w:val="Footer Char"/>
    <w:qFormat/>
    <w:locked/>
    <w:uiPriority w:val="0"/>
    <w:rPr>
      <w:rFonts w:eastAsia="宋体"/>
      <w:kern w:val="2"/>
      <w:sz w:val="18"/>
      <w:lang w:val="en-US" w:eastAsia="zh-CN" w:bidi="ar-SA"/>
    </w:rPr>
  </w:style>
  <w:style w:type="paragraph" w:customStyle="1" w:styleId="6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qFormat/>
    <w:uiPriority w:val="0"/>
    <w:pPr>
      <w:adjustRightInd/>
      <w:spacing w:line="360" w:lineRule="auto"/>
    </w:pPr>
    <w:rPr>
      <w:rFonts w:ascii="仿宋_GB2312" w:eastAsia="仿宋_GB2312"/>
      <w:sz w:val="24"/>
      <w:szCs w:val="20"/>
    </w:rPr>
  </w:style>
  <w:style w:type="paragraph" w:customStyle="1" w:styleId="62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qFormat/>
    <w:uiPriority w:val="0"/>
    <w:pPr>
      <w:adjustRightInd/>
    </w:pPr>
    <w:rPr>
      <w:rFonts w:ascii="宋体" w:hAnsi="Courier New"/>
      <w:szCs w:val="21"/>
    </w:rPr>
  </w:style>
  <w:style w:type="character" w:customStyle="1" w:styleId="625">
    <w:name w:val="纯文本 Char_0"/>
    <w:link w:val="624"/>
    <w:qFormat/>
    <w:uiPriority w:val="0"/>
    <w:rPr>
      <w:rFonts w:ascii="宋体" w:hAnsi="Courier New"/>
      <w:kern w:val="2"/>
      <w:sz w:val="21"/>
      <w:szCs w:val="21"/>
      <w:lang w:val="en-US" w:eastAsia="zh-CN"/>
    </w:rPr>
  </w:style>
  <w:style w:type="character" w:customStyle="1" w:styleId="626">
    <w:name w:val="纯文本 Char1"/>
    <w:link w:val="627"/>
    <w:qFormat/>
    <w:uiPriority w:val="0"/>
    <w:rPr>
      <w:rFonts w:ascii="宋体" w:hAnsi="Courier New"/>
    </w:rPr>
  </w:style>
  <w:style w:type="paragraph" w:customStyle="1" w:styleId="627">
    <w:name w:val="纯文本1"/>
    <w:basedOn w:val="74"/>
    <w:link w:val="626"/>
    <w:qFormat/>
    <w:uiPriority w:val="0"/>
    <w:pPr>
      <w:adjustRightInd/>
    </w:pPr>
    <w:rPr>
      <w:rFonts w:ascii="宋体"/>
      <w:kern w:val="0"/>
      <w:sz w:val="20"/>
      <w:szCs w:val="20"/>
    </w:rPr>
  </w:style>
  <w:style w:type="paragraph" w:customStyle="1" w:styleId="628">
    <w:name w:val="Char Char Char Char Char Char Char2"/>
    <w:basedOn w:val="1"/>
    <w:qFormat/>
    <w:uiPriority w:val="0"/>
    <w:rPr>
      <w:rFonts w:ascii="仿宋_GB2312" w:eastAsia="仿宋_GB2312"/>
      <w:b/>
      <w:sz w:val="32"/>
      <w:szCs w:val="32"/>
    </w:rPr>
  </w:style>
  <w:style w:type="paragraph" w:customStyle="1" w:styleId="629">
    <w:name w:val="Char Char1 Char Char Char Char Char Char2"/>
    <w:basedOn w:val="1"/>
    <w:qFormat/>
    <w:uiPriority w:val="0"/>
    <w:rPr>
      <w:rFonts w:ascii="仿宋_GB2312" w:eastAsia="仿宋_GB2312"/>
      <w:b/>
      <w:sz w:val="32"/>
      <w:szCs w:val="20"/>
    </w:rPr>
  </w:style>
  <w:style w:type="paragraph" w:customStyle="1" w:styleId="6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112"/>
    <w:qFormat/>
    <w:uiPriority w:val="0"/>
    <w:rPr>
      <w:rFonts w:ascii="仿宋_GB2312" w:eastAsia="仿宋_GB2312" w:cs="仿宋_GB2312"/>
      <w:color w:val="000000"/>
      <w:sz w:val="24"/>
      <w:szCs w:val="24"/>
    </w:rPr>
  </w:style>
  <w:style w:type="paragraph" w:customStyle="1" w:styleId="6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列表段落1"/>
    <w:basedOn w:val="1"/>
    <w:qFormat/>
    <w:uiPriority w:val="34"/>
    <w:pPr>
      <w:adjustRightInd/>
      <w:ind w:right="238" w:firstLine="420"/>
    </w:pPr>
    <w:rPr>
      <w:rFonts w:ascii="Calibri" w:hAnsi="Calibri"/>
      <w:sz w:val="24"/>
    </w:rPr>
  </w:style>
  <w:style w:type="paragraph" w:customStyle="1" w:styleId="637">
    <w:name w:val="Body Text First Indent 21"/>
    <w:basedOn w:val="638"/>
    <w:qFormat/>
    <w:uiPriority w:val="0"/>
    <w:pPr>
      <w:ind w:firstLine="420"/>
    </w:pPr>
    <w:rPr>
      <w:rFonts w:cs="宋体"/>
    </w:rPr>
  </w:style>
  <w:style w:type="paragraph" w:customStyle="1" w:styleId="638">
    <w:name w:val="Body Text Indent1"/>
    <w:basedOn w:val="1"/>
    <w:next w:val="1"/>
    <w:qFormat/>
    <w:uiPriority w:val="0"/>
    <w:pPr>
      <w:spacing w:after="120"/>
      <w:ind w:left="420" w:leftChars="200"/>
    </w:pPr>
    <w:rPr>
      <w:color w:val="000000"/>
      <w:szCs w:val="21"/>
    </w:rPr>
  </w:style>
  <w:style w:type="paragraph" w:customStyle="1" w:styleId="639">
    <w:name w:val="msolistparagraph"/>
    <w:basedOn w:val="1"/>
    <w:qFormat/>
    <w:uiPriority w:val="0"/>
    <w:pPr>
      <w:ind w:firstLine="420" w:firstLineChars="200"/>
    </w:pPr>
    <w:rPr>
      <w:rFonts w:ascii="Calibri" w:hAnsi="Calibri"/>
      <w:szCs w:val="21"/>
    </w:rPr>
  </w:style>
  <w:style w:type="paragraph" w:customStyle="1" w:styleId="640">
    <w:name w:val="我的正文"/>
    <w:basedOn w:val="1"/>
    <w:qFormat/>
    <w:uiPriority w:val="0"/>
    <w:pPr>
      <w:spacing w:line="360" w:lineRule="auto"/>
      <w:ind w:firstLine="560" w:firstLineChars="200"/>
    </w:pPr>
    <w:rPr>
      <w:rFonts w:hint="eastAsia" w:eastAsia="仿宋_GB2312"/>
      <w:sz w:val="28"/>
      <w:szCs w:val="28"/>
    </w:rPr>
  </w:style>
  <w:style w:type="paragraph" w:customStyle="1" w:styleId="641">
    <w:name w:val="正文市局"/>
    <w:basedOn w:val="1"/>
    <w:qFormat/>
    <w:uiPriority w:val="0"/>
    <w:pPr>
      <w:tabs>
        <w:tab w:val="left" w:pos="0"/>
      </w:tabs>
      <w:ind w:firstLine="480"/>
    </w:pPr>
    <w:rPr>
      <w:rFonts w:ascii="宋体" w:hAnsi="宋体" w:cs="宋体"/>
      <w:color w:val="000000"/>
      <w:kern w:val="0"/>
    </w:rPr>
  </w:style>
  <w:style w:type="character" w:customStyle="1" w:styleId="642">
    <w:name w:val="标题 2 字符"/>
    <w:link w:val="3"/>
    <w:qFormat/>
    <w:uiPriority w:val="0"/>
    <w:rPr>
      <w:rFonts w:ascii="仿宋_GB2312" w:hAnsi="仿宋_GB2312" w:eastAsia="仿宋_GB2312"/>
      <w:b/>
      <w:bCs/>
      <w:sz w:val="32"/>
      <w:szCs w:val="32"/>
      <w:lang w:val="zh-CN"/>
    </w:rPr>
  </w:style>
  <w:style w:type="paragraph" w:customStyle="1" w:styleId="643">
    <w:name w:val="_Style 1"/>
    <w:basedOn w:val="1"/>
    <w:qFormat/>
    <w:uiPriority w:val="34"/>
    <w:pPr>
      <w:adjustRightInd/>
      <w:ind w:firstLine="420" w:firstLineChars="200"/>
    </w:pPr>
    <w:rPr>
      <w:rFonts w:eastAsia="仿宋_GB2312"/>
      <w:sz w:val="28"/>
    </w:rPr>
  </w:style>
  <w:style w:type="paragraph" w:customStyle="1" w:styleId="644">
    <w:name w:val="缩进正文"/>
    <w:basedOn w:val="1"/>
    <w:qFormat/>
    <w:uiPriority w:val="0"/>
    <w:pPr>
      <w:snapToGrid w:val="0"/>
      <w:ind w:firstLine="200"/>
      <w:jc w:val="left"/>
    </w:pPr>
    <w:rPr>
      <w:rFonts w:ascii="宋体"/>
      <w:snapToGrid w:val="0"/>
      <w:szCs w:val="21"/>
    </w:rPr>
  </w:style>
  <w:style w:type="paragraph" w:customStyle="1" w:styleId="645">
    <w:name w:val="正文首行缩进2字符"/>
    <w:basedOn w:val="1"/>
    <w:qFormat/>
    <w:uiPriority w:val="99"/>
    <w:pPr>
      <w:spacing w:line="360" w:lineRule="auto"/>
      <w:ind w:firstLine="200" w:firstLineChars="200"/>
    </w:pPr>
    <w:rPr>
      <w:rFonts w:eastAsia="仿宋"/>
      <w:sz w:val="28"/>
      <w:szCs w:val="20"/>
    </w:rPr>
  </w:style>
  <w:style w:type="paragraph" w:customStyle="1" w:styleId="646">
    <w:name w:val="DAS正文"/>
    <w:basedOn w:val="1"/>
    <w:qFormat/>
    <w:uiPriority w:val="0"/>
    <w:pPr>
      <w:ind w:right="181" w:firstLine="480"/>
    </w:pPr>
    <w:rPr>
      <w:rFonts w:ascii="Verdana" w:hAnsi="Verdana"/>
      <w:sz w:val="24"/>
    </w:rPr>
  </w:style>
  <w:style w:type="paragraph" w:customStyle="1" w:styleId="647">
    <w:name w:val="C503-正文格式"/>
    <w:basedOn w:val="1"/>
    <w:qFormat/>
    <w:uiPriority w:val="0"/>
    <w:pPr>
      <w:spacing w:line="360" w:lineRule="auto"/>
      <w:ind w:firstLine="480" w:firstLineChars="200"/>
    </w:pPr>
    <w:rPr>
      <w:rFonts w:cs="宋体"/>
      <w:sz w:val="24"/>
      <w:lang w:val="zh-CN"/>
    </w:rPr>
  </w:style>
  <w:style w:type="paragraph" w:customStyle="1" w:styleId="648">
    <w:name w:val="*正文"/>
    <w:basedOn w:val="1"/>
    <w:qFormat/>
    <w:uiPriority w:val="0"/>
    <w:rPr>
      <w:bCs/>
      <w:szCs w:val="28"/>
    </w:rPr>
  </w:style>
  <w:style w:type="character" w:customStyle="1" w:styleId="649">
    <w:name w:val="font31"/>
    <w:basedOn w:val="6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28237</Words>
  <Characters>29705</Characters>
  <Lines>366</Lines>
  <Paragraphs>103</Paragraphs>
  <TotalTime>16</TotalTime>
  <ScaleCrop>false</ScaleCrop>
  <LinksUpToDate>false</LinksUpToDate>
  <CharactersWithSpaces>30840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2025-01-23T05:53:00Z</dcterms:created>
  <dc:creator>玥</dc:creator>
  <cp:lastModifiedBy>Mayn</cp:lastModifiedBy>
  <cp:lastPrinted>2025-01-22T02:59:00Z</cp:lastPrinted>
  <dcterms:modified xsi:type="dcterms:W3CDTF">2025-01-24T06:54:30Z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D42EA6773B4D444C9ABE7AC44A19CE97_13</vt:lpwstr>
  </property>
  <property fmtid="{D5CDD505-2E9C-101B-9397-08002B2CF9AE}" pid="4" name="KSOTemplateDocerSaveRecord">
    <vt:lpwstr>eyJoZGlkIjoiNGI4MjA0NTliZTUzZTA5NGI1NzUwZmQ1NGY4NWIxYmYifQ==</vt:lpwstr>
  </property>
</Properties>
</file>