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2851C">
      <w:pPr>
        <w:spacing w:line="360" w:lineRule="auto"/>
        <w:rPr>
          <w:rFonts w:ascii="宋体"/>
          <w:b/>
          <w:bCs/>
          <w:color w:val="000000"/>
          <w:sz w:val="32"/>
          <w:szCs w:val="32"/>
        </w:rPr>
      </w:pPr>
    </w:p>
    <w:p w14:paraId="17D53A5D">
      <w:pPr>
        <w:spacing w:after="120"/>
        <w:jc w:val="center"/>
        <w:rPr>
          <w:rFonts w:hint="eastAsia" w:ascii="宋体" w:hAnsi="宋体" w:cs="宋体"/>
          <w:b/>
          <w:bCs/>
          <w:color w:val="000000"/>
          <w:sz w:val="72"/>
          <w:szCs w:val="72"/>
        </w:rPr>
      </w:pPr>
      <w:r>
        <w:rPr>
          <w:rFonts w:hint="eastAsia" w:ascii="宋体" w:hAnsi="宋体" w:cs="宋体"/>
          <w:b/>
          <w:bCs/>
          <w:color w:val="000000"/>
          <w:sz w:val="72"/>
          <w:szCs w:val="72"/>
        </w:rPr>
        <w:t>政府采购项目</w:t>
      </w:r>
    </w:p>
    <w:p w14:paraId="0DD71244">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3D79555A">
      <w:pPr>
        <w:spacing w:after="120"/>
        <w:jc w:val="left"/>
        <w:rPr>
          <w:rFonts w:ascii="宋体"/>
          <w:b/>
          <w:bCs/>
          <w:color w:val="000000"/>
          <w:sz w:val="72"/>
          <w:szCs w:val="72"/>
        </w:rPr>
      </w:pPr>
    </w:p>
    <w:p w14:paraId="2564A382">
      <w:pPr>
        <w:jc w:val="left"/>
        <w:rPr>
          <w:rFonts w:ascii="宋体"/>
          <w:b/>
          <w:bCs/>
          <w:color w:val="000000"/>
        </w:rPr>
      </w:pPr>
    </w:p>
    <w:p w14:paraId="0F9FC147">
      <w:pPr>
        <w:jc w:val="left"/>
        <w:rPr>
          <w:rFonts w:ascii="宋体"/>
          <w:b/>
          <w:bCs/>
          <w:color w:val="000000"/>
        </w:rPr>
      </w:pPr>
    </w:p>
    <w:p w14:paraId="094451C4">
      <w:pPr>
        <w:jc w:val="left"/>
        <w:rPr>
          <w:rFonts w:ascii="宋体"/>
          <w:b/>
          <w:bCs/>
          <w:color w:val="000000"/>
        </w:rPr>
      </w:pPr>
    </w:p>
    <w:p w14:paraId="329004BA">
      <w:pPr>
        <w:pStyle w:val="6"/>
        <w:rPr>
          <w:rFonts w:ascii="宋体"/>
          <w:b/>
          <w:bCs/>
          <w:color w:val="000000"/>
        </w:rPr>
      </w:pPr>
    </w:p>
    <w:p w14:paraId="2E26775C"/>
    <w:p w14:paraId="17F3F6EC">
      <w:pPr>
        <w:spacing w:line="720" w:lineRule="exact"/>
        <w:rPr>
          <w:rFonts w:ascii="宋体" w:hAnsi="宋体" w:cs="宋体"/>
          <w:b/>
          <w:bCs/>
          <w:color w:val="000000"/>
          <w:sz w:val="30"/>
          <w:szCs w:val="30"/>
          <w:highlight w:val="none"/>
        </w:rPr>
      </w:pPr>
    </w:p>
    <w:p w14:paraId="05B8683A">
      <w:pPr>
        <w:spacing w:line="720" w:lineRule="exact"/>
        <w:rPr>
          <w:rFonts w:hint="eastAsia" w:ascii="宋体" w:hAnsi="宋体" w:cs="宋体"/>
          <w:b/>
          <w:bCs/>
          <w:color w:val="000000"/>
          <w:sz w:val="40"/>
          <w:szCs w:val="40"/>
          <w:highlight w:val="none"/>
          <w:u w:val="single"/>
          <w:lang w:eastAsia="zh-CN"/>
        </w:rPr>
      </w:pPr>
      <w:r>
        <w:rPr>
          <w:rFonts w:hint="eastAsia" w:ascii="宋体" w:hAnsi="宋体" w:cs="宋体"/>
          <w:b/>
          <w:bCs/>
          <w:color w:val="000000"/>
          <w:sz w:val="40"/>
          <w:szCs w:val="40"/>
          <w:highlight w:val="none"/>
        </w:rPr>
        <w:t>项目编号：</w:t>
      </w:r>
      <w:r>
        <w:rPr>
          <w:rFonts w:hint="eastAsia" w:ascii="宋体" w:hAnsi="宋体" w:cs="宋体"/>
          <w:b/>
          <w:bCs/>
          <w:color w:val="000000"/>
          <w:sz w:val="40"/>
          <w:szCs w:val="40"/>
          <w:highlight w:val="none"/>
          <w:u w:val="single"/>
          <w:lang w:eastAsia="zh-CN"/>
        </w:rPr>
        <w:t>KLDL2024074</w:t>
      </w:r>
    </w:p>
    <w:p w14:paraId="5A528666">
      <w:pPr>
        <w:pStyle w:val="6"/>
      </w:pPr>
    </w:p>
    <w:p w14:paraId="4F7772BC">
      <w:pPr>
        <w:spacing w:line="720" w:lineRule="exact"/>
        <w:ind w:left="1606" w:hanging="2008" w:hangingChars="500"/>
        <w:rPr>
          <w:rFonts w:hint="eastAsia" w:ascii="宋体" w:hAnsi="宋体" w:cs="宋体"/>
          <w:b/>
          <w:bCs/>
          <w:color w:val="000000"/>
          <w:sz w:val="40"/>
          <w:szCs w:val="40"/>
          <w:u w:val="single"/>
          <w:lang w:eastAsia="zh-CN"/>
        </w:rPr>
      </w:pPr>
      <w:r>
        <w:rPr>
          <w:rFonts w:hint="eastAsia" w:ascii="宋体" w:hAnsi="宋体" w:cs="宋体"/>
          <w:b/>
          <w:bCs/>
          <w:color w:val="000000"/>
          <w:sz w:val="40"/>
          <w:szCs w:val="40"/>
        </w:rPr>
        <w:t>项目名称：</w:t>
      </w:r>
      <w:r>
        <w:rPr>
          <w:rFonts w:hint="eastAsia" w:ascii="宋体" w:hAnsi="宋体" w:cs="宋体"/>
          <w:b/>
          <w:bCs/>
          <w:color w:val="000000"/>
          <w:sz w:val="40"/>
          <w:szCs w:val="40"/>
          <w:u w:val="single"/>
          <w:lang w:eastAsia="zh-CN"/>
        </w:rPr>
        <w:t>梅山街道农村污水管网养护项目</w:t>
      </w:r>
    </w:p>
    <w:p w14:paraId="6BE380A3">
      <w:pPr>
        <w:pStyle w:val="6"/>
      </w:pPr>
    </w:p>
    <w:p w14:paraId="5E47ABD9">
      <w:pPr>
        <w:spacing w:line="600" w:lineRule="exact"/>
        <w:rPr>
          <w:rFonts w:hint="eastAsia" w:ascii="宋体" w:hAnsi="宋体" w:cs="宋体"/>
          <w:b/>
          <w:bCs/>
          <w:color w:val="000000"/>
          <w:sz w:val="40"/>
          <w:szCs w:val="40"/>
          <w:u w:val="single"/>
          <w:lang w:eastAsia="zh-CN"/>
        </w:rPr>
      </w:pPr>
      <w:r>
        <w:rPr>
          <w:rFonts w:hint="eastAsia" w:ascii="宋体" w:hAnsi="宋体" w:cs="黑体"/>
          <w:b/>
          <w:bCs/>
          <w:color w:val="000000"/>
          <w:sz w:val="36"/>
          <w:szCs w:val="36"/>
        </w:rPr>
        <w:t>采</w:t>
      </w:r>
      <w:r>
        <w:rPr>
          <w:rFonts w:ascii="宋体" w:hAnsi="宋体" w:cs="黑体"/>
          <w:b/>
          <w:bCs/>
          <w:color w:val="000000"/>
          <w:sz w:val="36"/>
          <w:szCs w:val="36"/>
        </w:rPr>
        <w:t xml:space="preserve"> </w:t>
      </w:r>
      <w:r>
        <w:rPr>
          <w:rFonts w:hint="eastAsia" w:ascii="宋体" w:hAnsi="宋体" w:cs="黑体"/>
          <w:b/>
          <w:bCs/>
          <w:color w:val="000000"/>
          <w:sz w:val="36"/>
          <w:szCs w:val="36"/>
        </w:rPr>
        <w:t>购</w:t>
      </w:r>
      <w:r>
        <w:rPr>
          <w:rFonts w:ascii="宋体" w:hAnsi="宋体" w:cs="黑体"/>
          <w:b/>
          <w:bCs/>
          <w:color w:val="000000"/>
          <w:sz w:val="36"/>
          <w:szCs w:val="36"/>
        </w:rPr>
        <w:t xml:space="preserve"> </w:t>
      </w:r>
      <w:r>
        <w:rPr>
          <w:rFonts w:hint="eastAsia" w:ascii="宋体" w:hAnsi="宋体" w:cs="黑体"/>
          <w:b/>
          <w:bCs/>
          <w:color w:val="000000"/>
          <w:sz w:val="36"/>
          <w:szCs w:val="36"/>
        </w:rPr>
        <w:t>人：</w:t>
      </w:r>
      <w:r>
        <w:rPr>
          <w:rFonts w:hint="eastAsia" w:ascii="宋体" w:hAnsi="宋体" w:cs="宋体"/>
          <w:b/>
          <w:bCs/>
          <w:color w:val="000000"/>
          <w:sz w:val="40"/>
          <w:szCs w:val="40"/>
          <w:u w:val="single"/>
          <w:lang w:eastAsia="zh-CN"/>
        </w:rPr>
        <w:t>宁波市北仑区人民政府梅山街道办事处</w:t>
      </w:r>
    </w:p>
    <w:p w14:paraId="413056C5">
      <w:pPr>
        <w:pStyle w:val="6"/>
        <w:rPr>
          <w:rFonts w:hint="eastAsia"/>
          <w:lang w:eastAsia="zh-CN"/>
        </w:rPr>
      </w:pPr>
    </w:p>
    <w:p w14:paraId="4D794C97">
      <w:pPr>
        <w:spacing w:line="600" w:lineRule="exact"/>
        <w:ind w:left="1405" w:hanging="1807" w:hangingChars="500"/>
        <w:rPr>
          <w:rFonts w:hint="eastAsia" w:ascii="宋体" w:hAnsi="宋体" w:cs="宋体"/>
          <w:b/>
          <w:bCs/>
          <w:color w:val="000000"/>
          <w:sz w:val="40"/>
          <w:szCs w:val="40"/>
          <w:u w:val="single"/>
          <w:lang w:eastAsia="zh-CN"/>
        </w:rPr>
      </w:pPr>
      <w:r>
        <w:rPr>
          <w:rFonts w:hint="eastAsia" w:ascii="宋体" w:hAnsi="宋体" w:cs="黑体"/>
          <w:b/>
          <w:bCs/>
          <w:color w:val="000000"/>
          <w:sz w:val="36"/>
          <w:szCs w:val="36"/>
          <w:lang w:val="en-US" w:eastAsia="zh-CN"/>
        </w:rPr>
        <w:t>采购</w:t>
      </w:r>
      <w:r>
        <w:rPr>
          <w:rFonts w:hint="eastAsia" w:ascii="宋体" w:hAnsi="宋体" w:cs="黑体"/>
          <w:b/>
          <w:bCs/>
          <w:color w:val="000000"/>
          <w:sz w:val="36"/>
          <w:szCs w:val="36"/>
        </w:rPr>
        <w:t>代理机构：</w:t>
      </w:r>
      <w:r>
        <w:rPr>
          <w:rFonts w:hint="eastAsia" w:ascii="宋体" w:hAnsi="宋体" w:cs="宋体"/>
          <w:b/>
          <w:bCs/>
          <w:color w:val="000000"/>
          <w:sz w:val="40"/>
          <w:szCs w:val="40"/>
          <w:u w:val="single"/>
          <w:lang w:eastAsia="zh-CN"/>
        </w:rPr>
        <w:t>宁波凯立工程管理有限公司</w:t>
      </w:r>
    </w:p>
    <w:p w14:paraId="2F9B7AE5">
      <w:pPr>
        <w:pStyle w:val="6"/>
        <w:rPr>
          <w:rFonts w:hint="eastAsia"/>
          <w:lang w:eastAsia="zh-CN"/>
        </w:rPr>
      </w:pPr>
    </w:p>
    <w:p w14:paraId="32C29B9E">
      <w:pPr>
        <w:spacing w:line="600" w:lineRule="exact"/>
        <w:rPr>
          <w:rFonts w:ascii="宋体" w:hAnsi="宋体"/>
          <w:b/>
          <w:bCs/>
          <w:color w:val="000000"/>
          <w:sz w:val="24"/>
          <w:szCs w:val="24"/>
        </w:rPr>
      </w:pPr>
      <w:r>
        <w:rPr>
          <w:rFonts w:hint="eastAsia" w:ascii="宋体" w:hAnsi="宋体" w:cs="黑体"/>
          <w:b/>
          <w:bCs/>
          <w:color w:val="000000"/>
          <w:sz w:val="36"/>
          <w:szCs w:val="36"/>
        </w:rPr>
        <w:t>日期：</w:t>
      </w:r>
      <w:r>
        <w:rPr>
          <w:rFonts w:hint="eastAsia" w:ascii="宋体" w:hAnsi="宋体" w:cs="黑体"/>
          <w:b/>
          <w:bCs/>
          <w:color w:val="000000"/>
          <w:sz w:val="36"/>
          <w:szCs w:val="36"/>
          <w:lang w:eastAsia="zh-CN"/>
        </w:rPr>
        <w:t>202</w:t>
      </w:r>
      <w:r>
        <w:rPr>
          <w:rFonts w:hint="eastAsia" w:ascii="宋体" w:hAnsi="宋体" w:cs="黑体"/>
          <w:b/>
          <w:bCs/>
          <w:color w:val="000000"/>
          <w:sz w:val="36"/>
          <w:szCs w:val="36"/>
          <w:lang w:val="en-US" w:eastAsia="zh-CN"/>
        </w:rPr>
        <w:t>5</w:t>
      </w:r>
      <w:r>
        <w:rPr>
          <w:rFonts w:ascii="宋体" w:hAnsi="宋体" w:cs="黑体"/>
          <w:b/>
          <w:bCs/>
          <w:color w:val="000000"/>
          <w:sz w:val="36"/>
          <w:szCs w:val="36"/>
        </w:rPr>
        <w:t>年</w:t>
      </w:r>
      <w:r>
        <w:rPr>
          <w:rFonts w:hint="eastAsia" w:ascii="宋体" w:hAnsi="宋体" w:cs="黑体"/>
          <w:b/>
          <w:bCs/>
          <w:color w:val="000000"/>
          <w:sz w:val="36"/>
          <w:szCs w:val="36"/>
          <w:lang w:val="en-US" w:eastAsia="zh-CN"/>
        </w:rPr>
        <w:t>01</w:t>
      </w:r>
      <w:r>
        <w:rPr>
          <w:rFonts w:hint="eastAsia" w:ascii="宋体" w:hAnsi="宋体" w:cs="黑体"/>
          <w:b/>
          <w:bCs/>
          <w:color w:val="000000"/>
          <w:sz w:val="36"/>
          <w:szCs w:val="36"/>
        </w:rPr>
        <w:t>月</w:t>
      </w:r>
    </w:p>
    <w:p w14:paraId="077E3071">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0A453FF3">
      <w:pPr>
        <w:spacing w:line="480" w:lineRule="auto"/>
        <w:rPr>
          <w:rFonts w:ascii="宋体"/>
          <w:color w:val="000000"/>
          <w:sz w:val="28"/>
          <w:szCs w:val="28"/>
        </w:rPr>
      </w:pPr>
    </w:p>
    <w:p w14:paraId="2A946176">
      <w:pPr>
        <w:pStyle w:val="18"/>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fldChar w:fldCharType="begin"/>
      </w:r>
      <w:r>
        <w:instrText xml:space="preserve"> HYPERLINK \l "_Toc50046890" </w:instrText>
      </w:r>
      <w:r>
        <w:fldChar w:fldCharType="separate"/>
      </w:r>
      <w:r>
        <w:rPr>
          <w:rStyle w:val="28"/>
          <w:rFonts w:hint="eastAsia" w:ascii="宋体" w:hAnsi="宋体" w:cs="宋体"/>
          <w:b/>
          <w:bCs/>
          <w:color w:val="000000"/>
          <w:sz w:val="32"/>
          <w:szCs w:val="32"/>
        </w:rPr>
        <w:t>第一部分</w:t>
      </w:r>
      <w:r>
        <w:rPr>
          <w:rStyle w:val="28"/>
          <w:rFonts w:ascii="宋体" w:hAnsi="宋体" w:cs="宋体"/>
          <w:b/>
          <w:bCs/>
          <w:color w:val="000000"/>
          <w:sz w:val="32"/>
          <w:szCs w:val="32"/>
        </w:rPr>
        <w:t xml:space="preserve">  </w:t>
      </w:r>
      <w:r>
        <w:rPr>
          <w:rStyle w:val="28"/>
          <w:rFonts w:hint="eastAsia" w:ascii="宋体" w:hAnsi="宋体" w:cs="宋体"/>
          <w:b/>
          <w:bCs/>
          <w:color w:val="000000"/>
          <w:sz w:val="32"/>
          <w:szCs w:val="32"/>
        </w:rPr>
        <w:t>竞争性磋商公告</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p>
    <w:p w14:paraId="374938D2">
      <w:pPr>
        <w:pStyle w:val="18"/>
        <w:tabs>
          <w:tab w:val="right" w:leader="dot" w:pos="8949"/>
        </w:tabs>
        <w:snapToGrid w:val="0"/>
        <w:spacing w:line="900" w:lineRule="exact"/>
        <w:rPr>
          <w:rFonts w:ascii="宋体" w:hAnsi="宋体"/>
          <w:b/>
          <w:color w:val="000000"/>
          <w:sz w:val="32"/>
          <w:szCs w:val="32"/>
        </w:rPr>
      </w:pPr>
      <w:r>
        <w:fldChar w:fldCharType="begin"/>
      </w:r>
      <w:r>
        <w:instrText xml:space="preserve"> HYPERLINK \l "_Toc50046891" </w:instrText>
      </w:r>
      <w:r>
        <w:fldChar w:fldCharType="separate"/>
      </w:r>
      <w:r>
        <w:rPr>
          <w:rStyle w:val="28"/>
          <w:rFonts w:hint="eastAsia" w:ascii="宋体" w:hAnsi="宋体" w:cs="宋体"/>
          <w:b/>
          <w:bCs/>
          <w:color w:val="000000"/>
          <w:sz w:val="32"/>
          <w:szCs w:val="32"/>
        </w:rPr>
        <w:t>第二部分</w:t>
      </w:r>
      <w:r>
        <w:rPr>
          <w:rStyle w:val="28"/>
          <w:rFonts w:ascii="宋体" w:hAnsi="宋体" w:cs="宋体"/>
          <w:b/>
          <w:bCs/>
          <w:color w:val="000000"/>
          <w:sz w:val="32"/>
          <w:szCs w:val="32"/>
        </w:rPr>
        <w:t xml:space="preserve"> </w:t>
      </w:r>
      <w:r>
        <w:rPr>
          <w:rStyle w:val="28"/>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7</w:t>
      </w:r>
      <w:r>
        <w:rPr>
          <w:rFonts w:ascii="宋体" w:hAnsi="宋体"/>
          <w:b/>
          <w:color w:val="000000"/>
          <w:sz w:val="32"/>
          <w:szCs w:val="32"/>
        </w:rPr>
        <w:fldChar w:fldCharType="end"/>
      </w:r>
    </w:p>
    <w:p w14:paraId="3F93CF67">
      <w:pPr>
        <w:pStyle w:val="18"/>
        <w:tabs>
          <w:tab w:val="right" w:leader="dot" w:pos="8949"/>
        </w:tabs>
        <w:snapToGrid w:val="0"/>
        <w:spacing w:line="900" w:lineRule="exact"/>
        <w:rPr>
          <w:rFonts w:ascii="宋体" w:hAnsi="宋体"/>
          <w:b/>
          <w:color w:val="000000"/>
          <w:sz w:val="32"/>
          <w:szCs w:val="32"/>
        </w:rPr>
      </w:pPr>
      <w:r>
        <w:fldChar w:fldCharType="begin"/>
      </w:r>
      <w:r>
        <w:instrText xml:space="preserve"> HYPERLINK \l "_Toc50046892" </w:instrText>
      </w:r>
      <w:r>
        <w:fldChar w:fldCharType="separate"/>
      </w:r>
      <w:r>
        <w:rPr>
          <w:rStyle w:val="28"/>
          <w:rFonts w:hint="eastAsia" w:ascii="宋体" w:hAnsi="宋体"/>
          <w:b/>
          <w:color w:val="000000"/>
          <w:sz w:val="32"/>
          <w:szCs w:val="32"/>
        </w:rPr>
        <w:t>第三部分</w:t>
      </w:r>
      <w:r>
        <w:rPr>
          <w:rStyle w:val="28"/>
          <w:rFonts w:ascii="宋体" w:hAnsi="宋体"/>
          <w:b/>
          <w:color w:val="000000"/>
          <w:sz w:val="32"/>
          <w:szCs w:val="32"/>
        </w:rPr>
        <w:t xml:space="preserve">  </w:t>
      </w:r>
      <w:r>
        <w:rPr>
          <w:rStyle w:val="28"/>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w:t>
      </w:r>
      <w:r>
        <w:rPr>
          <w:rFonts w:hint="eastAsia" w:ascii="宋体" w:hAnsi="宋体"/>
          <w:b/>
          <w:color w:val="000000"/>
          <w:sz w:val="32"/>
          <w:szCs w:val="32"/>
          <w:lang w:val="en-US" w:eastAsia="zh-CN"/>
        </w:rPr>
        <w:t>8</w:t>
      </w:r>
      <w:r>
        <w:rPr>
          <w:rFonts w:ascii="宋体" w:hAnsi="宋体"/>
          <w:b/>
          <w:color w:val="000000"/>
          <w:sz w:val="32"/>
          <w:szCs w:val="32"/>
        </w:rPr>
        <w:fldChar w:fldCharType="end"/>
      </w:r>
      <w:r>
        <w:rPr>
          <w:rFonts w:ascii="宋体" w:hAnsi="宋体"/>
          <w:b/>
          <w:color w:val="000000"/>
          <w:sz w:val="32"/>
          <w:szCs w:val="32"/>
        </w:rPr>
        <w:fldChar w:fldCharType="end"/>
      </w:r>
    </w:p>
    <w:p w14:paraId="5D9B6416">
      <w:pPr>
        <w:pStyle w:val="18"/>
        <w:tabs>
          <w:tab w:val="right" w:leader="dot" w:pos="8949"/>
        </w:tabs>
        <w:snapToGrid w:val="0"/>
        <w:spacing w:line="900" w:lineRule="exact"/>
        <w:rPr>
          <w:rFonts w:hint="eastAsia" w:ascii="宋体" w:hAnsi="宋体" w:eastAsia="宋体"/>
          <w:b/>
          <w:color w:val="000000"/>
          <w:sz w:val="32"/>
          <w:szCs w:val="32"/>
          <w:lang w:val="en-US" w:eastAsia="zh-CN"/>
        </w:rPr>
      </w:pPr>
      <w:r>
        <w:fldChar w:fldCharType="begin"/>
      </w:r>
      <w:r>
        <w:instrText xml:space="preserve"> HYPERLINK \l "_Toc50046893" </w:instrText>
      </w:r>
      <w:r>
        <w:fldChar w:fldCharType="separate"/>
      </w:r>
      <w:r>
        <w:rPr>
          <w:rStyle w:val="28"/>
          <w:rFonts w:hint="eastAsia" w:ascii="宋体" w:hAnsi="宋体" w:cs="宋体"/>
          <w:b/>
          <w:bCs/>
          <w:color w:val="000000"/>
          <w:sz w:val="32"/>
          <w:szCs w:val="32"/>
        </w:rPr>
        <w:t>第四部分</w:t>
      </w:r>
      <w:r>
        <w:rPr>
          <w:rStyle w:val="28"/>
          <w:rFonts w:ascii="宋体" w:hAnsi="宋体" w:cs="宋体"/>
          <w:b/>
          <w:bCs/>
          <w:color w:val="000000"/>
          <w:sz w:val="32"/>
          <w:szCs w:val="32"/>
        </w:rPr>
        <w:t xml:space="preserve">  </w:t>
      </w:r>
      <w:r>
        <w:rPr>
          <w:rStyle w:val="28"/>
          <w:rFonts w:hint="eastAsia" w:ascii="宋体" w:hAnsi="宋体" w:cs="宋体"/>
          <w:b/>
          <w:bCs/>
          <w:color w:val="000000"/>
          <w:sz w:val="32"/>
          <w:szCs w:val="32"/>
        </w:rPr>
        <w:t>评定成交的</w:t>
      </w:r>
      <w:bookmarkStart w:id="0" w:name="_Hlt50106422"/>
      <w:bookmarkStart w:id="1" w:name="_Hlt50106423"/>
      <w:r>
        <w:rPr>
          <w:rStyle w:val="28"/>
          <w:rFonts w:hint="eastAsia" w:ascii="宋体" w:hAnsi="宋体" w:cs="宋体"/>
          <w:b/>
          <w:bCs/>
          <w:color w:val="000000"/>
          <w:sz w:val="32"/>
          <w:szCs w:val="32"/>
        </w:rPr>
        <w:t>标</w:t>
      </w:r>
      <w:bookmarkEnd w:id="0"/>
      <w:bookmarkEnd w:id="1"/>
      <w:r>
        <w:rPr>
          <w:rStyle w:val="28"/>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0</w:t>
      </w:r>
    </w:p>
    <w:p w14:paraId="16906217">
      <w:pPr>
        <w:pStyle w:val="18"/>
        <w:tabs>
          <w:tab w:val="right" w:leader="dot" w:pos="8949"/>
        </w:tabs>
        <w:snapToGrid w:val="0"/>
        <w:spacing w:line="900" w:lineRule="exact"/>
        <w:rPr>
          <w:rFonts w:hint="eastAsia" w:ascii="宋体" w:hAnsi="宋体" w:eastAsia="宋体"/>
          <w:b/>
          <w:color w:val="000000"/>
          <w:sz w:val="32"/>
          <w:szCs w:val="32"/>
          <w:lang w:val="en-US" w:eastAsia="zh-CN"/>
        </w:rPr>
      </w:pPr>
      <w:r>
        <w:fldChar w:fldCharType="begin"/>
      </w:r>
      <w:r>
        <w:instrText xml:space="preserve"> HYPERLINK \l "_Toc50046894" </w:instrText>
      </w:r>
      <w:r>
        <w:fldChar w:fldCharType="separate"/>
      </w:r>
      <w:r>
        <w:rPr>
          <w:rStyle w:val="28"/>
          <w:rFonts w:hint="eastAsia" w:ascii="宋体" w:hAnsi="宋体" w:cs="宋体"/>
          <w:b/>
          <w:bCs/>
          <w:color w:val="000000"/>
          <w:sz w:val="32"/>
          <w:szCs w:val="32"/>
        </w:rPr>
        <w:t>第五部分</w:t>
      </w:r>
      <w:r>
        <w:rPr>
          <w:rStyle w:val="28"/>
          <w:rFonts w:ascii="宋体" w:hAnsi="宋体" w:cs="宋体"/>
          <w:b/>
          <w:bCs/>
          <w:color w:val="000000"/>
          <w:sz w:val="32"/>
          <w:szCs w:val="32"/>
        </w:rPr>
        <w:t xml:space="preserve">  </w:t>
      </w:r>
      <w:r>
        <w:rPr>
          <w:rStyle w:val="28"/>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3811B788">
      <w:pPr>
        <w:pStyle w:val="18"/>
        <w:tabs>
          <w:tab w:val="right" w:leader="dot" w:pos="8949"/>
        </w:tabs>
        <w:snapToGrid w:val="0"/>
        <w:spacing w:line="900" w:lineRule="exact"/>
        <w:rPr>
          <w:rFonts w:hint="eastAsia" w:ascii="宋体" w:hAnsi="宋体" w:eastAsia="宋体"/>
          <w:b/>
          <w:color w:val="000000"/>
          <w:sz w:val="32"/>
          <w:szCs w:val="32"/>
          <w:lang w:val="en-US" w:eastAsia="zh-CN"/>
        </w:rPr>
      </w:pPr>
      <w:r>
        <w:fldChar w:fldCharType="begin"/>
      </w:r>
      <w:r>
        <w:instrText xml:space="preserve"> HYPERLINK \l "_Toc50046895" </w:instrText>
      </w:r>
      <w:r>
        <w:fldChar w:fldCharType="separate"/>
      </w:r>
      <w:r>
        <w:rPr>
          <w:rStyle w:val="28"/>
          <w:rFonts w:hint="eastAsia" w:ascii="宋体" w:hAnsi="宋体"/>
          <w:b/>
          <w:color w:val="000000"/>
          <w:sz w:val="32"/>
          <w:szCs w:val="32"/>
        </w:rPr>
        <w:t>第六部分</w:t>
      </w:r>
      <w:r>
        <w:rPr>
          <w:rStyle w:val="28"/>
          <w:rFonts w:ascii="宋体" w:hAnsi="宋体"/>
          <w:b/>
          <w:color w:val="000000"/>
          <w:sz w:val="32"/>
          <w:szCs w:val="32"/>
        </w:rPr>
        <w:t xml:space="preserve">  </w:t>
      </w:r>
      <w:r>
        <w:rPr>
          <w:rStyle w:val="28"/>
          <w:rFonts w:hint="eastAsia" w:ascii="宋体" w:hAnsi="宋体"/>
          <w:b/>
          <w:color w:val="000000"/>
          <w:sz w:val="32"/>
          <w:szCs w:val="32"/>
        </w:rPr>
        <w:t>合同样本</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0423B33D">
      <w:pPr>
        <w:pStyle w:val="18"/>
        <w:tabs>
          <w:tab w:val="right" w:leader="dot" w:pos="8949"/>
        </w:tabs>
        <w:snapToGrid w:val="0"/>
        <w:spacing w:line="900" w:lineRule="exact"/>
        <w:rPr>
          <w:rFonts w:hint="eastAsia" w:ascii="宋体" w:hAnsi="宋体" w:eastAsia="宋体"/>
          <w:b/>
          <w:color w:val="000000"/>
          <w:sz w:val="32"/>
          <w:szCs w:val="32"/>
          <w:lang w:val="en-US" w:eastAsia="zh-CN"/>
        </w:rPr>
      </w:pPr>
      <w:r>
        <w:fldChar w:fldCharType="begin"/>
      </w:r>
      <w:r>
        <w:instrText xml:space="preserve"> HYPERLINK \l "_Toc50046896" </w:instrText>
      </w:r>
      <w:r>
        <w:fldChar w:fldCharType="separate"/>
      </w:r>
      <w:r>
        <w:rPr>
          <w:rStyle w:val="28"/>
          <w:rFonts w:hint="eastAsia" w:ascii="宋体" w:hAnsi="宋体" w:cs="宋体"/>
          <w:b/>
          <w:bCs/>
          <w:color w:val="000000"/>
          <w:sz w:val="32"/>
          <w:szCs w:val="32"/>
        </w:rPr>
        <w:t>第七部分</w:t>
      </w:r>
      <w:r>
        <w:rPr>
          <w:rStyle w:val="28"/>
          <w:rFonts w:ascii="宋体" w:hAnsi="宋体" w:cs="宋体"/>
          <w:b/>
          <w:bCs/>
          <w:color w:val="000000"/>
          <w:sz w:val="32"/>
          <w:szCs w:val="32"/>
        </w:rPr>
        <w:t xml:space="preserve">  </w:t>
      </w:r>
      <w:r>
        <w:rPr>
          <w:rStyle w:val="28"/>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7</w:t>
      </w:r>
      <w:r>
        <w:rPr>
          <w:rFonts w:ascii="宋体" w:hAnsi="宋体"/>
          <w:b/>
          <w:color w:val="000000"/>
          <w:sz w:val="32"/>
          <w:szCs w:val="32"/>
        </w:rPr>
        <w:fldChar w:fldCharType="end"/>
      </w:r>
      <w:r>
        <w:rPr>
          <w:rFonts w:hint="eastAsia" w:ascii="宋体" w:hAnsi="宋体"/>
          <w:b/>
          <w:color w:val="000000"/>
          <w:sz w:val="32"/>
          <w:szCs w:val="32"/>
          <w:lang w:val="en-US" w:eastAsia="zh-CN"/>
        </w:rPr>
        <w:t>0</w:t>
      </w:r>
    </w:p>
    <w:p w14:paraId="07F76A6C">
      <w:pPr>
        <w:snapToGrid w:val="0"/>
        <w:spacing w:line="600" w:lineRule="exact"/>
        <w:rPr>
          <w:rFonts w:ascii="宋体"/>
          <w:b/>
          <w:bCs/>
          <w:color w:val="000000"/>
          <w:sz w:val="32"/>
          <w:szCs w:val="32"/>
        </w:rPr>
        <w:sectPr>
          <w:footerReference r:id="rId5" w:type="first"/>
          <w:headerReference r:id="rId3" w:type="default"/>
          <w:footerReference r:id="rId4" w:type="default"/>
          <w:pgSz w:w="11907" w:h="16840"/>
          <w:pgMar w:top="1134" w:right="1247" w:bottom="1134" w:left="1247" w:header="1134" w:footer="1134" w:gutter="0"/>
          <w:pgNumType w:fmt="decimal" w:start="1"/>
          <w:cols w:space="720" w:num="1"/>
          <w:docGrid w:linePitch="285" w:charSpace="0"/>
        </w:sectPr>
      </w:pPr>
      <w:r>
        <w:rPr>
          <w:rFonts w:ascii="宋体" w:hAnsi="宋体" w:cs="宋体"/>
          <w:b/>
          <w:color w:val="000000"/>
          <w:sz w:val="32"/>
          <w:szCs w:val="32"/>
        </w:rPr>
        <w:fldChar w:fldCharType="end"/>
      </w:r>
    </w:p>
    <w:p w14:paraId="2B560BCF">
      <w:pPr>
        <w:numPr>
          <w:ilvl w:val="0"/>
          <w:numId w:val="2"/>
        </w:numPr>
        <w:spacing w:line="420" w:lineRule="exact"/>
        <w:jc w:val="center"/>
        <w:outlineLvl w:val="0"/>
        <w:rPr>
          <w:rFonts w:ascii="宋体" w:hAnsi="宋体" w:cs="宋体"/>
          <w:b/>
          <w:bCs/>
          <w:color w:val="000000"/>
          <w:sz w:val="30"/>
          <w:szCs w:val="30"/>
        </w:rPr>
      </w:pPr>
      <w:r>
        <w:rPr>
          <w:rFonts w:hint="eastAsia" w:ascii="宋体" w:hAnsi="宋体" w:cs="宋体"/>
          <w:b/>
          <w:bCs/>
          <w:color w:val="000000"/>
          <w:sz w:val="30"/>
          <w:szCs w:val="30"/>
        </w:rPr>
        <w:t>竞争性磋商公告</w:t>
      </w:r>
    </w:p>
    <w:p w14:paraId="6B554CE0">
      <w:pPr>
        <w:pStyle w:val="6"/>
        <w:ind w:firstLine="0" w:firstLineChars="0"/>
      </w:pPr>
    </w:p>
    <w:tbl>
      <w:tblPr>
        <w:tblStyle w:val="24"/>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6F4D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890" w:type="dxa"/>
          </w:tcPr>
          <w:p w14:paraId="38D8F3E0">
            <w:pPr>
              <w:spacing w:line="360" w:lineRule="exact"/>
              <w:rPr>
                <w:rFonts w:ascii="宋体" w:hAnsi="宋体"/>
                <w:b/>
                <w:bCs/>
                <w:color w:val="auto"/>
              </w:rPr>
            </w:pPr>
            <w:r>
              <w:rPr>
                <w:rFonts w:hint="eastAsia" w:ascii="宋体" w:hAnsi="宋体"/>
                <w:b/>
                <w:bCs/>
                <w:color w:val="auto"/>
              </w:rPr>
              <w:t>项目概况</w:t>
            </w:r>
          </w:p>
          <w:p w14:paraId="036DC378">
            <w:pPr>
              <w:spacing w:line="360" w:lineRule="exact"/>
              <w:ind w:firstLine="420" w:firstLineChars="200"/>
              <w:rPr>
                <w:color w:val="auto"/>
              </w:rPr>
            </w:pPr>
            <w:r>
              <w:rPr>
                <w:rFonts w:hint="eastAsia" w:ascii="宋体" w:hAnsi="宋体"/>
                <w:color w:val="auto"/>
                <w:u w:val="single"/>
                <w:lang w:eastAsia="zh-CN"/>
              </w:rPr>
              <w:t>梅山街道农村污水管网养护项目</w:t>
            </w:r>
            <w:r>
              <w:rPr>
                <w:rFonts w:hint="eastAsia" w:ascii="宋体" w:hAnsi="宋体"/>
                <w:color w:val="auto"/>
              </w:rPr>
              <w:t>的潜在</w:t>
            </w:r>
            <w:r>
              <w:rPr>
                <w:rFonts w:hint="eastAsia" w:ascii="宋体" w:hAnsi="宋体"/>
                <w:color w:val="auto"/>
                <w:lang w:val="en-US" w:eastAsia="zh-CN"/>
              </w:rPr>
              <w:t>供应商</w:t>
            </w:r>
            <w:r>
              <w:rPr>
                <w:rFonts w:hint="eastAsia" w:ascii="宋体" w:hAnsi="宋体"/>
                <w:color w:val="auto"/>
              </w:rPr>
              <w:t>应在</w:t>
            </w:r>
            <w:r>
              <w:rPr>
                <w:rFonts w:hint="eastAsia" w:ascii="宋体" w:hAnsi="宋体"/>
                <w:color w:val="auto"/>
                <w:u w:val="single"/>
              </w:rPr>
              <w:t>政府采购云平台（www.zcygov.cn）</w:t>
            </w:r>
            <w:r>
              <w:rPr>
                <w:rFonts w:hint="eastAsia" w:ascii="宋体" w:hAnsi="宋体"/>
                <w:color w:val="auto"/>
              </w:rPr>
              <w:t>获取（下载）</w:t>
            </w:r>
            <w:r>
              <w:rPr>
                <w:rFonts w:hint="eastAsia" w:ascii="宋体" w:hAnsi="宋体"/>
                <w:color w:val="auto"/>
                <w:lang w:val="en-US" w:eastAsia="zh-CN"/>
              </w:rPr>
              <w:t>采购</w:t>
            </w:r>
            <w:r>
              <w:rPr>
                <w:rFonts w:hint="eastAsia" w:ascii="宋体" w:hAnsi="宋体"/>
                <w:color w:val="auto"/>
              </w:rPr>
              <w:t>文件，并于</w:t>
            </w:r>
            <w:r>
              <w:rPr>
                <w:rFonts w:hint="eastAsia" w:ascii="宋体" w:hAnsi="宋体"/>
                <w:color w:val="auto"/>
                <w:u w:val="single"/>
                <w:lang w:eastAsia="zh-CN"/>
              </w:rPr>
              <w:t>202</w:t>
            </w:r>
            <w:r>
              <w:rPr>
                <w:rFonts w:hint="eastAsia" w:ascii="宋体" w:hAnsi="宋体"/>
                <w:color w:val="auto"/>
                <w:u w:val="single"/>
                <w:lang w:val="en-US" w:eastAsia="zh-CN"/>
              </w:rPr>
              <w:t>5</w:t>
            </w:r>
            <w:r>
              <w:rPr>
                <w:rFonts w:hint="eastAsia" w:ascii="宋体" w:hAnsi="宋体"/>
                <w:color w:val="auto"/>
                <w:u w:val="single"/>
              </w:rPr>
              <w:t>年</w:t>
            </w:r>
            <w:r>
              <w:rPr>
                <w:rFonts w:hint="eastAsia" w:ascii="宋体" w:hAnsi="宋体"/>
                <w:color w:val="auto"/>
                <w:u w:val="single"/>
                <w:lang w:val="en-US" w:eastAsia="zh-CN"/>
              </w:rPr>
              <w:t>01</w:t>
            </w:r>
            <w:r>
              <w:rPr>
                <w:rFonts w:hint="eastAsia" w:ascii="宋体" w:hAnsi="宋体"/>
                <w:color w:val="auto"/>
                <w:u w:val="single"/>
              </w:rPr>
              <w:t>月</w:t>
            </w:r>
            <w:r>
              <w:rPr>
                <w:rFonts w:hint="eastAsia" w:ascii="宋体" w:hAnsi="宋体"/>
                <w:color w:val="auto"/>
                <w:u w:val="single"/>
                <w:lang w:val="en-US" w:eastAsia="zh-CN"/>
              </w:rPr>
              <w:t>21</w:t>
            </w:r>
            <w:r>
              <w:rPr>
                <w:rFonts w:hint="eastAsia" w:ascii="宋体" w:hAnsi="宋体"/>
                <w:color w:val="auto"/>
                <w:u w:val="single"/>
              </w:rPr>
              <w:t>日</w:t>
            </w:r>
            <w:r>
              <w:rPr>
                <w:rFonts w:hint="eastAsia" w:ascii="宋体" w:hAnsi="宋体"/>
                <w:color w:val="auto"/>
                <w:u w:val="single"/>
                <w:lang w:val="en-US" w:eastAsia="zh-CN"/>
              </w:rPr>
              <w:t>13</w:t>
            </w:r>
            <w:r>
              <w:rPr>
                <w:rFonts w:hint="eastAsia" w:ascii="宋体" w:hAnsi="宋体"/>
                <w:color w:val="auto"/>
                <w:u w:val="single"/>
              </w:rPr>
              <w:t>点00分</w:t>
            </w:r>
            <w:r>
              <w:rPr>
                <w:rFonts w:hint="eastAsia" w:ascii="宋体" w:hAnsi="宋体"/>
                <w:color w:val="auto"/>
              </w:rPr>
              <w:t>（北京时间）前递交（上传）</w:t>
            </w:r>
            <w:r>
              <w:rPr>
                <w:rFonts w:hint="eastAsia" w:ascii="宋体" w:hAnsi="宋体"/>
                <w:color w:val="auto"/>
                <w:lang w:val="en-US" w:eastAsia="zh-CN"/>
              </w:rPr>
              <w:t>响应</w:t>
            </w:r>
            <w:r>
              <w:rPr>
                <w:rFonts w:hint="eastAsia" w:ascii="宋体" w:hAnsi="宋体"/>
                <w:color w:val="auto"/>
              </w:rPr>
              <w:t>文件。</w:t>
            </w:r>
          </w:p>
        </w:tc>
      </w:tr>
    </w:tbl>
    <w:p w14:paraId="31EB4CD5">
      <w:pPr>
        <w:pStyle w:val="4"/>
        <w:keepNext w:val="0"/>
        <w:keepLines w:val="0"/>
        <w:widowControl/>
        <w:tabs>
          <w:tab w:val="left" w:pos="636"/>
          <w:tab w:val="clear" w:pos="1620"/>
        </w:tabs>
        <w:spacing w:before="120" w:after="120" w:line="312" w:lineRule="auto"/>
        <w:ind w:left="420" w:leftChars="200" w:firstLine="0"/>
        <w:jc w:val="left"/>
        <w:rPr>
          <w:color w:val="auto"/>
          <w:highlight w:val="none"/>
        </w:rPr>
      </w:pPr>
      <w:r>
        <w:rPr>
          <w:rFonts w:hint="eastAsia"/>
          <w:color w:val="auto"/>
          <w:highlight w:val="none"/>
        </w:rPr>
        <w:t>一、项目基本情况</w:t>
      </w:r>
    </w:p>
    <w:p w14:paraId="72CC7867">
      <w:pPr>
        <w:spacing w:line="312"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项目编号：</w:t>
      </w:r>
      <w:r>
        <w:rPr>
          <w:rFonts w:hint="eastAsia" w:ascii="宋体" w:hAnsi="宋体" w:cs="宋体"/>
          <w:color w:val="auto"/>
          <w:highlight w:val="none"/>
          <w:shd w:val="clear" w:color="auto" w:fill="FFFFFF"/>
          <w:lang w:eastAsia="zh-CN"/>
        </w:rPr>
        <w:t>KLDL2024074</w:t>
      </w:r>
    </w:p>
    <w:p w14:paraId="6EEDEDBA">
      <w:pPr>
        <w:spacing w:line="312" w:lineRule="auto"/>
        <w:ind w:firstLine="42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项目名称：</w:t>
      </w:r>
      <w:r>
        <w:rPr>
          <w:rFonts w:hint="eastAsia" w:ascii="宋体" w:hAnsi="宋体"/>
          <w:color w:val="auto"/>
          <w:highlight w:val="none"/>
          <w:lang w:eastAsia="zh-CN"/>
        </w:rPr>
        <w:t>梅山街道农村污水管网养护项目</w:t>
      </w:r>
      <w:r>
        <w:rPr>
          <w:rFonts w:hint="eastAsia" w:ascii="宋体" w:hAnsi="宋体"/>
          <w:color w:val="auto"/>
          <w:highlight w:val="none"/>
        </w:rPr>
        <w:t xml:space="preserve"> </w:t>
      </w:r>
    </w:p>
    <w:p w14:paraId="4581F759">
      <w:pPr>
        <w:spacing w:line="312" w:lineRule="auto"/>
        <w:ind w:firstLine="42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采购方式：竞争性磋商</w:t>
      </w:r>
    </w:p>
    <w:p w14:paraId="1D1B4C10">
      <w:pPr>
        <w:spacing w:line="312" w:lineRule="auto"/>
        <w:ind w:firstLine="420" w:firstLineChars="200"/>
        <w:rPr>
          <w:rFonts w:hint="default"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543328元</w:t>
      </w:r>
    </w:p>
    <w:p w14:paraId="14C12460">
      <w:pPr>
        <w:spacing w:line="312" w:lineRule="auto"/>
        <w:ind w:firstLine="420" w:firstLineChars="200"/>
        <w:rPr>
          <w:rFonts w:hint="eastAsia" w:ascii="宋体" w:hAnsi="宋体" w:eastAsia="宋体" w:cs="宋体"/>
          <w:color w:val="000000"/>
          <w:highlight w:val="none"/>
          <w:shd w:val="clear" w:color="auto" w:fill="FFFFFF"/>
          <w:lang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eastAsia="zh-CN"/>
        </w:rPr>
        <w:t>543328元</w:t>
      </w:r>
    </w:p>
    <w:p w14:paraId="3223A7F7">
      <w:pPr>
        <w:spacing w:line="312" w:lineRule="auto"/>
        <w:ind w:firstLine="42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6E12731A">
      <w:pPr>
        <w:spacing w:line="312" w:lineRule="auto"/>
        <w:ind w:left="210" w:leftChars="100" w:firstLine="210" w:firstLineChars="100"/>
        <w:rPr>
          <w:rFonts w:hint="eastAsia" w:ascii="宋体" w:hAnsi="宋体" w:eastAsia="宋体" w:cs="宋体"/>
          <w:color w:val="000000"/>
          <w:highlight w:val="none"/>
          <w:shd w:val="clear" w:color="auto" w:fill="FFFFFF"/>
          <w:lang w:eastAsia="zh-CN"/>
        </w:rPr>
      </w:pPr>
      <w:r>
        <w:rPr>
          <w:rFonts w:hint="eastAsia" w:ascii="宋体" w:hAnsi="宋体" w:cs="宋体"/>
          <w:color w:val="000000"/>
          <w:highlight w:val="none"/>
          <w:shd w:val="clear" w:color="auto" w:fill="FFFFFF"/>
        </w:rPr>
        <w:t>数量：</w:t>
      </w:r>
      <w:r>
        <w:rPr>
          <w:rFonts w:hint="eastAsia" w:ascii="宋体" w:hAnsi="宋体" w:cs="宋体"/>
          <w:color w:val="000000"/>
          <w:highlight w:val="none"/>
          <w:shd w:val="clear" w:color="auto" w:fill="FFFFFF"/>
          <w:lang w:val="en-US" w:eastAsia="zh-CN"/>
        </w:rPr>
        <w:t>1</w:t>
      </w:r>
    </w:p>
    <w:p w14:paraId="1C6F2FDC">
      <w:pPr>
        <w:spacing w:line="312" w:lineRule="auto"/>
        <w:ind w:firstLine="420" w:firstLineChars="200"/>
        <w:rPr>
          <w:rFonts w:hint="eastAsia" w:ascii="宋体" w:hAnsi="宋体" w:eastAsia="宋体" w:cs="宋体"/>
          <w:color w:val="000000"/>
          <w:highlight w:val="none"/>
          <w:shd w:val="clear" w:color="auto" w:fill="FFFFFF"/>
          <w:lang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eastAsia="zh-CN"/>
        </w:rPr>
        <w:t>543328元</w:t>
      </w:r>
    </w:p>
    <w:p w14:paraId="5E752361">
      <w:pPr>
        <w:spacing w:line="312" w:lineRule="auto"/>
        <w:ind w:firstLine="42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简要规格描述：梅山街道6座农村生活污水处理终端、16座提升井、45166公里污水管网（实际范围以农户围墙为界，自农户围墙始，至下游纳厂管道末端检查井或集中处理终端出水口）日常养护、维修</w:t>
      </w:r>
      <w:r>
        <w:rPr>
          <w:rFonts w:hint="eastAsia" w:ascii="宋体" w:hAnsi="宋体" w:cs="宋体"/>
          <w:color w:val="000000"/>
          <w:highlight w:val="none"/>
          <w:shd w:val="clear" w:color="auto" w:fill="FFFFFF"/>
          <w:lang w:eastAsia="zh-CN"/>
        </w:rPr>
        <w:t>。</w:t>
      </w:r>
      <w:r>
        <w:rPr>
          <w:rFonts w:hint="eastAsia" w:ascii="宋体" w:hAnsi="宋体" w:cs="宋体"/>
          <w:highlight w:val="none"/>
          <w:lang w:val="en-US" w:eastAsia="zh-CN"/>
        </w:rPr>
        <w:t>详见第五部分采购内容及具体要求</w:t>
      </w:r>
      <w:r>
        <w:rPr>
          <w:rFonts w:hint="eastAsia" w:ascii="宋体" w:hAnsi="宋体" w:cs="宋体"/>
          <w:color w:val="000000"/>
          <w:highlight w:val="none"/>
          <w:shd w:val="clear" w:color="auto" w:fill="FFFFFF"/>
        </w:rPr>
        <w:t>。</w:t>
      </w:r>
    </w:p>
    <w:p w14:paraId="48E6962C">
      <w:pPr>
        <w:spacing w:line="312" w:lineRule="auto"/>
        <w:ind w:firstLine="42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备注：/</w:t>
      </w:r>
    </w:p>
    <w:p w14:paraId="3FEA5AD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合同履约期限：</w:t>
      </w:r>
      <w:r>
        <w:rPr>
          <w:rFonts w:hint="eastAsia" w:ascii="宋体" w:hAnsi="宋体" w:cs="宋体"/>
          <w:color w:val="000000"/>
          <w:highlight w:val="none"/>
          <w:shd w:val="clear" w:color="auto" w:fill="FFFFFF"/>
          <w:lang w:eastAsia="zh-CN"/>
        </w:rPr>
        <w:t>1年，具体以合同约定时间为准</w:t>
      </w:r>
      <w:r>
        <w:rPr>
          <w:rFonts w:hint="eastAsia" w:ascii="宋体" w:hAnsi="宋体" w:cs="宋体"/>
          <w:color w:val="000000"/>
          <w:highlight w:val="none"/>
        </w:rPr>
        <w:t>。</w:t>
      </w:r>
    </w:p>
    <w:p w14:paraId="18CB4189">
      <w:pPr>
        <w:spacing w:line="312" w:lineRule="auto"/>
        <w:ind w:firstLine="42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本项目（否）接受联合体</w:t>
      </w:r>
      <w:r>
        <w:rPr>
          <w:rFonts w:hint="eastAsia" w:ascii="宋体" w:hAnsi="宋体" w:cs="宋体"/>
          <w:color w:val="000000"/>
          <w:highlight w:val="none"/>
          <w:shd w:val="clear" w:color="auto" w:fill="FFFFFF"/>
          <w:lang w:val="en-US" w:eastAsia="zh-CN"/>
        </w:rPr>
        <w:t>响应</w:t>
      </w:r>
      <w:r>
        <w:rPr>
          <w:rFonts w:hint="eastAsia" w:ascii="宋体" w:hAnsi="宋体" w:cs="宋体"/>
          <w:color w:val="000000"/>
          <w:highlight w:val="none"/>
          <w:shd w:val="clear" w:color="auto" w:fill="FFFFFF"/>
        </w:rPr>
        <w:t>。</w:t>
      </w:r>
    </w:p>
    <w:p w14:paraId="119D8009">
      <w:pPr>
        <w:numPr>
          <w:ilvl w:val="0"/>
          <w:numId w:val="3"/>
        </w:numPr>
        <w:spacing w:line="312" w:lineRule="auto"/>
        <w:ind w:firstLine="422" w:firstLineChars="200"/>
        <w:rPr>
          <w:rFonts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55683F8C">
      <w:pPr>
        <w:spacing w:line="312" w:lineRule="auto"/>
        <w:ind w:firstLine="420" w:firstLineChars="200"/>
        <w:rPr>
          <w:rFonts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D3096A0">
      <w:pPr>
        <w:widowControl/>
        <w:spacing w:line="312" w:lineRule="auto"/>
        <w:ind w:firstLine="420" w:firstLineChars="200"/>
        <w:jc w:val="left"/>
        <w:rPr>
          <w:rFonts w:ascii="宋体" w:hAnsi="宋体" w:cs="宋体"/>
          <w:color w:val="000000"/>
          <w:highlight w:val="none"/>
        </w:rPr>
      </w:pPr>
      <w:r>
        <w:rPr>
          <w:rFonts w:hint="eastAsia" w:ascii="宋体" w:hAnsi="宋体" w:cs="宋体"/>
          <w:color w:val="000000"/>
          <w:highlight w:val="none"/>
        </w:rPr>
        <w:t>2.落实政府采购政策需满足的资格要求：本项目属于专门面向中小企业采购的项目，供应商应为符合《政府采购促进中小企业发展管理办法》（财库﹝2020﹞46 号）规定的中小企业（其中，小微企业包括视同为小型、微型企业的监狱企业、残疾人福利性单位。）。</w:t>
      </w:r>
    </w:p>
    <w:p w14:paraId="05DDE81F">
      <w:pPr>
        <w:widowControl/>
        <w:spacing w:line="312" w:lineRule="auto"/>
        <w:ind w:firstLine="420" w:firstLineChars="200"/>
        <w:jc w:val="left"/>
        <w:rPr>
          <w:rFonts w:ascii="宋体" w:hAnsi="宋体" w:eastAsia="等线" w:cs="宋体"/>
          <w:bCs/>
          <w:color w:val="000000"/>
          <w:kern w:val="0"/>
        </w:rPr>
      </w:pPr>
      <w:r>
        <w:rPr>
          <w:rFonts w:hint="eastAsia" w:ascii="宋体" w:hAnsi="宋体" w:cs="宋体"/>
          <w:bCs/>
          <w:color w:val="000000"/>
          <w:kern w:val="0"/>
        </w:rPr>
        <w:t>3.本项目的特定资格要求：无。</w:t>
      </w:r>
    </w:p>
    <w:p w14:paraId="51485BB5">
      <w:pPr>
        <w:widowControl/>
        <w:spacing w:line="312" w:lineRule="auto"/>
        <w:ind w:firstLine="420" w:firstLineChars="200"/>
        <w:jc w:val="left"/>
        <w:rPr>
          <w:rFonts w:ascii="宋体" w:hAnsi="宋体" w:cs="宋体"/>
          <w:color w:val="000000"/>
          <w:kern w:val="0"/>
        </w:rPr>
      </w:pPr>
      <w:r>
        <w:rPr>
          <w:rFonts w:hint="eastAsia" w:ascii="宋体" w:hAnsi="宋体" w:cs="宋体"/>
          <w:color w:val="000000"/>
          <w:kern w:val="0"/>
        </w:rPr>
        <w:t>4.本项目实行资格后审。</w:t>
      </w:r>
    </w:p>
    <w:p w14:paraId="2E742BC0">
      <w:pPr>
        <w:spacing w:line="312" w:lineRule="auto"/>
        <w:ind w:firstLine="422" w:firstLineChars="200"/>
        <w:rPr>
          <w:rFonts w:ascii="宋体" w:hAnsi="宋体" w:cs="宋体"/>
          <w:b/>
          <w:bCs/>
          <w:color w:val="auto"/>
        </w:rPr>
      </w:pPr>
      <w:r>
        <w:rPr>
          <w:rFonts w:hint="eastAsia" w:ascii="宋体" w:hAnsi="宋体" w:cs="宋体"/>
          <w:b/>
          <w:bCs/>
          <w:color w:val="000000"/>
        </w:rPr>
        <w:t>三、</w:t>
      </w:r>
      <w:r>
        <w:rPr>
          <w:rFonts w:hint="eastAsia" w:ascii="宋体" w:hAnsi="宋体" w:cs="宋体"/>
          <w:b/>
          <w:bCs/>
          <w:color w:val="auto"/>
        </w:rPr>
        <w:t>获取（下载）采购文件</w:t>
      </w:r>
    </w:p>
    <w:p w14:paraId="01A5CCDA">
      <w:pPr>
        <w:widowControl/>
        <w:spacing w:line="312" w:lineRule="auto"/>
        <w:ind w:firstLine="420" w:firstLineChars="200"/>
        <w:jc w:val="left"/>
        <w:rPr>
          <w:rFonts w:ascii="宋体" w:hAnsi="宋体" w:cs="宋体"/>
          <w:color w:val="auto"/>
        </w:rPr>
      </w:pPr>
      <w:r>
        <w:rPr>
          <w:rFonts w:hint="eastAsia" w:ascii="宋体" w:hAnsi="宋体" w:cs="宋体"/>
          <w:color w:val="auto"/>
        </w:rPr>
        <w:t>时间：</w:t>
      </w:r>
      <w:r>
        <w:rPr>
          <w:rFonts w:hint="eastAsia" w:ascii="宋体" w:hAnsi="宋体" w:cs="宋体"/>
          <w:color w:val="auto"/>
          <w:lang w:eastAsia="zh-CN"/>
        </w:rPr>
        <w:t>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10</w:t>
      </w:r>
      <w:r>
        <w:rPr>
          <w:rFonts w:hint="eastAsia" w:ascii="宋体" w:hAnsi="宋体" w:cs="宋体"/>
          <w:color w:val="auto"/>
        </w:rPr>
        <w:t>日至</w:t>
      </w:r>
      <w:r>
        <w:rPr>
          <w:rFonts w:hint="eastAsia" w:ascii="宋体" w:hAnsi="宋体" w:cs="宋体"/>
          <w:color w:val="auto"/>
          <w:lang w:eastAsia="zh-CN"/>
        </w:rPr>
        <w:t>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日，每天上午00:00至12:00，下午12:00至23:59（北京时间，线上获取法定节假日均可，线下获取文件法定节假日除外）</w:t>
      </w:r>
    </w:p>
    <w:p w14:paraId="425DC3E6">
      <w:pPr>
        <w:widowControl/>
        <w:spacing w:line="312" w:lineRule="auto"/>
        <w:ind w:firstLine="420" w:firstLineChars="200"/>
        <w:jc w:val="left"/>
        <w:rPr>
          <w:rFonts w:ascii="宋体" w:hAnsi="宋体" w:cs="宋体"/>
          <w:color w:val="auto"/>
        </w:rPr>
      </w:pPr>
      <w:r>
        <w:rPr>
          <w:rFonts w:hint="eastAsia" w:ascii="宋体" w:hAnsi="宋体" w:cs="宋体"/>
          <w:color w:val="auto"/>
        </w:rPr>
        <w:t xml:space="preserve">地点（网址）：政府采购云平台（www.zcygov.cn） </w:t>
      </w:r>
    </w:p>
    <w:p w14:paraId="74F83526">
      <w:pPr>
        <w:widowControl/>
        <w:spacing w:line="312" w:lineRule="auto"/>
        <w:ind w:firstLine="420" w:firstLineChars="200"/>
        <w:jc w:val="left"/>
        <w:rPr>
          <w:rFonts w:ascii="宋体" w:hAnsi="宋体" w:cs="宋体"/>
          <w:color w:val="auto"/>
        </w:rPr>
      </w:pPr>
      <w:r>
        <w:rPr>
          <w:rFonts w:hint="eastAsia" w:ascii="宋体" w:hAnsi="宋体" w:cs="宋体"/>
          <w:color w:val="auto"/>
        </w:rPr>
        <w:t xml:space="preserve">方式：在线获取 </w:t>
      </w:r>
    </w:p>
    <w:p w14:paraId="1225131A">
      <w:pPr>
        <w:widowControl/>
        <w:spacing w:line="312" w:lineRule="auto"/>
        <w:ind w:firstLine="420" w:firstLineChars="200"/>
        <w:jc w:val="left"/>
        <w:rPr>
          <w:rFonts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采购</w:t>
      </w:r>
      <w:r>
        <w:rPr>
          <w:rFonts w:hint="eastAsia" w:ascii="宋体" w:hAnsi="宋体" w:cs="宋体"/>
          <w:color w:val="000000"/>
        </w:rPr>
        <w:t>文件实行“政府采购云平台”在线获取，不提供</w:t>
      </w:r>
      <w:r>
        <w:rPr>
          <w:rFonts w:hint="eastAsia" w:ascii="宋体" w:hAnsi="宋体" w:cs="宋体"/>
          <w:color w:val="000000"/>
          <w:lang w:val="en-US" w:eastAsia="zh-CN"/>
        </w:rPr>
        <w:t>采购</w:t>
      </w:r>
      <w:r>
        <w:rPr>
          <w:rFonts w:hint="eastAsia" w:ascii="宋体" w:hAnsi="宋体" w:cs="宋体"/>
          <w:color w:val="000000"/>
        </w:rPr>
        <w:t>文件纸质版。供应商获取</w:t>
      </w:r>
      <w:r>
        <w:rPr>
          <w:rFonts w:hint="eastAsia" w:ascii="宋体" w:hAnsi="宋体" w:cs="宋体"/>
          <w:color w:val="000000"/>
          <w:lang w:val="en-US" w:eastAsia="zh-CN"/>
        </w:rPr>
        <w:t>采购</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采购</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w:t>
      </w:r>
      <w:r>
        <w:rPr>
          <w:rFonts w:hint="eastAsia" w:ascii="宋体" w:hAnsi="宋体" w:cs="宋体"/>
          <w:color w:val="000000"/>
          <w:lang w:val="en-US" w:eastAsia="zh-CN"/>
        </w:rPr>
        <w:t>采购</w:t>
      </w:r>
      <w:r>
        <w:rPr>
          <w:rFonts w:hint="eastAsia" w:ascii="宋体" w:hAnsi="宋体" w:cs="宋体"/>
          <w:color w:val="000000"/>
        </w:rPr>
        <w:t>公告附件内的</w:t>
      </w:r>
      <w:r>
        <w:rPr>
          <w:rFonts w:hint="eastAsia" w:ascii="宋体" w:hAnsi="宋体" w:cs="宋体"/>
          <w:color w:val="000000"/>
          <w:lang w:val="en-US" w:eastAsia="zh-CN"/>
        </w:rPr>
        <w:t>采购</w:t>
      </w:r>
      <w:r>
        <w:rPr>
          <w:rFonts w:hint="eastAsia" w:ascii="宋体" w:hAnsi="宋体" w:cs="宋体"/>
          <w:color w:val="000000"/>
        </w:rPr>
        <w:t>文件仅供阅览使用，</w:t>
      </w:r>
      <w:r>
        <w:rPr>
          <w:rFonts w:hint="eastAsia" w:ascii="宋体" w:hAnsi="宋体" w:cs="宋体"/>
          <w:color w:val="000000"/>
          <w:lang w:val="en-US" w:eastAsia="zh-CN"/>
        </w:rPr>
        <w:t>供应商</w:t>
      </w:r>
      <w:r>
        <w:rPr>
          <w:rFonts w:hint="eastAsia" w:ascii="宋体" w:hAnsi="宋体" w:cs="宋体"/>
          <w:color w:val="000000"/>
        </w:rPr>
        <w:t>只有在“政府采购云平台”完成获取</w:t>
      </w:r>
      <w:r>
        <w:rPr>
          <w:rFonts w:hint="eastAsia" w:ascii="宋体" w:hAnsi="宋体" w:cs="宋体"/>
          <w:color w:val="000000"/>
          <w:lang w:val="en-US" w:eastAsia="zh-CN"/>
        </w:rPr>
        <w:t>采购</w:t>
      </w:r>
      <w:r>
        <w:rPr>
          <w:rFonts w:hint="eastAsia" w:ascii="宋体" w:hAnsi="宋体" w:cs="宋体"/>
          <w:color w:val="000000"/>
        </w:rPr>
        <w:t>文件申请并下载了</w:t>
      </w:r>
      <w:r>
        <w:rPr>
          <w:rFonts w:hint="eastAsia" w:ascii="宋体" w:hAnsi="宋体" w:cs="宋体"/>
          <w:color w:val="000000"/>
          <w:lang w:val="en-US" w:eastAsia="zh-CN"/>
        </w:rPr>
        <w:t>采购</w:t>
      </w:r>
      <w:r>
        <w:rPr>
          <w:rFonts w:hint="eastAsia" w:ascii="宋体" w:hAnsi="宋体" w:cs="宋体"/>
          <w:color w:val="000000"/>
        </w:rPr>
        <w:t>文件后才视作依法获取</w:t>
      </w:r>
      <w:r>
        <w:rPr>
          <w:rFonts w:hint="eastAsia" w:ascii="宋体" w:hAnsi="宋体" w:cs="宋体"/>
          <w:color w:val="000000"/>
          <w:lang w:val="en-US" w:eastAsia="zh-CN"/>
        </w:rPr>
        <w:t>采购</w:t>
      </w:r>
      <w:r>
        <w:rPr>
          <w:rFonts w:hint="eastAsia" w:ascii="宋体" w:hAnsi="宋体" w:cs="宋体"/>
          <w:color w:val="000000"/>
        </w:rPr>
        <w:t>文件（法律法规所指的供应商获取</w:t>
      </w:r>
      <w:r>
        <w:rPr>
          <w:rFonts w:hint="eastAsia" w:ascii="宋体" w:hAnsi="宋体" w:cs="宋体"/>
          <w:color w:val="000000"/>
          <w:lang w:val="en-US" w:eastAsia="zh-CN"/>
        </w:rPr>
        <w:t>采购</w:t>
      </w:r>
      <w:r>
        <w:rPr>
          <w:rFonts w:hint="eastAsia" w:ascii="宋体" w:hAnsi="宋体" w:cs="宋体"/>
          <w:color w:val="000000"/>
        </w:rPr>
        <w:t>文件时间以供应商完成获取</w:t>
      </w:r>
      <w:r>
        <w:rPr>
          <w:rFonts w:hint="eastAsia" w:ascii="宋体" w:hAnsi="宋体" w:cs="宋体"/>
          <w:color w:val="000000"/>
          <w:lang w:val="en-US" w:eastAsia="zh-CN"/>
        </w:rPr>
        <w:t>采购</w:t>
      </w:r>
      <w:r>
        <w:rPr>
          <w:rFonts w:hint="eastAsia" w:ascii="宋体" w:hAnsi="宋体" w:cs="宋体"/>
          <w:color w:val="000000"/>
        </w:rPr>
        <w:t>文件申请后下载</w:t>
      </w:r>
      <w:r>
        <w:rPr>
          <w:rFonts w:hint="eastAsia" w:ascii="宋体" w:hAnsi="宋体" w:cs="宋体"/>
          <w:color w:val="000000"/>
          <w:lang w:val="en-US" w:eastAsia="zh-CN"/>
        </w:rPr>
        <w:t>采购</w:t>
      </w:r>
      <w:r>
        <w:rPr>
          <w:rFonts w:hint="eastAsia" w:ascii="宋体" w:hAnsi="宋体" w:cs="宋体"/>
          <w:color w:val="000000"/>
        </w:rPr>
        <w:t>文件的时间为准），未在规定的采购文件提供期限内或未按上述方式获取采购文件的，其</w:t>
      </w:r>
      <w:r>
        <w:rPr>
          <w:rFonts w:hint="eastAsia" w:ascii="宋体" w:hAnsi="宋体" w:cs="宋体"/>
          <w:color w:val="000000"/>
          <w:lang w:val="en-US" w:eastAsia="zh-CN"/>
        </w:rPr>
        <w:t>响应</w:t>
      </w:r>
      <w:r>
        <w:rPr>
          <w:rFonts w:hint="eastAsia" w:ascii="宋体" w:hAnsi="宋体" w:cs="宋体"/>
          <w:color w:val="000000"/>
        </w:rPr>
        <w:t>均视为无效，并不得对采购文件提起质疑投诉。注：请供应商按上述要求获取</w:t>
      </w:r>
      <w:r>
        <w:rPr>
          <w:rFonts w:hint="eastAsia" w:ascii="宋体" w:hAnsi="宋体" w:cs="宋体"/>
          <w:color w:val="000000"/>
          <w:lang w:val="en-US" w:eastAsia="zh-CN"/>
        </w:rPr>
        <w:t>采购</w:t>
      </w:r>
      <w:r>
        <w:rPr>
          <w:rFonts w:hint="eastAsia" w:ascii="宋体" w:hAnsi="宋体" w:cs="宋体"/>
          <w:color w:val="000000"/>
        </w:rPr>
        <w:t>文件，如未在“政采云”系统内完成相关流程，引起</w:t>
      </w:r>
      <w:r>
        <w:rPr>
          <w:rFonts w:hint="eastAsia" w:ascii="宋体" w:hAnsi="宋体" w:cs="宋体"/>
          <w:color w:val="000000"/>
          <w:lang w:val="en-US" w:eastAsia="zh-CN"/>
        </w:rPr>
        <w:t>响应</w:t>
      </w:r>
      <w:r>
        <w:rPr>
          <w:rFonts w:hint="eastAsia" w:ascii="宋体" w:hAnsi="宋体" w:cs="宋体"/>
          <w:color w:val="000000"/>
        </w:rPr>
        <w:t>无效</w:t>
      </w:r>
      <w:r>
        <w:rPr>
          <w:rFonts w:hint="eastAsia" w:ascii="宋体" w:hAnsi="宋体" w:cs="宋体"/>
          <w:color w:val="000000"/>
          <w:lang w:val="en-US" w:eastAsia="zh-CN"/>
        </w:rPr>
        <w:t>的</w:t>
      </w:r>
      <w:r>
        <w:rPr>
          <w:rFonts w:hint="eastAsia" w:ascii="宋体" w:hAnsi="宋体" w:cs="宋体"/>
          <w:color w:val="000000"/>
        </w:rPr>
        <w:t xml:space="preserve">责任自负。 </w:t>
      </w:r>
    </w:p>
    <w:p w14:paraId="2E1F5615">
      <w:pPr>
        <w:widowControl/>
        <w:spacing w:line="312" w:lineRule="auto"/>
        <w:ind w:firstLine="420" w:firstLineChars="200"/>
        <w:jc w:val="left"/>
        <w:rPr>
          <w:rFonts w:ascii="宋体" w:hAnsi="宋体" w:cs="宋体"/>
          <w:color w:val="auto"/>
        </w:rPr>
      </w:pPr>
      <w:r>
        <w:rPr>
          <w:rFonts w:hint="eastAsia" w:ascii="宋体" w:hAnsi="宋体" w:cs="宋体"/>
          <w:color w:val="000000"/>
        </w:rPr>
        <w:t>售价（元）</w:t>
      </w:r>
      <w:r>
        <w:rPr>
          <w:rFonts w:hint="eastAsia" w:ascii="宋体" w:hAnsi="宋体" w:cs="宋体"/>
          <w:color w:val="auto"/>
        </w:rPr>
        <w:t>：0</w:t>
      </w:r>
    </w:p>
    <w:p w14:paraId="367993DA">
      <w:pPr>
        <w:widowControl/>
        <w:spacing w:line="312" w:lineRule="auto"/>
        <w:ind w:firstLine="422" w:firstLineChars="200"/>
        <w:jc w:val="left"/>
        <w:rPr>
          <w:rFonts w:ascii="宋体" w:hAnsi="宋体" w:cs="宋体"/>
          <w:b/>
          <w:bCs/>
          <w:color w:val="auto"/>
          <w:kern w:val="0"/>
        </w:rPr>
      </w:pPr>
      <w:r>
        <w:rPr>
          <w:rFonts w:hint="eastAsia" w:ascii="宋体" w:hAnsi="宋体" w:cs="宋体"/>
          <w:b/>
          <w:bCs/>
          <w:color w:val="auto"/>
          <w:kern w:val="0"/>
        </w:rPr>
        <w:t>四、响应文件提交</w:t>
      </w:r>
    </w:p>
    <w:p w14:paraId="41FE4749">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截止时间：</w:t>
      </w:r>
      <w:r>
        <w:rPr>
          <w:rFonts w:hint="eastAsia" w:ascii="宋体" w:hAnsi="宋体" w:cs="宋体"/>
          <w:color w:val="auto"/>
          <w:lang w:eastAsia="zh-CN"/>
        </w:rPr>
        <w:t>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w:t>
      </w:r>
      <w:r>
        <w:rPr>
          <w:rFonts w:hint="eastAsia" w:ascii="宋体" w:hAnsi="宋体" w:cs="宋体"/>
          <w:color w:val="auto"/>
          <w:kern w:val="0"/>
          <w:lang w:val="en-US" w:eastAsia="zh-CN"/>
        </w:rPr>
        <w:t>13</w:t>
      </w:r>
      <w:r>
        <w:rPr>
          <w:rFonts w:hint="eastAsia" w:ascii="宋体" w:hAnsi="宋体" w:cs="宋体"/>
          <w:color w:val="auto"/>
          <w:kern w:val="0"/>
        </w:rPr>
        <w:t>:00（北京时间）</w:t>
      </w:r>
    </w:p>
    <w:p w14:paraId="74921896">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地点（网址）：</w:t>
      </w:r>
      <w:r>
        <w:rPr>
          <w:rFonts w:hint="eastAsia" w:ascii="宋体" w:hAnsi="宋体" w:cs="宋体"/>
          <w:color w:val="auto"/>
        </w:rPr>
        <w:t>政府采购云平台（www.zcygov.cn）、</w:t>
      </w:r>
      <w:r>
        <w:rPr>
          <w:rFonts w:hint="eastAsia" w:ascii="宋体" w:hAnsi="宋体"/>
          <w:color w:val="auto"/>
        </w:rPr>
        <w:t>北仑区公共资源交易中心（宁波市北仑区长江路1166号北仑行政大楼B座三楼招投标中心交易厅，具体场所安排详见电子指示屏幕）</w:t>
      </w:r>
      <w:r>
        <w:rPr>
          <w:rFonts w:hint="eastAsia" w:ascii="宋体" w:hAnsi="宋体" w:cs="宋体"/>
          <w:color w:val="auto"/>
          <w:kern w:val="0"/>
        </w:rPr>
        <w:t>。</w:t>
      </w:r>
    </w:p>
    <w:p w14:paraId="67CD8E58">
      <w:pPr>
        <w:widowControl/>
        <w:spacing w:line="312" w:lineRule="auto"/>
        <w:ind w:firstLine="422" w:firstLineChars="200"/>
        <w:jc w:val="left"/>
        <w:rPr>
          <w:rFonts w:ascii="宋体" w:hAnsi="宋体" w:cs="宋体"/>
          <w:b/>
          <w:bCs/>
          <w:color w:val="auto"/>
          <w:kern w:val="0"/>
        </w:rPr>
      </w:pPr>
      <w:r>
        <w:rPr>
          <w:rFonts w:hint="eastAsia" w:ascii="宋体" w:hAnsi="宋体" w:cs="宋体"/>
          <w:b/>
          <w:bCs/>
          <w:color w:val="auto"/>
          <w:kern w:val="0"/>
        </w:rPr>
        <w:t>五、响应文件开启</w:t>
      </w:r>
    </w:p>
    <w:p w14:paraId="65C526FB">
      <w:pPr>
        <w:widowControl/>
        <w:spacing w:line="312" w:lineRule="auto"/>
        <w:ind w:firstLine="420" w:firstLineChars="200"/>
        <w:jc w:val="left"/>
        <w:rPr>
          <w:rFonts w:ascii="宋体" w:hAnsi="宋体" w:cs="宋体"/>
          <w:color w:val="auto"/>
          <w:kern w:val="0"/>
        </w:rPr>
      </w:pPr>
      <w:r>
        <w:rPr>
          <w:rFonts w:hint="eastAsia" w:ascii="宋体" w:hAnsi="宋体" w:cs="宋体"/>
          <w:color w:val="auto"/>
        </w:rPr>
        <w:t>开</w:t>
      </w:r>
      <w:r>
        <w:rPr>
          <w:rFonts w:hint="eastAsia" w:ascii="宋体" w:hAnsi="宋体"/>
          <w:color w:val="auto"/>
        </w:rPr>
        <w:t>启时间：</w:t>
      </w:r>
      <w:r>
        <w:rPr>
          <w:rFonts w:hint="eastAsia" w:ascii="宋体" w:hAnsi="宋体" w:cs="宋体"/>
          <w:color w:val="auto"/>
          <w:lang w:eastAsia="zh-CN"/>
        </w:rPr>
        <w:t>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01</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w:t>
      </w:r>
      <w:r>
        <w:rPr>
          <w:rFonts w:hint="eastAsia" w:ascii="宋体" w:hAnsi="宋体" w:cs="宋体"/>
          <w:color w:val="auto"/>
          <w:kern w:val="0"/>
          <w:lang w:val="en-US" w:eastAsia="zh-CN"/>
        </w:rPr>
        <w:t>13</w:t>
      </w:r>
      <w:r>
        <w:rPr>
          <w:rFonts w:hint="eastAsia" w:ascii="宋体" w:hAnsi="宋体" w:cs="宋体"/>
          <w:color w:val="auto"/>
          <w:kern w:val="0"/>
        </w:rPr>
        <w:t>:00</w:t>
      </w:r>
      <w:r>
        <w:rPr>
          <w:rFonts w:hint="eastAsia" w:ascii="宋体" w:hAnsi="宋体" w:cs="宋体"/>
          <w:color w:val="auto"/>
          <w:kern w:val="0"/>
          <w:lang w:eastAsia="zh-CN"/>
        </w:rPr>
        <w:t>（</w:t>
      </w:r>
      <w:r>
        <w:rPr>
          <w:rFonts w:hint="eastAsia" w:ascii="宋体" w:hAnsi="宋体" w:cs="宋体"/>
          <w:color w:val="auto"/>
          <w:kern w:val="0"/>
        </w:rPr>
        <w:t>北京时间）</w:t>
      </w:r>
    </w:p>
    <w:p w14:paraId="687329EE">
      <w:pPr>
        <w:widowControl/>
        <w:spacing w:line="312" w:lineRule="auto"/>
        <w:ind w:firstLine="420" w:firstLineChars="200"/>
        <w:jc w:val="left"/>
        <w:rPr>
          <w:rFonts w:ascii="宋体" w:hAnsi="宋体" w:cs="宋体"/>
          <w:color w:val="auto"/>
          <w:kern w:val="0"/>
        </w:rPr>
      </w:pPr>
      <w:r>
        <w:rPr>
          <w:rFonts w:hint="eastAsia" w:ascii="宋体" w:hAnsi="宋体" w:cs="宋体"/>
          <w:color w:val="auto"/>
          <w:kern w:val="0"/>
        </w:rPr>
        <w:t>地点（网址）：</w:t>
      </w:r>
      <w:r>
        <w:rPr>
          <w:rFonts w:hint="eastAsia" w:ascii="宋体" w:hAnsi="宋体" w:cs="宋体"/>
          <w:color w:val="auto"/>
        </w:rPr>
        <w:t>政府采购云平台（www.zcygov.cn）、</w:t>
      </w:r>
      <w:r>
        <w:rPr>
          <w:rFonts w:hint="eastAsia" w:ascii="宋体" w:hAnsi="宋体" w:cs="宋体"/>
          <w:color w:val="auto"/>
          <w:kern w:val="0"/>
        </w:rPr>
        <w:t>北仑区公共资源交易中心（宁波市北仑区长江路1166号北仑行政大楼B座三楼招投标中心交易厅，具体场所安排详见电子指示屏幕）。</w:t>
      </w:r>
    </w:p>
    <w:p w14:paraId="5C303D9C">
      <w:pPr>
        <w:pStyle w:val="8"/>
        <w:spacing w:line="312" w:lineRule="auto"/>
        <w:ind w:firstLine="422" w:firstLineChars="200"/>
        <w:rPr>
          <w:rFonts w:ascii="宋体" w:hAnsi="宋体" w:cs="宋体"/>
          <w:b/>
          <w:bCs/>
          <w:i w:val="0"/>
          <w:iCs w:val="0"/>
          <w:color w:val="auto"/>
          <w:kern w:val="0"/>
          <w:sz w:val="21"/>
          <w:szCs w:val="21"/>
        </w:rPr>
      </w:pPr>
      <w:r>
        <w:rPr>
          <w:rFonts w:hint="eastAsia" w:ascii="宋体" w:hAnsi="宋体" w:cs="宋体"/>
          <w:b/>
          <w:bCs/>
          <w:i w:val="0"/>
          <w:iCs w:val="0"/>
          <w:color w:val="auto"/>
          <w:kern w:val="0"/>
          <w:sz w:val="21"/>
          <w:szCs w:val="21"/>
        </w:rPr>
        <w:t>六、公告期限</w:t>
      </w:r>
    </w:p>
    <w:p w14:paraId="31384C8C">
      <w:pPr>
        <w:pStyle w:val="8"/>
        <w:spacing w:line="312" w:lineRule="auto"/>
        <w:ind w:firstLine="420" w:firstLineChars="200"/>
        <w:rPr>
          <w:rFonts w:hint="eastAsia" w:ascii="宋体" w:hAnsi="宋体" w:eastAsia="宋体" w:cs="宋体"/>
          <w:i w:val="0"/>
          <w:iCs w:val="0"/>
          <w:color w:val="auto"/>
          <w:kern w:val="0"/>
          <w:sz w:val="21"/>
          <w:szCs w:val="21"/>
          <w:lang w:eastAsia="zh-CN"/>
        </w:rPr>
      </w:pPr>
      <w:r>
        <w:rPr>
          <w:rFonts w:hint="eastAsia" w:ascii="宋体" w:hAnsi="宋体" w:cs="宋体"/>
          <w:i w:val="0"/>
          <w:iCs w:val="0"/>
          <w:color w:val="auto"/>
          <w:kern w:val="0"/>
          <w:sz w:val="21"/>
          <w:szCs w:val="21"/>
        </w:rPr>
        <w:t>自本公告发布之日起3个工作日。</w:t>
      </w:r>
    </w:p>
    <w:p w14:paraId="7EF9E0E5">
      <w:pPr>
        <w:snapToGrid w:val="0"/>
        <w:spacing w:line="312" w:lineRule="auto"/>
        <w:ind w:firstLine="422" w:firstLineChars="200"/>
        <w:rPr>
          <w:rFonts w:ascii="宋体" w:hAnsi="宋体" w:cs="宋体"/>
          <w:b/>
          <w:bCs/>
          <w:color w:val="auto"/>
          <w:kern w:val="0"/>
        </w:rPr>
      </w:pPr>
      <w:r>
        <w:rPr>
          <w:rFonts w:hint="eastAsia" w:ascii="宋体" w:hAnsi="宋体" w:cs="宋体"/>
          <w:b/>
          <w:bCs/>
          <w:color w:val="auto"/>
          <w:kern w:val="0"/>
        </w:rPr>
        <w:t xml:space="preserve">七、其他补充事宜 </w:t>
      </w:r>
    </w:p>
    <w:p w14:paraId="2C67A2CF">
      <w:pPr>
        <w:widowControl/>
        <w:spacing w:before="75" w:after="75" w:line="312" w:lineRule="auto"/>
        <w:ind w:firstLine="420"/>
        <w:jc w:val="left"/>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B9C7549">
      <w:pPr>
        <w:widowControl/>
        <w:spacing w:before="75" w:after="75" w:line="312" w:lineRule="auto"/>
        <w:ind w:firstLine="420"/>
        <w:jc w:val="lef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5DD2B4">
      <w:pPr>
        <w:widowControl/>
        <w:spacing w:before="75" w:after="75" w:line="312" w:lineRule="auto"/>
        <w:ind w:firstLine="420"/>
        <w:jc w:val="left"/>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0A8641">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.其他事项：</w:t>
      </w:r>
      <w:r>
        <w:rPr>
          <w:rFonts w:hint="eastAsia" w:ascii="宋体" w:hAnsi="宋体" w:cs="宋体"/>
          <w:color w:val="000000"/>
          <w:kern w:val="0"/>
          <w:lang w:val="en-US" w:eastAsia="zh-CN"/>
        </w:rPr>
        <w:t>(1)</w:t>
      </w:r>
      <w:r>
        <w:rPr>
          <w:rFonts w:hint="eastAsia" w:ascii="宋体" w:hAnsi="宋体" w:cs="宋体"/>
          <w:color w:val="000000"/>
          <w:kern w:val="0"/>
        </w:rPr>
        <w:t>本次政府采购活动有关信息在“浙江政府采购网（www.zjzfcg.gov.cn）”、“宁波政府采购网（http://www.nbzfcg.cn）”、</w:t>
      </w:r>
      <w:r>
        <w:rPr>
          <w:rFonts w:hint="eastAsia" w:ascii="宋体" w:hAnsi="宋体"/>
        </w:rPr>
        <w:t>“宁波市公共资源交易电子服务系统（https://jyxt.zwb.ningbo.gov.cn:4011/website/login）”</w:t>
      </w:r>
      <w:r>
        <w:rPr>
          <w:rFonts w:hint="eastAsia" w:ascii="宋体" w:hAnsi="宋体" w:cs="宋体"/>
          <w:color w:val="000000"/>
          <w:kern w:val="0"/>
        </w:rPr>
        <w:t>网站上公布，公布信息视同送达所有潜在</w:t>
      </w:r>
      <w:r>
        <w:rPr>
          <w:rFonts w:hint="eastAsia" w:ascii="宋体" w:hAnsi="宋体" w:cs="宋体"/>
          <w:color w:val="000000"/>
          <w:kern w:val="0"/>
          <w:lang w:eastAsia="zh-CN"/>
        </w:rPr>
        <w:t>供应商</w:t>
      </w:r>
      <w:r>
        <w:rPr>
          <w:rFonts w:hint="eastAsia" w:ascii="宋体" w:hAnsi="宋体" w:cs="宋体"/>
          <w:color w:val="000000"/>
          <w:kern w:val="0"/>
        </w:rPr>
        <w:t>。</w:t>
      </w:r>
    </w:p>
    <w:p w14:paraId="0E68166A">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落实的政策：《关于促进残疾人就业政府采购政策的通知》（财库[2017]141号）、《政府采购促进中小企业发展管理办法》（财库[2020]46号）、《关于政府采购支持监狱企业发展有关问题的通知》(财库[2014]68号)。</w:t>
      </w:r>
    </w:p>
    <w:p w14:paraId="77C71E4A">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单位负责人为同一人或者存在直接控股、管理关系的不同供应商，不得参加同一合同项下的政府采购活动。为采购项目提供整体设计、规范编制或者项目管理、监理、检测等服务的供应商，不得参加本项目磋商。</w:t>
      </w:r>
    </w:p>
    <w:p w14:paraId="46E1C746">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w:t>
      </w:r>
      <w:r>
        <w:rPr>
          <w:rFonts w:hint="eastAsia" w:ascii="宋体" w:hAnsi="宋体" w:cs="宋体"/>
          <w:color w:val="000000"/>
          <w:kern w:val="0"/>
          <w:lang w:eastAsia="zh-CN"/>
        </w:rPr>
        <w:t>供应商</w:t>
      </w:r>
      <w:r>
        <w:rPr>
          <w:rFonts w:hint="eastAsia" w:ascii="宋体" w:hAnsi="宋体" w:cs="宋体"/>
          <w:color w:val="000000"/>
          <w:kern w:val="0"/>
        </w:rPr>
        <w:t>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份文件，以用于异常情况处理。5）开标时间后30分钟内供应商可以登录“政采云”平台，用“项目采购-开标评标”功能进行解密电子磋商响应文件。若供应商在规定时间内无法解密或解密失败，可使用备份电子磋商响应文件进行评标。若供应商在规定时间内无法解密或解密失败且未在开标前提供备份电子磋商响应文件的，视为</w:t>
      </w:r>
      <w:r>
        <w:rPr>
          <w:rFonts w:hint="eastAsia" w:ascii="宋体" w:hAnsi="宋体" w:cs="宋体"/>
          <w:color w:val="000000"/>
          <w:kern w:val="0"/>
          <w:lang w:eastAsia="zh-CN"/>
        </w:rPr>
        <w:t>供应商</w:t>
      </w:r>
      <w:r>
        <w:rPr>
          <w:rFonts w:hint="eastAsia" w:ascii="宋体" w:hAnsi="宋体" w:cs="宋体"/>
          <w:color w:val="000000"/>
          <w:kern w:val="0"/>
        </w:rPr>
        <w:t>放弃投标。</w:t>
      </w:r>
    </w:p>
    <w:p w14:paraId="64012AD9">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lang w:val="en-US" w:eastAsia="zh-CN"/>
        </w:rPr>
        <w:t>(5)</w:t>
      </w:r>
      <w:r>
        <w:rPr>
          <w:rFonts w:hint="eastAsia" w:ascii="宋体" w:hAnsi="宋体" w:cs="宋体"/>
          <w:color w:val="000000"/>
          <w:kern w:val="0"/>
        </w:rPr>
        <w:t>供应商递交备份电子磋商响应文件方式</w:t>
      </w:r>
      <w:r>
        <w:rPr>
          <w:rFonts w:hint="eastAsia" w:ascii="宋体" w:hAnsi="宋体" w:cs="宋体"/>
          <w:b/>
          <w:bCs/>
          <w:color w:val="000000"/>
          <w:kern w:val="0"/>
        </w:rPr>
        <w:t>（不作强制要求，</w:t>
      </w:r>
      <w:r>
        <w:rPr>
          <w:rFonts w:hint="eastAsia" w:ascii="宋体" w:hAnsi="宋体" w:cs="宋体"/>
          <w:b/>
          <w:bCs/>
          <w:color w:val="000000"/>
          <w:kern w:val="0"/>
          <w:lang w:eastAsia="zh-CN"/>
        </w:rPr>
        <w:t>供应商</w:t>
      </w:r>
      <w:r>
        <w:rPr>
          <w:rFonts w:hint="eastAsia" w:ascii="宋体" w:hAnsi="宋体" w:cs="宋体"/>
          <w:b/>
          <w:bCs/>
          <w:color w:val="000000"/>
          <w:kern w:val="0"/>
        </w:rPr>
        <w:t>自行决定是否递交）</w:t>
      </w:r>
      <w:r>
        <w:rPr>
          <w:rFonts w:hint="eastAsia" w:ascii="宋体" w:hAnsi="宋体" w:cs="宋体"/>
          <w:color w:val="000000"/>
          <w:kern w:val="0"/>
        </w:rPr>
        <w:t>：1）采用邮寄方式递交备份电子磋商响应文件，需按以下要求递交： 供应商须在响应文件递交</w:t>
      </w:r>
      <w:r>
        <w:rPr>
          <w:rFonts w:hint="eastAsia" w:ascii="宋体" w:hAnsi="宋体" w:cs="宋体"/>
          <w:b/>
          <w:bCs/>
          <w:color w:val="000000"/>
          <w:kern w:val="0"/>
        </w:rPr>
        <w:t>截止时间前一天1</w:t>
      </w:r>
      <w:r>
        <w:rPr>
          <w:rFonts w:hint="eastAsia" w:ascii="宋体" w:hAnsi="宋体" w:cs="宋体"/>
          <w:b/>
          <w:bCs/>
          <w:color w:val="000000"/>
          <w:kern w:val="0"/>
          <w:lang w:val="en-US" w:eastAsia="zh-CN"/>
        </w:rPr>
        <w:t>6</w:t>
      </w:r>
      <w:r>
        <w:rPr>
          <w:rFonts w:hint="eastAsia" w:ascii="宋体" w:hAnsi="宋体" w:cs="宋体"/>
          <w:b/>
          <w:bCs/>
          <w:color w:val="000000"/>
          <w:kern w:val="0"/>
        </w:rPr>
        <w:t>：00前</w:t>
      </w:r>
      <w:r>
        <w:rPr>
          <w:rFonts w:hint="eastAsia" w:ascii="宋体" w:hAnsi="宋体" w:cs="宋体"/>
          <w:color w:val="000000"/>
          <w:kern w:val="0"/>
        </w:rPr>
        <w:t>将备份电子磋商响应文件邮寄至规定地点，由采购代理机构工作人员进行签收。各供应商自行考虑邮寄在途时间，邮寄过程中无论何种因素导致备份电子磋商响应文件未按时递交的后果，均由供应商自行负责。备份电子磋商响应文件递交时间以采购代理机构实际收到备份电子磋商响应文件的时间为准。请各供应商确保密封包装在邮寄过程密封包装完好，并在邮寄包裹上注明项目名称，因邮寄过程的密封破损造成不符合开标要求的，本</w:t>
      </w:r>
      <w:r>
        <w:rPr>
          <w:rFonts w:hint="eastAsia" w:ascii="宋体" w:hAnsi="宋体" w:cs="宋体"/>
          <w:color w:val="000000"/>
          <w:kern w:val="0"/>
          <w:lang w:val="en-US" w:eastAsia="zh-CN"/>
        </w:rPr>
        <w:t>采购</w:t>
      </w:r>
      <w:r>
        <w:rPr>
          <w:rFonts w:hint="eastAsia" w:ascii="宋体" w:hAnsi="宋体" w:cs="宋体"/>
          <w:color w:val="000000"/>
          <w:kern w:val="0"/>
        </w:rPr>
        <w:t>代理及</w:t>
      </w:r>
      <w:r>
        <w:rPr>
          <w:rFonts w:hint="eastAsia" w:ascii="宋体" w:hAnsi="宋体" w:cs="宋体"/>
          <w:color w:val="000000"/>
          <w:kern w:val="0"/>
          <w:lang w:val="en-US" w:eastAsia="zh-CN"/>
        </w:rPr>
        <w:t>采购人</w:t>
      </w:r>
      <w:r>
        <w:rPr>
          <w:rFonts w:hint="eastAsia" w:ascii="宋体" w:hAnsi="宋体" w:cs="宋体"/>
          <w:color w:val="000000"/>
          <w:kern w:val="0"/>
        </w:rPr>
        <w:t>概不负责。</w:t>
      </w:r>
      <w:r>
        <w:rPr>
          <w:rFonts w:hint="eastAsia" w:ascii="宋体" w:hAnsi="宋体" w:cs="宋体"/>
          <w:b/>
          <w:bCs/>
          <w:color w:val="000000"/>
          <w:kern w:val="0"/>
        </w:rPr>
        <w:t>备份电子磋商响应文件邮寄地址为：宁波市北仑区大碶街道宝山路1229号（中青文化广场）1幢B2106-1室</w:t>
      </w:r>
      <w:r>
        <w:rPr>
          <w:rFonts w:hint="eastAsia" w:ascii="宋体" w:hAnsi="宋体" w:cs="宋体"/>
          <w:b/>
          <w:bCs/>
          <w:color w:val="000000"/>
          <w:kern w:val="0"/>
          <w:lang w:eastAsia="zh-CN"/>
        </w:rPr>
        <w:t>；</w:t>
      </w:r>
      <w:r>
        <w:rPr>
          <w:rFonts w:hint="eastAsia" w:ascii="宋体" w:hAnsi="宋体" w:cs="宋体"/>
          <w:b/>
          <w:bCs/>
          <w:color w:val="000000"/>
          <w:kern w:val="0"/>
        </w:rPr>
        <w:t>收件人：</w:t>
      </w:r>
      <w:r>
        <w:rPr>
          <w:rFonts w:hint="eastAsia" w:ascii="宋体" w:hAnsi="宋体" w:cs="宋体"/>
          <w:b/>
          <w:bCs/>
          <w:color w:val="000000"/>
          <w:kern w:val="0"/>
          <w:lang w:val="en-US" w:eastAsia="zh-CN"/>
        </w:rPr>
        <w:t>李工</w:t>
      </w:r>
      <w:r>
        <w:rPr>
          <w:rFonts w:hint="eastAsia" w:ascii="宋体" w:hAnsi="宋体" w:cs="宋体"/>
          <w:b/>
          <w:bCs/>
          <w:color w:val="000000"/>
          <w:kern w:val="0"/>
        </w:rPr>
        <w:t>，联系方式：</w:t>
      </w:r>
      <w:r>
        <w:rPr>
          <w:rFonts w:hint="eastAsia" w:ascii="宋体" w:hAnsi="宋体" w:cs="宋体"/>
          <w:b/>
          <w:bCs/>
          <w:color w:val="000000"/>
          <w:kern w:val="0"/>
          <w:lang w:val="en-US" w:eastAsia="zh-CN"/>
        </w:rPr>
        <w:t>18658452708</w:t>
      </w:r>
      <w:r>
        <w:rPr>
          <w:rFonts w:hint="eastAsia" w:ascii="宋体" w:hAnsi="宋体" w:cs="宋体"/>
          <w:b/>
          <w:bCs/>
          <w:color w:val="000000"/>
          <w:kern w:val="0"/>
        </w:rPr>
        <w:t>。</w:t>
      </w:r>
      <w:r>
        <w:rPr>
          <w:rFonts w:hint="eastAsia" w:ascii="宋体" w:hAnsi="宋体" w:cs="宋体"/>
          <w:color w:val="000000"/>
          <w:kern w:val="0"/>
        </w:rPr>
        <w:t>2）采用现场递交备份电子磋商响应文件，供应商代表供应商代表在响应文件递交截止时间前进入开标现场（宁波市北仑区长江路1166号行政大楼B座三楼招投标中心交易厅，具体场所安排详见电子指示屏幕）递交备份电子磋商响应文件，参与现场开标活动的人员应自觉遵守和服从交易现场管理。</w:t>
      </w:r>
    </w:p>
    <w:p w14:paraId="75B6C48F">
      <w:pPr>
        <w:widowControl/>
        <w:spacing w:before="75" w:after="75" w:line="312" w:lineRule="auto"/>
        <w:ind w:firstLine="420"/>
        <w:jc w:val="left"/>
        <w:rPr>
          <w:rFonts w:ascii="宋体" w:hAnsi="宋体" w:cs="宋体"/>
          <w:color w:val="000000"/>
          <w:kern w:val="0"/>
          <w:highlight w:val="none"/>
        </w:rPr>
      </w:pPr>
      <w:r>
        <w:rPr>
          <w:rFonts w:hint="eastAsia" w:ascii="宋体" w:hAnsi="宋体" w:cs="宋体"/>
          <w:color w:val="000000"/>
          <w:kern w:val="0"/>
        </w:rPr>
        <w:t xml:space="preserve"> </w:t>
      </w:r>
      <w:r>
        <w:rPr>
          <w:rFonts w:hint="eastAsia" w:ascii="宋体" w:hAnsi="宋体" w:cs="宋体"/>
          <w:color w:val="000000"/>
          <w:kern w:val="0"/>
          <w:highlight w:val="none"/>
        </w:rPr>
        <w:t>八、凡对本次</w:t>
      </w:r>
      <w:r>
        <w:rPr>
          <w:rFonts w:hint="eastAsia" w:ascii="宋体" w:hAnsi="宋体" w:cs="宋体"/>
          <w:color w:val="000000"/>
          <w:kern w:val="0"/>
          <w:highlight w:val="none"/>
          <w:lang w:val="en-US" w:eastAsia="zh-CN"/>
        </w:rPr>
        <w:t>采购</w:t>
      </w:r>
      <w:r>
        <w:rPr>
          <w:rFonts w:hint="eastAsia" w:ascii="宋体" w:hAnsi="宋体" w:cs="宋体"/>
          <w:color w:val="000000"/>
          <w:kern w:val="0"/>
          <w:highlight w:val="none"/>
        </w:rPr>
        <w:t>提出询问、质疑、投诉，请按以下方式联系</w:t>
      </w:r>
    </w:p>
    <w:p w14:paraId="18060FD5">
      <w:pPr>
        <w:widowControl/>
        <w:spacing w:before="75" w:after="75" w:line="312" w:lineRule="auto"/>
        <w:ind w:firstLine="420"/>
        <w:jc w:val="left"/>
        <w:rPr>
          <w:rFonts w:ascii="宋体" w:hAnsi="宋体" w:cs="宋体"/>
          <w:color w:val="000000"/>
          <w:kern w:val="0"/>
          <w:highlight w:val="none"/>
        </w:rPr>
      </w:pPr>
      <w:r>
        <w:rPr>
          <w:rFonts w:hint="eastAsia" w:ascii="宋体" w:hAnsi="宋体" w:cs="宋体"/>
          <w:color w:val="000000"/>
          <w:kern w:val="0"/>
          <w:highlight w:val="none"/>
        </w:rPr>
        <w:t>1.采购人信息</w:t>
      </w:r>
    </w:p>
    <w:p w14:paraId="21168A11">
      <w:pPr>
        <w:widowControl/>
        <w:spacing w:before="75" w:after="75" w:line="312" w:lineRule="auto"/>
        <w:ind w:firstLine="420"/>
        <w:jc w:val="left"/>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rPr>
        <w:t>名    称：</w:t>
      </w:r>
      <w:r>
        <w:rPr>
          <w:rFonts w:hint="eastAsia" w:ascii="宋体" w:hAnsi="宋体" w:eastAsia="宋体" w:cs="宋体"/>
          <w:color w:val="000000"/>
          <w:kern w:val="0"/>
          <w:highlight w:val="none"/>
          <w:lang w:eastAsia="zh-CN"/>
        </w:rPr>
        <w:t>宁波市北仑区人民政府梅山街道办事处</w:t>
      </w:r>
    </w:p>
    <w:p w14:paraId="2F6881E9">
      <w:pPr>
        <w:widowControl/>
        <w:spacing w:before="75" w:after="75" w:line="312" w:lineRule="auto"/>
        <w:ind w:firstLine="420"/>
        <w:jc w:val="left"/>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rPr>
        <w:t>地    址：</w:t>
      </w:r>
      <w:r>
        <w:rPr>
          <w:rFonts w:hint="eastAsia" w:ascii="宋体" w:hAnsi="宋体" w:eastAsia="宋体" w:cs="宋体"/>
          <w:color w:val="000000"/>
          <w:kern w:val="0"/>
          <w:highlight w:val="none"/>
          <w:lang w:eastAsia="zh-CN"/>
        </w:rPr>
        <w:t>北仑区梅山街道梅中路51号</w:t>
      </w:r>
    </w:p>
    <w:p w14:paraId="158FD694">
      <w:pPr>
        <w:widowControl/>
        <w:spacing w:before="75" w:after="75" w:line="312" w:lineRule="auto"/>
        <w:ind w:firstLine="420"/>
        <w:jc w:val="left"/>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项目联系人（询问）</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周工</w:t>
      </w:r>
    </w:p>
    <w:p w14:paraId="56CD0223">
      <w:pPr>
        <w:widowControl/>
        <w:spacing w:before="75" w:after="75" w:line="312" w:lineRule="auto"/>
        <w:ind w:firstLine="420"/>
        <w:jc w:val="left"/>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项目联系方式（询问）：</w:t>
      </w:r>
      <w:r>
        <w:rPr>
          <w:rFonts w:hint="eastAsia" w:ascii="宋体" w:hAnsi="宋体" w:eastAsia="宋体" w:cs="宋体"/>
          <w:color w:val="000000"/>
          <w:kern w:val="0"/>
          <w:highlight w:val="none"/>
          <w:lang w:val="en-US" w:eastAsia="zh-CN"/>
        </w:rPr>
        <w:t>0574-</w:t>
      </w:r>
      <w:r>
        <w:rPr>
          <w:rFonts w:hint="eastAsia" w:ascii="宋体" w:hAnsi="宋体" w:eastAsia="宋体" w:cs="宋体"/>
          <w:color w:val="000000"/>
          <w:kern w:val="0"/>
          <w:highlight w:val="none"/>
        </w:rPr>
        <w:t>86788667</w:t>
      </w:r>
    </w:p>
    <w:p w14:paraId="7B13E77C">
      <w:pPr>
        <w:widowControl/>
        <w:spacing w:before="75" w:after="75" w:line="312" w:lineRule="auto"/>
        <w:ind w:firstLine="420"/>
        <w:jc w:val="left"/>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质疑联系人：王</w:t>
      </w:r>
      <w:r>
        <w:rPr>
          <w:rFonts w:hint="eastAsia" w:ascii="宋体" w:hAnsi="宋体" w:eastAsia="宋体" w:cs="宋体"/>
          <w:color w:val="000000"/>
          <w:kern w:val="0"/>
          <w:highlight w:val="none"/>
          <w:lang w:val="en-US" w:eastAsia="zh-CN"/>
        </w:rPr>
        <w:t>老师</w:t>
      </w:r>
    </w:p>
    <w:p w14:paraId="17560DDA">
      <w:pPr>
        <w:widowControl/>
        <w:spacing w:before="75" w:after="75" w:line="312" w:lineRule="auto"/>
        <w:ind w:firstLine="42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质疑联系方式：0574-86788712</w:t>
      </w:r>
    </w:p>
    <w:p w14:paraId="20192A9A">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lang w:val="en-US" w:eastAsia="zh-CN"/>
        </w:rPr>
        <w:t>2.</w:t>
      </w:r>
      <w:r>
        <w:rPr>
          <w:rFonts w:hint="eastAsia" w:ascii="宋体" w:hAnsi="宋体" w:eastAsia="宋体" w:cs="宋体"/>
          <w:color w:val="000000"/>
          <w:kern w:val="0"/>
        </w:rPr>
        <w:t>采购代理机构信息</w:t>
      </w:r>
    </w:p>
    <w:p w14:paraId="3CF1D1E6">
      <w:pPr>
        <w:widowControl/>
        <w:spacing w:before="75" w:after="75" w:line="312" w:lineRule="auto"/>
        <w:ind w:firstLine="420"/>
        <w:jc w:val="left"/>
        <w:rPr>
          <w:rFonts w:hint="eastAsia" w:ascii="宋体" w:hAnsi="宋体" w:eastAsia="宋体" w:cs="宋体"/>
          <w:color w:val="000000"/>
          <w:kern w:val="0"/>
          <w:lang w:eastAsia="zh-CN"/>
        </w:rPr>
      </w:pPr>
      <w:r>
        <w:rPr>
          <w:rFonts w:hint="eastAsia" w:ascii="宋体" w:hAnsi="宋体" w:eastAsia="宋体" w:cs="宋体"/>
          <w:color w:val="000000"/>
          <w:kern w:val="0"/>
        </w:rPr>
        <w:t>名    称：</w:t>
      </w:r>
      <w:r>
        <w:rPr>
          <w:rFonts w:hint="eastAsia" w:ascii="宋体" w:hAnsi="宋体" w:eastAsia="宋体" w:cs="宋体"/>
          <w:color w:val="000000"/>
          <w:kern w:val="0"/>
          <w:lang w:eastAsia="zh-CN"/>
        </w:rPr>
        <w:t>宁波凯立工程管理有限公司</w:t>
      </w:r>
    </w:p>
    <w:p w14:paraId="62B94863">
      <w:pPr>
        <w:widowControl/>
        <w:spacing w:before="75" w:after="75" w:line="312" w:lineRule="auto"/>
        <w:ind w:firstLine="420"/>
        <w:jc w:val="left"/>
        <w:rPr>
          <w:rFonts w:hint="eastAsia" w:ascii="宋体" w:hAnsi="宋体" w:eastAsia="宋体" w:cs="宋体"/>
          <w:color w:val="000000"/>
          <w:kern w:val="0"/>
          <w:lang w:eastAsia="zh-CN"/>
        </w:rPr>
      </w:pPr>
      <w:r>
        <w:rPr>
          <w:rFonts w:hint="eastAsia" w:ascii="宋体" w:hAnsi="宋体" w:eastAsia="宋体" w:cs="宋体"/>
          <w:color w:val="000000"/>
          <w:kern w:val="0"/>
        </w:rPr>
        <w:t>地    址：</w:t>
      </w:r>
      <w:r>
        <w:rPr>
          <w:rFonts w:hint="eastAsia" w:ascii="宋体" w:hAnsi="宋体" w:eastAsia="宋体" w:cs="宋体"/>
          <w:color w:val="000000"/>
          <w:kern w:val="0"/>
          <w:lang w:eastAsia="zh-CN"/>
        </w:rPr>
        <w:t>宁波市北仑区大碶街道宝山路1229号（中青文化广场）1幢B2106-1室</w:t>
      </w:r>
    </w:p>
    <w:p w14:paraId="38ACDF08">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rPr>
        <w:t>项目联系人（询问）：</w:t>
      </w:r>
      <w:r>
        <w:rPr>
          <w:rFonts w:hint="eastAsia" w:ascii="宋体" w:hAnsi="宋体" w:eastAsia="宋体" w:cs="宋体"/>
          <w:color w:val="000000"/>
          <w:kern w:val="0"/>
          <w:lang w:val="en-US" w:eastAsia="zh-CN"/>
        </w:rPr>
        <w:t>李心如</w:t>
      </w:r>
    </w:p>
    <w:p w14:paraId="6177F42E">
      <w:pPr>
        <w:widowControl/>
        <w:spacing w:before="75" w:after="75" w:line="312" w:lineRule="auto"/>
        <w:ind w:firstLine="420"/>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项目联系方式（询问）：</w:t>
      </w:r>
      <w:r>
        <w:rPr>
          <w:rFonts w:hint="eastAsia" w:ascii="宋体" w:hAnsi="宋体" w:eastAsia="宋体" w:cs="宋体"/>
          <w:color w:val="000000"/>
          <w:kern w:val="0"/>
          <w:lang w:val="en-US" w:eastAsia="zh-CN"/>
        </w:rPr>
        <w:t>18658452708</w:t>
      </w:r>
    </w:p>
    <w:p w14:paraId="003F2213">
      <w:pPr>
        <w:widowControl/>
        <w:spacing w:before="75" w:after="75" w:line="312" w:lineRule="auto"/>
        <w:ind w:firstLine="420"/>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质疑联系人：</w:t>
      </w:r>
      <w:r>
        <w:rPr>
          <w:rFonts w:hint="eastAsia" w:ascii="宋体" w:hAnsi="宋体" w:cs="宋体"/>
          <w:color w:val="000000"/>
          <w:kern w:val="0"/>
          <w:lang w:val="en-US" w:eastAsia="zh-CN"/>
        </w:rPr>
        <w:t>胡骏</w:t>
      </w:r>
    </w:p>
    <w:p w14:paraId="294F5EC5">
      <w:pPr>
        <w:widowControl/>
        <w:spacing w:before="75" w:after="75" w:line="312" w:lineRule="auto"/>
        <w:ind w:firstLine="420"/>
        <w:jc w:val="left"/>
        <w:rPr>
          <w:rFonts w:hint="eastAsia" w:ascii="宋体" w:hAnsi="宋体" w:eastAsia="宋体" w:cs="宋体"/>
          <w:color w:val="000000"/>
          <w:kern w:val="0"/>
          <w:lang w:eastAsia="zh-CN"/>
        </w:rPr>
      </w:pPr>
      <w:r>
        <w:rPr>
          <w:rFonts w:hint="eastAsia" w:ascii="宋体" w:hAnsi="宋体" w:eastAsia="宋体" w:cs="宋体"/>
          <w:color w:val="000000"/>
          <w:kern w:val="0"/>
        </w:rPr>
        <w:t>质疑联系方式：</w:t>
      </w:r>
      <w:r>
        <w:rPr>
          <w:rFonts w:hint="eastAsia" w:ascii="宋体" w:hAnsi="宋体" w:cs="宋体"/>
          <w:color w:val="000000"/>
          <w:kern w:val="0"/>
          <w:lang w:val="en-US" w:eastAsia="zh-CN"/>
        </w:rPr>
        <w:t>0574-86836080</w:t>
      </w:r>
      <w:r>
        <w:rPr>
          <w:rFonts w:hint="eastAsia" w:ascii="宋体" w:hAnsi="宋体" w:eastAsia="宋体" w:cs="宋体"/>
          <w:color w:val="000000"/>
          <w:kern w:val="0"/>
          <w:lang w:val="en-US" w:eastAsia="zh-CN"/>
        </w:rPr>
        <w:t xml:space="preserve"> </w:t>
      </w:r>
    </w:p>
    <w:p w14:paraId="0FB3BDFB">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rPr>
        <w:t xml:space="preserve"> </w:t>
      </w:r>
    </w:p>
    <w:p w14:paraId="7880D206">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rPr>
        <w:t>3.同级政府采购监督管理部门</w:t>
      </w:r>
    </w:p>
    <w:p w14:paraId="70DFD26B">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rPr>
        <w:t>名称：宁波市北仑区财政局采购办</w:t>
      </w:r>
    </w:p>
    <w:p w14:paraId="6892A26A">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rPr>
        <w:t>地址：宁波市北仑区长江路1166号</w:t>
      </w:r>
    </w:p>
    <w:p w14:paraId="7D2DCE91">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rPr>
        <w:t>联系人 ：严老师</w:t>
      </w:r>
    </w:p>
    <w:p w14:paraId="2A42E4FF">
      <w:pPr>
        <w:widowControl/>
        <w:spacing w:before="75" w:after="75" w:line="312" w:lineRule="auto"/>
        <w:ind w:firstLine="420"/>
        <w:jc w:val="left"/>
        <w:rPr>
          <w:rFonts w:hint="eastAsia" w:ascii="宋体" w:hAnsi="宋体" w:eastAsia="宋体" w:cs="宋体"/>
          <w:color w:val="000000"/>
          <w:kern w:val="0"/>
        </w:rPr>
      </w:pPr>
      <w:r>
        <w:rPr>
          <w:rFonts w:hint="eastAsia" w:ascii="宋体" w:hAnsi="宋体" w:eastAsia="宋体" w:cs="宋体"/>
          <w:color w:val="000000"/>
          <w:kern w:val="0"/>
        </w:rPr>
        <w:t>监督投诉电话：0574-89383756</w:t>
      </w:r>
    </w:p>
    <w:p w14:paraId="20EDD909">
      <w:pPr>
        <w:widowControl/>
        <w:spacing w:before="75" w:after="75" w:line="312" w:lineRule="auto"/>
        <w:ind w:firstLine="420"/>
        <w:jc w:val="left"/>
        <w:rPr>
          <w:rFonts w:ascii="宋体" w:hAnsi="宋体" w:cs="宋体"/>
          <w:color w:val="000000"/>
          <w:kern w:val="0"/>
        </w:rPr>
      </w:pPr>
    </w:p>
    <w:p w14:paraId="4216C199">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rPr>
        <w:t>若对项目采购电子交易系统操作有疑问，可登录政采云（https://www.zcygov.cn/），点击右侧咨询小采，获取采小蜜智能服务管家帮助，或拨打政采云服务热线95763获取热线服务帮助。</w:t>
      </w:r>
    </w:p>
    <w:p w14:paraId="41C9CE5E">
      <w:pPr>
        <w:widowControl/>
        <w:spacing w:before="75" w:after="75" w:line="312" w:lineRule="auto"/>
        <w:ind w:firstLine="420"/>
        <w:jc w:val="left"/>
        <w:rPr>
          <w:rFonts w:ascii="宋体" w:hAnsi="宋体" w:cs="宋体"/>
          <w:color w:val="000000"/>
          <w:kern w:val="0"/>
        </w:rPr>
      </w:pPr>
      <w:r>
        <w:rPr>
          <w:rFonts w:hint="eastAsia" w:ascii="宋体" w:hAnsi="宋体" w:cs="宋体"/>
          <w:color w:val="000000"/>
          <w:kern w:val="0"/>
        </w:rPr>
        <w:t>CA问题联系电话（人工）：汇信CA400-888-4636；天谷CA400-087-8198。</w:t>
      </w:r>
    </w:p>
    <w:p w14:paraId="4FB02E92">
      <w:pPr>
        <w:spacing w:line="380" w:lineRule="exact"/>
        <w:ind w:firstLine="359" w:firstLineChars="171"/>
        <w:jc w:val="center"/>
        <w:rPr>
          <w:rFonts w:ascii="宋体"/>
          <w:b/>
          <w:bCs/>
          <w:color w:val="000000"/>
          <w:sz w:val="30"/>
          <w:szCs w:val="30"/>
        </w:rPr>
      </w:pPr>
      <w:r>
        <w:rPr>
          <w:rFonts w:ascii="宋体" w:hAnsi="宋体"/>
          <w:color w:val="000000"/>
        </w:rPr>
        <w:br w:type="page"/>
      </w:r>
      <w:bookmarkStart w:id="2" w:name="_Toc50046891"/>
      <w:r>
        <w:rPr>
          <w:rFonts w:hint="eastAsia" w:ascii="宋体" w:hAnsi="宋体" w:eastAsia="宋体" w:cs="宋体"/>
          <w:b/>
          <w:bCs/>
          <w:color w:val="000000"/>
          <w:sz w:val="30"/>
          <w:szCs w:val="30"/>
        </w:rPr>
        <w:t>第二部分 竞争性磋商须知</w:t>
      </w:r>
      <w:bookmarkEnd w:id="2"/>
    </w:p>
    <w:p w14:paraId="448CC179">
      <w:pPr>
        <w:pStyle w:val="5"/>
        <w:numPr>
          <w:ilvl w:val="0"/>
          <w:numId w:val="0"/>
        </w:numPr>
        <w:tabs>
          <w:tab w:val="left" w:pos="720"/>
        </w:tabs>
        <w:snapToGrid w:val="0"/>
        <w:spacing w:beforeLines="50" w:line="288" w:lineRule="auto"/>
        <w:ind w:left="0" w:firstLine="422" w:firstLineChars="200"/>
        <w:rPr>
          <w:rFonts w:ascii="宋体" w:hAnsi="宋体" w:cs="宋体"/>
        </w:rPr>
      </w:pPr>
      <w:r>
        <w:rPr>
          <w:rFonts w:hint="eastAsia" w:ascii="宋体" w:hAnsi="宋体" w:cs="宋体"/>
          <w:b/>
        </w:rPr>
        <w:t>一 、总  则</w:t>
      </w:r>
    </w:p>
    <w:p w14:paraId="5E1757DB">
      <w:pPr>
        <w:pStyle w:val="5"/>
        <w:numPr>
          <w:ilvl w:val="0"/>
          <w:numId w:val="0"/>
        </w:numPr>
        <w:tabs>
          <w:tab w:val="left" w:pos="720"/>
        </w:tabs>
        <w:snapToGrid w:val="0"/>
        <w:spacing w:beforeLines="50" w:line="288" w:lineRule="auto"/>
        <w:ind w:left="0" w:firstLine="211" w:firstLineChars="100"/>
        <w:rPr>
          <w:rFonts w:ascii="宋体" w:hAnsi="宋体" w:cs="宋体"/>
          <w:b/>
        </w:rPr>
      </w:pPr>
      <w:r>
        <w:rPr>
          <w:rFonts w:hint="eastAsia" w:ascii="宋体" w:hAnsi="宋体" w:cs="宋体"/>
          <w:b/>
        </w:rPr>
        <w:t>（一） 适用范围</w:t>
      </w:r>
    </w:p>
    <w:p w14:paraId="31FA391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本磋商采购文件适用于本项目的采购邀请、响应、评审、验收、合同履约、付款等行为（法律、法规另有规定的，从其规定）。</w:t>
      </w:r>
    </w:p>
    <w:p w14:paraId="519B98EE">
      <w:pPr>
        <w:pStyle w:val="5"/>
        <w:numPr>
          <w:ilvl w:val="0"/>
          <w:numId w:val="0"/>
        </w:numPr>
        <w:tabs>
          <w:tab w:val="left" w:pos="720"/>
        </w:tabs>
        <w:snapToGrid w:val="0"/>
        <w:spacing w:beforeLines="50" w:line="288" w:lineRule="auto"/>
        <w:ind w:left="0" w:firstLine="211" w:firstLineChars="100"/>
        <w:rPr>
          <w:rFonts w:hint="eastAsia" w:ascii="宋体" w:hAnsi="宋体" w:cs="宋体"/>
          <w:b/>
        </w:rPr>
      </w:pPr>
      <w:r>
        <w:rPr>
          <w:rFonts w:hint="eastAsia" w:ascii="宋体" w:hAnsi="宋体" w:cs="宋体"/>
          <w:b/>
        </w:rPr>
        <w:t>（二）定义</w:t>
      </w:r>
    </w:p>
    <w:p w14:paraId="4792AFA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采购单位系指组织本次磋商的代理机构和采购人。</w:t>
      </w:r>
    </w:p>
    <w:p w14:paraId="159BD34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2.“供应商”系指向采购单位提交响应文件的单位或个人。</w:t>
      </w:r>
    </w:p>
    <w:p w14:paraId="3D95238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3.“服务”系指磋商采购文件规定供应商须提供的本项目相关的服务。</w:t>
      </w:r>
    </w:p>
    <w:p w14:paraId="49EBC13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4.“项目”系指供应商按磋商采购文件规定向采购人提供的服务和成果。</w:t>
      </w:r>
    </w:p>
    <w:p w14:paraId="03BD2EE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5.“书面形式”包括信函、传真、电报等。</w:t>
      </w:r>
    </w:p>
    <w:p w14:paraId="4528DE8C">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6.“▲”系指实质性要求条款。</w:t>
      </w:r>
    </w:p>
    <w:p w14:paraId="324CBFA4">
      <w:pPr>
        <w:pStyle w:val="5"/>
        <w:numPr>
          <w:ilvl w:val="0"/>
          <w:numId w:val="0"/>
        </w:numPr>
        <w:tabs>
          <w:tab w:val="left" w:pos="720"/>
        </w:tabs>
        <w:snapToGrid w:val="0"/>
        <w:spacing w:beforeLines="50" w:line="288" w:lineRule="auto"/>
        <w:ind w:left="0" w:firstLine="211" w:firstLineChars="100"/>
        <w:rPr>
          <w:rFonts w:hint="eastAsia" w:ascii="宋体" w:hAnsi="宋体" w:cs="宋体"/>
          <w:b/>
        </w:rPr>
      </w:pPr>
      <w:r>
        <w:rPr>
          <w:rFonts w:hint="eastAsia" w:ascii="宋体" w:hAnsi="宋体" w:cs="宋体"/>
          <w:b/>
        </w:rPr>
        <w:t>（三）采购方式</w:t>
      </w:r>
    </w:p>
    <w:p w14:paraId="74B7ACB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本次采购采用竞争性磋商方式进行。</w:t>
      </w:r>
    </w:p>
    <w:p w14:paraId="03B0BB95">
      <w:pPr>
        <w:pStyle w:val="5"/>
        <w:numPr>
          <w:ilvl w:val="0"/>
          <w:numId w:val="0"/>
        </w:numPr>
        <w:tabs>
          <w:tab w:val="left" w:pos="720"/>
        </w:tabs>
        <w:snapToGrid w:val="0"/>
        <w:spacing w:line="288" w:lineRule="auto"/>
        <w:ind w:firstLine="211" w:firstLineChars="100"/>
        <w:rPr>
          <w:rFonts w:hint="eastAsia" w:ascii="宋体" w:hAnsi="宋体" w:cs="宋体"/>
          <w:b/>
        </w:rPr>
      </w:pPr>
      <w:r>
        <w:rPr>
          <w:rFonts w:hint="eastAsia" w:ascii="宋体" w:hAnsi="宋体" w:cs="宋体"/>
          <w:b/>
        </w:rPr>
        <w:t>（四）磋商委托</w:t>
      </w:r>
    </w:p>
    <w:p w14:paraId="25536E01">
      <w:pPr>
        <w:pStyle w:val="9"/>
        <w:tabs>
          <w:tab w:val="left" w:pos="4200"/>
        </w:tabs>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供应商代表须携带有效身份证件。如供应商代表不是法定代表人，须有法定代表人出具的授权委托书（格式见第七部分 附件）。</w:t>
      </w:r>
    </w:p>
    <w:p w14:paraId="40EE527E">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（五）磋商费用</w:t>
      </w:r>
    </w:p>
    <w:p w14:paraId="5713A67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不论采购结果如何，供应商均应自行承担所有与采购有关的全部费用。</w:t>
      </w:r>
    </w:p>
    <w:p w14:paraId="5603874C">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（六）联合体磋商</w:t>
      </w:r>
    </w:p>
    <w:p w14:paraId="0A39303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本项目不接受联合体参加磋商。</w:t>
      </w:r>
    </w:p>
    <w:p w14:paraId="07D2EB2F">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（七）转包与分包</w:t>
      </w:r>
    </w:p>
    <w:p w14:paraId="649A0446">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本项目不允许转包，未经采购人同意，不得分包。</w:t>
      </w:r>
    </w:p>
    <w:p w14:paraId="3CAB8B29">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（八）特别说明</w:t>
      </w:r>
    </w:p>
    <w:p w14:paraId="60AA962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▲1.供应商磋商所使用的资格、信誉、荣誉、业绩与企业认证必须为本单位所拥有。</w:t>
      </w:r>
    </w:p>
    <w:p w14:paraId="78CA310A">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▲2.供应商应仔细阅读磋商文件的所有内容，按照磋商文件的要求提交响应文件，并对所提供的全部资料的真实性承担法律责任。</w:t>
      </w:r>
    </w:p>
    <w:p w14:paraId="0A0034C6">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▲3.供应商在采购活动中提供任何虚假材料,其响应文件无效，并报监管部门查处。</w:t>
      </w:r>
    </w:p>
    <w:p w14:paraId="0237AFFD">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▲4.提供相同品牌产品且通过资格审查、符合性审查的不同供应商参加同一合同项下磋商的，按一家供应商计算。</w:t>
      </w:r>
    </w:p>
    <w:p w14:paraId="3899BAA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20A5E1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4F29A9A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▲7.非单一产品采购项目，采购人应当根据采购项目技术构成、产品价格比重等合理确定核心产品，并在磋商文件中载明。多家供应商提供的核心产品品牌相同的，按前述规定处理。</w:t>
      </w:r>
    </w:p>
    <w:p w14:paraId="49A8B3C2">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▲8.2家以上的供应商不得在同一合同项下的采购项目中，同时委托同一个自然人、同一家庭的人员、同一单位的人员作为其代理人，否则，其磋商响应文件作为无效处理。</w:t>
      </w:r>
    </w:p>
    <w:p w14:paraId="0E38E16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9.供应商在磋商活动中提供任何虚假材料,其磋商无效，并报监管部门查处。</w:t>
      </w:r>
    </w:p>
    <w:p w14:paraId="00680357">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17692ECD">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4B918F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10.2、磋商报价应包含所有应向所有权人支付的专利权、商标权或其它知识产权的一切相关费用。</w:t>
      </w:r>
    </w:p>
    <w:p w14:paraId="09982BA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10.3、系统软件、通用软件必须是具有在中国境内的合法使用权或版权的正版软件，涉及到第三方提出侵权或知识产权的起诉及支付版税等费用由供应商承担所有责任及费用。</w:t>
      </w:r>
    </w:p>
    <w:p w14:paraId="5D12555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11.供应商的风险</w:t>
      </w:r>
    </w:p>
    <w:p w14:paraId="2BF6D6B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2DA8765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11.2、无论因何种原因导致本次采购活动终止致供应商损失的，相关责任人均不承担任何责任。</w:t>
      </w:r>
    </w:p>
    <w:p w14:paraId="53A8B608">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（九）关于分公司投标</w:t>
      </w:r>
    </w:p>
    <w:p w14:paraId="002867B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1EF31169">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（十）质疑和投诉</w:t>
      </w:r>
    </w:p>
    <w:p w14:paraId="6D59772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71EB617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（1）对采购文件提出质疑的，为获取采购文件之日或者采购公告期限届满之日（公告期限届满后获取采购文件的，以公告期限届满之日为准）。</w:t>
      </w:r>
    </w:p>
    <w:p w14:paraId="622F051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（2）对磋商过程提出质疑的，为各磋商程序环节结束之日。</w:t>
      </w:r>
    </w:p>
    <w:p w14:paraId="49CC700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（3）对成交结果提出质疑的，为成交结果公告期限届满之日。</w:t>
      </w:r>
    </w:p>
    <w:p w14:paraId="00613C8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4819D3D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3、供应商提出质疑应当提交质疑函和必要的证明材料，质疑函应当面以书面形式提出，质疑函格式和内容须符合财政部《质疑函范本》要求，供应商可到中国政府采购网自行下载财政部《质疑函范本》。</w:t>
      </w:r>
    </w:p>
    <w:p w14:paraId="2AF3F2F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1B275A6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54A6FFF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6.供应商未按磋商公告要求依法获取磋商文件的，采购代理机构及采购人不予接收其针对本项目提出的任何质疑及投诉。</w:t>
      </w:r>
    </w:p>
    <w:p w14:paraId="0286F0A7">
      <w:pPr>
        <w:pStyle w:val="5"/>
        <w:numPr>
          <w:ilvl w:val="0"/>
          <w:numId w:val="0"/>
        </w:numPr>
        <w:tabs>
          <w:tab w:val="left" w:pos="720"/>
        </w:tabs>
        <w:snapToGrid w:val="0"/>
        <w:spacing w:beforeLines="50" w:line="288" w:lineRule="auto"/>
        <w:ind w:left="412" w:leftChars="196"/>
        <w:rPr>
          <w:rFonts w:ascii="宋体" w:hAnsi="宋体" w:cs="宋体"/>
          <w:b/>
        </w:rPr>
      </w:pPr>
      <w:r>
        <w:rPr>
          <w:rFonts w:hint="eastAsia" w:ascii="宋体" w:hAnsi="宋体" w:cs="宋体"/>
          <w:b/>
        </w:rPr>
        <w:t>二  磋商采购文件</w:t>
      </w:r>
    </w:p>
    <w:p w14:paraId="1EFF8ACD">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（一）磋商采购文件的构成。本磋商采购文件由以下部分组成：</w:t>
      </w:r>
    </w:p>
    <w:p w14:paraId="4909107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1.竞争性磋商公告</w:t>
      </w:r>
    </w:p>
    <w:p w14:paraId="2AEC053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2.竞争性磋商须知</w:t>
      </w:r>
    </w:p>
    <w:p w14:paraId="443020B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3.磋商采购资料表</w:t>
      </w:r>
    </w:p>
    <w:p w14:paraId="5FED10B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4.评定成交的标准</w:t>
      </w:r>
    </w:p>
    <w:p w14:paraId="17885BB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5.采购内容及具体要求</w:t>
      </w:r>
    </w:p>
    <w:p w14:paraId="082DCB4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6.合同样本</w:t>
      </w:r>
    </w:p>
    <w:p w14:paraId="6C47117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7.附件</w:t>
      </w:r>
    </w:p>
    <w:p w14:paraId="60B809B7">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（二）供应商的风险</w:t>
      </w:r>
    </w:p>
    <w:p w14:paraId="1872244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14:paraId="02679C43">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 xml:space="preserve">（三）磋商采购文件的澄清与修改 </w:t>
      </w:r>
    </w:p>
    <w:p w14:paraId="04E631F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64B7098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448DCB8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3.如更正公告有重新发布电子磋商文件的，供应商应自行下载最新发布的电子磋商文件制作磋商响应文件。</w:t>
      </w:r>
    </w:p>
    <w:p w14:paraId="5963BE8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36B665D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没有提出异议且又参与了该项目磋商的供应商将被视为完全认同磋商采购文件。</w:t>
      </w:r>
    </w:p>
    <w:p w14:paraId="7A55B94F">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三、响应文件的编制</w:t>
      </w:r>
    </w:p>
    <w:p w14:paraId="6CBAA290">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（一）磋商响应文件的形式和效力</w:t>
      </w:r>
    </w:p>
    <w:p w14:paraId="0C5222BD">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1.磋商响应文件分为：“电子加密磋商响应文件”、“电子备份磋商响应文件”。</w:t>
      </w:r>
    </w:p>
    <w:p w14:paraId="58F7DC37">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2.“电子加密磋商响应文件”是指通过“政采云电子交易客户端”完成磋商响应文件编制后生成并加密的数据电文形式的磋商响应文件（文件后缀为：jmbs）。</w:t>
      </w:r>
    </w:p>
    <w:p w14:paraId="645622B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3.“电子备份磋商响应文件”是指与“电子加密磋商响应文件”同时生成的数据电文形式的电子文件，文件后缀为：bfbs（备份标书），其他方式编制的“电子备份磋商响应文件”视为无效备份磋商响应文件。</w:t>
      </w:r>
    </w:p>
    <w:p w14:paraId="0D2E95B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7015438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5.当“政府采购云平台”无法正常运行，或者无法保证在线电子磋商的公平、公正和安全时或发生下列其他情况的，采购组织机构可中止电子交易活动。</w:t>
      </w:r>
    </w:p>
    <w:p w14:paraId="30573B6E">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A.“政府采购云平台”发生故障而无法登录访问的； </w:t>
      </w:r>
    </w:p>
    <w:p w14:paraId="79FC36CD">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B.“政府采购云平台”应用或数据库出现错误，不能进行正常操作的；</w:t>
      </w:r>
    </w:p>
    <w:p w14:paraId="58F1F7DC">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C.“政府采购云平台”发现严重安全漏洞，有潜在泄密危险的；</w:t>
      </w:r>
    </w:p>
    <w:p w14:paraId="2995266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D.病毒发作导致不能进行正常操作的； </w:t>
      </w:r>
    </w:p>
    <w:p w14:paraId="4F3CE30E">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E.其他无法保证电子交易的公平、公正和安全的情况。</w:t>
      </w:r>
    </w:p>
    <w:p w14:paraId="388D32E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出现前款规定情形，不影响采购公平、公正性的，采购人（或代理机构）可以待上述情形消除后继续组织电子交易活动，也可以决定某些环节以纸质形式（若有）进行。</w:t>
      </w:r>
    </w:p>
    <w:p w14:paraId="1459719D">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（二）响应文件的组成</w:t>
      </w:r>
    </w:p>
    <w:p w14:paraId="14821694">
      <w:pPr>
        <w:snapToGrid w:val="0"/>
        <w:spacing w:line="360" w:lineRule="auto"/>
        <w:ind w:firstLine="420" w:firstLineChars="200"/>
        <w:jc w:val="left"/>
        <w:rPr>
          <w:rFonts w:ascii="宋体" w:hAnsi="宋体" w:cs="宋体"/>
          <w:b/>
          <w:bCs/>
        </w:rPr>
      </w:pPr>
      <w:r>
        <w:rPr>
          <w:rFonts w:hint="eastAsia" w:ascii="宋体" w:hAnsi="宋体" w:eastAsia="宋体" w:cs="宋体"/>
          <w:kern w:val="2"/>
          <w:sz w:val="21"/>
          <w:szCs w:val="21"/>
          <w:lang w:val="en-US" w:eastAsia="zh-CN" w:bidi="ar-SA"/>
        </w:rPr>
        <w:t>响应文件至少包含以下三个部分：</w:t>
      </w:r>
      <w:r>
        <w:rPr>
          <w:rFonts w:hint="eastAsia" w:ascii="宋体" w:hAnsi="宋体" w:eastAsia="宋体" w:cs="宋体"/>
          <w:b/>
          <w:bCs/>
          <w:kern w:val="2"/>
          <w:sz w:val="21"/>
          <w:szCs w:val="21"/>
          <w:lang w:val="en-US" w:eastAsia="zh-CN" w:bidi="ar-SA"/>
        </w:rPr>
        <w:t>（电子磋商响应文件中所须加盖公章部分均采用CA签章。）</w:t>
      </w:r>
    </w:p>
    <w:p w14:paraId="74A1BC75">
      <w:pPr>
        <w:numPr>
          <w:ilvl w:val="0"/>
          <w:numId w:val="4"/>
        </w:numPr>
        <w:snapToGrid w:val="0"/>
        <w:spacing w:line="288" w:lineRule="auto"/>
        <w:ind w:firstLine="413" w:firstLineChars="196"/>
        <w:jc w:val="left"/>
        <w:rPr>
          <w:rFonts w:ascii="宋体" w:hAnsi="宋体" w:cs="宋体"/>
        </w:rPr>
      </w:pPr>
      <w:r>
        <w:rPr>
          <w:rFonts w:hint="eastAsia" w:ascii="宋体" w:hAnsi="宋体" w:cs="宋体"/>
          <w:b/>
        </w:rPr>
        <w:t>资格审查文件</w:t>
      </w:r>
    </w:p>
    <w:p w14:paraId="796EBCF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1.1、资格条件自查表（格式见附件）</w:t>
      </w:r>
    </w:p>
    <w:p w14:paraId="5C26315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1.2、有效的营业执照（或事业法人登记证）、其他组织（个体工商户）的营业执照或者民办非企业单位登记证书复印件并加盖公章，供应商如果有名称变更的，应提供由行政主管部门出具的变更证明文件；</w:t>
      </w:r>
    </w:p>
    <w:p w14:paraId="6133A76D">
      <w:pPr>
        <w:pStyle w:val="9"/>
        <w:snapToGrid w:val="0"/>
        <w:spacing w:line="360" w:lineRule="auto"/>
        <w:ind w:firstLine="411" w:firstLineChars="196"/>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1.3、磋商声明书（格式见附件）</w:t>
      </w:r>
      <w:r>
        <w:rPr>
          <w:rFonts w:hint="eastAsia" w:ascii="宋体" w:hAnsi="宋体" w:eastAsia="宋体" w:cs="宋体"/>
          <w:kern w:val="2"/>
          <w:sz w:val="21"/>
          <w:szCs w:val="21"/>
          <w:lang w:val="zh-CN" w:eastAsia="zh-CN" w:bidi="ar-SA"/>
        </w:rPr>
        <w:t>。</w:t>
      </w:r>
    </w:p>
    <w:p w14:paraId="4ECD8EF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1.4、本项目属于专门面向中小企业采购的项目，供应商应为符合《政府采购促进中小企业发展管理办法》（财库﹝2020﹞46 号）规定的中小企业（其中，小微企业包括视同为小型、微型企业的监狱企业、残疾人福利性单位。）。</w:t>
      </w:r>
    </w:p>
    <w:p w14:paraId="5896677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①提供中小企业声明函（详见附件格式）；</w:t>
      </w:r>
    </w:p>
    <w:p w14:paraId="7860788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②供应商为监狱企业的证明文件：省级以上监狱管理局、戒毒管理局（含新疆生产建设兵团）出具（如有）；</w:t>
      </w:r>
    </w:p>
    <w:p w14:paraId="77C6696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③残疾人福利性单位声明函（如符合，详见附件格式）。</w:t>
      </w:r>
    </w:p>
    <w:p w14:paraId="115EDD51">
      <w:pPr>
        <w:spacing w:line="288" w:lineRule="auto"/>
        <w:ind w:firstLine="422" w:firstLineChars="200"/>
        <w:rPr>
          <w:rFonts w:ascii="宋体" w:hAnsi="宋体" w:cs="宋体"/>
        </w:rPr>
      </w:pPr>
      <w:r>
        <w:rPr>
          <w:rFonts w:hint="eastAsia" w:ascii="宋体" w:hAnsi="宋体" w:cs="宋体"/>
          <w:b/>
        </w:rPr>
        <w:t xml:space="preserve">2、商务技术文件   </w:t>
      </w:r>
      <w:r>
        <w:rPr>
          <w:rFonts w:hint="eastAsia" w:ascii="宋体" w:hAnsi="宋体" w:cs="宋体"/>
        </w:rPr>
        <w:t xml:space="preserve"> </w:t>
      </w:r>
    </w:p>
    <w:p w14:paraId="2BA1C4D7">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2.1、符合性自查表（格式见附件）；</w:t>
      </w:r>
    </w:p>
    <w:p w14:paraId="718BA82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2.2、供应商响应表（格式见附件）；</w:t>
      </w:r>
    </w:p>
    <w:p w14:paraId="4C31B348">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2.3、供应商一般情况（格式见附件）；</w:t>
      </w:r>
    </w:p>
    <w:p w14:paraId="05F5314B">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法定代表人身份证明书或供应商单位授权书和被授权代表身份证复印件（供应商代表为法定代表人的提供法定代表人身份证明书，供应商的代表若为非法定代表人的，须提交供应商单位授权书及被授权代表在提交首次磋商响应文件截止日前三个月内任一月的社保证明）(格式见附件)；</w:t>
      </w:r>
    </w:p>
    <w:p w14:paraId="7CE8179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2.5、商务条款响应（偏离）表(格式见附件)；</w:t>
      </w:r>
    </w:p>
    <w:p w14:paraId="3A61D1F0">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2.6、技术服务条款响应（偏离）表（格式见附件）；</w:t>
      </w:r>
    </w:p>
    <w:p w14:paraId="1E16DA3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2.7、项目运维人员一览表（格式见附件）；</w:t>
      </w:r>
    </w:p>
    <w:p w14:paraId="54E0E08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2.8、项目拟投入运维设备一览表（格式见附件）；</w:t>
      </w:r>
    </w:p>
    <w:p w14:paraId="7A380508">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2.9、供应商根据评分标准需要提供的证明材料及必要的文字说明（格式自拟）；</w:t>
      </w:r>
    </w:p>
    <w:p w14:paraId="4BDA9476">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2.10、供应商认为有必要提交的其他商务技术说明文件和资料</w:t>
      </w:r>
      <w:r>
        <w:rPr>
          <w:rFonts w:hint="eastAsia" w:ascii="宋体" w:hAnsi="宋体" w:eastAsia="宋体" w:cs="宋体"/>
          <w:kern w:val="2"/>
          <w:sz w:val="21"/>
          <w:szCs w:val="21"/>
          <w:lang w:val="zh-CN" w:eastAsia="zh-CN" w:bidi="ar-SA"/>
        </w:rPr>
        <w:t>。</w:t>
      </w:r>
    </w:p>
    <w:p w14:paraId="6B081678">
      <w:pPr>
        <w:snapToGrid w:val="0"/>
        <w:spacing w:line="288" w:lineRule="auto"/>
        <w:ind w:firstLine="413" w:firstLineChars="196"/>
        <w:jc w:val="left"/>
        <w:rPr>
          <w:rFonts w:ascii="宋体" w:hAnsi="宋体" w:cs="宋体"/>
          <w:b/>
          <w:bCs/>
          <w:highlight w:val="none"/>
        </w:rPr>
      </w:pPr>
      <w:r>
        <w:rPr>
          <w:rFonts w:hint="eastAsia" w:ascii="宋体" w:hAnsi="宋体" w:cs="宋体"/>
          <w:b/>
          <w:bCs/>
        </w:rPr>
        <w:t>3.报价文件</w:t>
      </w:r>
    </w:p>
    <w:p w14:paraId="60776EBB">
      <w:pPr>
        <w:pStyle w:val="9"/>
        <w:snapToGrid w:val="0"/>
        <w:spacing w:line="360" w:lineRule="auto"/>
        <w:ind w:firstLine="411" w:firstLineChars="196"/>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3.1、磋商响应书（格式见附件）；</w:t>
      </w:r>
    </w:p>
    <w:p w14:paraId="4A443641">
      <w:pPr>
        <w:pStyle w:val="9"/>
        <w:snapToGrid w:val="0"/>
        <w:spacing w:line="360" w:lineRule="auto"/>
        <w:ind w:firstLine="411" w:firstLineChars="196"/>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3.2、初次报价表（格式见附件）；</w:t>
      </w:r>
    </w:p>
    <w:p w14:paraId="1AE8E926">
      <w:pPr>
        <w:pStyle w:val="9"/>
        <w:snapToGrid w:val="0"/>
        <w:spacing w:line="360" w:lineRule="auto"/>
        <w:ind w:firstLine="411" w:firstLineChars="196"/>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3.3、投标报价明细表（格式见附件）；  </w:t>
      </w:r>
    </w:p>
    <w:p w14:paraId="044247B6">
      <w:pPr>
        <w:pStyle w:val="9"/>
        <w:snapToGrid w:val="0"/>
        <w:spacing w:line="360" w:lineRule="auto"/>
        <w:ind w:firstLine="411" w:firstLineChars="196"/>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3.4、其它本磋商文件要求提供的报价部分材料；</w:t>
      </w:r>
    </w:p>
    <w:p w14:paraId="21796387">
      <w:pPr>
        <w:pStyle w:val="9"/>
        <w:snapToGrid w:val="0"/>
        <w:spacing w:line="360" w:lineRule="auto"/>
        <w:ind w:firstLine="411" w:firstLineChars="196"/>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3.5、确定成交服务费支付承诺函（格式见附件）。</w:t>
      </w:r>
    </w:p>
    <w:p w14:paraId="174F331A">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（三）响应文件的语言及计量</w:t>
      </w:r>
    </w:p>
    <w:p w14:paraId="4ABF485C">
      <w:pPr>
        <w:pStyle w:val="9"/>
        <w:snapToGrid w:val="0"/>
        <w:spacing w:line="360" w:lineRule="auto"/>
        <w:ind w:firstLine="413" w:firstLineChars="196"/>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▲1响应文件以及供应商与采购单位就有关磋商事宜的所有来往函电，均应以中文汉语书写。除签名、盖章、专用名称等特殊情形外，以中文汉语以外的文字表述的响应文件视同未提供。</w:t>
      </w:r>
    </w:p>
    <w:p w14:paraId="20FA02F9">
      <w:pPr>
        <w:pStyle w:val="9"/>
        <w:snapToGrid w:val="0"/>
        <w:spacing w:line="360" w:lineRule="auto"/>
        <w:ind w:firstLine="413" w:firstLineChars="196"/>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▲2报价计量单位：磋商采购文件已有明确规定的，使用磋商采购文件规定的计量单位；磋商采购文件没有规定的，应采用中华人民共和国法定计量单位（货币单位：人民币元），否则视同未响应。</w:t>
      </w:r>
    </w:p>
    <w:p w14:paraId="69E682B0">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（四）报价要求</w:t>
      </w:r>
    </w:p>
    <w:p w14:paraId="5E2F009C">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1.报价应按磋商采购文件中相关附表格式填写。</w:t>
      </w:r>
    </w:p>
    <w:p w14:paraId="2B890737">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▲2.响应文件只允许有一个总报价，有选择的或有条件的报价将不予接受。</w:t>
      </w:r>
    </w:p>
    <w:p w14:paraId="008FF257">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（五）响应文件的有效期</w:t>
      </w:r>
    </w:p>
    <w:p w14:paraId="5C844A3F">
      <w:pPr>
        <w:pStyle w:val="9"/>
        <w:snapToGrid w:val="0"/>
        <w:spacing w:line="360" w:lineRule="auto"/>
        <w:ind w:firstLine="413" w:firstLineChars="196"/>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▲1.自递交首次响应文件截止日起 90 天响应文件应保持有效。有效期不足的响应文件将被拒绝。</w:t>
      </w:r>
    </w:p>
    <w:p w14:paraId="0EA9AECE">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2.在特殊情况下，采购人可与供应商协商延长响应文件的有效期，这种要求和答复均以书面形式进行。</w:t>
      </w:r>
    </w:p>
    <w:p w14:paraId="70008BFD">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3.成交供应商的响应文件自开标之日起至合同履行完毕止均应保持有效。</w:t>
      </w:r>
    </w:p>
    <w:p w14:paraId="2EE8A609">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（六）响应文件的签署和份数</w:t>
      </w:r>
    </w:p>
    <w:p w14:paraId="0F919B66">
      <w:pPr>
        <w:pStyle w:val="9"/>
        <w:snapToGrid w:val="0"/>
        <w:spacing w:line="360" w:lineRule="auto"/>
        <w:ind w:firstLine="411" w:firstLineChars="196"/>
        <w:rPr>
          <w:rFonts w:hint="eastAsia" w:ascii="宋体" w:hAnsi="宋体" w:eastAsia="宋体" w:cs="宋体"/>
          <w:kern w:val="2"/>
          <w:sz w:val="21"/>
          <w:szCs w:val="21"/>
          <w:lang w:val="en-US" w:eastAsia="zh-CN" w:bidi="ar-SA"/>
        </w:rPr>
        <w:sectPr>
          <w:footerReference r:id="rId6" w:type="default"/>
          <w:pgSz w:w="11907" w:h="16840"/>
          <w:pgMar w:top="1191" w:right="1077" w:bottom="1117" w:left="1077" w:header="1134" w:footer="1134" w:gutter="0"/>
          <w:pgNumType w:fmt="decimal"/>
          <w:cols w:space="720" w:num="1"/>
          <w:docGrid w:linePitch="285" w:charSpace="0"/>
        </w:sectPr>
      </w:pPr>
      <w:r>
        <w:rPr>
          <w:rFonts w:hint="eastAsia" w:ascii="宋体" w:hAnsi="宋体" w:eastAsia="宋体" w:cs="宋体"/>
          <w:kern w:val="2"/>
          <w:sz w:val="21"/>
          <w:szCs w:val="21"/>
          <w:lang w:val="en-US" w:eastAsia="zh-CN" w:bidi="ar-SA"/>
        </w:rPr>
        <w:t>1.供应商应按照本磋商文件规定的格式和顺序以及“政府采购云平台”的要求，通过“政采云电子交</w:t>
      </w:r>
    </w:p>
    <w:p w14:paraId="1862426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易客户端”编制磋商响应文件并进行关联定位，同时对磋商响应文件进行加密。资格审查文件以及商务技术文件中不得出现报价内容，如因供应商编制原因提前泄露报价，是供应商的责任。</w:t>
      </w:r>
    </w:p>
    <w:p w14:paraId="314F98C5">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2.磋商响应文件内容不完整、编排混乱导致磋商响应文件被误读、漏读或者查找不到相关内容的，是供应商的责任。</w:t>
      </w:r>
    </w:p>
    <w:p w14:paraId="71A55133">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3.磋商响应文件须由供应商在规定位置盖章并由法定代表人或法定代表人的授权委托人签署，供应商应写全称。法定代表人授权委托书必须由法定代表人签名并加盖单位公章。</w:t>
      </w:r>
    </w:p>
    <w:p w14:paraId="76F7E75C">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4.磋商响应文件不得涂改，若有修改错漏处，须加盖单位公章或者法定代表人或授权委托人签名或盖章。磋商响应文件因版面模糊或表达不清所引起的后果由供应商负责。</w:t>
      </w:r>
    </w:p>
    <w:p w14:paraId="3305027D">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5.供应商递交的企业宣传册、产品宣传册不属于磋商响应文件有效组成资料的不作为评审依据。</w:t>
      </w:r>
    </w:p>
    <w:p w14:paraId="72E81E52">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磋商响应文件份数：“电子加密磋商响应文件”一份（包含：资格审查文件、商务技术文件、报价文件三部分）；“电子备份磋商响应文件”一份（包含：资格审查文件、商务技术文件、报价文件三部分，不作强制要求，供应商自行决定是否递交）。</w:t>
      </w:r>
    </w:p>
    <w:p w14:paraId="3FA25EA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E9EA8F">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（七）磋商响应文件的修改和撤回</w:t>
      </w:r>
    </w:p>
    <w:p w14:paraId="759DCB0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4049D837">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2.提交首次磋商响应文件截止时间后，供应商不得撤回、修改磋商响应文件。</w:t>
      </w:r>
    </w:p>
    <w:p w14:paraId="15F6AC4C">
      <w:pPr>
        <w:pStyle w:val="5"/>
        <w:numPr>
          <w:ilvl w:val="0"/>
          <w:numId w:val="0"/>
        </w:numPr>
        <w:tabs>
          <w:tab w:val="left" w:pos="720"/>
        </w:tabs>
        <w:snapToGrid w:val="0"/>
        <w:spacing w:line="288" w:lineRule="auto"/>
        <w:ind w:firstLine="211" w:firstLineChars="100"/>
        <w:rPr>
          <w:rFonts w:hint="eastAsia" w:ascii="宋体" w:hAnsi="宋体" w:cs="宋体"/>
          <w:b/>
          <w:lang w:val="en-US" w:eastAsia="zh-CN"/>
        </w:rPr>
      </w:pPr>
      <w:r>
        <w:rPr>
          <w:rFonts w:hint="eastAsia" w:ascii="宋体" w:hAnsi="宋体" w:cs="宋体"/>
          <w:b/>
          <w:lang w:val="en-US" w:eastAsia="zh-CN"/>
        </w:rPr>
        <w:t>（八）响应无效的情形</w:t>
      </w:r>
    </w:p>
    <w:p w14:paraId="7DCF78B8">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2C1F57D2">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4D32F0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（1）资格证明文件不全的，或者不符合磋商文件标明的资格要求的；</w:t>
      </w:r>
    </w:p>
    <w:p w14:paraId="769B8B78">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（2）磋商响应文件无法定代表人签字,或未提供法定代表人授权委托书、供应商声明书或者填写项目不齐全的；</w:t>
      </w:r>
    </w:p>
    <w:p w14:paraId="5870B752">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（3）供应商代表人未能出具身份证明或与法定代表人授权委托人身份不符的； </w:t>
      </w:r>
    </w:p>
    <w:p w14:paraId="514D4C53">
      <w:pPr>
        <w:pStyle w:val="9"/>
        <w:snapToGrid w:val="0"/>
        <w:spacing w:line="360" w:lineRule="auto"/>
        <w:ind w:firstLine="411" w:firstLineChars="196"/>
        <w:rPr>
          <w:rFonts w:hint="eastAsia" w:ascii="宋体" w:hAnsi="宋体" w:eastAsia="宋体" w:cs="宋体"/>
          <w:kern w:val="2"/>
          <w:sz w:val="21"/>
          <w:szCs w:val="21"/>
          <w:lang w:val="en-US" w:eastAsia="zh-CN" w:bidi="ar-SA"/>
        </w:rPr>
        <w:sectPr>
          <w:footerReference r:id="rId7" w:type="default"/>
          <w:pgSz w:w="11907" w:h="16840"/>
          <w:pgMar w:top="1191" w:right="1077" w:bottom="1117" w:left="1077" w:header="1134" w:footer="1134" w:gutter="0"/>
          <w:pgNumType w:fmt="decimal"/>
          <w:cols w:space="720" w:num="1"/>
          <w:docGrid w:linePitch="285" w:charSpace="0"/>
        </w:sectPr>
      </w:pPr>
    </w:p>
    <w:p w14:paraId="1A06E4E2">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（4）磋商响应文件项目不齐全或者内容虚假的；</w:t>
      </w:r>
    </w:p>
    <w:p w14:paraId="3B3DFA7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（5）磋商响应文件的实质性内容未使用中文表述、意思表述不明确、前后矛盾或者使用计量单位不符合磋商文件要求的（经磋商小组认定并允许其当场更正的笔误除外）；</w:t>
      </w:r>
    </w:p>
    <w:p w14:paraId="278111F6">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（6）磋商响应文件有效期不能满足磋商文件要求的；</w:t>
      </w:r>
    </w:p>
    <w:p w14:paraId="63333998">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（7）未实质性响应磋商文件要求或者响应文件有采购人不能接受的附加条件的；</w:t>
      </w:r>
    </w:p>
    <w:p w14:paraId="1460D14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（8）超过递交响应文件截止时间送达的或未按规定地点送达的；</w:t>
      </w:r>
    </w:p>
    <w:p w14:paraId="31048FC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（9）未按规定密封、签章的；</w:t>
      </w:r>
    </w:p>
    <w:p w14:paraId="23D37DD6">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（10）磋商响应文件的关键内容字迹模糊、无法辨认的,或者响应文件中经修正的内容字迹模糊难以辩认或者修改处未按规定签名盖章的； </w:t>
      </w:r>
    </w:p>
    <w:p w14:paraId="7CA68616">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6D268E7E">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（1）响应文件标明的响应或偏离与事实不符或虚假响应的；</w:t>
      </w:r>
    </w:p>
    <w:p w14:paraId="47C06057">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（2）响应文件技术方案不明确，存在一个或一个以上备选（替代）方案的；</w:t>
      </w:r>
    </w:p>
    <w:p w14:paraId="05138AD3">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1E88CF3E">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（1）未采用响应文件要求的报价形式或超过采购预算（最高限价）报价的；</w:t>
      </w:r>
    </w:p>
    <w:p w14:paraId="08A71729">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（2）报价具有选择性；</w:t>
      </w:r>
    </w:p>
    <w:p w14:paraId="7CA1FF5C">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31CA8B68">
      <w:pPr>
        <w:pStyle w:val="9"/>
        <w:snapToGrid w:val="0"/>
        <w:spacing w:line="360"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747EAC9E">
      <w:pPr>
        <w:pStyle w:val="9"/>
        <w:snapToGrid w:val="0"/>
        <w:spacing w:line="360" w:lineRule="auto"/>
        <w:ind w:firstLine="413" w:firstLineChars="196"/>
        <w:rPr>
          <w:rFonts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73140CE3">
      <w:pPr>
        <w:spacing w:line="360" w:lineRule="auto"/>
      </w:pPr>
      <w:r>
        <w:rPr>
          <w:rFonts w:hint="eastAsia" w:ascii="宋体" w:hAnsi="宋体" w:cs="宋体"/>
          <w:b/>
        </w:rPr>
        <w:t xml:space="preserve">    6.不同供应商的磋商响应文件出自同一终端设备或在相同Internet主机分配地址（相同IP地址）网上报名投标。</w:t>
      </w:r>
    </w:p>
    <w:p w14:paraId="1A14AB9E">
      <w:pPr>
        <w:pStyle w:val="5"/>
        <w:numPr>
          <w:ilvl w:val="0"/>
          <w:numId w:val="0"/>
        </w:numPr>
        <w:tabs>
          <w:tab w:val="left" w:pos="720"/>
        </w:tabs>
        <w:snapToGrid w:val="0"/>
        <w:spacing w:beforeLines="50" w:line="288" w:lineRule="auto"/>
        <w:ind w:left="412" w:leftChars="196" w:firstLine="0"/>
        <w:rPr>
          <w:rFonts w:ascii="宋体" w:hAnsi="宋体" w:cs="宋体"/>
          <w:b/>
        </w:rPr>
      </w:pPr>
      <w:r>
        <w:rPr>
          <w:rFonts w:hint="eastAsia" w:ascii="宋体" w:hAnsi="宋体" w:cs="宋体"/>
          <w:b/>
        </w:rPr>
        <w:t>四、磋商程序</w:t>
      </w:r>
    </w:p>
    <w:p w14:paraId="7B457747">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64EE5711">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采购代理机构将在规定的时间和地点进行磋商，供应商的法定代表人或其授权代表可参加磋商并签到。</w:t>
      </w:r>
    </w:p>
    <w:p w14:paraId="00F21C94">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5EAB0C3F">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1.供应商在提交响应文件截止时间前提交响应文件。</w:t>
      </w:r>
    </w:p>
    <w:p w14:paraId="748B1EF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2.采购人、采购代理机构对响应文件的资格条件进行审查。</w:t>
      </w:r>
    </w:p>
    <w:p w14:paraId="0E9913BC">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3.磋商小组在对响应文件的有效性、完整性和响应程度进行审查，不符合符合性审查、商务和技术审查的供应商将被拒绝。</w:t>
      </w:r>
    </w:p>
    <w:p w14:paraId="12870734">
      <w:pPr>
        <w:pStyle w:val="9"/>
        <w:snapToGrid w:val="0"/>
        <w:spacing w:line="360" w:lineRule="auto"/>
        <w:ind w:firstLine="411" w:firstLineChars="19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4.磋商小组依照顺序与进入磋商的每一供应商分别进行磋商。</w:t>
      </w:r>
    </w:p>
    <w:p w14:paraId="37D3E451">
      <w:pPr>
        <w:pStyle w:val="12"/>
        <w:snapToGrid w:val="0"/>
        <w:spacing w:before="0" w:beforeAutospacing="0" w:after="0" w:afterAutospacing="0" w:line="360" w:lineRule="auto"/>
        <w:ind w:firstLine="422" w:firstLineChars="200"/>
        <w:rPr>
          <w:b/>
          <w:sz w:val="21"/>
          <w:szCs w:val="21"/>
        </w:rPr>
      </w:pPr>
      <w:r>
        <w:rPr>
          <w:b/>
          <w:sz w:val="21"/>
          <w:szCs w:val="21"/>
        </w:rPr>
        <w:t>电子招投标开标程序：</w:t>
      </w:r>
    </w:p>
    <w:p w14:paraId="7BCD57E2">
      <w:pPr>
        <w:snapToGrid w:val="0"/>
        <w:spacing w:line="360" w:lineRule="auto"/>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int="eastAsia" w:ascii="宋体" w:hAnsi="宋体" w:cs="宋体"/>
          <w:b/>
          <w:bCs/>
          <w:u w:val="single"/>
        </w:rPr>
        <w:t>30分钟内</w:t>
      </w:r>
      <w:r>
        <w:rPr>
          <w:rFonts w:hint="eastAsia" w:ascii="宋体" w:hAnsi="宋体" w:cs="宋体"/>
        </w:rPr>
        <w:t>。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A9976F1">
      <w:pPr>
        <w:snapToGrid w:val="0"/>
        <w:spacing w:line="360" w:lineRule="auto"/>
        <w:ind w:firstLine="420" w:firstLineChars="200"/>
        <w:rPr>
          <w:rFonts w:hint="eastAsia" w:ascii="宋体" w:hAnsi="宋体" w:cs="宋体"/>
        </w:rPr>
      </w:pPr>
      <w:r>
        <w:rPr>
          <w:rFonts w:hint="eastAsia" w:ascii="宋体" w:hAnsi="宋体" w:cs="宋体"/>
        </w:rPr>
        <w:t>（2）资格审查：采购人或者采购代理机构对供应商的资格进行审查，不符合资格审查的供应商将被拒绝。</w:t>
      </w:r>
    </w:p>
    <w:p w14:paraId="5F837296">
      <w:pPr>
        <w:snapToGrid w:val="0"/>
        <w:spacing w:line="360" w:lineRule="auto"/>
        <w:ind w:firstLine="420" w:firstLineChars="200"/>
        <w:rPr>
          <w:rFonts w:hint="eastAsia" w:ascii="宋体" w:hAnsi="宋体" w:cs="宋体"/>
        </w:rPr>
      </w:pPr>
      <w:r>
        <w:rPr>
          <w:rFonts w:hint="eastAsia" w:ascii="宋体" w:hAnsi="宋体" w:cs="宋体"/>
        </w:rPr>
        <w:t>（3）符合性审查：磋商小组应当对符合资格的供应商的响应文件进行符合性审查，以确定其是否满足采购文件的实质性要求。</w:t>
      </w:r>
    </w:p>
    <w:p w14:paraId="1B440D81">
      <w:pPr>
        <w:snapToGrid w:val="0"/>
        <w:spacing w:line="360" w:lineRule="auto"/>
        <w:ind w:firstLine="420" w:firstLineChars="200"/>
        <w:rPr>
          <w:rFonts w:hint="eastAsia" w:ascii="宋体" w:hAnsi="宋体" w:cs="宋体"/>
        </w:rPr>
      </w:pPr>
      <w:r>
        <w:rPr>
          <w:rFonts w:hint="eastAsia" w:ascii="宋体" w:hAnsi="宋体" w:cs="宋体"/>
        </w:rPr>
        <w:t>（4）磋商小组对各响应单位在“政府采购云平台”上进行在线磋商。</w:t>
      </w:r>
    </w:p>
    <w:p w14:paraId="52EFE763">
      <w:pPr>
        <w:snapToGrid w:val="0"/>
        <w:spacing w:line="360" w:lineRule="auto"/>
        <w:ind w:firstLine="420" w:firstLineChars="200"/>
        <w:rPr>
          <w:rFonts w:hint="eastAsia" w:ascii="宋体" w:hAnsi="宋体" w:cs="宋体"/>
        </w:rPr>
      </w:pPr>
      <w:r>
        <w:rPr>
          <w:rFonts w:hint="eastAsia" w:ascii="宋体" w:hAnsi="宋体" w:cs="宋体"/>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689B83A0">
      <w:pPr>
        <w:snapToGrid w:val="0"/>
        <w:spacing w:line="360" w:lineRule="auto"/>
        <w:ind w:firstLine="420" w:firstLineChars="200"/>
        <w:rPr>
          <w:rFonts w:hint="eastAsia" w:ascii="宋体" w:hAnsi="宋体" w:cs="宋体"/>
        </w:rPr>
      </w:pPr>
      <w:r>
        <w:rPr>
          <w:rFonts w:hint="eastAsia" w:ascii="宋体" w:hAnsi="宋体" w:cs="宋体"/>
        </w:rPr>
        <w:t>（6）最后报价是磋商响应文件的有效组成部分。</w:t>
      </w:r>
    </w:p>
    <w:p w14:paraId="23404319">
      <w:pPr>
        <w:snapToGrid w:val="0"/>
        <w:spacing w:line="360" w:lineRule="auto"/>
        <w:ind w:firstLine="420" w:firstLineChars="200"/>
        <w:rPr>
          <w:rFonts w:hint="eastAsia" w:ascii="宋体" w:hAnsi="宋体" w:cs="宋体"/>
        </w:rPr>
      </w:pPr>
      <w:r>
        <w:rPr>
          <w:rFonts w:hint="eastAsia" w:ascii="宋体" w:hAnsi="宋体" w:cs="宋体"/>
        </w:rPr>
        <w:t>（7）已提交首次磋商响应文件的供应商，在提交最后报价之前，若因磋商文件实质性变动导致供应商无法满足采购需求的，允许供应商退出磋商。</w:t>
      </w:r>
    </w:p>
    <w:p w14:paraId="66B613B3">
      <w:pPr>
        <w:snapToGrid w:val="0"/>
        <w:spacing w:line="360" w:lineRule="auto"/>
        <w:ind w:firstLine="420" w:firstLineChars="200"/>
        <w:rPr>
          <w:rFonts w:hint="eastAsia" w:ascii="宋体" w:hAnsi="宋体" w:cs="宋体"/>
        </w:rPr>
      </w:pPr>
      <w:r>
        <w:rPr>
          <w:rFonts w:hint="eastAsia" w:ascii="宋体" w:hAnsi="宋体" w:cs="宋体"/>
        </w:rPr>
        <w:t>（8）经磋商确定最终采购需求和提交最后报价的供应商后，由磋商小组采用综合评分法对提交最后报价的供应商的响应文件和最后报价进行综合评分。</w:t>
      </w:r>
    </w:p>
    <w:p w14:paraId="05BE0416">
      <w:pPr>
        <w:snapToGrid w:val="0"/>
        <w:spacing w:line="360" w:lineRule="auto"/>
        <w:ind w:firstLine="420" w:firstLineChars="200"/>
        <w:rPr>
          <w:rFonts w:hint="eastAsia" w:ascii="宋体" w:hAnsi="宋体" w:cs="宋体"/>
        </w:rPr>
      </w:pPr>
      <w:r>
        <w:rPr>
          <w:rFonts w:hint="eastAsia" w:ascii="宋体" w:hAnsi="宋体" w:cs="宋体"/>
        </w:rPr>
        <w:t>（9）磋商小组根据综合评分情况，按照评审得分由高到低顺序</w:t>
      </w:r>
      <w:r>
        <w:rPr>
          <w:rFonts w:hint="eastAsia" w:ascii="宋体" w:hAnsi="宋体" w:cs="宋体"/>
          <w:lang w:eastAsia="zh-CN"/>
        </w:rPr>
        <w:t>，排名第1至3名的供应商为第一、二、三成交候选人</w:t>
      </w:r>
      <w:r>
        <w:rPr>
          <w:rFonts w:hint="eastAsia" w:ascii="宋体" w:hAnsi="宋体" w:cs="宋体"/>
        </w:rPr>
        <w:t>，并编写评审报告。若评审得分相同，则报价低者为成交候选人；评审得分且最终报价相同的则由抽签决定成交候选人。</w:t>
      </w:r>
    </w:p>
    <w:p w14:paraId="16F12F72">
      <w:pPr>
        <w:snapToGrid w:val="0"/>
        <w:spacing w:line="360" w:lineRule="auto"/>
        <w:ind w:firstLine="420" w:firstLineChars="200"/>
        <w:rPr>
          <w:rFonts w:hint="eastAsia" w:ascii="宋体" w:hAnsi="宋体" w:cs="宋体"/>
        </w:rPr>
      </w:pPr>
      <w:r>
        <w:rPr>
          <w:rFonts w:hint="eastAsia" w:ascii="宋体" w:hAnsi="宋体" w:cs="宋体"/>
        </w:rPr>
        <w:t>（10）评审结束后，公布成交候选供应商名单，及采购人最终确定成交供应商名单的时间和公告方式等。</w:t>
      </w:r>
    </w:p>
    <w:p w14:paraId="3C6EC2BE">
      <w:pPr>
        <w:pStyle w:val="12"/>
        <w:snapToGrid w:val="0"/>
        <w:spacing w:before="0" w:beforeAutospacing="0" w:after="0" w:afterAutospacing="0" w:line="360" w:lineRule="auto"/>
        <w:ind w:firstLine="422" w:firstLineChars="200"/>
        <w:rPr>
          <w:b/>
          <w:sz w:val="21"/>
          <w:szCs w:val="21"/>
        </w:rPr>
      </w:pPr>
      <w:r>
        <w:rPr>
          <w:b/>
          <w:sz w:val="21"/>
          <w:szCs w:val="21"/>
        </w:rPr>
        <w:t>特别说明：政采云公司如对电子化开标及评审程序有调整的，按调整后的程序操作。</w:t>
      </w:r>
    </w:p>
    <w:p w14:paraId="3DF1E278">
      <w:pPr>
        <w:snapToGrid w:val="0"/>
        <w:spacing w:line="360" w:lineRule="auto"/>
        <w:ind w:firstLine="420" w:firstLineChars="200"/>
        <w:rPr>
          <w:rFonts w:hint="eastAsia" w:ascii="宋体" w:hAnsi="宋体" w:cs="宋体"/>
        </w:rPr>
      </w:pPr>
      <w:r>
        <w:rPr>
          <w:rFonts w:hint="eastAsia" w:ascii="宋体" w:hAnsi="宋体" w:cs="宋体"/>
        </w:rPr>
        <w:t>注：在磋商过程中，磋商小组可以根据磋商文件和磋商情况实质性变动采购需求中的技术、服务要求（即本磋商文件第五部分 采购内容及具体要求）以及合同草案条款（即本磋商文件第六部分 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1D682DD1">
      <w:pPr>
        <w:pStyle w:val="5"/>
        <w:numPr>
          <w:ilvl w:val="0"/>
          <w:numId w:val="0"/>
        </w:numPr>
        <w:tabs>
          <w:tab w:val="left" w:pos="720"/>
        </w:tabs>
        <w:snapToGrid w:val="0"/>
        <w:spacing w:beforeLines="50" w:line="288" w:lineRule="auto"/>
        <w:ind w:left="412" w:leftChars="196" w:firstLine="211" w:firstLineChars="100"/>
        <w:rPr>
          <w:rFonts w:ascii="宋体" w:hAnsi="宋体" w:cs="宋体"/>
          <w:b/>
        </w:rPr>
      </w:pPr>
      <w:r>
        <w:rPr>
          <w:rFonts w:hint="eastAsia" w:ascii="宋体" w:hAnsi="宋体" w:cs="宋体"/>
          <w:b/>
        </w:rPr>
        <w:t>五、评审</w:t>
      </w:r>
    </w:p>
    <w:p w14:paraId="30AF3493">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38937F50">
      <w:pPr>
        <w:snapToGrid w:val="0"/>
        <w:spacing w:line="360" w:lineRule="auto"/>
        <w:ind w:firstLine="420" w:firstLineChars="200"/>
        <w:rPr>
          <w:rFonts w:hint="eastAsia" w:ascii="宋体" w:hAnsi="宋体" w:cs="宋体"/>
        </w:rPr>
      </w:pPr>
      <w:r>
        <w:rPr>
          <w:rFonts w:hint="eastAsia" w:ascii="宋体" w:hAnsi="宋体" w:cs="宋体"/>
        </w:rPr>
        <w:t>磋商小组由政府采购评审专家或采购人代表共3人或以上单数组成，其中评审专家人数不得少于磋商小组成员总数的2/3。</w:t>
      </w:r>
    </w:p>
    <w:p w14:paraId="739DC39F">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4138874D">
      <w:pPr>
        <w:snapToGrid w:val="0"/>
        <w:spacing w:line="360" w:lineRule="auto"/>
        <w:ind w:firstLine="420" w:firstLineChars="200"/>
        <w:rPr>
          <w:rFonts w:hint="eastAsia" w:ascii="宋体" w:hAnsi="宋体" w:cs="宋体"/>
        </w:rPr>
      </w:pPr>
      <w:r>
        <w:rPr>
          <w:rFonts w:hint="eastAsia" w:ascii="宋体" w:hAnsi="宋体" w:cs="宋体"/>
        </w:rPr>
        <w:t>本项目采用不公开方式评审，评审的依据为磋商采购文件和响应文件。</w:t>
      </w:r>
    </w:p>
    <w:p w14:paraId="30201503">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696CD710">
      <w:pPr>
        <w:snapToGrid w:val="0"/>
        <w:spacing w:line="288" w:lineRule="auto"/>
        <w:ind w:firstLine="413" w:firstLineChars="196"/>
        <w:rPr>
          <w:rFonts w:ascii="宋体" w:hAnsi="宋体" w:cs="宋体"/>
          <w:b/>
        </w:rPr>
      </w:pPr>
      <w:r>
        <w:rPr>
          <w:rFonts w:hint="eastAsia" w:ascii="宋体" w:hAnsi="宋体" w:cs="宋体"/>
          <w:b/>
        </w:rPr>
        <w:t>1.形式审查</w:t>
      </w:r>
    </w:p>
    <w:p w14:paraId="6D510112">
      <w:pPr>
        <w:snapToGrid w:val="0"/>
        <w:spacing w:line="360" w:lineRule="auto"/>
        <w:ind w:firstLine="420" w:firstLineChars="200"/>
        <w:rPr>
          <w:rFonts w:hint="eastAsia" w:ascii="宋体" w:hAnsi="宋体" w:cs="宋体"/>
        </w:rPr>
      </w:pPr>
      <w:r>
        <w:rPr>
          <w:rFonts w:hint="eastAsia" w:ascii="宋体" w:hAnsi="宋体" w:cs="宋体"/>
        </w:rPr>
        <w:t>采购人代表和代理机构工作人员协助磋商小组对供应商的资格和响应文件的完整性、合法性等进行审查。</w:t>
      </w:r>
    </w:p>
    <w:p w14:paraId="1347ECF8">
      <w:pPr>
        <w:snapToGrid w:val="0"/>
        <w:spacing w:line="288" w:lineRule="auto"/>
        <w:ind w:firstLine="413" w:firstLineChars="196"/>
        <w:rPr>
          <w:rFonts w:ascii="宋体" w:hAnsi="宋体" w:cs="宋体"/>
          <w:b/>
        </w:rPr>
      </w:pPr>
      <w:r>
        <w:rPr>
          <w:rFonts w:hint="eastAsia" w:ascii="宋体" w:hAnsi="宋体" w:cs="宋体"/>
          <w:b/>
        </w:rPr>
        <w:t>2.实质审查与比较</w:t>
      </w:r>
    </w:p>
    <w:p w14:paraId="6F4E6C6A">
      <w:pPr>
        <w:snapToGrid w:val="0"/>
        <w:spacing w:line="360" w:lineRule="auto"/>
        <w:ind w:firstLine="420" w:firstLineChars="200"/>
        <w:rPr>
          <w:rFonts w:hint="eastAsia" w:ascii="宋体" w:hAnsi="宋体" w:cs="宋体"/>
        </w:rPr>
      </w:pPr>
      <w:r>
        <w:rPr>
          <w:rFonts w:hint="eastAsia" w:ascii="宋体" w:hAnsi="宋体" w:cs="宋体"/>
        </w:rPr>
        <w:t>（1）磋商小组审查响应文件的实质性内容是否符合磋商采购文件的实质性要求。</w:t>
      </w:r>
    </w:p>
    <w:p w14:paraId="5C912155">
      <w:pPr>
        <w:snapToGrid w:val="0"/>
        <w:spacing w:line="360" w:lineRule="auto"/>
        <w:ind w:firstLine="420" w:firstLineChars="200"/>
        <w:rPr>
          <w:rFonts w:hint="eastAsia"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578B63B8">
      <w:pPr>
        <w:snapToGrid w:val="0"/>
        <w:spacing w:line="360" w:lineRule="auto"/>
        <w:ind w:firstLine="420" w:firstLineChars="200"/>
        <w:rPr>
          <w:rFonts w:hint="eastAsia"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63DE32F3">
      <w:pPr>
        <w:snapToGrid w:val="0"/>
        <w:spacing w:line="360" w:lineRule="auto"/>
        <w:ind w:firstLine="420" w:firstLineChars="200"/>
        <w:rPr>
          <w:rFonts w:hint="eastAsia" w:ascii="宋体" w:hAnsi="宋体" w:cs="宋体"/>
        </w:rPr>
      </w:pPr>
      <w:r>
        <w:rPr>
          <w:rFonts w:hint="eastAsia" w:ascii="宋体" w:hAnsi="宋体" w:cs="宋体"/>
        </w:rPr>
        <w:t>（3）各供应商的技术商务得分为所有磋商小组成员的有效评分的算术平均数，由指定专人进行计算复核。</w:t>
      </w:r>
    </w:p>
    <w:p w14:paraId="61E9492D">
      <w:pPr>
        <w:snapToGrid w:val="0"/>
        <w:spacing w:line="360" w:lineRule="auto"/>
        <w:ind w:firstLine="420" w:firstLineChars="200"/>
        <w:rPr>
          <w:rFonts w:hint="eastAsia" w:ascii="宋体" w:hAnsi="宋体" w:cs="宋体"/>
        </w:rPr>
      </w:pPr>
      <w:r>
        <w:rPr>
          <w:rFonts w:hint="eastAsia" w:ascii="宋体" w:hAnsi="宋体" w:cs="宋体"/>
        </w:rPr>
        <w:t>（4）代理机构工作人员协助磋商小组根据本项目的评分标准计算各供应商的报价得分。</w:t>
      </w:r>
    </w:p>
    <w:p w14:paraId="609594FF">
      <w:pPr>
        <w:snapToGrid w:val="0"/>
        <w:spacing w:line="360" w:lineRule="auto"/>
        <w:ind w:firstLine="420" w:firstLineChars="200"/>
        <w:rPr>
          <w:rFonts w:hint="eastAsia"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081BE25B">
      <w:pPr>
        <w:snapToGrid w:val="0"/>
        <w:spacing w:line="288" w:lineRule="auto"/>
        <w:ind w:firstLine="422" w:firstLineChars="200"/>
        <w:rPr>
          <w:rFonts w:ascii="宋体" w:hAnsi="宋体" w:cs="宋体"/>
          <w:b/>
        </w:rPr>
      </w:pPr>
      <w:r>
        <w:rPr>
          <w:rFonts w:hint="eastAsia" w:ascii="宋体" w:hAnsi="宋体" w:cs="宋体"/>
          <w:b/>
        </w:rPr>
        <w:t>（四）澄清问题的形式</w:t>
      </w:r>
    </w:p>
    <w:p w14:paraId="23DA4970">
      <w:pPr>
        <w:snapToGrid w:val="0"/>
        <w:spacing w:line="360" w:lineRule="auto"/>
        <w:ind w:firstLine="420" w:firstLineChars="200"/>
        <w:rPr>
          <w:rFonts w:hint="eastAsia"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304E5253">
      <w:pPr>
        <w:snapToGrid w:val="0"/>
        <w:spacing w:line="288" w:lineRule="auto"/>
        <w:ind w:firstLine="422" w:firstLineChars="200"/>
        <w:rPr>
          <w:rFonts w:hint="eastAsia" w:ascii="宋体" w:hAnsi="宋体" w:cs="宋体"/>
          <w:b/>
        </w:rPr>
      </w:pPr>
      <w:r>
        <w:rPr>
          <w:rFonts w:hint="eastAsia" w:ascii="宋体" w:hAnsi="宋体" w:cs="宋体"/>
          <w:b/>
        </w:rPr>
        <w:t>（五） 错误修正</w:t>
      </w:r>
    </w:p>
    <w:p w14:paraId="0D7CF551">
      <w:pPr>
        <w:snapToGrid w:val="0"/>
        <w:spacing w:line="360" w:lineRule="auto"/>
        <w:ind w:firstLine="420" w:firstLineChars="200"/>
        <w:rPr>
          <w:rFonts w:hint="eastAsia" w:ascii="宋体" w:hAnsi="宋体" w:cs="宋体"/>
        </w:rPr>
      </w:pPr>
      <w:r>
        <w:rPr>
          <w:rFonts w:hint="eastAsia" w:ascii="宋体" w:hAnsi="宋体" w:cs="宋体"/>
        </w:rPr>
        <w:t>响应文件如果出现计算或表达上的错误，修正错误的原则如下：</w:t>
      </w:r>
    </w:p>
    <w:p w14:paraId="310D98BD">
      <w:pPr>
        <w:snapToGrid w:val="0"/>
        <w:spacing w:line="360" w:lineRule="auto"/>
        <w:ind w:firstLine="420" w:firstLineChars="200"/>
        <w:rPr>
          <w:rFonts w:hint="eastAsia" w:ascii="宋体" w:hAnsi="宋体" w:cs="宋体"/>
        </w:rPr>
      </w:pPr>
      <w:r>
        <w:rPr>
          <w:rFonts w:hint="eastAsia" w:ascii="宋体" w:hAnsi="宋体" w:cs="宋体"/>
        </w:rPr>
        <w:t>1、响应文件的大写金额和小写金额不一致的，以大写金额为准；</w:t>
      </w:r>
    </w:p>
    <w:p w14:paraId="42932F6B">
      <w:pPr>
        <w:snapToGrid w:val="0"/>
        <w:spacing w:line="360" w:lineRule="auto"/>
        <w:ind w:firstLine="420" w:firstLineChars="200"/>
        <w:rPr>
          <w:rFonts w:hint="eastAsia"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796F3855">
      <w:pPr>
        <w:snapToGrid w:val="0"/>
        <w:spacing w:line="360" w:lineRule="auto"/>
        <w:ind w:firstLine="420" w:firstLineChars="200"/>
        <w:rPr>
          <w:rFonts w:hint="eastAsia" w:ascii="宋体" w:hAnsi="宋体" w:cs="宋体"/>
        </w:rPr>
      </w:pPr>
      <w:r>
        <w:rPr>
          <w:rFonts w:hint="eastAsia" w:ascii="宋体" w:hAnsi="宋体" w:cs="宋体"/>
        </w:rPr>
        <w:t>3、总价与按单价汇总金额不一致的，以单价金额计算结果为准；</w:t>
      </w:r>
    </w:p>
    <w:p w14:paraId="70406B7B">
      <w:pPr>
        <w:snapToGrid w:val="0"/>
        <w:spacing w:line="360" w:lineRule="auto"/>
        <w:ind w:firstLine="420" w:firstLineChars="200"/>
        <w:rPr>
          <w:rFonts w:hint="eastAsia" w:ascii="宋体" w:hAnsi="宋体" w:cs="宋体"/>
        </w:rPr>
      </w:pPr>
      <w:r>
        <w:rPr>
          <w:rFonts w:hint="eastAsia" w:ascii="宋体" w:hAnsi="宋体" w:cs="宋体"/>
        </w:rPr>
        <w:t>4、对不同文字文本响应文件的解释发生异议的，以中文文本为准。</w:t>
      </w:r>
    </w:p>
    <w:p w14:paraId="64C09280">
      <w:pPr>
        <w:snapToGrid w:val="0"/>
        <w:spacing w:line="360" w:lineRule="auto"/>
        <w:ind w:firstLine="420" w:firstLineChars="200"/>
        <w:rPr>
          <w:rFonts w:hint="eastAsia" w:ascii="宋体" w:hAnsi="宋体" w:cs="宋体"/>
        </w:rPr>
      </w:pPr>
      <w:r>
        <w:rPr>
          <w:rFonts w:hint="eastAsia" w:ascii="宋体" w:hAnsi="宋体" w:cs="宋体"/>
        </w:rPr>
        <w:t>5、正本与副本不一致的，以正本为准。</w:t>
      </w:r>
    </w:p>
    <w:p w14:paraId="6F051181">
      <w:pPr>
        <w:snapToGrid w:val="0"/>
        <w:spacing w:line="360" w:lineRule="auto"/>
        <w:ind w:firstLine="420" w:firstLineChars="200"/>
        <w:rPr>
          <w:rFonts w:hint="eastAsia" w:ascii="宋体" w:hAnsi="宋体" w:cs="宋体"/>
        </w:rPr>
      </w:pPr>
      <w:r>
        <w:rPr>
          <w:rFonts w:hint="eastAsia" w:ascii="宋体" w:hAnsi="宋体" w:cs="宋体"/>
        </w:rPr>
        <w:t>同时出现两种以上不一致的，按照前款规定的顺序修正。修正后的报价按照磋商响应文件澄清的规定经</w:t>
      </w:r>
      <w:r>
        <w:rPr>
          <w:rFonts w:hint="eastAsia" w:ascii="宋体" w:hAnsi="宋体" w:cs="宋体"/>
          <w:lang w:eastAsia="zh-CN"/>
        </w:rPr>
        <w:t>供应商</w:t>
      </w:r>
      <w:r>
        <w:rPr>
          <w:rFonts w:hint="eastAsia" w:ascii="宋体" w:hAnsi="宋体" w:cs="宋体"/>
        </w:rPr>
        <w:t>确认后产生约束力，</w:t>
      </w:r>
      <w:r>
        <w:rPr>
          <w:rFonts w:hint="eastAsia" w:ascii="宋体" w:hAnsi="宋体" w:cs="宋体"/>
          <w:lang w:eastAsia="zh-CN"/>
        </w:rPr>
        <w:t>供应商</w:t>
      </w:r>
      <w:r>
        <w:rPr>
          <w:rFonts w:hint="eastAsia" w:ascii="宋体" w:hAnsi="宋体" w:cs="宋体"/>
        </w:rPr>
        <w:t>不确认的，其投标无效。</w:t>
      </w:r>
    </w:p>
    <w:p w14:paraId="234E338A">
      <w:pPr>
        <w:snapToGrid w:val="0"/>
        <w:spacing w:line="288" w:lineRule="auto"/>
        <w:ind w:firstLine="422" w:firstLineChars="200"/>
        <w:rPr>
          <w:rFonts w:hint="eastAsia" w:ascii="宋体" w:hAnsi="宋体" w:cs="宋体"/>
          <w:b/>
        </w:rPr>
      </w:pPr>
      <w:r>
        <w:rPr>
          <w:rFonts w:hint="eastAsia" w:ascii="宋体" w:hAnsi="宋体" w:cs="宋体"/>
          <w:b/>
        </w:rPr>
        <w:t>（六）评审原则和评审办法</w:t>
      </w:r>
    </w:p>
    <w:p w14:paraId="492AC904">
      <w:pPr>
        <w:snapToGrid w:val="0"/>
        <w:spacing w:line="360" w:lineRule="auto"/>
        <w:ind w:firstLine="420" w:firstLineChars="200"/>
        <w:rPr>
          <w:rFonts w:hint="eastAsia" w:ascii="宋体" w:hAnsi="宋体" w:cs="宋体"/>
        </w:rPr>
      </w:pPr>
      <w:r>
        <w:rPr>
          <w:rFonts w:hint="eastAsia" w:ascii="宋体" w:hAnsi="宋体" w:cs="宋体"/>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420A8507">
      <w:pPr>
        <w:snapToGrid w:val="0"/>
        <w:spacing w:line="360" w:lineRule="auto"/>
        <w:ind w:firstLine="420" w:firstLineChars="200"/>
        <w:rPr>
          <w:rFonts w:hint="eastAsia" w:ascii="宋体" w:hAnsi="宋体" w:cs="宋体"/>
        </w:rPr>
      </w:pPr>
      <w:r>
        <w:rPr>
          <w:rFonts w:hint="eastAsia" w:ascii="宋体" w:hAnsi="宋体" w:cs="宋体"/>
        </w:rPr>
        <w:t>2.评审办法。本项目评审办法是</w:t>
      </w:r>
      <w:r>
        <w:rPr>
          <w:rFonts w:hint="eastAsia" w:ascii="宋体" w:hAnsi="宋体" w:cs="宋体"/>
          <w:b/>
          <w:bCs/>
          <w:u w:val="single"/>
        </w:rPr>
        <w:t xml:space="preserve"> 综合评分法 </w:t>
      </w:r>
      <w:r>
        <w:rPr>
          <w:rFonts w:hint="eastAsia" w:ascii="宋体" w:hAnsi="宋体" w:cs="宋体"/>
        </w:rPr>
        <w:t>，具体评审内容及评分标准等具体见《第四部分：评定成交的标准》。</w:t>
      </w:r>
    </w:p>
    <w:p w14:paraId="2AC6D3AD">
      <w:pPr>
        <w:snapToGrid w:val="0"/>
        <w:spacing w:line="288" w:lineRule="auto"/>
        <w:ind w:firstLine="422" w:firstLineChars="200"/>
        <w:rPr>
          <w:rFonts w:hint="eastAsia" w:ascii="宋体" w:hAnsi="宋体" w:cs="宋体"/>
          <w:b/>
        </w:rPr>
      </w:pPr>
      <w:r>
        <w:rPr>
          <w:rFonts w:hint="eastAsia" w:ascii="宋体" w:hAnsi="宋体" w:cs="宋体"/>
          <w:b/>
        </w:rPr>
        <w:t>六、确定成交供应商：本项目由采购人确定成交供应商。</w:t>
      </w:r>
    </w:p>
    <w:p w14:paraId="6B6C98EB">
      <w:pPr>
        <w:snapToGrid w:val="0"/>
        <w:spacing w:line="360" w:lineRule="auto"/>
        <w:ind w:firstLine="420" w:firstLineChars="200"/>
        <w:rPr>
          <w:rFonts w:hint="eastAsia"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w:t>
      </w:r>
      <w:r>
        <w:rPr>
          <w:rFonts w:hint="eastAsia" w:ascii="宋体" w:hAnsi="宋体" w:cs="宋体"/>
          <w:lang w:val="en-US" w:eastAsia="zh-CN"/>
        </w:rPr>
        <w:t>采购</w:t>
      </w:r>
      <w:r>
        <w:rPr>
          <w:rFonts w:hint="eastAsia" w:ascii="宋体" w:hAnsi="宋体" w:cs="宋体"/>
        </w:rPr>
        <w:t>公告发布的网站对成交结果进行公示。</w:t>
      </w:r>
    </w:p>
    <w:p w14:paraId="61AF0918">
      <w:pPr>
        <w:snapToGrid w:val="0"/>
        <w:spacing w:line="360" w:lineRule="auto"/>
        <w:ind w:firstLine="420" w:firstLineChars="200"/>
        <w:rPr>
          <w:rFonts w:hint="eastAsia" w:ascii="宋体" w:hAnsi="宋体" w:cs="宋体"/>
        </w:rPr>
      </w:pPr>
      <w:r>
        <w:rPr>
          <w:rFonts w:hint="eastAsia" w:ascii="宋体" w:hAnsi="宋体" w:cs="宋体"/>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4C5B3DEA">
      <w:pPr>
        <w:snapToGrid w:val="0"/>
        <w:spacing w:line="288" w:lineRule="auto"/>
        <w:ind w:firstLine="422" w:firstLineChars="200"/>
        <w:rPr>
          <w:rFonts w:hint="eastAsia" w:ascii="宋体" w:hAnsi="宋体" w:cs="宋体"/>
          <w:b/>
        </w:rPr>
      </w:pPr>
      <w:r>
        <w:rPr>
          <w:rFonts w:hint="eastAsia" w:ascii="宋体" w:hAnsi="宋体" w:cs="宋体"/>
          <w:b/>
        </w:rPr>
        <w:t>七、合同授予</w:t>
      </w:r>
    </w:p>
    <w:p w14:paraId="6F99CEBC">
      <w:pPr>
        <w:snapToGrid w:val="0"/>
        <w:spacing w:line="360"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22746EAD">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6AD0454B">
      <w:pPr>
        <w:snapToGrid w:val="0"/>
        <w:spacing w:line="360" w:lineRule="auto"/>
        <w:ind w:firstLine="420" w:firstLineChars="200"/>
        <w:rPr>
          <w:rFonts w:hint="eastAsia" w:ascii="宋体" w:hAnsi="宋体" w:cs="宋体"/>
        </w:rPr>
      </w:pPr>
      <w:r>
        <w:rPr>
          <w:rFonts w:hint="eastAsia" w:ascii="宋体" w:hAnsi="宋体" w:cs="宋体"/>
        </w:rPr>
        <w:t>1、本项目专门面向中小企业采购。采购标的对应的中小企业划分标准所属行业：</w:t>
      </w:r>
      <w:r>
        <w:rPr>
          <w:rFonts w:hint="eastAsia" w:ascii="宋体" w:hAnsi="宋体" w:cs="宋体"/>
          <w:b/>
          <w:bCs/>
          <w:u w:val="single"/>
          <w:lang w:eastAsia="zh-CN"/>
        </w:rPr>
        <w:t>其它未列明行业</w:t>
      </w:r>
      <w:r>
        <w:rPr>
          <w:rFonts w:hint="eastAsia" w:ascii="宋体" w:hAnsi="宋体" w:cs="宋体"/>
        </w:rPr>
        <w:t>。</w:t>
      </w:r>
      <w:bookmarkStart w:id="3" w:name="_Toc495244277"/>
      <w:bookmarkStart w:id="4" w:name="_Toc21541015"/>
      <w:r>
        <w:rPr>
          <w:rFonts w:hint="eastAsia" w:ascii="宋体" w:hAnsi="宋体" w:cs="宋体"/>
          <w:lang w:eastAsia="zh-CN"/>
        </w:rPr>
        <w:t>供应商</w:t>
      </w:r>
      <w:r>
        <w:rPr>
          <w:rFonts w:hint="eastAsia" w:ascii="宋体" w:hAnsi="宋体" w:cs="宋体"/>
        </w:rPr>
        <w:t>参加本项目政府采购活动，必须出具《政府采购促进中小企业发展管理办法》规定的《中小企业声明函》（格式见本采购文件附件）。</w:t>
      </w:r>
    </w:p>
    <w:p w14:paraId="3FB9F211">
      <w:pPr>
        <w:snapToGrid w:val="0"/>
        <w:spacing w:line="360" w:lineRule="auto"/>
        <w:ind w:firstLine="420" w:firstLineChars="200"/>
        <w:rPr>
          <w:rFonts w:hint="eastAsia" w:ascii="宋体" w:hAnsi="宋体" w:cs="宋体"/>
        </w:rPr>
      </w:pPr>
      <w:r>
        <w:rPr>
          <w:rFonts w:hint="eastAsia" w:ascii="宋体" w:hAnsi="宋体" w:cs="宋体"/>
        </w:rPr>
        <w:t>2、执行财政部、工业和信息化部《政府采购促进中小企业发展管理办法》（财库〔2020〕46号）。政府采购活动中有关中小企业的相关规定如下：</w:t>
      </w:r>
    </w:p>
    <w:p w14:paraId="1271873A">
      <w:pPr>
        <w:snapToGrid w:val="0"/>
        <w:spacing w:line="360" w:lineRule="auto"/>
        <w:ind w:firstLine="420" w:firstLineChars="200"/>
        <w:rPr>
          <w:rFonts w:hint="eastAsia" w:ascii="宋体" w:hAnsi="宋体" w:cs="宋体"/>
        </w:rPr>
      </w:pPr>
      <w:r>
        <w:rPr>
          <w:rFonts w:hint="eastAsia" w:ascii="宋体" w:hAnsi="宋体" w:cs="宋体"/>
        </w:rPr>
        <w:t>2.1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F729583">
      <w:pPr>
        <w:snapToGrid w:val="0"/>
        <w:spacing w:line="360" w:lineRule="auto"/>
        <w:ind w:firstLine="420" w:firstLineChars="200"/>
        <w:rPr>
          <w:rFonts w:hint="eastAsia" w:ascii="宋体" w:hAnsi="宋体" w:cs="宋体"/>
        </w:rPr>
      </w:pPr>
      <w:r>
        <w:rPr>
          <w:rFonts w:hint="eastAsia" w:ascii="宋体" w:hAnsi="宋体" w:cs="宋体"/>
        </w:rPr>
        <w:t>2.2在政府采购活动中，供应商提供的货物、工程或者服务符合下列情形的，享受《政府采购促进中小企业发展管理办法》规定的中小企业扶持政策：</w:t>
      </w:r>
    </w:p>
    <w:p w14:paraId="421247CE">
      <w:pPr>
        <w:snapToGrid w:val="0"/>
        <w:spacing w:line="360" w:lineRule="auto"/>
        <w:ind w:firstLine="420" w:firstLineChars="200"/>
        <w:rPr>
          <w:rFonts w:hint="eastAsia" w:ascii="宋体" w:hAnsi="宋体" w:cs="宋体"/>
        </w:rPr>
      </w:pPr>
      <w:r>
        <w:rPr>
          <w:rFonts w:hint="eastAsia" w:ascii="宋体" w:hAnsi="宋体" w:cs="宋体"/>
        </w:rPr>
        <w:t>（1）在货物采购项目中，货物由中小企业制造，即货物由中小企业生产且使用该中小企业商号或者注册商标；</w:t>
      </w:r>
    </w:p>
    <w:p w14:paraId="1F66BEC2">
      <w:pPr>
        <w:snapToGrid w:val="0"/>
        <w:spacing w:line="360" w:lineRule="auto"/>
        <w:ind w:firstLine="420" w:firstLineChars="200"/>
        <w:rPr>
          <w:rFonts w:hint="eastAsia" w:ascii="宋体" w:hAnsi="宋体" w:cs="宋体"/>
        </w:rPr>
      </w:pPr>
      <w:r>
        <w:rPr>
          <w:rFonts w:hint="eastAsia" w:ascii="宋体" w:hAnsi="宋体" w:cs="宋体"/>
        </w:rPr>
        <w:t>（2）在工程采购项目中，工程由中小企业承建，即工程施工单位为中小企业；</w:t>
      </w:r>
    </w:p>
    <w:p w14:paraId="5074AAD5">
      <w:pPr>
        <w:snapToGrid w:val="0"/>
        <w:spacing w:line="360" w:lineRule="auto"/>
        <w:ind w:firstLine="420" w:firstLineChars="200"/>
        <w:rPr>
          <w:rFonts w:hint="eastAsia" w:ascii="宋体" w:hAnsi="宋体" w:cs="宋体"/>
        </w:rPr>
      </w:pPr>
      <w:r>
        <w:rPr>
          <w:rFonts w:hint="eastAsia" w:ascii="宋体" w:hAnsi="宋体" w:cs="宋体"/>
        </w:rPr>
        <w:t>（3）在服务采购项目中，服务由中小企业承接，即提供服务的人员为中小企业依照《中华人民共和国劳动合同法》订立劳动合同的从业人员。</w:t>
      </w:r>
    </w:p>
    <w:p w14:paraId="73169B80">
      <w:pPr>
        <w:snapToGrid w:val="0"/>
        <w:spacing w:line="360" w:lineRule="auto"/>
        <w:ind w:firstLine="420" w:firstLineChars="200"/>
        <w:rPr>
          <w:rFonts w:hint="eastAsia" w:ascii="宋体" w:hAnsi="宋体" w:cs="宋体"/>
        </w:rPr>
      </w:pPr>
      <w:r>
        <w:rPr>
          <w:rFonts w:hint="eastAsia" w:ascii="宋体" w:hAnsi="宋体" w:cs="宋体"/>
        </w:rPr>
        <w:t>在货物采购项目中，供应商提供的货物既有中小企业制造货物，也有大型企业制造货物的，不享受《政府采购促进中小企业发展管理办法》规定的中小企业扶持政策。</w:t>
      </w:r>
    </w:p>
    <w:p w14:paraId="1286A3D7">
      <w:pPr>
        <w:snapToGrid w:val="0"/>
        <w:spacing w:line="360" w:lineRule="auto"/>
        <w:ind w:firstLine="420" w:firstLineChars="200"/>
        <w:rPr>
          <w:rFonts w:hint="eastAsia"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26121EC1">
      <w:pPr>
        <w:snapToGrid w:val="0"/>
        <w:spacing w:line="360" w:lineRule="auto"/>
        <w:ind w:firstLine="420" w:firstLineChars="200"/>
        <w:rPr>
          <w:rFonts w:hint="eastAsia" w:ascii="宋体" w:hAnsi="宋体" w:cs="宋体"/>
        </w:rPr>
      </w:pPr>
      <w:r>
        <w:rPr>
          <w:rFonts w:hint="eastAsia" w:ascii="宋体" w:hAnsi="宋体" w:cs="宋体"/>
        </w:rPr>
        <w:t>2.3中小企业参加政府采购活动，应当出具《政府采购促进中小企业发展管理办法》规定的《中小企业声明函》（格式见本采购文件附件）。</w:t>
      </w:r>
    </w:p>
    <w:p w14:paraId="7B07BA5E">
      <w:pPr>
        <w:snapToGrid w:val="0"/>
        <w:spacing w:line="360" w:lineRule="auto"/>
        <w:ind w:firstLine="420" w:firstLineChars="200"/>
        <w:rPr>
          <w:rFonts w:hint="eastAsia" w:ascii="宋体" w:hAnsi="宋体" w:cs="宋体"/>
        </w:rPr>
      </w:pPr>
      <w:r>
        <w:rPr>
          <w:rFonts w:hint="eastAsia" w:ascii="宋体" w:hAnsi="宋体" w:cs="宋体"/>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C250545">
      <w:pPr>
        <w:snapToGrid w:val="0"/>
        <w:spacing w:line="360" w:lineRule="auto"/>
        <w:ind w:firstLine="420" w:firstLineChars="200"/>
        <w:rPr>
          <w:rFonts w:hint="eastAsia" w:ascii="宋体" w:hAnsi="宋体" w:cs="宋体"/>
        </w:rPr>
      </w:pPr>
      <w:r>
        <w:rPr>
          <w:rFonts w:hint="eastAsia" w:ascii="宋体" w:hAnsi="宋体" w:cs="宋体"/>
        </w:rPr>
        <w:t>供应商提供声明函内容不实的，属于提供虚假材料谋取中标、成交，依照《中华人民共和国政府采购法》等国家有关规定追究相应责任。</w:t>
      </w:r>
    </w:p>
    <w:p w14:paraId="02A84E99">
      <w:pPr>
        <w:snapToGrid w:val="0"/>
        <w:spacing w:line="360" w:lineRule="auto"/>
        <w:ind w:firstLine="420" w:firstLineChars="200"/>
        <w:rPr>
          <w:rFonts w:hint="eastAsia" w:ascii="宋体" w:hAnsi="宋体" w:cs="宋体"/>
        </w:rPr>
      </w:pPr>
      <w:r>
        <w:rPr>
          <w:rFonts w:hint="eastAsia" w:ascii="宋体" w:hAnsi="宋体" w:cs="宋体"/>
        </w:rPr>
        <w:t>适用招标投标法的政府采购工程建设项目，</w:t>
      </w:r>
      <w:r>
        <w:rPr>
          <w:rFonts w:hint="eastAsia" w:ascii="宋体" w:hAnsi="宋体" w:cs="宋体"/>
          <w:lang w:eastAsia="zh-CN"/>
        </w:rPr>
        <w:t>供应商</w:t>
      </w:r>
      <w:r>
        <w:rPr>
          <w:rFonts w:hint="eastAsia" w:ascii="宋体" w:hAnsi="宋体" w:cs="宋体"/>
        </w:rPr>
        <w:t>提供声明函内容不实的，属于弄虚作假骗取中标，依照《中华人民共和国招标投标法》等国家有关规定追究相应责任。</w:t>
      </w:r>
    </w:p>
    <w:p w14:paraId="7E5761E9">
      <w:pPr>
        <w:snapToGrid w:val="0"/>
        <w:spacing w:line="360" w:lineRule="auto"/>
        <w:ind w:firstLine="420" w:firstLineChars="200"/>
        <w:rPr>
          <w:rFonts w:hint="eastAsia" w:ascii="宋体" w:hAnsi="宋体" w:cs="宋体"/>
        </w:rPr>
      </w:pPr>
      <w:r>
        <w:rPr>
          <w:rFonts w:hint="eastAsia" w:ascii="宋体" w:hAnsi="宋体" w:cs="宋体"/>
        </w:rPr>
        <w:t>2.5《中小企业声明函》由参加投标的供应商提交，如供应商为代理商，须自行采集制造商的中小企业划分类型信息填入相应栏目并对其真实性负责。</w:t>
      </w:r>
    </w:p>
    <w:p w14:paraId="2DDF4131">
      <w:pPr>
        <w:snapToGrid w:val="0"/>
        <w:spacing w:line="360" w:lineRule="auto"/>
        <w:ind w:firstLine="420" w:firstLineChars="200"/>
        <w:rPr>
          <w:rFonts w:hint="eastAsia" w:ascii="宋体" w:hAnsi="宋体" w:cs="宋体"/>
        </w:rPr>
      </w:pPr>
      <w:r>
        <w:rPr>
          <w:rFonts w:hint="eastAsia" w:ascii="宋体" w:hAnsi="宋体" w:cs="宋体"/>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
      <w:bookmarkEnd w:id="4"/>
    </w:p>
    <w:p w14:paraId="72AEACD6">
      <w:pPr>
        <w:snapToGrid w:val="0"/>
        <w:spacing w:line="360" w:lineRule="auto"/>
        <w:ind w:firstLine="420" w:firstLineChars="200"/>
        <w:rPr>
          <w:rFonts w:hint="eastAsia" w:ascii="宋体" w:hAnsi="宋体" w:cs="宋体"/>
        </w:rPr>
      </w:pPr>
      <w:bookmarkStart w:id="5" w:name="_Toc21541016"/>
      <w:r>
        <w:rPr>
          <w:rFonts w:hint="eastAsia" w:ascii="宋体" w:hAnsi="宋体" w:cs="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附件），并对声明的真实性负责，未能提供的不予认可。</w:t>
      </w:r>
      <w:bookmarkEnd w:id="5"/>
    </w:p>
    <w:p w14:paraId="4C5CEEA0">
      <w:pPr>
        <w:snapToGrid w:val="0"/>
        <w:spacing w:line="360" w:lineRule="auto"/>
        <w:ind w:firstLine="420" w:firstLineChars="200"/>
        <w:rPr>
          <w:rFonts w:hint="eastAsia" w:ascii="宋体" w:hAnsi="宋体" w:cs="宋体"/>
        </w:rPr>
      </w:pPr>
      <w:bookmarkStart w:id="6" w:name="_Toc21541017"/>
      <w:bookmarkStart w:id="7" w:name="_Toc419729158"/>
      <w:r>
        <w:rPr>
          <w:rFonts w:hint="eastAsia" w:ascii="宋体" w:hAnsi="宋体" w:cs="宋体"/>
        </w:rPr>
        <w:t>5、本项目不组织潜在供应商现场考察或者召开开标前答疑。</w:t>
      </w:r>
      <w:bookmarkEnd w:id="6"/>
    </w:p>
    <w:p w14:paraId="629EB0AD">
      <w:pPr>
        <w:snapToGrid w:val="0"/>
        <w:spacing w:line="360" w:lineRule="auto"/>
        <w:ind w:firstLine="420" w:firstLineChars="200"/>
        <w:rPr>
          <w:rFonts w:hint="eastAsia" w:ascii="宋体" w:hAnsi="宋体" w:cs="宋体"/>
        </w:rPr>
      </w:pPr>
      <w:bookmarkStart w:id="8" w:name="_Toc21541018"/>
      <w:r>
        <w:rPr>
          <w:rFonts w:hint="eastAsia" w:ascii="宋体" w:hAnsi="宋体" w:cs="宋体"/>
        </w:rPr>
        <w:t>6、本文件未及事项，在签订合同时供需及使用方友好商定。</w:t>
      </w:r>
      <w:bookmarkEnd w:id="7"/>
      <w:bookmarkEnd w:id="8"/>
    </w:p>
    <w:p w14:paraId="7D89AAF4">
      <w:pPr>
        <w:jc w:val="center"/>
        <w:rPr>
          <w:b/>
          <w:bCs/>
          <w:color w:val="000000"/>
          <w:sz w:val="30"/>
          <w:szCs w:val="30"/>
        </w:rPr>
      </w:pPr>
      <w:r>
        <w:rPr>
          <w:color w:val="000000"/>
        </w:rPr>
        <w:br w:type="page"/>
      </w:r>
      <w:bookmarkStart w:id="9" w:name="_Toc50046892"/>
      <w:r>
        <w:rPr>
          <w:rFonts w:hint="eastAsia" w:ascii="宋体" w:hAnsi="宋体" w:eastAsia="宋体" w:cs="宋体"/>
          <w:b/>
          <w:bCs/>
          <w:color w:val="000000"/>
          <w:sz w:val="30"/>
          <w:szCs w:val="30"/>
        </w:rPr>
        <w:t>第三部分  磋商采购资料表</w:t>
      </w:r>
      <w:bookmarkEnd w:id="9"/>
    </w:p>
    <w:p w14:paraId="2553465C">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4"/>
        <w:tblW w:w="9699"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33"/>
        <w:gridCol w:w="20"/>
        <w:gridCol w:w="8646"/>
      </w:tblGrid>
      <w:tr w14:paraId="47AD260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6" w:hRule="atLeast"/>
        </w:trPr>
        <w:tc>
          <w:tcPr>
            <w:tcW w:w="1053" w:type="dxa"/>
            <w:gridSpan w:val="2"/>
            <w:tcBorders>
              <w:top w:val="double" w:color="auto" w:sz="4" w:space="0"/>
              <w:left w:val="double" w:color="auto" w:sz="4" w:space="0"/>
              <w:bottom w:val="double" w:color="auto" w:sz="4" w:space="0"/>
              <w:right w:val="single" w:color="000000" w:sz="6" w:space="0"/>
            </w:tcBorders>
            <w:vAlign w:val="center"/>
          </w:tcPr>
          <w:p w14:paraId="4D068449">
            <w:pPr>
              <w:spacing w:line="360" w:lineRule="exact"/>
              <w:jc w:val="center"/>
              <w:rPr>
                <w:rFonts w:ascii="宋体"/>
                <w:b/>
                <w:bCs/>
                <w:color w:val="000000"/>
              </w:rPr>
            </w:pPr>
            <w:r>
              <w:rPr>
                <w:rFonts w:hint="eastAsia" w:ascii="宋体" w:hAnsi="宋体" w:cs="宋体"/>
                <w:b/>
                <w:bCs/>
                <w:color w:val="000000"/>
              </w:rPr>
              <w:t>条款号</w:t>
            </w:r>
          </w:p>
        </w:tc>
        <w:tc>
          <w:tcPr>
            <w:tcW w:w="8646" w:type="dxa"/>
            <w:tcBorders>
              <w:top w:val="double" w:color="auto" w:sz="4" w:space="0"/>
              <w:left w:val="single" w:color="000000" w:sz="6" w:space="0"/>
              <w:bottom w:val="double" w:color="auto" w:sz="4" w:space="0"/>
              <w:right w:val="double" w:color="auto" w:sz="4" w:space="0"/>
            </w:tcBorders>
            <w:vAlign w:val="center"/>
          </w:tcPr>
          <w:p w14:paraId="240EE3EB">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0C09E53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85" w:hRule="atLeast"/>
        </w:trPr>
        <w:tc>
          <w:tcPr>
            <w:tcW w:w="9699" w:type="dxa"/>
            <w:gridSpan w:val="3"/>
            <w:tcBorders>
              <w:top w:val="double" w:color="auto" w:sz="4" w:space="0"/>
              <w:left w:val="double" w:color="auto" w:sz="4" w:space="0"/>
              <w:bottom w:val="double" w:color="auto" w:sz="4" w:space="0"/>
              <w:right w:val="double" w:color="auto" w:sz="4" w:space="0"/>
            </w:tcBorders>
            <w:vAlign w:val="center"/>
          </w:tcPr>
          <w:p w14:paraId="4CF2E1C0">
            <w:pPr>
              <w:spacing w:line="360" w:lineRule="exact"/>
              <w:jc w:val="center"/>
              <w:rPr>
                <w:rFonts w:ascii="宋体"/>
                <w:b/>
                <w:bCs/>
                <w:color w:val="auto"/>
              </w:rPr>
            </w:pPr>
            <w:r>
              <w:rPr>
                <w:rFonts w:hint="eastAsia" w:ascii="宋体" w:hAnsi="宋体" w:cs="宋体"/>
                <w:b/>
                <w:bCs/>
                <w:color w:val="auto"/>
              </w:rPr>
              <w:t>说</w:t>
            </w:r>
            <w:r>
              <w:rPr>
                <w:rFonts w:ascii="宋体" w:hAnsi="宋体" w:cs="宋体"/>
                <w:b/>
                <w:bCs/>
                <w:color w:val="auto"/>
              </w:rPr>
              <w:t xml:space="preserve">          </w:t>
            </w:r>
            <w:r>
              <w:rPr>
                <w:rFonts w:hint="eastAsia" w:ascii="宋体" w:hAnsi="宋体" w:cs="宋体"/>
                <w:b/>
                <w:bCs/>
                <w:color w:val="auto"/>
              </w:rPr>
              <w:t>明</w:t>
            </w:r>
          </w:p>
        </w:tc>
      </w:tr>
      <w:tr w14:paraId="2484103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237" w:hRule="atLeast"/>
        </w:trPr>
        <w:tc>
          <w:tcPr>
            <w:tcW w:w="1053" w:type="dxa"/>
            <w:gridSpan w:val="2"/>
            <w:tcBorders>
              <w:top w:val="double" w:color="auto" w:sz="4" w:space="0"/>
              <w:left w:val="double" w:color="auto" w:sz="4" w:space="0"/>
              <w:bottom w:val="single" w:color="auto" w:sz="4" w:space="0"/>
              <w:right w:val="single" w:color="000000" w:sz="6" w:space="0"/>
            </w:tcBorders>
            <w:vAlign w:val="center"/>
          </w:tcPr>
          <w:p w14:paraId="7AE9F809">
            <w:pPr>
              <w:spacing w:line="360" w:lineRule="exact"/>
              <w:jc w:val="center"/>
              <w:rPr>
                <w:rFonts w:ascii="宋体"/>
                <w:color w:val="auto"/>
              </w:rPr>
            </w:pPr>
            <w:r>
              <w:rPr>
                <w:rFonts w:ascii="宋体" w:hAnsi="宋体" w:cs="宋体"/>
                <w:color w:val="auto"/>
              </w:rPr>
              <w:t>1</w:t>
            </w:r>
          </w:p>
        </w:tc>
        <w:tc>
          <w:tcPr>
            <w:tcW w:w="8646" w:type="dxa"/>
            <w:tcBorders>
              <w:top w:val="double" w:color="auto" w:sz="4" w:space="0"/>
              <w:left w:val="single" w:color="000000" w:sz="6" w:space="0"/>
              <w:bottom w:val="single" w:color="auto" w:sz="4" w:space="0"/>
              <w:right w:val="double" w:color="auto" w:sz="4" w:space="0"/>
            </w:tcBorders>
            <w:vAlign w:val="center"/>
          </w:tcPr>
          <w:p w14:paraId="0EB8ED0B">
            <w:pPr>
              <w:spacing w:line="360" w:lineRule="auto"/>
              <w:rPr>
                <w:rFonts w:hint="eastAsia" w:ascii="宋体" w:hAnsi="宋体" w:eastAsia="宋体" w:cs="宋体"/>
                <w:color w:val="auto"/>
                <w:lang w:eastAsia="zh-CN"/>
              </w:rPr>
            </w:pPr>
            <w:r>
              <w:rPr>
                <w:rFonts w:hint="eastAsia" w:ascii="宋体" w:hAnsi="宋体" w:cs="宋体"/>
                <w:color w:val="auto"/>
              </w:rPr>
              <w:t>采购人名称：</w:t>
            </w:r>
            <w:r>
              <w:rPr>
                <w:rFonts w:hint="eastAsia" w:ascii="宋体" w:hAnsi="宋体" w:cs="宋体"/>
                <w:color w:val="auto"/>
                <w:lang w:eastAsia="zh-CN"/>
              </w:rPr>
              <w:t>宁波市北仑区人民政府梅山街道办事处</w:t>
            </w:r>
          </w:p>
          <w:p w14:paraId="1C7A66C7">
            <w:pPr>
              <w:spacing w:line="360" w:lineRule="auto"/>
              <w:rPr>
                <w:rFonts w:ascii="宋体" w:hAnsi="宋体" w:cs="宋体"/>
                <w:color w:val="auto"/>
              </w:rPr>
            </w:pPr>
            <w:r>
              <w:rPr>
                <w:rFonts w:hint="eastAsia" w:ascii="宋体" w:hAnsi="宋体" w:cs="宋体"/>
                <w:color w:val="auto"/>
              </w:rPr>
              <w:t>联系人：</w:t>
            </w:r>
            <w:r>
              <w:rPr>
                <w:rFonts w:hint="eastAsia" w:ascii="宋体" w:hAnsi="宋体" w:cs="宋体"/>
                <w:color w:val="auto"/>
                <w:lang w:val="en-US" w:eastAsia="zh-CN"/>
              </w:rPr>
              <w:t xml:space="preserve">周工 </w:t>
            </w:r>
            <w:r>
              <w:rPr>
                <w:rFonts w:hint="eastAsia" w:ascii="宋体" w:hAnsi="宋体"/>
                <w:color w:val="auto"/>
              </w:rPr>
              <w:t xml:space="preserve"> </w:t>
            </w:r>
          </w:p>
          <w:p w14:paraId="00E0E3D1">
            <w:pPr>
              <w:spacing w:line="360" w:lineRule="auto"/>
              <w:rPr>
                <w:rFonts w:ascii="宋体" w:hAnsi="宋体" w:cs="宋体"/>
                <w:color w:val="auto"/>
              </w:rPr>
            </w:pPr>
            <w:r>
              <w:rPr>
                <w:rFonts w:hint="eastAsia" w:ascii="宋体" w:hAnsi="宋体" w:cs="宋体"/>
                <w:color w:val="auto"/>
              </w:rPr>
              <w:t>联系电话：0574-86788667</w:t>
            </w:r>
          </w:p>
        </w:tc>
      </w:tr>
      <w:tr w14:paraId="1226303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217" w:hRule="atLeast"/>
        </w:trPr>
        <w:tc>
          <w:tcPr>
            <w:tcW w:w="1053" w:type="dxa"/>
            <w:gridSpan w:val="2"/>
            <w:tcBorders>
              <w:top w:val="single" w:color="auto" w:sz="4" w:space="0"/>
              <w:left w:val="double" w:color="auto" w:sz="4" w:space="0"/>
              <w:bottom w:val="single" w:color="auto" w:sz="4" w:space="0"/>
              <w:right w:val="single" w:color="000000" w:sz="6" w:space="0"/>
            </w:tcBorders>
            <w:vAlign w:val="center"/>
          </w:tcPr>
          <w:p w14:paraId="1042E413">
            <w:pPr>
              <w:spacing w:line="360" w:lineRule="exact"/>
              <w:jc w:val="center"/>
              <w:rPr>
                <w:rFonts w:ascii="宋体"/>
                <w:color w:val="auto"/>
              </w:rPr>
            </w:pPr>
            <w:r>
              <w:rPr>
                <w:rFonts w:ascii="宋体" w:hAnsi="宋体" w:cs="宋体"/>
                <w:color w:val="auto"/>
              </w:rPr>
              <w:t>2</w:t>
            </w:r>
          </w:p>
        </w:tc>
        <w:tc>
          <w:tcPr>
            <w:tcW w:w="8646" w:type="dxa"/>
            <w:tcBorders>
              <w:top w:val="single" w:color="auto" w:sz="4" w:space="0"/>
              <w:left w:val="single" w:color="000000" w:sz="6" w:space="0"/>
              <w:bottom w:val="single" w:color="auto" w:sz="4" w:space="0"/>
              <w:right w:val="double" w:color="auto" w:sz="4" w:space="0"/>
            </w:tcBorders>
            <w:vAlign w:val="center"/>
          </w:tcPr>
          <w:p w14:paraId="61B30E7B">
            <w:pPr>
              <w:spacing w:line="360" w:lineRule="auto"/>
              <w:rPr>
                <w:rFonts w:hint="eastAsia" w:ascii="宋体" w:hAnsi="宋体" w:cs="宋体"/>
                <w:color w:val="auto"/>
                <w:lang w:eastAsia="zh-CN"/>
              </w:rPr>
            </w:pPr>
            <w:r>
              <w:rPr>
                <w:rFonts w:hint="eastAsia" w:ascii="宋体" w:hAnsi="宋体" w:cs="宋体"/>
                <w:color w:val="auto"/>
                <w:lang w:val="en-US" w:eastAsia="zh-CN"/>
              </w:rPr>
              <w:t>采购</w:t>
            </w:r>
            <w:r>
              <w:rPr>
                <w:rFonts w:hint="eastAsia" w:ascii="宋体" w:hAnsi="宋体" w:cs="宋体"/>
                <w:color w:val="auto"/>
              </w:rPr>
              <w:t>代理机构名称：</w:t>
            </w:r>
            <w:r>
              <w:rPr>
                <w:rFonts w:hint="eastAsia" w:ascii="宋体" w:hAnsi="宋体" w:cs="宋体"/>
                <w:color w:val="auto"/>
                <w:lang w:eastAsia="zh-CN"/>
              </w:rPr>
              <w:t>宁波凯立工程管理有限公司</w:t>
            </w:r>
          </w:p>
          <w:p w14:paraId="38219AEC">
            <w:pPr>
              <w:spacing w:line="360" w:lineRule="auto"/>
              <w:rPr>
                <w:rFonts w:hint="eastAsia" w:ascii="宋体" w:hAnsi="宋体" w:cs="宋体"/>
                <w:color w:val="auto"/>
                <w:lang w:eastAsia="zh-CN"/>
              </w:rPr>
            </w:pPr>
            <w:r>
              <w:rPr>
                <w:rFonts w:hint="eastAsia" w:ascii="宋体" w:hAnsi="宋体" w:cs="宋体"/>
                <w:color w:val="auto"/>
              </w:rPr>
              <w:t>联系人：</w:t>
            </w:r>
            <w:r>
              <w:rPr>
                <w:rFonts w:hint="eastAsia" w:ascii="宋体" w:hAnsi="宋体" w:cs="宋体"/>
                <w:color w:val="auto"/>
                <w:lang w:val="en-US" w:eastAsia="zh-CN"/>
              </w:rPr>
              <w:t>李心如</w:t>
            </w:r>
          </w:p>
          <w:p w14:paraId="0C361D84">
            <w:pPr>
              <w:spacing w:line="360" w:lineRule="auto"/>
              <w:rPr>
                <w:rFonts w:hint="default" w:ascii="宋体" w:eastAsia="宋体"/>
                <w:color w:val="auto"/>
                <w:lang w:val="en-US" w:eastAsia="zh-CN"/>
              </w:rPr>
            </w:pPr>
            <w:r>
              <w:rPr>
                <w:rFonts w:hint="eastAsia" w:ascii="宋体" w:hAnsi="宋体" w:cs="宋体"/>
                <w:color w:val="auto"/>
              </w:rPr>
              <w:t>电话：</w:t>
            </w:r>
            <w:r>
              <w:rPr>
                <w:rFonts w:hint="eastAsia" w:ascii="宋体" w:hAnsi="宋体" w:cs="宋体"/>
                <w:color w:val="auto"/>
                <w:lang w:val="en-US" w:eastAsia="zh-CN"/>
              </w:rPr>
              <w:t>18658452708</w:t>
            </w:r>
          </w:p>
        </w:tc>
      </w:tr>
      <w:tr w14:paraId="405537A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3" w:hRule="atLeast"/>
        </w:trPr>
        <w:tc>
          <w:tcPr>
            <w:tcW w:w="1053" w:type="dxa"/>
            <w:gridSpan w:val="2"/>
            <w:tcBorders>
              <w:top w:val="single" w:color="auto" w:sz="4" w:space="0"/>
              <w:left w:val="double" w:color="auto" w:sz="4" w:space="0"/>
              <w:bottom w:val="single" w:color="auto" w:sz="4" w:space="0"/>
              <w:right w:val="single" w:color="000000" w:sz="6" w:space="0"/>
            </w:tcBorders>
            <w:vAlign w:val="center"/>
          </w:tcPr>
          <w:p w14:paraId="716368AD">
            <w:pPr>
              <w:spacing w:line="360" w:lineRule="exact"/>
              <w:jc w:val="center"/>
              <w:rPr>
                <w:rFonts w:ascii="宋体"/>
                <w:color w:val="000000"/>
              </w:rPr>
            </w:pPr>
            <w:r>
              <w:rPr>
                <w:rFonts w:ascii="宋体" w:hAnsi="宋体" w:cs="宋体"/>
                <w:color w:val="000000"/>
              </w:rPr>
              <w:t>3</w:t>
            </w:r>
          </w:p>
        </w:tc>
        <w:tc>
          <w:tcPr>
            <w:tcW w:w="8646" w:type="dxa"/>
            <w:tcBorders>
              <w:top w:val="single" w:color="auto" w:sz="4" w:space="0"/>
              <w:left w:val="single" w:color="000000" w:sz="6" w:space="0"/>
              <w:bottom w:val="single" w:color="auto" w:sz="4" w:space="0"/>
              <w:right w:val="double" w:color="auto" w:sz="4" w:space="0"/>
            </w:tcBorders>
            <w:vAlign w:val="center"/>
          </w:tcPr>
          <w:p w14:paraId="4F12DD84">
            <w:pPr>
              <w:spacing w:line="360" w:lineRule="auto"/>
              <w:rPr>
                <w:rFonts w:ascii="宋体"/>
              </w:rPr>
            </w:pPr>
            <w:r>
              <w:rPr>
                <w:rFonts w:hint="eastAsia" w:ascii="宋体" w:hAnsi="宋体" w:cs="宋体"/>
                <w:b/>
                <w:bCs/>
                <w:color w:val="auto"/>
                <w:lang w:val="en-US" w:eastAsia="zh-CN"/>
              </w:rPr>
              <w:t>供应商来源：本次磋商采购为专门面向中小企业</w:t>
            </w:r>
          </w:p>
        </w:tc>
      </w:tr>
      <w:tr w14:paraId="49EB9B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2" w:hRule="atLeast"/>
        </w:trPr>
        <w:tc>
          <w:tcPr>
            <w:tcW w:w="9699" w:type="dxa"/>
            <w:gridSpan w:val="3"/>
            <w:tcBorders>
              <w:top w:val="double" w:color="auto" w:sz="4" w:space="0"/>
              <w:left w:val="double" w:color="auto" w:sz="4" w:space="0"/>
              <w:bottom w:val="double" w:color="auto" w:sz="4" w:space="0"/>
              <w:right w:val="double" w:color="auto" w:sz="4" w:space="0"/>
            </w:tcBorders>
            <w:vAlign w:val="center"/>
          </w:tcPr>
          <w:p w14:paraId="243AB624">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7A2022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3652" w:hRule="atLeast"/>
        </w:trPr>
        <w:tc>
          <w:tcPr>
            <w:tcW w:w="1053" w:type="dxa"/>
            <w:gridSpan w:val="2"/>
            <w:tcBorders>
              <w:top w:val="double" w:color="auto" w:sz="4" w:space="0"/>
              <w:left w:val="double" w:color="auto" w:sz="4" w:space="0"/>
              <w:bottom w:val="single" w:color="auto" w:sz="4" w:space="0"/>
              <w:right w:val="single" w:color="000000" w:sz="6" w:space="0"/>
            </w:tcBorders>
            <w:vAlign w:val="center"/>
          </w:tcPr>
          <w:p w14:paraId="17B32C8F">
            <w:pPr>
              <w:spacing w:line="360" w:lineRule="exact"/>
              <w:jc w:val="center"/>
              <w:rPr>
                <w:rFonts w:ascii="宋体"/>
                <w:color w:val="000000"/>
                <w:highlight w:val="none"/>
              </w:rPr>
            </w:pPr>
            <w:r>
              <w:rPr>
                <w:rFonts w:hint="eastAsia" w:ascii="宋体" w:hAnsi="宋体" w:cs="宋体"/>
                <w:b/>
                <w:bCs/>
                <w:color w:val="000000"/>
                <w:highlight w:val="none"/>
              </w:rPr>
              <w:t>▲</w:t>
            </w:r>
            <w:r>
              <w:rPr>
                <w:rFonts w:ascii="宋体" w:hAnsi="宋体" w:cs="宋体"/>
                <w:color w:val="000000"/>
                <w:highlight w:val="none"/>
              </w:rPr>
              <w:t>4</w:t>
            </w:r>
          </w:p>
        </w:tc>
        <w:tc>
          <w:tcPr>
            <w:tcW w:w="8646" w:type="dxa"/>
            <w:tcBorders>
              <w:top w:val="double" w:color="auto" w:sz="4" w:space="0"/>
              <w:left w:val="single" w:color="000000" w:sz="6" w:space="0"/>
              <w:bottom w:val="single" w:color="auto" w:sz="4" w:space="0"/>
              <w:right w:val="double" w:color="auto" w:sz="4" w:space="0"/>
            </w:tcBorders>
            <w:vAlign w:val="center"/>
          </w:tcPr>
          <w:p w14:paraId="4AB33C17">
            <w:pPr>
              <w:spacing w:line="360" w:lineRule="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投标报价及费用：</w:t>
            </w:r>
          </w:p>
          <w:p w14:paraId="1470DB7A">
            <w:pPr>
              <w:spacing w:line="360" w:lineRule="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1）投标报价：本项目投标应以人民币报价。包含所有完成本项目农污设施及管网养护等工作的一切费用、企业管理费、规费、税费等一切与本项目有关的费用。</w:t>
            </w:r>
          </w:p>
          <w:p w14:paraId="63FCA2B7">
            <w:pPr>
              <w:spacing w:line="360" w:lineRule="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投标报价为最终报价，除非因特殊原因并经双方协商同意，供应商不得再要求追加任何费用。供应商应详细列明各分项工作相关报价及依据，未列明的相关报价应视为已包含在已列明费用的报价中，采购人将不予单独支付。</w:t>
            </w:r>
          </w:p>
          <w:p w14:paraId="2307E613">
            <w:pPr>
              <w:spacing w:line="360" w:lineRule="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3）不论投标结果如何，供应商均应自行承担应承担的全部费用；</w:t>
            </w:r>
          </w:p>
          <w:p w14:paraId="7E5328C7">
            <w:pPr>
              <w:spacing w:line="360" w:lineRule="auto"/>
              <w:rPr>
                <w:highlight w:val="none"/>
              </w:rPr>
            </w:pPr>
            <w:r>
              <w:rPr>
                <w:rFonts w:hint="eastAsia" w:ascii="宋体" w:hAnsi="宋体" w:cs="宋体"/>
                <w:b w:val="0"/>
                <w:bCs w:val="0"/>
                <w:color w:val="auto"/>
                <w:highlight w:val="none"/>
                <w:lang w:val="en-US" w:eastAsia="zh-CN"/>
              </w:rPr>
              <w:t>4）磋商服务费：8100元，由中标人支付。交纳银行：宁波银行北仑支行；收款单位（户名）：宁波凯立工程管理有限公司；账号:51010122001853342。</w:t>
            </w:r>
          </w:p>
        </w:tc>
      </w:tr>
      <w:tr w14:paraId="69A1E0B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2" w:hRule="atLeast"/>
        </w:trPr>
        <w:tc>
          <w:tcPr>
            <w:tcW w:w="1053" w:type="dxa"/>
            <w:gridSpan w:val="2"/>
            <w:tcBorders>
              <w:top w:val="single" w:color="auto" w:sz="4" w:space="0"/>
              <w:left w:val="double" w:color="auto" w:sz="4" w:space="0"/>
              <w:bottom w:val="single" w:color="auto" w:sz="4" w:space="0"/>
              <w:right w:val="single" w:color="000000" w:sz="6" w:space="0"/>
            </w:tcBorders>
            <w:vAlign w:val="center"/>
          </w:tcPr>
          <w:p w14:paraId="38634E36">
            <w:pPr>
              <w:spacing w:line="360" w:lineRule="exact"/>
              <w:jc w:val="center"/>
              <w:rPr>
                <w:rFonts w:ascii="宋体"/>
                <w:color w:val="000000"/>
              </w:rPr>
            </w:pPr>
            <w:r>
              <w:rPr>
                <w:rFonts w:ascii="宋体" w:hAnsi="宋体" w:cs="宋体"/>
                <w:color w:val="000000"/>
              </w:rPr>
              <w:t>5</w:t>
            </w:r>
          </w:p>
        </w:tc>
        <w:tc>
          <w:tcPr>
            <w:tcW w:w="8646" w:type="dxa"/>
            <w:tcBorders>
              <w:top w:val="single" w:color="auto" w:sz="4" w:space="0"/>
              <w:left w:val="single" w:color="000000" w:sz="6" w:space="0"/>
              <w:bottom w:val="single" w:color="auto" w:sz="4" w:space="0"/>
              <w:right w:val="double" w:color="auto" w:sz="4" w:space="0"/>
            </w:tcBorders>
            <w:vAlign w:val="center"/>
          </w:tcPr>
          <w:p w14:paraId="0CB5BBDD">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报价货币：人民币</w:t>
            </w:r>
          </w:p>
        </w:tc>
      </w:tr>
      <w:tr w14:paraId="23053E7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5" w:hRule="atLeast"/>
        </w:trPr>
        <w:tc>
          <w:tcPr>
            <w:tcW w:w="1053" w:type="dxa"/>
            <w:gridSpan w:val="2"/>
            <w:tcBorders>
              <w:top w:val="single" w:color="auto" w:sz="4" w:space="0"/>
              <w:left w:val="double" w:color="auto" w:sz="4" w:space="0"/>
              <w:bottom w:val="double" w:color="auto" w:sz="4" w:space="0"/>
              <w:right w:val="single" w:color="000000" w:sz="6" w:space="0"/>
            </w:tcBorders>
            <w:vAlign w:val="center"/>
          </w:tcPr>
          <w:p w14:paraId="0C797D8D">
            <w:pPr>
              <w:spacing w:line="360" w:lineRule="exact"/>
              <w:jc w:val="center"/>
              <w:rPr>
                <w:rFonts w:ascii="宋体" w:hAnsi="宋体" w:cs="宋体"/>
                <w:color w:val="000000"/>
              </w:rPr>
            </w:pPr>
            <w:r>
              <w:rPr>
                <w:rFonts w:hint="eastAsia" w:ascii="宋体" w:hAnsi="宋体" w:cs="宋体"/>
                <w:b/>
                <w:bCs/>
                <w:color w:val="000000"/>
              </w:rPr>
              <w:t>▲</w:t>
            </w:r>
            <w:r>
              <w:rPr>
                <w:rFonts w:hint="eastAsia" w:ascii="宋体" w:hAnsi="宋体" w:cs="宋体"/>
                <w:color w:val="000000"/>
              </w:rPr>
              <w:t>6</w:t>
            </w:r>
          </w:p>
        </w:tc>
        <w:tc>
          <w:tcPr>
            <w:tcW w:w="8646" w:type="dxa"/>
            <w:tcBorders>
              <w:top w:val="single" w:color="auto" w:sz="4" w:space="0"/>
              <w:left w:val="single" w:color="000000" w:sz="6" w:space="0"/>
              <w:bottom w:val="double" w:color="auto" w:sz="4" w:space="0"/>
              <w:right w:val="double" w:color="auto" w:sz="4" w:space="0"/>
            </w:tcBorders>
            <w:vAlign w:val="center"/>
          </w:tcPr>
          <w:p w14:paraId="0E4DF90E">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最高限价：人民币543328元。投标报价超过最高限价作无效标处理。</w:t>
            </w:r>
          </w:p>
        </w:tc>
      </w:tr>
      <w:tr w14:paraId="71FFF9C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2" w:hRule="atLeast"/>
        </w:trPr>
        <w:tc>
          <w:tcPr>
            <w:tcW w:w="9699" w:type="dxa"/>
            <w:gridSpan w:val="3"/>
            <w:tcBorders>
              <w:top w:val="double" w:color="auto" w:sz="4" w:space="0"/>
              <w:left w:val="double" w:color="auto" w:sz="4" w:space="0"/>
              <w:bottom w:val="double" w:color="auto" w:sz="4" w:space="0"/>
              <w:right w:val="double" w:color="auto" w:sz="4" w:space="0"/>
            </w:tcBorders>
            <w:vAlign w:val="center"/>
          </w:tcPr>
          <w:p w14:paraId="7C25A1BA">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BB2CFF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45" w:hRule="atLeast"/>
        </w:trPr>
        <w:tc>
          <w:tcPr>
            <w:tcW w:w="1053" w:type="dxa"/>
            <w:gridSpan w:val="2"/>
            <w:tcBorders>
              <w:top w:val="double" w:color="auto" w:sz="4" w:space="0"/>
              <w:left w:val="double" w:color="auto" w:sz="4" w:space="0"/>
              <w:bottom w:val="single" w:color="auto" w:sz="4" w:space="0"/>
              <w:right w:val="single" w:color="auto" w:sz="4" w:space="0"/>
            </w:tcBorders>
            <w:vAlign w:val="center"/>
          </w:tcPr>
          <w:p w14:paraId="11D276E2">
            <w:pPr>
              <w:spacing w:line="360" w:lineRule="exact"/>
              <w:jc w:val="center"/>
              <w:rPr>
                <w:rFonts w:ascii="宋体"/>
                <w:color w:val="000000"/>
              </w:rPr>
            </w:pPr>
            <w:r>
              <w:rPr>
                <w:rFonts w:hint="eastAsia" w:ascii="宋体" w:hAnsi="宋体" w:cs="宋体"/>
                <w:color w:val="000000"/>
              </w:rPr>
              <w:t>7</w:t>
            </w:r>
          </w:p>
        </w:tc>
        <w:tc>
          <w:tcPr>
            <w:tcW w:w="8646" w:type="dxa"/>
            <w:tcBorders>
              <w:top w:val="double" w:color="auto" w:sz="4" w:space="0"/>
              <w:left w:val="single" w:color="auto" w:sz="4" w:space="0"/>
              <w:bottom w:val="single" w:color="auto" w:sz="4" w:space="0"/>
              <w:right w:val="double" w:color="auto" w:sz="4" w:space="0"/>
            </w:tcBorders>
            <w:vAlign w:val="center"/>
          </w:tcPr>
          <w:p w14:paraId="69B71E32">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磋商响应文件语言：中文</w:t>
            </w:r>
          </w:p>
        </w:tc>
      </w:tr>
      <w:tr w14:paraId="5AEE130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2" w:hRule="atLeast"/>
        </w:trPr>
        <w:tc>
          <w:tcPr>
            <w:tcW w:w="1053" w:type="dxa"/>
            <w:gridSpan w:val="2"/>
            <w:tcBorders>
              <w:top w:val="single" w:color="auto" w:sz="4" w:space="0"/>
              <w:left w:val="double" w:color="auto" w:sz="4" w:space="0"/>
              <w:bottom w:val="single" w:color="auto" w:sz="4" w:space="0"/>
              <w:right w:val="single" w:color="auto" w:sz="4" w:space="0"/>
            </w:tcBorders>
            <w:vAlign w:val="center"/>
          </w:tcPr>
          <w:p w14:paraId="7950ED1E">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8</w:t>
            </w:r>
          </w:p>
        </w:tc>
        <w:tc>
          <w:tcPr>
            <w:tcW w:w="8646" w:type="dxa"/>
            <w:tcBorders>
              <w:top w:val="single" w:color="auto" w:sz="4" w:space="0"/>
              <w:left w:val="single" w:color="auto" w:sz="4" w:space="0"/>
              <w:bottom w:val="single" w:color="auto" w:sz="4" w:space="0"/>
              <w:right w:val="double" w:color="auto" w:sz="4" w:space="0"/>
            </w:tcBorders>
            <w:vAlign w:val="center"/>
          </w:tcPr>
          <w:p w14:paraId="0C667F66">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资格标准：详见竞争性磋商公告“二、申请人的资格要求”</w:t>
            </w:r>
          </w:p>
        </w:tc>
      </w:tr>
      <w:tr w14:paraId="15E1F0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2" w:hRule="atLeast"/>
        </w:trPr>
        <w:tc>
          <w:tcPr>
            <w:tcW w:w="1053" w:type="dxa"/>
            <w:gridSpan w:val="2"/>
            <w:tcBorders>
              <w:top w:val="single" w:color="auto" w:sz="4" w:space="0"/>
              <w:left w:val="double" w:color="auto" w:sz="4" w:space="0"/>
              <w:bottom w:val="single" w:color="000000" w:sz="6" w:space="0"/>
              <w:right w:val="single" w:color="auto" w:sz="4" w:space="0"/>
            </w:tcBorders>
            <w:vAlign w:val="center"/>
          </w:tcPr>
          <w:p w14:paraId="64409AAD">
            <w:pPr>
              <w:spacing w:line="360" w:lineRule="exact"/>
              <w:jc w:val="center"/>
              <w:rPr>
                <w:rFonts w:ascii="宋体"/>
                <w:b/>
                <w:bCs/>
                <w:color w:val="000000"/>
              </w:rPr>
            </w:pPr>
            <w:r>
              <w:rPr>
                <w:rFonts w:hint="eastAsia" w:ascii="宋体" w:hAnsi="宋体" w:cs="宋体"/>
                <w:color w:val="000000"/>
              </w:rPr>
              <w:t>9</w:t>
            </w:r>
          </w:p>
        </w:tc>
        <w:tc>
          <w:tcPr>
            <w:tcW w:w="8646" w:type="dxa"/>
            <w:tcBorders>
              <w:top w:val="single" w:color="auto" w:sz="4" w:space="0"/>
              <w:left w:val="single" w:color="auto" w:sz="4" w:space="0"/>
              <w:bottom w:val="single" w:color="000000" w:sz="6" w:space="0"/>
              <w:right w:val="double" w:color="auto" w:sz="4" w:space="0"/>
            </w:tcBorders>
            <w:vAlign w:val="center"/>
          </w:tcPr>
          <w:p w14:paraId="7605410E">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磋商保证金：本项目不适用。</w:t>
            </w:r>
          </w:p>
        </w:tc>
      </w:tr>
      <w:tr w14:paraId="090B1C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7" w:hRule="atLeast"/>
        </w:trPr>
        <w:tc>
          <w:tcPr>
            <w:tcW w:w="1053" w:type="dxa"/>
            <w:gridSpan w:val="2"/>
            <w:tcBorders>
              <w:top w:val="single" w:color="auto" w:sz="4" w:space="0"/>
              <w:left w:val="double" w:color="auto" w:sz="4" w:space="0"/>
              <w:bottom w:val="single" w:color="000000" w:sz="6" w:space="0"/>
              <w:right w:val="single" w:color="000000" w:sz="6" w:space="0"/>
            </w:tcBorders>
            <w:vAlign w:val="center"/>
          </w:tcPr>
          <w:p w14:paraId="644AC119">
            <w:pPr>
              <w:spacing w:line="360" w:lineRule="exact"/>
              <w:jc w:val="center"/>
              <w:rPr>
                <w:rFonts w:ascii="宋体"/>
                <w:b/>
                <w:bCs/>
                <w:color w:val="000000"/>
              </w:rPr>
            </w:pPr>
            <w:r>
              <w:rPr>
                <w:rFonts w:hint="eastAsia" w:ascii="宋体" w:hAnsi="宋体" w:cs="宋体"/>
                <w:color w:val="000000"/>
              </w:rPr>
              <w:t>10</w:t>
            </w:r>
          </w:p>
        </w:tc>
        <w:tc>
          <w:tcPr>
            <w:tcW w:w="8646" w:type="dxa"/>
            <w:tcBorders>
              <w:top w:val="single" w:color="auto" w:sz="4" w:space="0"/>
              <w:left w:val="single" w:color="000000" w:sz="6" w:space="0"/>
              <w:bottom w:val="single" w:color="000000" w:sz="6" w:space="0"/>
              <w:right w:val="double" w:color="auto" w:sz="4" w:space="0"/>
            </w:tcBorders>
            <w:vAlign w:val="center"/>
          </w:tcPr>
          <w:p w14:paraId="7B096E01">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磋商保证金形式：/。</w:t>
            </w:r>
          </w:p>
        </w:tc>
      </w:tr>
      <w:tr w14:paraId="55C1811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7" w:hRule="atLeast"/>
        </w:trPr>
        <w:tc>
          <w:tcPr>
            <w:tcW w:w="1053" w:type="dxa"/>
            <w:gridSpan w:val="2"/>
            <w:tcBorders>
              <w:top w:val="single" w:color="auto" w:sz="4" w:space="0"/>
              <w:left w:val="double" w:color="auto" w:sz="4" w:space="0"/>
              <w:bottom w:val="single" w:color="000000" w:sz="6" w:space="0"/>
              <w:right w:val="single" w:color="000000" w:sz="6" w:space="0"/>
            </w:tcBorders>
            <w:vAlign w:val="center"/>
          </w:tcPr>
          <w:p w14:paraId="0D1388F1">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11</w:t>
            </w:r>
          </w:p>
        </w:tc>
        <w:tc>
          <w:tcPr>
            <w:tcW w:w="8646" w:type="dxa"/>
            <w:tcBorders>
              <w:top w:val="single" w:color="auto" w:sz="4" w:space="0"/>
              <w:left w:val="single" w:color="000000" w:sz="6" w:space="0"/>
              <w:bottom w:val="single" w:color="000000" w:sz="6" w:space="0"/>
              <w:right w:val="double" w:color="auto" w:sz="4" w:space="0"/>
            </w:tcBorders>
            <w:vAlign w:val="center"/>
          </w:tcPr>
          <w:p w14:paraId="40F3A70F">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磋商有效期：90天</w:t>
            </w:r>
          </w:p>
        </w:tc>
      </w:tr>
      <w:tr w14:paraId="61F3F8D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20" w:hRule="atLeast"/>
        </w:trPr>
        <w:tc>
          <w:tcPr>
            <w:tcW w:w="1053" w:type="dxa"/>
            <w:gridSpan w:val="2"/>
            <w:tcBorders>
              <w:top w:val="single" w:color="auto" w:sz="4" w:space="0"/>
              <w:left w:val="double" w:color="auto" w:sz="4" w:space="0"/>
              <w:bottom w:val="single" w:color="000000" w:sz="6" w:space="0"/>
              <w:right w:val="single" w:color="000000" w:sz="6" w:space="0"/>
            </w:tcBorders>
            <w:vAlign w:val="center"/>
          </w:tcPr>
          <w:p w14:paraId="5C42F36C">
            <w:pPr>
              <w:spacing w:line="360" w:lineRule="exact"/>
              <w:jc w:val="center"/>
              <w:rPr>
                <w:rFonts w:ascii="宋体"/>
                <w:color w:val="000000"/>
              </w:rPr>
            </w:pPr>
            <w:r>
              <w:rPr>
                <w:rFonts w:ascii="宋体" w:hAnsi="宋体" w:cs="宋体"/>
                <w:color w:val="000000"/>
              </w:rPr>
              <w:t>1</w:t>
            </w:r>
            <w:r>
              <w:rPr>
                <w:rFonts w:hint="eastAsia" w:ascii="宋体" w:hAnsi="宋体" w:cs="宋体"/>
                <w:color w:val="000000"/>
              </w:rPr>
              <w:t>2</w:t>
            </w:r>
          </w:p>
        </w:tc>
        <w:tc>
          <w:tcPr>
            <w:tcW w:w="8646" w:type="dxa"/>
            <w:tcBorders>
              <w:top w:val="single" w:color="auto" w:sz="4" w:space="0"/>
              <w:left w:val="single" w:color="000000" w:sz="6" w:space="0"/>
              <w:bottom w:val="single" w:color="000000" w:sz="6" w:space="0"/>
              <w:right w:val="double" w:color="auto" w:sz="4" w:space="0"/>
            </w:tcBorders>
            <w:vAlign w:val="center"/>
          </w:tcPr>
          <w:p w14:paraId="51515052">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磋商响应文件组成：</w:t>
            </w:r>
          </w:p>
          <w:p w14:paraId="77F45B12">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本项目实行网上投标，供应商应准备以下磋商响应文件：</w:t>
            </w:r>
          </w:p>
          <w:p w14:paraId="78868374">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（1）供应商于“政采云”上提供电子磋商响应文件（含资格审查文件、商务技术文件、报价文件）1份。</w:t>
            </w:r>
          </w:p>
          <w:p w14:paraId="554B1C53">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（2）以U盘介质存储的数据电文形式提供的备份电子磋商响应文件（含资格审查文件、商务技术文件、报价文件）1份。（不作强制要求，供应商自行决定是否递交）</w:t>
            </w:r>
          </w:p>
          <w:p w14:paraId="7CFF5D17">
            <w:pPr>
              <w:spacing w:line="360" w:lineRule="auto"/>
              <w:rPr>
                <w:rFonts w:hint="eastAsia" w:ascii="宋体" w:hAnsi="宋体" w:cs="宋体"/>
                <w:b w:val="0"/>
                <w:bCs w:val="0"/>
                <w:color w:val="auto"/>
                <w:lang w:val="en-US" w:eastAsia="zh-CN"/>
              </w:rPr>
            </w:pPr>
            <w:r>
              <w:rPr>
                <w:rFonts w:hint="eastAsia" w:ascii="宋体" w:hAnsi="宋体" w:cs="宋体"/>
                <w:b/>
                <w:bCs/>
                <w:color w:val="auto"/>
                <w:lang w:val="en-US" w:eastAsia="zh-CN"/>
              </w:rPr>
              <w:t>注：中标供应商领取中标通知书前补交纸质磋商响应文件（含资格审查文件、商务技术文件、报价文件）3份。（电子响应文件打印后并加盖单位公章）</w:t>
            </w:r>
          </w:p>
        </w:tc>
      </w:tr>
      <w:tr w14:paraId="19CC046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222" w:hRule="atLeast"/>
        </w:trPr>
        <w:tc>
          <w:tcPr>
            <w:tcW w:w="1053" w:type="dxa"/>
            <w:gridSpan w:val="2"/>
            <w:tcBorders>
              <w:top w:val="single" w:color="auto" w:sz="4" w:space="0"/>
              <w:left w:val="double" w:color="auto" w:sz="4" w:space="0"/>
              <w:bottom w:val="single" w:color="000000" w:sz="6" w:space="0"/>
              <w:right w:val="single" w:color="000000" w:sz="6" w:space="0"/>
            </w:tcBorders>
            <w:vAlign w:val="center"/>
          </w:tcPr>
          <w:p w14:paraId="6625E829">
            <w:pPr>
              <w:spacing w:line="360" w:lineRule="exact"/>
              <w:jc w:val="center"/>
              <w:rPr>
                <w:rFonts w:ascii="宋体"/>
                <w:color w:val="000000"/>
              </w:rPr>
            </w:pPr>
            <w:r>
              <w:rPr>
                <w:rFonts w:ascii="宋体" w:hAnsi="宋体" w:cs="宋体"/>
                <w:color w:val="000000"/>
              </w:rPr>
              <w:t>1</w:t>
            </w:r>
            <w:r>
              <w:rPr>
                <w:rFonts w:hint="eastAsia" w:ascii="宋体" w:hAnsi="宋体" w:cs="宋体"/>
                <w:color w:val="000000"/>
              </w:rPr>
              <w:t>3</w:t>
            </w:r>
          </w:p>
        </w:tc>
        <w:tc>
          <w:tcPr>
            <w:tcW w:w="8646" w:type="dxa"/>
            <w:tcBorders>
              <w:top w:val="single" w:color="auto" w:sz="4" w:space="0"/>
              <w:left w:val="single" w:color="000000" w:sz="6" w:space="0"/>
              <w:bottom w:val="single" w:color="000000" w:sz="6" w:space="0"/>
              <w:right w:val="double" w:color="auto" w:sz="4" w:space="0"/>
            </w:tcBorders>
            <w:vAlign w:val="center"/>
          </w:tcPr>
          <w:p w14:paraId="481AB98D">
            <w:pPr>
              <w:spacing w:line="360" w:lineRule="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磋商响应文件递交至：政府采购云平台（www.zcygov.cn）、北仑区公共资源交易中心（宁波市北仑区长江路1166号北仑行政大楼B座三楼招投标中心交易厅，具体场所安排详见电子指示屏幕）</w:t>
            </w:r>
          </w:p>
        </w:tc>
      </w:tr>
      <w:tr w14:paraId="4FF32B6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85" w:hRule="atLeast"/>
        </w:trPr>
        <w:tc>
          <w:tcPr>
            <w:tcW w:w="9699" w:type="dxa"/>
            <w:gridSpan w:val="3"/>
            <w:tcBorders>
              <w:top w:val="double" w:color="auto" w:sz="4" w:space="0"/>
              <w:left w:val="double" w:color="auto" w:sz="4" w:space="0"/>
              <w:bottom w:val="double" w:color="auto" w:sz="4" w:space="0"/>
              <w:right w:val="double" w:color="auto" w:sz="4" w:space="0"/>
            </w:tcBorders>
            <w:vAlign w:val="center"/>
          </w:tcPr>
          <w:p w14:paraId="4A8FDA5A">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4277370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35" w:hRule="atLeast"/>
        </w:trPr>
        <w:tc>
          <w:tcPr>
            <w:tcW w:w="1033" w:type="dxa"/>
            <w:tcBorders>
              <w:top w:val="double" w:color="auto" w:sz="4" w:space="0"/>
              <w:left w:val="double" w:color="auto" w:sz="4" w:space="0"/>
              <w:bottom w:val="single" w:color="auto" w:sz="4" w:space="0"/>
              <w:right w:val="single" w:color="auto" w:sz="4" w:space="0"/>
            </w:tcBorders>
            <w:vAlign w:val="center"/>
          </w:tcPr>
          <w:p w14:paraId="1100D8C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14</w:t>
            </w:r>
          </w:p>
        </w:tc>
        <w:tc>
          <w:tcPr>
            <w:tcW w:w="8666" w:type="dxa"/>
            <w:gridSpan w:val="2"/>
            <w:tcBorders>
              <w:top w:val="double" w:color="auto" w:sz="4" w:space="0"/>
              <w:left w:val="single" w:color="auto" w:sz="4" w:space="0"/>
              <w:bottom w:val="single" w:color="auto" w:sz="4" w:space="0"/>
              <w:right w:val="double" w:color="auto" w:sz="4" w:space="0"/>
            </w:tcBorders>
            <w:vAlign w:val="center"/>
          </w:tcPr>
          <w:p w14:paraId="43E16290">
            <w:pPr>
              <w:spacing w:line="360" w:lineRule="auto"/>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服务地点：北仑区梅山街道。</w:t>
            </w:r>
          </w:p>
          <w:p w14:paraId="258C614B">
            <w:pPr>
              <w:spacing w:line="360" w:lineRule="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服务期限：1年，具体以合同约定时间为准。</w:t>
            </w:r>
          </w:p>
        </w:tc>
      </w:tr>
      <w:tr w14:paraId="4566C2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3231" w:hRule="atLeast"/>
        </w:trPr>
        <w:tc>
          <w:tcPr>
            <w:tcW w:w="1033" w:type="dxa"/>
            <w:tcBorders>
              <w:top w:val="single" w:color="auto" w:sz="4" w:space="0"/>
              <w:left w:val="double" w:color="auto" w:sz="4" w:space="0"/>
              <w:bottom w:val="single" w:color="auto" w:sz="4" w:space="0"/>
              <w:right w:val="single" w:color="000000" w:sz="6" w:space="0"/>
            </w:tcBorders>
            <w:vAlign w:val="center"/>
          </w:tcPr>
          <w:p w14:paraId="3098AE6A">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666" w:type="dxa"/>
            <w:gridSpan w:val="2"/>
            <w:tcBorders>
              <w:top w:val="single" w:color="auto" w:sz="4" w:space="0"/>
              <w:left w:val="single" w:color="000000" w:sz="6" w:space="0"/>
              <w:bottom w:val="single" w:color="auto" w:sz="4" w:space="0"/>
              <w:right w:val="double" w:color="auto" w:sz="4" w:space="0"/>
            </w:tcBorders>
            <w:vAlign w:val="center"/>
          </w:tcPr>
          <w:p w14:paraId="7EF2D9F7">
            <w:pPr>
              <w:spacing w:line="360" w:lineRule="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付款方法和条件：</w:t>
            </w:r>
          </w:p>
          <w:p w14:paraId="488BC385">
            <w:pPr>
              <w:spacing w:line="360" w:lineRule="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1、合同生效并具备实施条件后7个工作日内，采购人凭中标供应商开具的发票支付合同金额的50%；中标供应商于合同签订前书面承诺放弃预付款或降低预付款支付比例的，可不适</w:t>
            </w:r>
            <w:r>
              <w:rPr>
                <w:rFonts w:hint="eastAsia" w:ascii="宋体" w:hAnsi="宋体" w:eastAsia="宋体" w:cs="宋体"/>
                <w:b w:val="0"/>
                <w:bCs w:val="0"/>
                <w:color w:val="auto"/>
                <w:highlight w:val="none"/>
                <w:lang w:val="en-US" w:eastAsia="zh-CN"/>
              </w:rPr>
              <w:t>用本条款。</w:t>
            </w:r>
          </w:p>
          <w:p w14:paraId="2697802F">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2、根据每月实际运维设施数量和每月考核结果，按月支付费用。设施量增、减按采购人确认后次月调整，按实结算。</w:t>
            </w:r>
          </w:p>
          <w:p w14:paraId="54EC9213">
            <w:pPr>
              <w:spacing w:line="360" w:lineRule="auto"/>
              <w:rPr>
                <w:rFonts w:hint="eastAsia" w:ascii="宋体" w:hAnsi="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注：采购人付款前，中标供应商应至少提前3个工作日开具正规、足额的发票。否则采购人有权拒绝付款。</w:t>
            </w:r>
          </w:p>
        </w:tc>
      </w:tr>
      <w:tr w14:paraId="3940543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81" w:hRule="atLeast"/>
        </w:trPr>
        <w:tc>
          <w:tcPr>
            <w:tcW w:w="9699" w:type="dxa"/>
            <w:gridSpan w:val="3"/>
            <w:tcBorders>
              <w:top w:val="single" w:color="auto" w:sz="4" w:space="0"/>
              <w:left w:val="double" w:color="auto" w:sz="4" w:space="0"/>
              <w:bottom w:val="double" w:color="auto" w:sz="4" w:space="0"/>
              <w:right w:val="double" w:color="auto" w:sz="4" w:space="0"/>
            </w:tcBorders>
            <w:vAlign w:val="center"/>
          </w:tcPr>
          <w:p w14:paraId="00E8636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1E6AC9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250" w:hRule="atLeast"/>
        </w:trPr>
        <w:tc>
          <w:tcPr>
            <w:tcW w:w="1053" w:type="dxa"/>
            <w:gridSpan w:val="2"/>
            <w:tcBorders>
              <w:top w:val="double" w:color="auto" w:sz="4" w:space="0"/>
              <w:left w:val="double" w:color="auto" w:sz="4" w:space="0"/>
              <w:bottom w:val="double" w:color="auto" w:sz="4" w:space="0"/>
              <w:right w:val="single" w:color="auto" w:sz="4" w:space="0"/>
            </w:tcBorders>
            <w:vAlign w:val="center"/>
          </w:tcPr>
          <w:p w14:paraId="01C6AF55">
            <w:pPr>
              <w:spacing w:line="360" w:lineRule="exact"/>
              <w:jc w:val="center"/>
              <w:rPr>
                <w:rFonts w:ascii="宋体"/>
                <w:color w:val="000000"/>
              </w:rPr>
            </w:pPr>
            <w:r>
              <w:rPr>
                <w:rFonts w:hint="eastAsia" w:ascii="宋体" w:hAnsi="宋体" w:cs="宋体"/>
                <w:color w:val="000000"/>
              </w:rPr>
              <w:t>16</w:t>
            </w:r>
          </w:p>
        </w:tc>
        <w:tc>
          <w:tcPr>
            <w:tcW w:w="8646" w:type="dxa"/>
            <w:tcBorders>
              <w:top w:val="double" w:color="auto" w:sz="4" w:space="0"/>
              <w:left w:val="single" w:color="auto" w:sz="4" w:space="0"/>
              <w:bottom w:val="double" w:color="auto" w:sz="4" w:space="0"/>
              <w:right w:val="double" w:color="auto" w:sz="4" w:space="0"/>
            </w:tcBorders>
            <w:vAlign w:val="center"/>
          </w:tcPr>
          <w:p w14:paraId="48FA8C40">
            <w:pPr>
              <w:spacing w:line="360" w:lineRule="auto"/>
              <w:rPr>
                <w:rFonts w:ascii="宋体"/>
                <w:color w:val="000000"/>
              </w:rPr>
            </w:pPr>
            <w:r>
              <w:rPr>
                <w:rFonts w:hint="eastAsia" w:ascii="宋体" w:hAnsi="宋体" w:cs="宋体"/>
                <w:b w:val="0"/>
                <w:bCs w:val="0"/>
                <w:color w:val="auto"/>
                <w:lang w:val="en-US" w:eastAsia="zh-CN"/>
              </w:rPr>
              <w:t>在磋商过程中，磋商小组可以根据磋商文件和磋商情况实质性变动采购需求中的技术、服务要求（即本磋商文件第五部分 采购内容及具体要求）以及合同草案条款（即本磋商文件第六部分 合同样本），但不得变动磋商文件中的其他内容；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57DEE58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6" w:hRule="atLeast"/>
        </w:trPr>
        <w:tc>
          <w:tcPr>
            <w:tcW w:w="9699" w:type="dxa"/>
            <w:gridSpan w:val="3"/>
            <w:tcBorders>
              <w:top w:val="double" w:color="auto" w:sz="4" w:space="0"/>
              <w:left w:val="double" w:color="auto" w:sz="4" w:space="0"/>
              <w:bottom w:val="double" w:color="auto" w:sz="4" w:space="0"/>
              <w:right w:val="double" w:color="auto" w:sz="4" w:space="0"/>
            </w:tcBorders>
            <w:vAlign w:val="center"/>
          </w:tcPr>
          <w:p w14:paraId="502C5D55">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384A4DA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6" w:hRule="atLeast"/>
        </w:trPr>
        <w:tc>
          <w:tcPr>
            <w:tcW w:w="1053" w:type="dxa"/>
            <w:gridSpan w:val="2"/>
            <w:tcBorders>
              <w:top w:val="double" w:color="auto" w:sz="4" w:space="0"/>
              <w:left w:val="double" w:color="auto" w:sz="4" w:space="0"/>
              <w:bottom w:val="single" w:color="auto" w:sz="4" w:space="0"/>
              <w:right w:val="single" w:color="000000" w:sz="6" w:space="0"/>
            </w:tcBorders>
            <w:vAlign w:val="center"/>
          </w:tcPr>
          <w:p w14:paraId="28F4E8CC">
            <w:pPr>
              <w:spacing w:line="360" w:lineRule="exact"/>
              <w:jc w:val="center"/>
              <w:rPr>
                <w:rFonts w:ascii="宋体"/>
                <w:color w:val="000000"/>
              </w:rPr>
            </w:pPr>
            <w:r>
              <w:rPr>
                <w:rFonts w:hint="eastAsia" w:ascii="宋体" w:hAnsi="宋体" w:cs="宋体"/>
                <w:color w:val="000000"/>
              </w:rPr>
              <w:t>18</w:t>
            </w:r>
          </w:p>
        </w:tc>
        <w:tc>
          <w:tcPr>
            <w:tcW w:w="8646" w:type="dxa"/>
            <w:tcBorders>
              <w:top w:val="double" w:color="auto" w:sz="4" w:space="0"/>
              <w:left w:val="single" w:color="000000" w:sz="6" w:space="0"/>
              <w:bottom w:val="single" w:color="auto" w:sz="4" w:space="0"/>
              <w:right w:val="double" w:color="auto" w:sz="4" w:space="0"/>
            </w:tcBorders>
            <w:vAlign w:val="center"/>
          </w:tcPr>
          <w:p w14:paraId="52315A1C">
            <w:pPr>
              <w:spacing w:line="360" w:lineRule="auto"/>
              <w:rPr>
                <w:rFonts w:ascii="宋体"/>
                <w:color w:val="000000"/>
              </w:rPr>
            </w:pPr>
            <w:r>
              <w:rPr>
                <w:rFonts w:hint="eastAsia" w:ascii="宋体" w:hAnsi="宋体" w:cs="宋体"/>
                <w:b w:val="0"/>
                <w:bCs w:val="0"/>
                <w:color w:val="auto"/>
                <w:lang w:val="en-US" w:eastAsia="zh-CN"/>
              </w:rPr>
              <w:t>按照磋商文件的规定、成交供应商的磋商响应文件、成交通知书签订合同。</w:t>
            </w:r>
          </w:p>
        </w:tc>
      </w:tr>
    </w:tbl>
    <w:p w14:paraId="1A4B199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0C03C73D">
      <w:pPr>
        <w:numPr>
          <w:ilvl w:val="0"/>
          <w:numId w:val="5"/>
        </w:numPr>
        <w:jc w:val="center"/>
        <w:rPr>
          <w:rFonts w:ascii="宋体" w:hAnsi="宋体" w:cs="宋体"/>
          <w:b/>
          <w:bCs/>
          <w:color w:val="000000"/>
          <w:sz w:val="30"/>
          <w:szCs w:val="30"/>
        </w:rPr>
      </w:pPr>
      <w:r>
        <w:rPr>
          <w:rFonts w:ascii="宋体" w:hAnsi="宋体" w:cs="宋体"/>
          <w:b/>
          <w:bCs/>
          <w:color w:val="000000"/>
          <w:sz w:val="30"/>
          <w:szCs w:val="30"/>
        </w:rPr>
        <w:br w:type="page"/>
      </w:r>
      <w:bookmarkStart w:id="10" w:name="_Toc50046893"/>
      <w:r>
        <w:rPr>
          <w:rFonts w:hint="eastAsia" w:ascii="宋体" w:hAnsi="宋体" w:eastAsia="宋体" w:cs="宋体"/>
          <w:b/>
          <w:bCs/>
          <w:color w:val="000000"/>
          <w:sz w:val="30"/>
          <w:szCs w:val="30"/>
        </w:rPr>
        <w:t>评定成交的标准</w:t>
      </w:r>
      <w:bookmarkEnd w:id="10"/>
    </w:p>
    <w:p w14:paraId="0CC3E003">
      <w:pPr>
        <w:pStyle w:val="8"/>
      </w:pPr>
    </w:p>
    <w:p w14:paraId="698CFA67">
      <w:pPr>
        <w:pStyle w:val="14"/>
        <w:spacing w:line="360"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44A52E60">
      <w:pPr>
        <w:spacing w:line="312" w:lineRule="auto"/>
        <w:rPr>
          <w:rFonts w:ascii="宋体" w:hAnsi="宋体" w:cs="宋体"/>
          <w:b/>
          <w:bCs/>
        </w:rPr>
      </w:pPr>
      <w:r>
        <w:rPr>
          <w:rFonts w:hint="eastAsia" w:ascii="宋体" w:hAnsi="宋体" w:cs="宋体"/>
          <w:b/>
          <w:bCs/>
        </w:rPr>
        <w:t>一. 总则</w:t>
      </w:r>
    </w:p>
    <w:p w14:paraId="6F51F7C0">
      <w:pPr>
        <w:pStyle w:val="14"/>
        <w:spacing w:line="360" w:lineRule="auto"/>
        <w:ind w:left="0" w:firstLine="420" w:firstLineChars="200"/>
        <w:rPr>
          <w:rFonts w:ascii="宋体" w:eastAsia="宋体" w:cs="宋体"/>
          <w:sz w:val="21"/>
          <w:szCs w:val="21"/>
        </w:rPr>
      </w:pPr>
      <w:r>
        <w:rPr>
          <w:rFonts w:hint="eastAsia" w:ascii="宋体" w:eastAsia="宋体" w:cs="宋体"/>
          <w:sz w:val="21"/>
          <w:szCs w:val="21"/>
        </w:rPr>
        <w:t>本次磋商遵循公平、公正、科学、择优的原则依法进行，磋商活动及当事人接受依法实施的监督。本次磋商采用综合评分法。</w:t>
      </w:r>
    </w:p>
    <w:p w14:paraId="04D40B8F">
      <w:pPr>
        <w:spacing w:line="312" w:lineRule="auto"/>
        <w:rPr>
          <w:rFonts w:ascii="宋体" w:hAnsi="宋体" w:cs="宋体"/>
          <w:b/>
          <w:bCs/>
        </w:rPr>
      </w:pPr>
      <w:r>
        <w:rPr>
          <w:rFonts w:hint="eastAsia" w:ascii="宋体" w:hAnsi="宋体" w:cs="宋体"/>
          <w:b/>
          <w:bCs/>
        </w:rPr>
        <w:t>二. 评审组织</w:t>
      </w:r>
    </w:p>
    <w:p w14:paraId="0B00197C">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磋商小组：采购人和采购机构根据采购项目的内容特点按照法律法规规定组建磋商小组。磋商小组由采购人、技术、经济等方面专家等有关人员组成。</w:t>
      </w:r>
    </w:p>
    <w:p w14:paraId="2509F0E9">
      <w:pPr>
        <w:spacing w:line="312" w:lineRule="auto"/>
        <w:rPr>
          <w:rFonts w:ascii="宋体" w:hAnsi="宋体" w:cs="宋体"/>
          <w:b/>
          <w:bCs/>
        </w:rPr>
      </w:pPr>
      <w:r>
        <w:rPr>
          <w:rFonts w:hint="eastAsia" w:ascii="宋体" w:hAnsi="宋体" w:cs="宋体"/>
          <w:b/>
          <w:bCs/>
        </w:rPr>
        <w:t>三．磋商程序</w:t>
      </w:r>
    </w:p>
    <w:p w14:paraId="6050C1D4">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 30 分钟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BF41290">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（2）采购人或采购代理机构对磋商响应供应商的资格进行审查，资格审查结束后进入符合性审查评审工作。</w:t>
      </w:r>
    </w:p>
    <w:p w14:paraId="5C3F7137">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（3）符合性审查结束后，对有效磋商响应供应商进入商务技术评审，并在“政府采购云平台”上进行在线磋商。</w:t>
      </w:r>
    </w:p>
    <w:p w14:paraId="6A3718D6">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02D3BC80">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（4）最后报价是磋商响应文件的有效组成部分。</w:t>
      </w:r>
    </w:p>
    <w:p w14:paraId="3F02A5C1">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（5）已提交首次磋商响应文件的供应商，在提交最后报价之前，若因磋商文件实质性变动导致供应商无法满足采购需求的，允许供应商退出磋商。</w:t>
      </w:r>
    </w:p>
    <w:p w14:paraId="20863AE0">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（6）公布其得分情况。供应商予以确认。（不予确认的应说明理由，否则视为无异议）</w:t>
      </w:r>
    </w:p>
    <w:p w14:paraId="210B1096">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7）磋商小组根据综合评分情况，按照评审得分由高到低顺序推荐3名及以上成交候选供应商，并编写评审报告。若评审得分相同，则报价低者为成交候选人；评审得分且最终报价相同的则由抽签决定成交候选人。</w:t>
      </w:r>
    </w:p>
    <w:p w14:paraId="5FD03B29">
      <w:pPr>
        <w:pStyle w:val="14"/>
        <w:spacing w:line="360" w:lineRule="auto"/>
        <w:ind w:left="0" w:firstLine="420" w:firstLineChars="200"/>
        <w:rPr>
          <w:rFonts w:hint="eastAsia" w:ascii="宋体" w:eastAsia="宋体" w:cs="宋体"/>
          <w:sz w:val="21"/>
          <w:szCs w:val="21"/>
        </w:rPr>
      </w:pPr>
      <w:r>
        <w:rPr>
          <w:rFonts w:hint="eastAsia" w:ascii="宋体" w:eastAsia="宋体" w:cs="宋体"/>
          <w:sz w:val="21"/>
          <w:szCs w:val="21"/>
        </w:rPr>
        <w:t>（8）评审结束后，公布成交候选供应商名单，及采购人最终确定成交供应商名单的时间和公告方式等。</w:t>
      </w:r>
    </w:p>
    <w:p w14:paraId="04321F12">
      <w:pPr>
        <w:spacing w:line="312" w:lineRule="auto"/>
        <w:rPr>
          <w:rFonts w:ascii="宋体" w:hAnsi="宋体" w:cs="宋体"/>
          <w:b/>
          <w:bCs/>
        </w:rPr>
      </w:pPr>
      <w:r>
        <w:rPr>
          <w:rFonts w:hint="eastAsia" w:ascii="宋体" w:hAnsi="宋体" w:cs="宋体"/>
          <w:b/>
          <w:bCs/>
        </w:rPr>
        <w:t>四.评审程序</w:t>
      </w:r>
    </w:p>
    <w:p w14:paraId="33688BBB">
      <w:pPr>
        <w:pStyle w:val="21"/>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52F8C031">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75C2C336">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506C1EA8">
      <w:pPr>
        <w:pStyle w:val="21"/>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12137E71">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3F7A831B">
      <w:pPr>
        <w:pStyle w:val="21"/>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3B7A9AE6">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6D65CF84">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1AFFA82B">
      <w:pPr>
        <w:spacing w:line="312" w:lineRule="auto"/>
        <w:ind w:firstLine="525" w:firstLineChars="250"/>
        <w:rPr>
          <w:rFonts w:ascii="宋体" w:hAnsi="宋体" w:cs="宋体"/>
          <w:color w:val="000000"/>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515ECB6">
      <w:pPr>
        <w:pStyle w:val="21"/>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5.成交候选人确定</w:t>
      </w:r>
    </w:p>
    <w:p w14:paraId="7923EE90">
      <w:pPr>
        <w:pStyle w:val="21"/>
        <w:widowControl w:val="0"/>
        <w:snapToGrid w:val="0"/>
        <w:spacing w:before="0" w:beforeAutospacing="0" w:after="0" w:afterAutospacing="0" w:line="312" w:lineRule="auto"/>
        <w:ind w:firstLine="420" w:firstLineChars="200"/>
        <w:jc w:val="both"/>
        <w:rPr>
          <w:kern w:val="2"/>
          <w:sz w:val="21"/>
          <w:szCs w:val="21"/>
        </w:rPr>
      </w:pPr>
      <w:r>
        <w:rPr>
          <w:rFonts w:hint="eastAsia"/>
          <w:color w:val="000000"/>
          <w:kern w:val="2"/>
          <w:sz w:val="21"/>
          <w:szCs w:val="21"/>
        </w:rPr>
        <w:t>磋商小组根据供应商的综合得分（报价、商务技术得分之和）高低排定顺序，排名第1至3名的供应商为第一、二、三成交候选人；供应商综合得分相同的则报价低者优先，报价也相同的，则由供应商抽签决定；</w:t>
      </w:r>
      <w:r>
        <w:rPr>
          <w:rFonts w:hint="eastAsia"/>
          <w:kern w:val="2"/>
          <w:sz w:val="21"/>
          <w:szCs w:val="21"/>
        </w:rPr>
        <w:t>如评审过程中出现本磋商采购文件未尽事宜，则由磋商小组讨论决定。</w:t>
      </w:r>
    </w:p>
    <w:p w14:paraId="502D1CBC">
      <w:pPr>
        <w:pStyle w:val="21"/>
        <w:widowControl w:val="0"/>
        <w:snapToGrid w:val="0"/>
        <w:spacing w:before="0" w:beforeAutospacing="0" w:after="0" w:afterAutospacing="0" w:line="312" w:lineRule="auto"/>
        <w:ind w:firstLine="472" w:firstLineChars="225"/>
        <w:jc w:val="both"/>
        <w:rPr>
          <w:kern w:val="2"/>
          <w:sz w:val="21"/>
          <w:szCs w:val="21"/>
        </w:rPr>
      </w:pPr>
      <w:r>
        <w:rPr>
          <w:rFonts w:hint="eastAsia"/>
          <w:kern w:val="2"/>
          <w:sz w:val="21"/>
          <w:szCs w:val="21"/>
        </w:rPr>
        <w:t>6.成交结果公告</w:t>
      </w:r>
    </w:p>
    <w:p w14:paraId="7BC26F62">
      <w:pPr>
        <w:widowControl/>
        <w:spacing w:line="312" w:lineRule="auto"/>
        <w:jc w:val="left"/>
        <w:rPr>
          <w:rFonts w:ascii="宋体" w:hAnsi="宋体" w:cs="宋体"/>
        </w:rPr>
      </w:pPr>
      <w:r>
        <w:rPr>
          <w:rFonts w:hint="eastAsia" w:ascii="宋体" w:hAnsi="宋体" w:cs="宋体"/>
        </w:rPr>
        <w:t xml:space="preserve">    采购机构将成交结果在政府采购指定媒体上公示，根据成交结果公告和决标结果，向成交人发出确定成交通知书。</w:t>
      </w:r>
    </w:p>
    <w:p w14:paraId="260F80E1">
      <w:pPr>
        <w:pStyle w:val="14"/>
        <w:spacing w:line="312" w:lineRule="auto"/>
        <w:ind w:left="420" w:leftChars="200" w:firstLine="0"/>
        <w:rPr>
          <w:sz w:val="21"/>
          <w:szCs w:val="21"/>
        </w:rPr>
      </w:pPr>
      <w:r>
        <w:rPr>
          <w:rFonts w:hint="eastAsia"/>
          <w:sz w:val="21"/>
          <w:szCs w:val="21"/>
        </w:rPr>
        <w:t>7.</w:t>
      </w:r>
      <w:r>
        <w:rPr>
          <w:sz w:val="21"/>
          <w:szCs w:val="21"/>
        </w:rPr>
        <w:t>评分标准</w:t>
      </w:r>
    </w:p>
    <w:p w14:paraId="0EE43210">
      <w:pPr>
        <w:spacing w:line="440" w:lineRule="exact"/>
        <w:ind w:firstLine="472" w:firstLineChars="225"/>
        <w:rPr>
          <w:rFonts w:ascii="宋体" w:hAnsi="宋体" w:cs="宋体"/>
          <w:color w:val="000000"/>
        </w:rPr>
      </w:pPr>
    </w:p>
    <w:p w14:paraId="2F7AE21E">
      <w:pPr>
        <w:spacing w:line="440" w:lineRule="exact"/>
        <w:ind w:firstLine="308" w:firstLineChars="147"/>
        <w:jc w:val="center"/>
        <w:rPr>
          <w:rFonts w:ascii="宋体" w:hAnsi="宋体" w:cs="宋体"/>
          <w:b/>
          <w:bCs/>
          <w:color w:val="000000"/>
          <w:sz w:val="30"/>
          <w:szCs w:val="30"/>
          <w:highlight w:val="none"/>
        </w:rPr>
      </w:pPr>
      <w:r>
        <w:rPr>
          <w:rFonts w:ascii="宋体"/>
          <w:color w:val="000000"/>
        </w:rPr>
        <w:br w:type="page"/>
      </w:r>
      <w:r>
        <w:rPr>
          <w:rFonts w:hint="eastAsia" w:ascii="宋体" w:hAnsi="宋体" w:cs="宋体"/>
          <w:b/>
          <w:bCs/>
          <w:color w:val="000000"/>
          <w:sz w:val="30"/>
          <w:szCs w:val="30"/>
          <w:highlight w:val="none"/>
        </w:rPr>
        <w:t>评分标准（兼评委打分表）</w:t>
      </w:r>
    </w:p>
    <w:p w14:paraId="1C4E90C3">
      <w:pPr>
        <w:ind w:firstLine="103" w:firstLineChars="49"/>
        <w:rPr>
          <w:rFonts w:ascii="宋体" w:hAnsi="宋体" w:cs="宋体"/>
          <w:b/>
          <w:bCs/>
          <w:color w:val="000000"/>
          <w:highlight w:val="none"/>
        </w:rPr>
      </w:pPr>
      <w:r>
        <w:rPr>
          <w:rFonts w:hint="eastAsia" w:ascii="宋体" w:hAnsi="宋体" w:cs="宋体"/>
          <w:b/>
          <w:bCs/>
          <w:color w:val="000000"/>
          <w:highlight w:val="none"/>
        </w:rPr>
        <w:t>项目编号：</w:t>
      </w:r>
      <w:r>
        <w:rPr>
          <w:rFonts w:hint="eastAsia" w:ascii="宋体" w:hAnsi="宋体" w:cs="宋体"/>
          <w:b/>
          <w:bCs/>
          <w:color w:val="000000"/>
          <w:highlight w:val="none"/>
          <w:lang w:eastAsia="zh-CN"/>
        </w:rPr>
        <w:t>KLDL2024074</w:t>
      </w:r>
      <w:r>
        <w:rPr>
          <w:rFonts w:hint="eastAsia" w:ascii="宋体" w:hAnsi="宋体" w:cs="宋体"/>
          <w:b/>
          <w:bCs/>
          <w:color w:val="000000"/>
          <w:highlight w:val="none"/>
        </w:rPr>
        <w:t xml:space="preserve">   </w:t>
      </w:r>
    </w:p>
    <w:tbl>
      <w:tblPr>
        <w:tblStyle w:val="24"/>
        <w:tblW w:w="10358" w:type="dxa"/>
        <w:jc w:val="center"/>
        <w:tblLayout w:type="fixed"/>
        <w:tblCellMar>
          <w:top w:w="0" w:type="dxa"/>
          <w:left w:w="108" w:type="dxa"/>
          <w:bottom w:w="0" w:type="dxa"/>
          <w:right w:w="108" w:type="dxa"/>
        </w:tblCellMar>
      </w:tblPr>
      <w:tblGrid>
        <w:gridCol w:w="748"/>
        <w:gridCol w:w="760"/>
        <w:gridCol w:w="8394"/>
        <w:gridCol w:w="456"/>
      </w:tblGrid>
      <w:tr w14:paraId="74CF5328">
        <w:tblPrEx>
          <w:tblCellMar>
            <w:top w:w="0" w:type="dxa"/>
            <w:left w:w="108" w:type="dxa"/>
            <w:bottom w:w="0" w:type="dxa"/>
            <w:right w:w="108"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75C780CE">
            <w:pPr>
              <w:jc w:val="center"/>
              <w:rPr>
                <w:rFonts w:cs="宋体"/>
                <w:bCs/>
                <w:highlight w:val="none"/>
              </w:rPr>
            </w:pPr>
            <w:r>
              <w:rPr>
                <w:rFonts w:hint="eastAsia" w:cs="宋体"/>
                <w:bCs/>
                <w:highlight w:val="none"/>
              </w:rPr>
              <w:t>评分项目</w:t>
            </w:r>
          </w:p>
        </w:tc>
        <w:tc>
          <w:tcPr>
            <w:tcW w:w="9154" w:type="dxa"/>
            <w:gridSpan w:val="2"/>
            <w:tcBorders>
              <w:top w:val="single" w:color="000000" w:sz="4" w:space="0"/>
              <w:left w:val="single" w:color="000000" w:sz="4" w:space="0"/>
              <w:bottom w:val="single" w:color="000000" w:sz="4" w:space="0"/>
              <w:right w:val="single" w:color="000000" w:sz="4" w:space="0"/>
            </w:tcBorders>
            <w:vAlign w:val="center"/>
          </w:tcPr>
          <w:p w14:paraId="45E4818F">
            <w:pPr>
              <w:jc w:val="center"/>
              <w:rPr>
                <w:rFonts w:cs="宋体"/>
                <w:bCs/>
                <w:highlight w:val="none"/>
              </w:rPr>
            </w:pPr>
            <w:r>
              <w:rPr>
                <w:rFonts w:hint="eastAsia" w:cs="宋体"/>
                <w:b/>
                <w:highlight w:val="none"/>
              </w:rPr>
              <w:t>评分细则</w:t>
            </w:r>
          </w:p>
        </w:tc>
        <w:tc>
          <w:tcPr>
            <w:tcW w:w="456" w:type="dxa"/>
            <w:tcBorders>
              <w:top w:val="single" w:color="000000" w:sz="4" w:space="0"/>
              <w:left w:val="single" w:color="000000" w:sz="4" w:space="0"/>
              <w:bottom w:val="single" w:color="000000" w:sz="4" w:space="0"/>
              <w:right w:val="single" w:color="000000" w:sz="4" w:space="0"/>
            </w:tcBorders>
            <w:vAlign w:val="center"/>
          </w:tcPr>
          <w:p w14:paraId="622DBC5B">
            <w:pPr>
              <w:jc w:val="center"/>
              <w:rPr>
                <w:rFonts w:cs="宋体"/>
                <w:bCs/>
                <w:highlight w:val="none"/>
              </w:rPr>
            </w:pPr>
            <w:r>
              <w:rPr>
                <w:rFonts w:hint="eastAsia" w:cs="宋体"/>
                <w:bCs/>
                <w:highlight w:val="none"/>
              </w:rPr>
              <w:t>分值</w:t>
            </w:r>
          </w:p>
        </w:tc>
      </w:tr>
      <w:tr w14:paraId="62814920">
        <w:tblPrEx>
          <w:tblCellMar>
            <w:top w:w="0" w:type="dxa"/>
            <w:left w:w="108" w:type="dxa"/>
            <w:bottom w:w="0" w:type="dxa"/>
            <w:right w:w="108" w:type="dxa"/>
          </w:tblCellMar>
        </w:tblPrEx>
        <w:trPr>
          <w:trHeight w:val="90" w:hRule="atLeast"/>
          <w:jc w:val="center"/>
        </w:trPr>
        <w:tc>
          <w:tcPr>
            <w:tcW w:w="748" w:type="dxa"/>
            <w:vMerge w:val="restart"/>
            <w:tcBorders>
              <w:top w:val="single" w:color="auto" w:sz="4" w:space="0"/>
              <w:left w:val="single" w:color="auto" w:sz="4" w:space="0"/>
              <w:bottom w:val="single" w:color="auto" w:sz="4" w:space="0"/>
              <w:right w:val="single" w:color="auto" w:sz="4" w:space="0"/>
            </w:tcBorders>
            <w:vAlign w:val="center"/>
          </w:tcPr>
          <w:p w14:paraId="5D73FF0D">
            <w:pPr>
              <w:jc w:val="center"/>
              <w:rPr>
                <w:rFonts w:cs="宋体"/>
                <w:b/>
                <w:highlight w:val="none"/>
              </w:rPr>
            </w:pPr>
            <w:r>
              <w:rPr>
                <w:rFonts w:hint="eastAsia" w:cs="宋体"/>
                <w:b/>
                <w:highlight w:val="none"/>
              </w:rPr>
              <w:t>技术商务分（</w:t>
            </w:r>
            <w:r>
              <w:rPr>
                <w:rFonts w:hint="eastAsia" w:cs="宋体"/>
                <w:b/>
                <w:highlight w:val="none"/>
                <w:lang w:val="en-US" w:eastAsia="zh-CN"/>
              </w:rPr>
              <w:t>85</w:t>
            </w:r>
            <w:r>
              <w:rPr>
                <w:rFonts w:hint="eastAsia" w:cs="宋体"/>
                <w:b/>
                <w:highlight w:val="none"/>
              </w:rPr>
              <w:t>分）</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5B6B1522">
            <w:pPr>
              <w:spacing w:line="240" w:lineRule="auto"/>
              <w:jc w:val="center"/>
              <w:rPr>
                <w:rFonts w:hint="eastAsia" w:ascii="宋体" w:hAnsi="宋体" w:cs="宋体"/>
                <w:highlight w:val="none"/>
              </w:rPr>
            </w:pPr>
            <w:r>
              <w:rPr>
                <w:rFonts w:hint="eastAsia" w:ascii="宋体" w:hAnsi="宋体" w:cs="宋体"/>
                <w:highlight w:val="none"/>
                <w:lang w:val="en-US" w:eastAsia="zh-CN"/>
              </w:rPr>
              <w:t xml:space="preserve">工作方案和技术方案 </w:t>
            </w:r>
          </w:p>
        </w:tc>
        <w:tc>
          <w:tcPr>
            <w:tcW w:w="8394" w:type="dxa"/>
            <w:tcBorders>
              <w:top w:val="single" w:color="000000" w:sz="4" w:space="0"/>
              <w:left w:val="single" w:color="auto" w:sz="4" w:space="0"/>
              <w:bottom w:val="single" w:color="000000" w:sz="4" w:space="0"/>
              <w:right w:val="single" w:color="000000" w:sz="4" w:space="0"/>
            </w:tcBorders>
            <w:vAlign w:val="center"/>
          </w:tcPr>
          <w:p w14:paraId="132C20A9">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w:t>
            </w:r>
            <w:r>
              <w:rPr>
                <w:rFonts w:hint="default" w:ascii="宋体" w:hAnsi="宋体" w:eastAsia="宋体" w:cs="宋体"/>
                <w:color w:val="000000"/>
                <w:kern w:val="0"/>
                <w:szCs w:val="21"/>
                <w:highlight w:val="none"/>
                <w:lang w:val="en-US" w:eastAsia="zh-CN"/>
              </w:rPr>
              <w:t>提供的</w:t>
            </w:r>
            <w:r>
              <w:rPr>
                <w:rFonts w:hint="eastAsia" w:ascii="宋体" w:hAnsi="宋体" w:cs="宋体"/>
                <w:color w:val="000000"/>
                <w:kern w:val="0"/>
                <w:szCs w:val="21"/>
                <w:highlight w:val="none"/>
                <w:lang w:val="en-US" w:eastAsia="zh-CN"/>
              </w:rPr>
              <w:t>针对本项目农村生活污水处理终端日常养护、维修的</w:t>
            </w:r>
            <w:r>
              <w:rPr>
                <w:rFonts w:hint="default" w:ascii="宋体" w:hAnsi="宋体" w:eastAsia="宋体" w:cs="宋体"/>
                <w:color w:val="000000"/>
                <w:kern w:val="0"/>
                <w:szCs w:val="21"/>
                <w:highlight w:val="none"/>
                <w:lang w:val="en-US" w:eastAsia="zh-CN"/>
              </w:rPr>
              <w:t>工作方案和技术方案进行综合评议：</w:t>
            </w:r>
          </w:p>
          <w:p w14:paraId="75E2247F">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工作方案和技术方案清晰完整的，得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1EBE543F">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2C028203">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6D9968A4">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64545146">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7719F1A0">
        <w:tblPrEx>
          <w:tblCellMar>
            <w:top w:w="0" w:type="dxa"/>
            <w:left w:w="108" w:type="dxa"/>
            <w:bottom w:w="0" w:type="dxa"/>
            <w:right w:w="108" w:type="dxa"/>
          </w:tblCellMar>
        </w:tblPrEx>
        <w:trPr>
          <w:trHeight w:val="1753"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5975682C">
            <w:pPr>
              <w:jc w:val="center"/>
              <w:rPr>
                <w:rFonts w:hint="eastAsia" w:cs="宋体"/>
                <w:b/>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6A7BCB68">
            <w:pPr>
              <w:spacing w:line="240" w:lineRule="auto"/>
              <w:jc w:val="center"/>
              <w:rPr>
                <w:rFonts w:hint="eastAsia" w:ascii="宋体" w:hAnsi="宋体" w:cs="宋体"/>
                <w:highlight w:val="none"/>
                <w:lang w:val="en-US" w:eastAsia="zh-CN"/>
              </w:rPr>
            </w:pPr>
          </w:p>
        </w:tc>
        <w:tc>
          <w:tcPr>
            <w:tcW w:w="8394" w:type="dxa"/>
            <w:tcBorders>
              <w:top w:val="single" w:color="000000" w:sz="4" w:space="0"/>
              <w:left w:val="single" w:color="auto" w:sz="4" w:space="0"/>
              <w:bottom w:val="single" w:color="000000" w:sz="4" w:space="0"/>
              <w:right w:val="single" w:color="000000" w:sz="4" w:space="0"/>
            </w:tcBorders>
            <w:vAlign w:val="center"/>
          </w:tcPr>
          <w:p w14:paraId="7BAAACEF">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供应商提供的针对本项目</w:t>
            </w:r>
            <w:r>
              <w:rPr>
                <w:rFonts w:hint="default" w:ascii="宋体" w:hAnsi="宋体" w:eastAsia="宋体" w:cs="宋体"/>
                <w:color w:val="000000"/>
                <w:kern w:val="0"/>
                <w:szCs w:val="21"/>
                <w:highlight w:val="none"/>
                <w:lang w:val="en-US" w:eastAsia="zh-CN"/>
              </w:rPr>
              <w:t>污水管网日常</w:t>
            </w:r>
            <w:r>
              <w:rPr>
                <w:rFonts w:hint="eastAsia" w:ascii="宋体" w:hAnsi="宋体" w:cs="宋体"/>
                <w:color w:val="000000"/>
                <w:kern w:val="0"/>
                <w:szCs w:val="21"/>
                <w:highlight w:val="none"/>
                <w:lang w:val="en-US" w:eastAsia="zh-CN"/>
              </w:rPr>
              <w:t>养护、维修</w:t>
            </w:r>
            <w:r>
              <w:rPr>
                <w:rFonts w:hint="default" w:ascii="宋体" w:hAnsi="宋体" w:eastAsia="宋体" w:cs="宋体"/>
                <w:color w:val="000000"/>
                <w:kern w:val="0"/>
                <w:szCs w:val="21"/>
                <w:highlight w:val="none"/>
                <w:lang w:val="en-US" w:eastAsia="zh-CN"/>
              </w:rPr>
              <w:t>的工作方案和技术方案进行综合评议：</w:t>
            </w:r>
          </w:p>
          <w:p w14:paraId="40EBB9FD">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工作方案和技术方案清晰完整的，得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0B67ED0D">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5A0F7DB1">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20DEA270">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1D0A9BBE">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01001E94">
        <w:tblPrEx>
          <w:tblCellMar>
            <w:top w:w="0" w:type="dxa"/>
            <w:left w:w="108" w:type="dxa"/>
            <w:bottom w:w="0" w:type="dxa"/>
            <w:right w:w="108" w:type="dxa"/>
          </w:tblCellMar>
        </w:tblPrEx>
        <w:trPr>
          <w:trHeight w:val="1721"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6A7F3E92">
            <w:pPr>
              <w:jc w:val="center"/>
              <w:rPr>
                <w:rFonts w:hint="eastAsia" w:cs="宋体"/>
                <w:b/>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B2454AE">
            <w:pPr>
              <w:spacing w:line="240" w:lineRule="auto"/>
              <w:jc w:val="center"/>
              <w:rPr>
                <w:rFonts w:hint="eastAsia" w:ascii="宋体" w:hAnsi="宋体" w:cs="宋体"/>
                <w:highlight w:val="none"/>
                <w:lang w:val="en-US" w:eastAsia="zh-CN"/>
              </w:rPr>
            </w:pPr>
          </w:p>
        </w:tc>
        <w:tc>
          <w:tcPr>
            <w:tcW w:w="8394" w:type="dxa"/>
            <w:tcBorders>
              <w:top w:val="single" w:color="000000" w:sz="4" w:space="0"/>
              <w:left w:val="single" w:color="auto" w:sz="4" w:space="0"/>
              <w:bottom w:val="single" w:color="000000" w:sz="4" w:space="0"/>
              <w:right w:val="single" w:color="000000" w:sz="4" w:space="0"/>
            </w:tcBorders>
            <w:vAlign w:val="center"/>
          </w:tcPr>
          <w:p w14:paraId="36E923AF">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供应商提供的针对本项目</w:t>
            </w:r>
            <w:r>
              <w:rPr>
                <w:rFonts w:hint="default" w:ascii="宋体" w:hAnsi="宋体" w:eastAsia="宋体" w:cs="宋体"/>
                <w:color w:val="000000"/>
                <w:kern w:val="0"/>
                <w:szCs w:val="21"/>
                <w:highlight w:val="none"/>
                <w:lang w:val="en-US" w:eastAsia="zh-CN"/>
              </w:rPr>
              <w:t>提升井日常</w:t>
            </w:r>
            <w:r>
              <w:rPr>
                <w:rFonts w:hint="eastAsia" w:ascii="宋体" w:hAnsi="宋体" w:cs="宋体"/>
                <w:color w:val="000000"/>
                <w:kern w:val="0"/>
                <w:szCs w:val="21"/>
                <w:highlight w:val="none"/>
                <w:lang w:val="en-US" w:eastAsia="zh-CN"/>
              </w:rPr>
              <w:t>养护、维修的</w:t>
            </w:r>
            <w:r>
              <w:rPr>
                <w:rFonts w:hint="default" w:ascii="宋体" w:hAnsi="宋体" w:eastAsia="宋体" w:cs="宋体"/>
                <w:color w:val="000000"/>
                <w:kern w:val="0"/>
                <w:szCs w:val="21"/>
                <w:highlight w:val="none"/>
                <w:lang w:val="en-US" w:eastAsia="zh-CN"/>
              </w:rPr>
              <w:t>工作方案和技术方案进行综合评议：</w:t>
            </w:r>
          </w:p>
          <w:p w14:paraId="05728DA8">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工作方案和技术方案清晰完整的，得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0DCDCD28">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5799AB99">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5B3CC6C9">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3E12F624">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5CA2BC5E">
        <w:tblPrEx>
          <w:tblCellMar>
            <w:top w:w="0" w:type="dxa"/>
            <w:left w:w="108" w:type="dxa"/>
            <w:bottom w:w="0" w:type="dxa"/>
            <w:right w:w="108" w:type="dxa"/>
          </w:tblCellMar>
        </w:tblPrEx>
        <w:trPr>
          <w:trHeight w:val="1699"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11E53322">
            <w:pPr>
              <w:jc w:val="center"/>
              <w:rPr>
                <w:rFonts w:hint="eastAsia" w:cs="宋体"/>
                <w:b/>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FB5A160">
            <w:pPr>
              <w:spacing w:line="240" w:lineRule="auto"/>
              <w:jc w:val="center"/>
              <w:rPr>
                <w:rFonts w:hint="eastAsia" w:ascii="宋体" w:hAnsi="宋体" w:cs="宋体"/>
                <w:highlight w:val="none"/>
                <w:lang w:val="en-US" w:eastAsia="zh-CN"/>
              </w:rPr>
            </w:pPr>
          </w:p>
        </w:tc>
        <w:tc>
          <w:tcPr>
            <w:tcW w:w="8394" w:type="dxa"/>
            <w:tcBorders>
              <w:top w:val="single" w:color="000000" w:sz="4" w:space="0"/>
              <w:left w:val="single" w:color="auto" w:sz="4" w:space="0"/>
              <w:bottom w:val="single" w:color="000000" w:sz="4" w:space="0"/>
              <w:right w:val="single" w:color="000000" w:sz="4" w:space="0"/>
            </w:tcBorders>
            <w:vAlign w:val="center"/>
          </w:tcPr>
          <w:p w14:paraId="0849D9F1">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eastAsia="宋体" w:cs="宋体"/>
                <w:color w:val="000000"/>
                <w:kern w:val="0"/>
                <w:szCs w:val="21"/>
                <w:highlight w:val="none"/>
                <w:lang w:val="en-US" w:eastAsia="zh-CN"/>
              </w:rPr>
              <w:t>供应商提供的针对本项目新增的集中处理终端、提升井、管网</w:t>
            </w:r>
            <w:r>
              <w:rPr>
                <w:rFonts w:hint="eastAsia" w:ascii="宋体" w:hAnsi="宋体" w:cs="宋体"/>
                <w:color w:val="000000"/>
                <w:kern w:val="0"/>
                <w:szCs w:val="21"/>
                <w:highlight w:val="none"/>
                <w:lang w:val="en-US" w:eastAsia="zh-CN"/>
              </w:rPr>
              <w:t>的养护、维修</w:t>
            </w:r>
            <w:r>
              <w:rPr>
                <w:rFonts w:hint="default" w:ascii="宋体" w:hAnsi="宋体" w:eastAsia="宋体" w:cs="宋体"/>
                <w:color w:val="000000"/>
                <w:kern w:val="0"/>
                <w:szCs w:val="21"/>
                <w:highlight w:val="none"/>
                <w:lang w:val="en-US" w:eastAsia="zh-CN"/>
              </w:rPr>
              <w:t>工作方案和技术方案进行综合评议：</w:t>
            </w:r>
          </w:p>
          <w:p w14:paraId="3345C300">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工作方案和技术方案清晰完整的，得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3978E7D3">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0871E6F7">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工作方案和技术方案不清晰、不完整的，得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02E0D4D3">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2CA4CAEA">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6C9513C3">
        <w:tblPrEx>
          <w:tblCellMar>
            <w:top w:w="0" w:type="dxa"/>
            <w:left w:w="108" w:type="dxa"/>
            <w:bottom w:w="0" w:type="dxa"/>
            <w:right w:w="108" w:type="dxa"/>
          </w:tblCellMar>
        </w:tblPrEx>
        <w:trPr>
          <w:trHeight w:val="1764"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3798D71B">
            <w:pPr>
              <w:jc w:val="center"/>
              <w:rPr>
                <w:rFonts w:hint="eastAsia" w:cs="宋体"/>
                <w:b/>
                <w:highlight w:val="none"/>
              </w:rPr>
            </w:pP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2A296CEC">
            <w:pPr>
              <w:spacing w:line="240" w:lineRule="auto"/>
              <w:jc w:val="center"/>
              <w:rPr>
                <w:rFonts w:hint="default" w:ascii="宋体" w:hAnsi="宋体" w:cs="宋体"/>
                <w:highlight w:val="none"/>
                <w:lang w:val="en-US" w:eastAsia="zh-CN"/>
              </w:rPr>
            </w:pPr>
            <w:r>
              <w:rPr>
                <w:rFonts w:hint="eastAsia" w:ascii="宋体" w:hAnsi="宋体" w:cs="宋体"/>
                <w:highlight w:val="none"/>
                <w:lang w:val="en-US" w:eastAsia="zh-CN"/>
              </w:rPr>
              <w:t>现场实际情况了解和调研方案</w:t>
            </w:r>
          </w:p>
        </w:tc>
        <w:tc>
          <w:tcPr>
            <w:tcW w:w="8394" w:type="dxa"/>
            <w:tcBorders>
              <w:top w:val="single" w:color="000000" w:sz="4" w:space="0"/>
              <w:left w:val="single" w:color="auto" w:sz="4" w:space="0"/>
              <w:bottom w:val="single" w:color="000000" w:sz="4" w:space="0"/>
              <w:right w:val="single" w:color="000000" w:sz="4" w:space="0"/>
            </w:tcBorders>
            <w:vAlign w:val="center"/>
          </w:tcPr>
          <w:p w14:paraId="17C5D36F">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w:t>
            </w:r>
            <w:r>
              <w:rPr>
                <w:rFonts w:hint="default" w:ascii="宋体" w:hAnsi="宋体" w:eastAsia="宋体" w:cs="宋体"/>
                <w:color w:val="000000"/>
                <w:kern w:val="0"/>
                <w:szCs w:val="21"/>
                <w:highlight w:val="none"/>
                <w:lang w:val="en-US" w:eastAsia="zh-CN"/>
              </w:rPr>
              <w:t>提供的</w:t>
            </w:r>
            <w:r>
              <w:rPr>
                <w:rFonts w:hint="eastAsia" w:ascii="宋体" w:hAnsi="宋体" w:cs="宋体"/>
                <w:color w:val="000000"/>
                <w:kern w:val="0"/>
                <w:szCs w:val="21"/>
                <w:highlight w:val="none"/>
                <w:lang w:val="en-US" w:eastAsia="zh-CN"/>
              </w:rPr>
              <w:t>针对本项目农村生活污水处理终端现场实际情况了解和调研方案</w:t>
            </w:r>
            <w:r>
              <w:rPr>
                <w:rFonts w:hint="default" w:ascii="宋体" w:hAnsi="宋体" w:eastAsia="宋体" w:cs="宋体"/>
                <w:color w:val="000000"/>
                <w:kern w:val="0"/>
                <w:szCs w:val="21"/>
                <w:highlight w:val="none"/>
                <w:lang w:val="en-US" w:eastAsia="zh-CN"/>
              </w:rPr>
              <w:t>进行综合评议：</w:t>
            </w:r>
          </w:p>
          <w:p w14:paraId="64908D1A">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现场实际情况了解和调研方案清晰</w:t>
            </w:r>
            <w:r>
              <w:rPr>
                <w:rFonts w:hint="eastAsia" w:ascii="宋体" w:hAnsi="宋体" w:cs="宋体"/>
                <w:color w:val="000000"/>
                <w:kern w:val="0"/>
                <w:szCs w:val="21"/>
                <w:highlight w:val="none"/>
                <w:lang w:val="en-US" w:eastAsia="zh-CN"/>
              </w:rPr>
              <w:t>、</w:t>
            </w:r>
            <w:r>
              <w:rPr>
                <w:rFonts w:hint="default" w:ascii="宋体" w:hAnsi="宋体" w:eastAsia="宋体" w:cs="宋体"/>
                <w:color w:val="000000"/>
                <w:kern w:val="0"/>
                <w:szCs w:val="21"/>
                <w:highlight w:val="none"/>
                <w:lang w:val="en-US" w:eastAsia="zh-CN"/>
              </w:rPr>
              <w:t>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5385091C">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0D70D9C9">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4B091FD7">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3436025C">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1957B435">
        <w:tblPrEx>
          <w:tblCellMar>
            <w:top w:w="0" w:type="dxa"/>
            <w:left w:w="108" w:type="dxa"/>
            <w:bottom w:w="0" w:type="dxa"/>
            <w:right w:w="108" w:type="dxa"/>
          </w:tblCellMar>
        </w:tblPrEx>
        <w:trPr>
          <w:trHeight w:val="1557"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4FA2193C">
            <w:pPr>
              <w:jc w:val="center"/>
              <w:rPr>
                <w:rFonts w:hint="eastAsia" w:cs="宋体"/>
                <w:b/>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10589317">
            <w:pPr>
              <w:spacing w:line="240" w:lineRule="auto"/>
              <w:jc w:val="center"/>
              <w:rPr>
                <w:rFonts w:hint="eastAsia" w:ascii="宋体" w:hAnsi="宋体" w:eastAsia="宋体" w:cs="宋体"/>
                <w:b/>
                <w:bCs/>
                <w:szCs w:val="21"/>
                <w:highlight w:val="none"/>
                <w:lang w:val="en-US" w:eastAsia="zh-CN"/>
              </w:rPr>
            </w:pPr>
          </w:p>
        </w:tc>
        <w:tc>
          <w:tcPr>
            <w:tcW w:w="8394" w:type="dxa"/>
            <w:tcBorders>
              <w:top w:val="single" w:color="000000" w:sz="4" w:space="0"/>
              <w:left w:val="single" w:color="auto" w:sz="4" w:space="0"/>
              <w:bottom w:val="single" w:color="000000" w:sz="4" w:space="0"/>
              <w:right w:val="single" w:color="000000" w:sz="4" w:space="0"/>
            </w:tcBorders>
            <w:vAlign w:val="center"/>
          </w:tcPr>
          <w:p w14:paraId="5AEA9573">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供应商提供的针对本项目</w:t>
            </w:r>
            <w:r>
              <w:rPr>
                <w:rFonts w:hint="default" w:ascii="宋体" w:hAnsi="宋体" w:eastAsia="宋体" w:cs="宋体"/>
                <w:color w:val="000000"/>
                <w:kern w:val="0"/>
                <w:szCs w:val="21"/>
                <w:highlight w:val="none"/>
                <w:lang w:val="en-US" w:eastAsia="zh-CN"/>
              </w:rPr>
              <w:t>污水管网现场实际情况了解和调研方案进行综合评议：</w:t>
            </w:r>
          </w:p>
          <w:p w14:paraId="09483D47">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现场实际情况了解和调研方案清晰</w:t>
            </w:r>
            <w:r>
              <w:rPr>
                <w:rFonts w:hint="eastAsia" w:ascii="宋体" w:hAnsi="宋体" w:cs="宋体"/>
                <w:color w:val="000000"/>
                <w:kern w:val="0"/>
                <w:szCs w:val="21"/>
                <w:highlight w:val="none"/>
                <w:lang w:val="en-US" w:eastAsia="zh-CN"/>
              </w:rPr>
              <w:t>、</w:t>
            </w:r>
            <w:r>
              <w:rPr>
                <w:rFonts w:hint="default" w:ascii="宋体" w:hAnsi="宋体" w:eastAsia="宋体" w:cs="宋体"/>
                <w:color w:val="000000"/>
                <w:kern w:val="0"/>
                <w:szCs w:val="21"/>
                <w:highlight w:val="none"/>
                <w:lang w:val="en-US" w:eastAsia="zh-CN"/>
              </w:rPr>
              <w:t>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6EDD9004">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1EA63F6B">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6F098FB2">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651B724B">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6BC4FEA4">
        <w:tblPrEx>
          <w:tblCellMar>
            <w:top w:w="0" w:type="dxa"/>
            <w:left w:w="108" w:type="dxa"/>
            <w:bottom w:w="0" w:type="dxa"/>
            <w:right w:w="108" w:type="dxa"/>
          </w:tblCellMar>
        </w:tblPrEx>
        <w:trPr>
          <w:trHeight w:val="1890"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45C21DE6">
            <w:pPr>
              <w:jc w:val="center"/>
              <w:rPr>
                <w:rFonts w:hint="eastAsia" w:cs="宋体"/>
                <w:b/>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9D04A25">
            <w:pPr>
              <w:spacing w:line="240" w:lineRule="auto"/>
              <w:jc w:val="center"/>
              <w:rPr>
                <w:rFonts w:hint="eastAsia" w:ascii="宋体" w:hAnsi="宋体" w:eastAsia="宋体" w:cs="宋体"/>
                <w:b/>
                <w:bCs/>
                <w:szCs w:val="21"/>
                <w:highlight w:val="none"/>
                <w:lang w:val="en-US" w:eastAsia="zh-CN"/>
              </w:rPr>
            </w:pPr>
          </w:p>
        </w:tc>
        <w:tc>
          <w:tcPr>
            <w:tcW w:w="8394" w:type="dxa"/>
            <w:tcBorders>
              <w:top w:val="single" w:color="000000" w:sz="4" w:space="0"/>
              <w:left w:val="single" w:color="auto" w:sz="4" w:space="0"/>
              <w:bottom w:val="single" w:color="auto" w:sz="4" w:space="0"/>
              <w:right w:val="single" w:color="000000" w:sz="4" w:space="0"/>
            </w:tcBorders>
            <w:vAlign w:val="center"/>
          </w:tcPr>
          <w:p w14:paraId="426046B5">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供应商提供的针对本项目</w:t>
            </w:r>
            <w:r>
              <w:rPr>
                <w:rFonts w:hint="default" w:ascii="宋体" w:hAnsi="宋体" w:eastAsia="宋体" w:cs="宋体"/>
                <w:color w:val="000000"/>
                <w:kern w:val="0"/>
                <w:szCs w:val="21"/>
                <w:highlight w:val="none"/>
                <w:lang w:val="en-US" w:eastAsia="zh-CN"/>
              </w:rPr>
              <w:t>提升井现场实际情况了解和调研方案进行综合评议：</w:t>
            </w:r>
          </w:p>
          <w:p w14:paraId="7FF19FCD">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现场实际情况了解和调研方案清晰</w:t>
            </w:r>
            <w:r>
              <w:rPr>
                <w:rFonts w:hint="eastAsia" w:ascii="宋体" w:hAnsi="宋体" w:cs="宋体"/>
                <w:color w:val="000000"/>
                <w:kern w:val="0"/>
                <w:szCs w:val="21"/>
                <w:highlight w:val="none"/>
                <w:lang w:val="en-US" w:eastAsia="zh-CN"/>
              </w:rPr>
              <w:t>、</w:t>
            </w:r>
            <w:r>
              <w:rPr>
                <w:rFonts w:hint="default" w:ascii="宋体" w:hAnsi="宋体" w:eastAsia="宋体" w:cs="宋体"/>
                <w:color w:val="000000"/>
                <w:kern w:val="0"/>
                <w:szCs w:val="21"/>
                <w:highlight w:val="none"/>
                <w:lang w:val="en-US" w:eastAsia="zh-CN"/>
              </w:rPr>
              <w:t>完整的，得</w:t>
            </w:r>
            <w:r>
              <w:rPr>
                <w:rFonts w:hint="eastAsia" w:ascii="宋体" w:hAnsi="宋体" w:cs="宋体"/>
                <w:color w:val="000000"/>
                <w:kern w:val="0"/>
                <w:szCs w:val="21"/>
                <w:highlight w:val="none"/>
                <w:lang w:val="en-US" w:eastAsia="zh-CN"/>
              </w:rPr>
              <w:t>6</w:t>
            </w:r>
            <w:r>
              <w:rPr>
                <w:rFonts w:hint="default" w:ascii="宋体" w:hAnsi="宋体" w:eastAsia="宋体" w:cs="宋体"/>
                <w:color w:val="000000"/>
                <w:kern w:val="0"/>
                <w:szCs w:val="21"/>
                <w:highlight w:val="none"/>
                <w:lang w:val="en-US" w:eastAsia="zh-CN"/>
              </w:rPr>
              <w:t>分；</w:t>
            </w:r>
          </w:p>
          <w:p w14:paraId="692E3B8A">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现场实际情况了解和调研方案较清晰、较完整的，得</w:t>
            </w:r>
            <w:r>
              <w:rPr>
                <w:rFonts w:hint="eastAsia" w:ascii="宋体" w:hAnsi="宋体" w:cs="宋体"/>
                <w:color w:val="000000"/>
                <w:kern w:val="0"/>
                <w:szCs w:val="21"/>
                <w:highlight w:val="none"/>
                <w:lang w:val="en-US" w:eastAsia="zh-CN"/>
              </w:rPr>
              <w:t>4</w:t>
            </w:r>
            <w:r>
              <w:rPr>
                <w:rFonts w:hint="default" w:ascii="宋体" w:hAnsi="宋体" w:eastAsia="宋体" w:cs="宋体"/>
                <w:color w:val="000000"/>
                <w:kern w:val="0"/>
                <w:szCs w:val="21"/>
                <w:highlight w:val="none"/>
                <w:lang w:val="en-US" w:eastAsia="zh-CN"/>
              </w:rPr>
              <w:t>分；</w:t>
            </w:r>
          </w:p>
          <w:p w14:paraId="48378AF3">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现场实际情况了解和调研方案不清晰、不完整的，得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p>
          <w:p w14:paraId="07400843">
            <w:p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auto" w:sz="4" w:space="0"/>
              <w:right w:val="single" w:color="000000" w:sz="4" w:space="0"/>
            </w:tcBorders>
            <w:vAlign w:val="center"/>
          </w:tcPr>
          <w:p w14:paraId="4C72A4F5">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373CB164">
        <w:tblPrEx>
          <w:tblCellMar>
            <w:top w:w="0" w:type="dxa"/>
            <w:left w:w="108" w:type="dxa"/>
            <w:bottom w:w="0" w:type="dxa"/>
            <w:right w:w="108" w:type="dxa"/>
          </w:tblCellMar>
        </w:tblPrEx>
        <w:trPr>
          <w:trHeight w:val="1378"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267354F7">
            <w:pPr>
              <w:jc w:val="center"/>
              <w:rPr>
                <w:rFonts w:cs="宋体"/>
                <w:b/>
                <w:highlight w:val="none"/>
              </w:rPr>
            </w:pPr>
          </w:p>
        </w:tc>
        <w:tc>
          <w:tcPr>
            <w:tcW w:w="760" w:type="dxa"/>
            <w:vMerge w:val="restart"/>
            <w:tcBorders>
              <w:top w:val="single" w:color="auto" w:sz="4" w:space="0"/>
              <w:left w:val="single" w:color="auto" w:sz="4" w:space="0"/>
              <w:right w:val="single" w:color="auto" w:sz="4" w:space="0"/>
            </w:tcBorders>
            <w:vAlign w:val="center"/>
          </w:tcPr>
          <w:p w14:paraId="303DC5BF">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运维人员</w:t>
            </w:r>
          </w:p>
          <w:p w14:paraId="20EFAE13">
            <w:pPr>
              <w:spacing w:line="240" w:lineRule="auto"/>
              <w:jc w:val="center"/>
              <w:rPr>
                <w:rFonts w:hint="eastAsia" w:eastAsia="宋体" w:cs="宋体"/>
                <w:b/>
                <w:highlight w:val="none"/>
                <w:lang w:val="en-US" w:eastAsia="zh-CN"/>
              </w:rPr>
            </w:pPr>
            <w:r>
              <w:rPr>
                <w:rFonts w:hint="eastAsia" w:ascii="宋体" w:hAnsi="宋体" w:cs="宋体"/>
                <w:highlight w:val="none"/>
              </w:rPr>
              <w:t>配置</w:t>
            </w:r>
          </w:p>
        </w:tc>
        <w:tc>
          <w:tcPr>
            <w:tcW w:w="8394" w:type="dxa"/>
            <w:tcBorders>
              <w:top w:val="single" w:color="auto" w:sz="4" w:space="0"/>
              <w:left w:val="single" w:color="auto" w:sz="4" w:space="0"/>
              <w:right w:val="single" w:color="auto" w:sz="4" w:space="0"/>
            </w:tcBorders>
            <w:vAlign w:val="top"/>
          </w:tcPr>
          <w:p w14:paraId="12696F9C">
            <w:pPr>
              <w:numPr>
                <w:ilvl w:val="0"/>
                <w:numId w:val="0"/>
              </w:numPr>
              <w:spacing w:line="240" w:lineRule="auto"/>
              <w:jc w:val="left"/>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供应商拟派养护人员具有行业主管部门或人社主管部门颁发的下水道养护工作业证书或有限空间作业证的，每增加1人</w:t>
            </w:r>
            <w:r>
              <w:rPr>
                <w:rFonts w:hint="eastAsia" w:ascii="宋体" w:hAnsi="宋体" w:cs="宋体"/>
                <w:color w:val="000000"/>
                <w:kern w:val="0"/>
                <w:szCs w:val="21"/>
                <w:highlight w:val="none"/>
                <w:lang w:val="en-US" w:eastAsia="zh-CN"/>
              </w:rPr>
              <w:t>得</w:t>
            </w:r>
            <w:r>
              <w:rPr>
                <w:rFonts w:hint="default" w:ascii="宋体" w:hAnsi="宋体" w:eastAsia="宋体" w:cs="宋体"/>
                <w:color w:val="000000"/>
                <w:kern w:val="0"/>
                <w:szCs w:val="21"/>
                <w:highlight w:val="none"/>
                <w:lang w:val="en-US" w:eastAsia="zh-CN"/>
              </w:rPr>
              <w:t>1分，</w:t>
            </w:r>
            <w:r>
              <w:rPr>
                <w:rFonts w:hint="eastAsia" w:ascii="宋体" w:hAnsi="宋体" w:cs="宋体"/>
                <w:color w:val="000000"/>
                <w:kern w:val="0"/>
                <w:szCs w:val="21"/>
                <w:highlight w:val="none"/>
                <w:lang w:val="en-US" w:eastAsia="zh-CN"/>
              </w:rPr>
              <w:t>本项</w:t>
            </w:r>
            <w:r>
              <w:rPr>
                <w:rFonts w:hint="default" w:ascii="宋体" w:hAnsi="宋体" w:eastAsia="宋体" w:cs="宋体"/>
                <w:color w:val="000000"/>
                <w:kern w:val="0"/>
                <w:szCs w:val="21"/>
                <w:highlight w:val="none"/>
                <w:lang w:val="en-US" w:eastAsia="zh-CN"/>
              </w:rPr>
              <w:t>最高得</w:t>
            </w:r>
            <w:r>
              <w:rPr>
                <w:rFonts w:hint="eastAsia" w:ascii="宋体" w:hAnsi="宋体" w:cs="宋体"/>
                <w:color w:val="000000"/>
                <w:kern w:val="0"/>
                <w:szCs w:val="21"/>
                <w:highlight w:val="none"/>
                <w:lang w:val="en-US" w:eastAsia="zh-CN"/>
              </w:rPr>
              <w:t>2</w:t>
            </w:r>
            <w:r>
              <w:rPr>
                <w:rFonts w:hint="default" w:ascii="宋体" w:hAnsi="宋体" w:eastAsia="宋体" w:cs="宋体"/>
                <w:color w:val="000000"/>
                <w:kern w:val="0"/>
                <w:szCs w:val="21"/>
                <w:highlight w:val="none"/>
                <w:lang w:val="en-US" w:eastAsia="zh-CN"/>
              </w:rPr>
              <w:t>分；</w:t>
            </w:r>
            <w:r>
              <w:rPr>
                <w:rFonts w:hint="eastAsia" w:ascii="宋体" w:hAnsi="宋体" w:eastAsia="宋体" w:cs="宋体"/>
                <w:color w:val="000000"/>
                <w:kern w:val="0"/>
                <w:szCs w:val="21"/>
                <w:highlight w:val="none"/>
                <w:lang w:val="en-US" w:eastAsia="zh-CN"/>
              </w:rPr>
              <w:t>（同一个人具有两个证书的不累计得分）</w:t>
            </w:r>
          </w:p>
          <w:p w14:paraId="04B220E1">
            <w:pPr>
              <w:spacing w:line="240" w:lineRule="auto"/>
              <w:jc w:val="left"/>
              <w:rPr>
                <w:rFonts w:hint="default"/>
                <w:highlight w:val="none"/>
                <w:lang w:val="en-US" w:eastAsia="zh-CN"/>
              </w:rPr>
            </w:pPr>
            <w:r>
              <w:rPr>
                <w:rFonts w:hint="default" w:ascii="宋体" w:hAnsi="宋体" w:eastAsia="宋体" w:cs="宋体"/>
                <w:color w:val="000000"/>
                <w:kern w:val="0"/>
                <w:szCs w:val="21"/>
                <w:highlight w:val="none"/>
                <w:lang w:val="en-US" w:eastAsia="zh-CN"/>
              </w:rPr>
              <w:t>注：</w:t>
            </w:r>
            <w:r>
              <w:rPr>
                <w:rFonts w:hint="eastAsia" w:ascii="宋体" w:hAnsi="宋体" w:cs="宋体"/>
                <w:color w:val="000000"/>
                <w:kern w:val="0"/>
                <w:szCs w:val="21"/>
                <w:highlight w:val="none"/>
                <w:lang w:val="en-US" w:eastAsia="zh-CN"/>
              </w:rPr>
              <w:t>响应</w:t>
            </w:r>
            <w:r>
              <w:rPr>
                <w:rFonts w:hint="default" w:ascii="宋体" w:hAnsi="宋体" w:eastAsia="宋体" w:cs="宋体"/>
                <w:color w:val="000000"/>
                <w:kern w:val="0"/>
                <w:szCs w:val="21"/>
                <w:highlight w:val="none"/>
                <w:lang w:val="en-US" w:eastAsia="zh-CN"/>
              </w:rPr>
              <w:t>文件中提供相应证书复印件加盖公章以及</w:t>
            </w:r>
            <w:r>
              <w:rPr>
                <w:rFonts w:hint="eastAsia" w:ascii="宋体" w:hAnsi="宋体" w:cs="宋体"/>
                <w:color w:val="000000"/>
                <w:kern w:val="0"/>
                <w:szCs w:val="21"/>
                <w:highlight w:val="none"/>
                <w:lang w:val="en-US" w:eastAsia="zh-CN"/>
              </w:rPr>
              <w:t>投标人为其缴纳的</w:t>
            </w:r>
            <w:r>
              <w:rPr>
                <w:rFonts w:hint="default" w:ascii="宋体" w:hAnsi="宋体" w:eastAsia="宋体" w:cs="宋体"/>
                <w:color w:val="000000"/>
                <w:kern w:val="0"/>
                <w:szCs w:val="21"/>
                <w:highlight w:val="none"/>
                <w:lang w:val="en-US" w:eastAsia="zh-CN"/>
              </w:rPr>
              <w:t>开标前近三个月内任意一个月社保证明</w:t>
            </w:r>
            <w:r>
              <w:rPr>
                <w:rFonts w:hint="eastAsia" w:ascii="宋体" w:hAnsi="宋体" w:eastAsia="宋体" w:cs="宋体"/>
                <w:color w:val="000000"/>
                <w:kern w:val="0"/>
                <w:szCs w:val="21"/>
                <w:highlight w:val="none"/>
                <w:lang w:val="en-US" w:eastAsia="zh-CN"/>
              </w:rPr>
              <w:t>，未提供不得分。</w:t>
            </w:r>
          </w:p>
        </w:tc>
        <w:tc>
          <w:tcPr>
            <w:tcW w:w="456" w:type="dxa"/>
            <w:tcBorders>
              <w:top w:val="single" w:color="auto" w:sz="4" w:space="0"/>
              <w:left w:val="single" w:color="auto" w:sz="4" w:space="0"/>
              <w:bottom w:val="single" w:color="auto" w:sz="4" w:space="0"/>
              <w:right w:val="single" w:color="auto" w:sz="4" w:space="0"/>
            </w:tcBorders>
            <w:vAlign w:val="center"/>
          </w:tcPr>
          <w:p w14:paraId="387865B0">
            <w:pPr>
              <w:spacing w:line="240" w:lineRule="auto"/>
              <w:jc w:val="left"/>
              <w:rPr>
                <w:rFonts w:hint="default"/>
                <w:highlight w:val="none"/>
                <w:lang w:val="en-US" w:eastAsia="zh-CN"/>
              </w:rPr>
            </w:pPr>
            <w:r>
              <w:rPr>
                <w:rFonts w:hint="eastAsia"/>
                <w:highlight w:val="none"/>
                <w:lang w:val="en-US" w:eastAsia="zh-CN"/>
              </w:rPr>
              <w:t>2分</w:t>
            </w:r>
          </w:p>
        </w:tc>
      </w:tr>
      <w:tr w14:paraId="5254E2B0">
        <w:tblPrEx>
          <w:tblCellMar>
            <w:top w:w="0" w:type="dxa"/>
            <w:left w:w="108" w:type="dxa"/>
            <w:bottom w:w="0" w:type="dxa"/>
            <w:right w:w="108" w:type="dxa"/>
          </w:tblCellMar>
        </w:tblPrEx>
        <w:trPr>
          <w:trHeight w:val="90"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7484BEE2">
            <w:pPr>
              <w:jc w:val="center"/>
              <w:rPr>
                <w:rFonts w:cs="宋体"/>
                <w:b/>
                <w:highlight w:val="none"/>
              </w:rPr>
            </w:pP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20BD9F6A">
            <w:pPr>
              <w:spacing w:line="240" w:lineRule="auto"/>
              <w:jc w:val="center"/>
              <w:rPr>
                <w:rFonts w:hint="eastAsia" w:ascii="宋体" w:hAnsi="宋体" w:eastAsia="宋体" w:cs="宋体"/>
                <w:highlight w:val="none"/>
                <w:lang w:eastAsia="zh-CN"/>
              </w:rPr>
            </w:pPr>
            <w:r>
              <w:rPr>
                <w:rFonts w:hint="eastAsia" w:ascii="宋体" w:hAnsi="宋体" w:cs="宋体"/>
                <w:highlight w:val="none"/>
              </w:rPr>
              <w:t>组织管理制度</w:t>
            </w:r>
          </w:p>
        </w:tc>
        <w:tc>
          <w:tcPr>
            <w:tcW w:w="8394" w:type="dxa"/>
            <w:tcBorders>
              <w:top w:val="single" w:color="auto" w:sz="4" w:space="0"/>
              <w:left w:val="single" w:color="auto" w:sz="4" w:space="0"/>
              <w:bottom w:val="single" w:color="000000" w:sz="4" w:space="0"/>
              <w:right w:val="single" w:color="000000" w:sz="4" w:space="0"/>
            </w:tcBorders>
            <w:vAlign w:val="center"/>
          </w:tcPr>
          <w:p w14:paraId="5BF078EA">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根据</w:t>
            </w:r>
            <w:r>
              <w:rPr>
                <w:rFonts w:hint="eastAsia" w:ascii="宋体" w:hAnsi="宋体" w:cs="宋体"/>
                <w:color w:val="000000"/>
                <w:kern w:val="0"/>
                <w:szCs w:val="21"/>
                <w:highlight w:val="none"/>
                <w:lang w:val="en-US" w:eastAsia="zh-CN"/>
              </w:rPr>
              <w:t>供应商提供的针对本项目</w:t>
            </w:r>
            <w:r>
              <w:rPr>
                <w:rFonts w:hint="eastAsia" w:ascii="宋体" w:hAnsi="宋体" w:eastAsia="宋体" w:cs="宋体"/>
                <w:color w:val="000000"/>
                <w:kern w:val="0"/>
                <w:szCs w:val="21"/>
                <w:highlight w:val="none"/>
                <w:lang w:val="en-US" w:eastAsia="zh-CN"/>
              </w:rPr>
              <w:t>的管理机构设置、管理构架和各部门职责的合理性进行综合评议：</w:t>
            </w:r>
          </w:p>
          <w:p w14:paraId="0D379FB9">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管理机构设置合理,各部门职责划分明确的得</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lang w:val="en-US" w:eastAsia="zh-CN"/>
              </w:rPr>
              <w:t>分；</w:t>
            </w:r>
          </w:p>
          <w:p w14:paraId="178E6F92">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管理机构设置较合理,各部门职责划分基本明确的得</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lang w:val="en-US" w:eastAsia="zh-CN"/>
              </w:rPr>
              <w:t>分；</w:t>
            </w:r>
          </w:p>
          <w:p w14:paraId="4AB6E889">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管理机构设置不合理,各部门职责划分较差，得</w:t>
            </w:r>
            <w:r>
              <w:rPr>
                <w:rFonts w:hint="eastAsia" w:ascii="宋体" w:hAnsi="宋体" w:cs="宋体"/>
                <w:color w:val="000000"/>
                <w:kern w:val="0"/>
                <w:szCs w:val="21"/>
                <w:highlight w:val="none"/>
                <w:lang w:val="en-US" w:eastAsia="zh-CN"/>
              </w:rPr>
              <w:t>2</w:t>
            </w:r>
            <w:r>
              <w:rPr>
                <w:rFonts w:hint="eastAsia" w:ascii="宋体" w:hAnsi="宋体" w:eastAsia="宋体" w:cs="宋体"/>
                <w:color w:val="000000"/>
                <w:kern w:val="0"/>
                <w:szCs w:val="21"/>
                <w:highlight w:val="none"/>
                <w:lang w:val="en-US" w:eastAsia="zh-CN"/>
              </w:rPr>
              <w:t>分；</w:t>
            </w:r>
          </w:p>
          <w:p w14:paraId="1D1A7A43">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无相关内容不得分。</w:t>
            </w:r>
          </w:p>
        </w:tc>
        <w:tc>
          <w:tcPr>
            <w:tcW w:w="456" w:type="dxa"/>
            <w:tcBorders>
              <w:top w:val="single" w:color="auto" w:sz="4" w:space="0"/>
              <w:left w:val="single" w:color="000000" w:sz="4" w:space="0"/>
              <w:bottom w:val="single" w:color="000000" w:sz="4" w:space="0"/>
              <w:right w:val="single" w:color="000000" w:sz="4" w:space="0"/>
            </w:tcBorders>
            <w:vAlign w:val="center"/>
          </w:tcPr>
          <w:p w14:paraId="2A0AB981">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3570E436">
        <w:tblPrEx>
          <w:tblCellMar>
            <w:top w:w="0" w:type="dxa"/>
            <w:left w:w="108" w:type="dxa"/>
            <w:bottom w:w="0" w:type="dxa"/>
            <w:right w:w="108" w:type="dxa"/>
          </w:tblCellMar>
        </w:tblPrEx>
        <w:trPr>
          <w:trHeight w:val="723"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1011ADA2">
            <w:pPr>
              <w:jc w:val="center"/>
              <w:rPr>
                <w:rFonts w:cs="宋体"/>
                <w:b/>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5E922CA">
            <w:pPr>
              <w:spacing w:line="240" w:lineRule="auto"/>
              <w:jc w:val="center"/>
              <w:rPr>
                <w:rFonts w:ascii="宋体" w:hAnsi="宋体" w:cs="宋体"/>
                <w:highlight w:val="none"/>
              </w:rPr>
            </w:pPr>
          </w:p>
        </w:tc>
        <w:tc>
          <w:tcPr>
            <w:tcW w:w="8394" w:type="dxa"/>
            <w:tcBorders>
              <w:top w:val="single" w:color="000000" w:sz="4" w:space="0"/>
              <w:left w:val="single" w:color="auto" w:sz="4" w:space="0"/>
              <w:bottom w:val="single" w:color="auto" w:sz="4" w:space="0"/>
              <w:right w:val="single" w:color="000000" w:sz="4" w:space="0"/>
            </w:tcBorders>
            <w:vAlign w:val="center"/>
          </w:tcPr>
          <w:p w14:paraId="1C109FD1">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根据供应商提供的针对本项目的管理目标、标准、制度、工作流程情况进行综合评议：</w:t>
            </w:r>
          </w:p>
          <w:p w14:paraId="029851A7">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管理目标明确、标准规范、制度严密完整，工作流程清晰合理的得</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lang w:val="en-US" w:eastAsia="zh-CN"/>
              </w:rPr>
              <w:t>分；</w:t>
            </w:r>
          </w:p>
          <w:p w14:paraId="0881478B">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管理目标较明确、标准较规范、制度较严密完整，工作流程较清晰合理的得</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lang w:val="en-US" w:eastAsia="zh-CN"/>
              </w:rPr>
              <w:t>分；</w:t>
            </w:r>
          </w:p>
          <w:p w14:paraId="116725B6">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管理目标不明确、标准不规范、制度不严密完整，工作流程不清晰合理的得</w:t>
            </w:r>
            <w:r>
              <w:rPr>
                <w:rFonts w:hint="eastAsia" w:ascii="宋体" w:hAnsi="宋体" w:cs="宋体"/>
                <w:color w:val="000000"/>
                <w:kern w:val="0"/>
                <w:szCs w:val="21"/>
                <w:highlight w:val="none"/>
                <w:lang w:val="en-US" w:eastAsia="zh-CN"/>
              </w:rPr>
              <w:t>2</w:t>
            </w:r>
            <w:r>
              <w:rPr>
                <w:rFonts w:hint="eastAsia" w:ascii="宋体" w:hAnsi="宋体" w:eastAsia="宋体" w:cs="宋体"/>
                <w:color w:val="000000"/>
                <w:kern w:val="0"/>
                <w:szCs w:val="21"/>
                <w:highlight w:val="none"/>
                <w:lang w:val="en-US" w:eastAsia="zh-CN"/>
              </w:rPr>
              <w:t>分；</w:t>
            </w:r>
          </w:p>
          <w:p w14:paraId="0D5A95C7">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vAlign w:val="center"/>
          </w:tcPr>
          <w:p w14:paraId="5145F03F">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266BD6C5">
        <w:tblPrEx>
          <w:tblCellMar>
            <w:top w:w="0" w:type="dxa"/>
            <w:left w:w="108" w:type="dxa"/>
            <w:bottom w:w="0" w:type="dxa"/>
            <w:right w:w="108" w:type="dxa"/>
          </w:tblCellMar>
        </w:tblPrEx>
        <w:trPr>
          <w:trHeight w:val="1231"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665BC7A9">
            <w:pPr>
              <w:jc w:val="center"/>
              <w:rPr>
                <w:rFonts w:cs="宋体"/>
                <w:b/>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6F85EBFD">
            <w:pPr>
              <w:spacing w:line="240" w:lineRule="auto"/>
              <w:jc w:val="center"/>
              <w:rPr>
                <w:rFonts w:hint="eastAsia" w:ascii="宋体" w:hAnsi="宋体" w:cs="宋体"/>
                <w:highlight w:val="none"/>
                <w:lang w:eastAsia="zh-CN"/>
              </w:rPr>
            </w:pPr>
            <w:r>
              <w:rPr>
                <w:rFonts w:hint="eastAsia" w:ascii="宋体" w:hAnsi="宋体" w:cs="宋体"/>
                <w:highlight w:val="none"/>
              </w:rPr>
              <w:t>重难点分析</w:t>
            </w:r>
          </w:p>
        </w:tc>
        <w:tc>
          <w:tcPr>
            <w:tcW w:w="8394" w:type="dxa"/>
            <w:tcBorders>
              <w:top w:val="single" w:color="auto" w:sz="4" w:space="0"/>
              <w:left w:val="single" w:color="auto" w:sz="4" w:space="0"/>
              <w:bottom w:val="single" w:color="auto" w:sz="4" w:space="0"/>
              <w:right w:val="single" w:color="auto" w:sz="4" w:space="0"/>
            </w:tcBorders>
            <w:vAlign w:val="center"/>
          </w:tcPr>
          <w:p w14:paraId="5E1830E6">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供应商根据行业经验及结合本项目的工作</w:t>
            </w:r>
            <w:r>
              <w:rPr>
                <w:rFonts w:hint="eastAsia" w:ascii="宋体" w:hAnsi="宋体" w:eastAsia="宋体" w:cs="宋体"/>
                <w:color w:val="000000"/>
                <w:kern w:val="0"/>
                <w:szCs w:val="21"/>
                <w:highlight w:val="none"/>
                <w:lang w:val="en-US" w:eastAsia="zh-CN"/>
              </w:rPr>
              <w:t>重</w:t>
            </w:r>
            <w:r>
              <w:rPr>
                <w:rFonts w:hint="eastAsia" w:ascii="宋体" w:hAnsi="宋体" w:cs="宋体"/>
                <w:color w:val="000000"/>
                <w:kern w:val="0"/>
                <w:szCs w:val="21"/>
                <w:highlight w:val="none"/>
                <w:lang w:val="en-US" w:eastAsia="zh-CN"/>
              </w:rPr>
              <w:t>点、难点</w:t>
            </w:r>
            <w:r>
              <w:rPr>
                <w:rFonts w:hint="eastAsia" w:ascii="宋体" w:hAnsi="宋体" w:eastAsia="宋体" w:cs="宋体"/>
                <w:color w:val="000000"/>
                <w:kern w:val="0"/>
                <w:szCs w:val="21"/>
                <w:highlight w:val="none"/>
                <w:lang w:val="en-US" w:eastAsia="zh-CN"/>
              </w:rPr>
              <w:t>分析情况</w:t>
            </w:r>
            <w:r>
              <w:rPr>
                <w:rFonts w:hint="eastAsia" w:ascii="宋体" w:hAnsi="宋体" w:cs="宋体"/>
                <w:color w:val="000000"/>
                <w:kern w:val="0"/>
                <w:szCs w:val="21"/>
                <w:highlight w:val="none"/>
                <w:lang w:val="en-US" w:eastAsia="zh-CN"/>
              </w:rPr>
              <w:t>及解决措施</w:t>
            </w:r>
            <w:r>
              <w:rPr>
                <w:rFonts w:hint="eastAsia" w:ascii="宋体" w:hAnsi="宋体" w:eastAsia="宋体" w:cs="宋体"/>
                <w:color w:val="000000"/>
                <w:kern w:val="0"/>
                <w:szCs w:val="21"/>
                <w:highlight w:val="none"/>
                <w:lang w:val="en-US" w:eastAsia="zh-CN"/>
              </w:rPr>
              <w:t>进行综合评议：</w:t>
            </w:r>
          </w:p>
          <w:p w14:paraId="5A244124">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重点、难点分析情况及解决措施精准到位的，得</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lang w:val="en-US" w:eastAsia="zh-CN"/>
              </w:rPr>
              <w:t>分；</w:t>
            </w:r>
          </w:p>
          <w:p w14:paraId="0B36C503">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重点、难点分析情况及解决措施精准</w:t>
            </w:r>
            <w:r>
              <w:rPr>
                <w:rFonts w:hint="eastAsia" w:ascii="宋体" w:hAnsi="宋体" w:cs="宋体"/>
                <w:color w:val="000000"/>
                <w:kern w:val="0"/>
                <w:szCs w:val="21"/>
                <w:highlight w:val="none"/>
                <w:lang w:val="en-US" w:eastAsia="zh-CN"/>
              </w:rPr>
              <w:t>、到位</w:t>
            </w:r>
            <w:r>
              <w:rPr>
                <w:rFonts w:hint="eastAsia" w:ascii="宋体" w:hAnsi="宋体" w:eastAsia="宋体" w:cs="宋体"/>
                <w:color w:val="000000"/>
                <w:kern w:val="0"/>
                <w:szCs w:val="21"/>
                <w:highlight w:val="none"/>
                <w:lang w:val="en-US" w:eastAsia="zh-CN"/>
              </w:rPr>
              <w:t>程度一般的，得</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lang w:val="en-US" w:eastAsia="zh-CN"/>
              </w:rPr>
              <w:t>分；</w:t>
            </w:r>
          </w:p>
          <w:p w14:paraId="71809EBD">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重点、难点分析情况及解决措施不精准不到位的，得</w:t>
            </w:r>
            <w:r>
              <w:rPr>
                <w:rFonts w:hint="eastAsia" w:ascii="宋体" w:hAnsi="宋体" w:cs="宋体"/>
                <w:color w:val="000000"/>
                <w:kern w:val="0"/>
                <w:szCs w:val="21"/>
                <w:highlight w:val="none"/>
                <w:lang w:val="en-US" w:eastAsia="zh-CN"/>
              </w:rPr>
              <w:t>2</w:t>
            </w:r>
            <w:r>
              <w:rPr>
                <w:rFonts w:hint="eastAsia" w:ascii="宋体" w:hAnsi="宋体" w:eastAsia="宋体" w:cs="宋体"/>
                <w:color w:val="000000"/>
                <w:kern w:val="0"/>
                <w:szCs w:val="21"/>
                <w:highlight w:val="none"/>
                <w:lang w:val="en-US" w:eastAsia="zh-CN"/>
              </w:rPr>
              <w:t>分；</w:t>
            </w:r>
          </w:p>
          <w:p w14:paraId="28B1FF84">
            <w:pPr>
              <w:spacing w:line="240" w:lineRule="auto"/>
              <w:jc w:val="left"/>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auto" w:sz="4" w:space="0"/>
              <w:bottom w:val="single" w:color="000000" w:sz="4" w:space="0"/>
              <w:right w:val="single" w:color="000000" w:sz="4" w:space="0"/>
            </w:tcBorders>
            <w:vAlign w:val="center"/>
          </w:tcPr>
          <w:p w14:paraId="414E40D2">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6</w:t>
            </w:r>
            <w:r>
              <w:rPr>
                <w:rFonts w:hint="eastAsia" w:ascii="宋体" w:hAnsi="宋体" w:eastAsia="宋体" w:cs="宋体"/>
                <w:bCs/>
                <w:highlight w:val="none"/>
                <w:lang w:val="en-US" w:eastAsia="zh-CN"/>
              </w:rPr>
              <w:t>分</w:t>
            </w:r>
          </w:p>
        </w:tc>
      </w:tr>
      <w:tr w14:paraId="1DAA33BC">
        <w:tblPrEx>
          <w:tblCellMar>
            <w:top w:w="0" w:type="dxa"/>
            <w:left w:w="108" w:type="dxa"/>
            <w:bottom w:w="0" w:type="dxa"/>
            <w:right w:w="108" w:type="dxa"/>
          </w:tblCellMar>
        </w:tblPrEx>
        <w:trPr>
          <w:trHeight w:val="1825"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5A708252">
            <w:pPr>
              <w:jc w:val="center"/>
              <w:rPr>
                <w:rFonts w:cs="宋体"/>
                <w:b/>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59351333">
            <w:pPr>
              <w:spacing w:line="240" w:lineRule="auto"/>
              <w:jc w:val="center"/>
              <w:rPr>
                <w:rFonts w:hint="default" w:ascii="宋体" w:hAnsi="宋体" w:eastAsia="宋体" w:cs="宋体"/>
                <w:highlight w:val="none"/>
                <w:lang w:val="en-US" w:eastAsia="zh-CN"/>
              </w:rPr>
            </w:pPr>
            <w:r>
              <w:rPr>
                <w:rFonts w:hint="default" w:ascii="宋体" w:hAnsi="宋体" w:eastAsia="宋体" w:cs="宋体"/>
                <w:highlight w:val="none"/>
                <w:lang w:val="en-US" w:eastAsia="zh-CN"/>
              </w:rPr>
              <w:t>应急工作预案</w:t>
            </w:r>
          </w:p>
        </w:tc>
        <w:tc>
          <w:tcPr>
            <w:tcW w:w="8394" w:type="dxa"/>
            <w:tcBorders>
              <w:top w:val="single" w:color="auto" w:sz="4" w:space="0"/>
              <w:left w:val="single" w:color="auto" w:sz="4" w:space="0"/>
              <w:bottom w:val="single" w:color="auto" w:sz="4" w:space="0"/>
              <w:right w:val="single" w:color="auto" w:sz="4" w:space="0"/>
            </w:tcBorders>
            <w:vAlign w:val="top"/>
          </w:tcPr>
          <w:p w14:paraId="71C97543">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根据供应商提供应急突发事情的响应和处理方案情况进行综合评议：</w:t>
            </w:r>
          </w:p>
          <w:p w14:paraId="1264B102">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总体应急方案描述完善，应急事件类型划分详细，能结合自身经验提供针对性的应急措施，确保有效解决可预见性问题，有规范处理流程和行之有效的处理办法，并在日常做好防范的措施的，得</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lang w:val="en-US" w:eastAsia="zh-CN"/>
              </w:rPr>
              <w:t>分；</w:t>
            </w:r>
          </w:p>
          <w:p w14:paraId="46F93A04">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总体应急方案描述较为完善，应急事件类型划分较详细，能结合自身经验提供较有针对性的应急措施，预防措施较细致的，得</w:t>
            </w:r>
            <w:r>
              <w:rPr>
                <w:rFonts w:hint="eastAsia" w:ascii="宋体" w:hAnsi="宋体" w:cs="宋体"/>
                <w:color w:val="000000"/>
                <w:kern w:val="0"/>
                <w:szCs w:val="21"/>
                <w:highlight w:val="none"/>
                <w:lang w:val="en-US" w:eastAsia="zh-CN"/>
              </w:rPr>
              <w:t>3</w:t>
            </w:r>
            <w:r>
              <w:rPr>
                <w:rFonts w:hint="eastAsia" w:ascii="宋体" w:hAnsi="宋体" w:eastAsia="宋体" w:cs="宋体"/>
                <w:color w:val="000000"/>
                <w:kern w:val="0"/>
                <w:szCs w:val="21"/>
                <w:highlight w:val="none"/>
                <w:lang w:val="en-US" w:eastAsia="zh-CN"/>
              </w:rPr>
              <w:t>分；</w:t>
            </w:r>
          </w:p>
          <w:p w14:paraId="7841E612">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总体应急方案内容不全，应急措施有明显不合理之处的，得</w:t>
            </w:r>
            <w:r>
              <w:rPr>
                <w:rFonts w:hint="eastAsia" w:ascii="宋体" w:hAnsi="宋体" w:cs="宋体"/>
                <w:color w:val="000000"/>
                <w:kern w:val="0"/>
                <w:szCs w:val="21"/>
                <w:highlight w:val="none"/>
                <w:lang w:val="en-US" w:eastAsia="zh-CN"/>
              </w:rPr>
              <w:t>1</w:t>
            </w:r>
            <w:r>
              <w:rPr>
                <w:rFonts w:hint="eastAsia" w:ascii="宋体" w:hAnsi="宋体" w:eastAsia="宋体" w:cs="宋体"/>
                <w:color w:val="000000"/>
                <w:kern w:val="0"/>
                <w:szCs w:val="21"/>
                <w:highlight w:val="none"/>
                <w:lang w:val="en-US" w:eastAsia="zh-CN"/>
              </w:rPr>
              <w:t>分；</w:t>
            </w:r>
          </w:p>
          <w:p w14:paraId="7FA8F508">
            <w:pPr>
              <w:spacing w:line="240" w:lineRule="auto"/>
              <w:jc w:val="left"/>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auto" w:sz="4" w:space="0"/>
              <w:bottom w:val="single" w:color="000000" w:sz="4" w:space="0"/>
              <w:right w:val="single" w:color="000000" w:sz="4" w:space="0"/>
            </w:tcBorders>
            <w:vAlign w:val="center"/>
          </w:tcPr>
          <w:p w14:paraId="31657AAA">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5</w:t>
            </w:r>
            <w:r>
              <w:rPr>
                <w:rFonts w:hint="eastAsia" w:ascii="宋体" w:hAnsi="宋体" w:eastAsia="宋体" w:cs="宋体"/>
                <w:bCs/>
                <w:highlight w:val="none"/>
                <w:lang w:val="en-US" w:eastAsia="zh-CN"/>
              </w:rPr>
              <w:t>分</w:t>
            </w:r>
          </w:p>
        </w:tc>
      </w:tr>
      <w:tr w14:paraId="39B6B0AC">
        <w:tblPrEx>
          <w:tblCellMar>
            <w:top w:w="0" w:type="dxa"/>
            <w:left w:w="108" w:type="dxa"/>
            <w:bottom w:w="0" w:type="dxa"/>
            <w:right w:w="108" w:type="dxa"/>
          </w:tblCellMar>
        </w:tblPrEx>
        <w:trPr>
          <w:trHeight w:val="1825"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1F24ACB7">
            <w:pPr>
              <w:jc w:val="center"/>
              <w:rPr>
                <w:rFonts w:cs="宋体"/>
                <w:b/>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47C9DAC">
            <w:pPr>
              <w:spacing w:line="24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合理化建议及服务承诺</w:t>
            </w:r>
          </w:p>
        </w:tc>
        <w:tc>
          <w:tcPr>
            <w:tcW w:w="8394" w:type="dxa"/>
            <w:tcBorders>
              <w:top w:val="single" w:color="auto" w:sz="4" w:space="0"/>
              <w:left w:val="single" w:color="auto" w:sz="4" w:space="0"/>
              <w:bottom w:val="single" w:color="auto" w:sz="4" w:space="0"/>
              <w:right w:val="single" w:color="auto" w:sz="4" w:space="0"/>
            </w:tcBorders>
            <w:shd w:val="clear" w:color="auto" w:fill="auto"/>
            <w:vAlign w:val="center"/>
          </w:tcPr>
          <w:p w14:paraId="718AADEC">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根据供应商提供的针对本项目的合理化建议及服务承诺包括服务方式、服务响应时间、技术支持进行综合评议：</w:t>
            </w:r>
          </w:p>
          <w:p w14:paraId="136A9D58">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各项合理化建议、服务承诺能与采购人实际相结合，能提供实质性承诺及保障措施的，得</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lang w:val="en-US" w:eastAsia="zh-CN"/>
              </w:rPr>
              <w:t>分；</w:t>
            </w:r>
          </w:p>
          <w:p w14:paraId="6A4EB58B">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各项合理化建议、服务承诺能与采购人实际相结合，承诺及保障基本符合项目情况的，得</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lang w:val="en-US" w:eastAsia="zh-CN"/>
              </w:rPr>
              <w:t>分；</w:t>
            </w:r>
          </w:p>
          <w:p w14:paraId="39220BDF">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合理化建议、服务承诺与采购人实际需求存在巨大偏差，与项目实际不符的，得</w:t>
            </w:r>
            <w:r>
              <w:rPr>
                <w:rFonts w:hint="eastAsia" w:ascii="宋体" w:hAnsi="宋体" w:cs="宋体"/>
                <w:color w:val="000000"/>
                <w:kern w:val="0"/>
                <w:szCs w:val="21"/>
                <w:highlight w:val="none"/>
                <w:lang w:val="en-US" w:eastAsia="zh-CN"/>
              </w:rPr>
              <w:t>2</w:t>
            </w:r>
            <w:r>
              <w:rPr>
                <w:rFonts w:hint="eastAsia" w:ascii="宋体" w:hAnsi="宋体" w:eastAsia="宋体" w:cs="宋体"/>
                <w:color w:val="000000"/>
                <w:kern w:val="0"/>
                <w:szCs w:val="21"/>
                <w:highlight w:val="none"/>
                <w:lang w:val="en-US" w:eastAsia="zh-CN"/>
              </w:rPr>
              <w:t>分；</w:t>
            </w:r>
          </w:p>
          <w:p w14:paraId="4934168B">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无相关内容不得分。</w:t>
            </w:r>
          </w:p>
        </w:tc>
        <w:tc>
          <w:tcPr>
            <w:tcW w:w="456" w:type="dxa"/>
            <w:tcBorders>
              <w:top w:val="single" w:color="000000" w:sz="4" w:space="0"/>
              <w:left w:val="single" w:color="auto" w:sz="4" w:space="0"/>
              <w:bottom w:val="single" w:color="000000" w:sz="4" w:space="0"/>
              <w:right w:val="single" w:color="000000" w:sz="4" w:space="0"/>
            </w:tcBorders>
            <w:vAlign w:val="center"/>
          </w:tcPr>
          <w:p w14:paraId="428DA2B5">
            <w:pPr>
              <w:jc w:val="center"/>
              <w:rPr>
                <w:rFonts w:hint="default" w:ascii="宋体" w:hAnsi="宋体" w:cs="宋体"/>
                <w:bCs/>
                <w:highlight w:val="none"/>
                <w:lang w:val="en-US" w:eastAsia="zh-CN"/>
              </w:rPr>
            </w:pPr>
            <w:r>
              <w:rPr>
                <w:rFonts w:hint="eastAsia" w:ascii="宋体" w:hAnsi="宋体" w:cs="宋体"/>
                <w:bCs/>
                <w:highlight w:val="none"/>
                <w:lang w:val="en-US" w:eastAsia="zh-CN"/>
              </w:rPr>
              <w:t>6分</w:t>
            </w:r>
          </w:p>
        </w:tc>
      </w:tr>
      <w:tr w14:paraId="704A3849">
        <w:tblPrEx>
          <w:tblCellMar>
            <w:top w:w="0" w:type="dxa"/>
            <w:left w:w="108" w:type="dxa"/>
            <w:bottom w:w="0" w:type="dxa"/>
            <w:right w:w="108" w:type="dxa"/>
          </w:tblCellMar>
        </w:tblPrEx>
        <w:trPr>
          <w:trHeight w:val="2819"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428A8154">
            <w:pPr>
              <w:jc w:val="center"/>
              <w:rPr>
                <w:rFonts w:cs="宋体"/>
                <w:b/>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ACFACC7">
            <w:pPr>
              <w:spacing w:line="24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运维设备</w:t>
            </w:r>
            <w:r>
              <w:rPr>
                <w:rFonts w:hint="eastAsia" w:ascii="宋体" w:hAnsi="宋体" w:cs="宋体"/>
                <w:kern w:val="2"/>
                <w:sz w:val="21"/>
                <w:szCs w:val="21"/>
                <w:highlight w:val="none"/>
                <w:lang w:val="en-US" w:eastAsia="zh-CN" w:bidi="ar-SA"/>
              </w:rPr>
              <w:t>配置</w:t>
            </w:r>
          </w:p>
        </w:tc>
        <w:tc>
          <w:tcPr>
            <w:tcW w:w="8394" w:type="dxa"/>
            <w:tcBorders>
              <w:top w:val="single" w:color="000000" w:sz="4" w:space="0"/>
              <w:left w:val="single" w:color="auto" w:sz="4" w:space="0"/>
              <w:bottom w:val="single" w:color="000000" w:sz="4" w:space="0"/>
              <w:right w:val="single" w:color="000000" w:sz="4" w:space="0"/>
            </w:tcBorders>
            <w:shd w:val="clear" w:color="auto" w:fill="auto"/>
            <w:vAlign w:val="top"/>
          </w:tcPr>
          <w:p w14:paraId="4371ADBB">
            <w:pPr>
              <w:spacing w:line="240" w:lineRule="auto"/>
              <w:jc w:val="left"/>
              <w:rPr>
                <w:rFonts w:hint="default"/>
                <w:highlight w:val="none"/>
                <w:lang w:val="en-US" w:eastAsia="zh-CN"/>
              </w:rPr>
            </w:pPr>
            <w:r>
              <w:rPr>
                <w:rFonts w:hint="default"/>
                <w:highlight w:val="none"/>
                <w:lang w:val="en-US" w:eastAsia="zh-CN"/>
              </w:rPr>
              <w:t>根据供应商提供的针对本项目拟投入车辆、设备（如小型货车或皮卡车、其他工具与备件、吸污车、管道疏通车、 CCTV 管道监测仪、小型管道疏通车、管道内窥镜、毒气检测仪、移动供电设备、应急排涝车（车+泵）</w:t>
            </w:r>
            <w:r>
              <w:rPr>
                <w:rFonts w:hint="eastAsia"/>
                <w:highlight w:val="none"/>
                <w:lang w:val="en-US" w:eastAsia="zh-CN"/>
              </w:rPr>
              <w:t>、气囊</w:t>
            </w:r>
            <w:r>
              <w:rPr>
                <w:rFonts w:hint="default"/>
                <w:highlight w:val="none"/>
                <w:lang w:val="en-US" w:eastAsia="zh-CN"/>
              </w:rPr>
              <w:t>等）的配置，根据设施设备配置等情况进行综合评议：</w:t>
            </w:r>
          </w:p>
          <w:p w14:paraId="66EC1CA7">
            <w:pPr>
              <w:spacing w:line="240" w:lineRule="auto"/>
              <w:jc w:val="left"/>
              <w:rPr>
                <w:rFonts w:hint="default"/>
                <w:highlight w:val="none"/>
                <w:lang w:val="en-US" w:eastAsia="zh-CN"/>
              </w:rPr>
            </w:pPr>
            <w:r>
              <w:rPr>
                <w:rFonts w:hint="default"/>
                <w:highlight w:val="none"/>
                <w:lang w:val="en-US" w:eastAsia="zh-CN"/>
              </w:rPr>
              <w:t>拟投入车辆、设备与本项目相匹配，设施设备配置先进、合理、完全满足项目需求的得</w:t>
            </w:r>
            <w:r>
              <w:rPr>
                <w:rFonts w:hint="eastAsia"/>
                <w:highlight w:val="none"/>
                <w:lang w:val="en-US" w:eastAsia="zh-CN"/>
              </w:rPr>
              <w:t>6</w:t>
            </w:r>
            <w:r>
              <w:rPr>
                <w:rFonts w:hint="default"/>
                <w:highlight w:val="none"/>
                <w:lang w:val="en-US" w:eastAsia="zh-CN"/>
              </w:rPr>
              <w:t>分；</w:t>
            </w:r>
          </w:p>
          <w:p w14:paraId="63AFE2D2">
            <w:pPr>
              <w:spacing w:line="240" w:lineRule="auto"/>
              <w:jc w:val="left"/>
              <w:rPr>
                <w:rFonts w:hint="default"/>
                <w:highlight w:val="none"/>
                <w:lang w:val="en-US" w:eastAsia="zh-CN"/>
              </w:rPr>
            </w:pPr>
            <w:r>
              <w:rPr>
                <w:rFonts w:hint="default"/>
                <w:highlight w:val="none"/>
                <w:lang w:val="en-US" w:eastAsia="zh-CN"/>
              </w:rPr>
              <w:t>拟投入车辆、设备符合本项目采购需求</w:t>
            </w:r>
            <w:r>
              <w:rPr>
                <w:rFonts w:hint="eastAsia"/>
                <w:highlight w:val="none"/>
                <w:lang w:val="en-US" w:eastAsia="zh-CN"/>
              </w:rPr>
              <w:t>，</w:t>
            </w:r>
            <w:r>
              <w:rPr>
                <w:rFonts w:hint="default"/>
                <w:highlight w:val="none"/>
                <w:lang w:val="en-US" w:eastAsia="zh-CN"/>
              </w:rPr>
              <w:t>但设施设备配置一般、基本合理、基本满足采购需求的得</w:t>
            </w:r>
            <w:r>
              <w:rPr>
                <w:rFonts w:hint="eastAsia"/>
                <w:highlight w:val="none"/>
                <w:lang w:val="en-US" w:eastAsia="zh-CN"/>
              </w:rPr>
              <w:t>4</w:t>
            </w:r>
            <w:r>
              <w:rPr>
                <w:rFonts w:hint="default"/>
                <w:highlight w:val="none"/>
                <w:lang w:val="en-US" w:eastAsia="zh-CN"/>
              </w:rPr>
              <w:t>分；</w:t>
            </w:r>
          </w:p>
          <w:p w14:paraId="30E61C47">
            <w:pPr>
              <w:spacing w:line="240" w:lineRule="auto"/>
              <w:jc w:val="left"/>
              <w:rPr>
                <w:rFonts w:hint="default"/>
                <w:highlight w:val="none"/>
                <w:lang w:val="en-US" w:eastAsia="zh-CN"/>
              </w:rPr>
            </w:pPr>
            <w:r>
              <w:rPr>
                <w:rFonts w:hint="default"/>
                <w:highlight w:val="none"/>
                <w:lang w:val="en-US" w:eastAsia="zh-CN"/>
              </w:rPr>
              <w:t>拟投入车辆、设备符合本项目采购需求</w:t>
            </w:r>
            <w:r>
              <w:rPr>
                <w:rFonts w:hint="eastAsia"/>
                <w:highlight w:val="none"/>
                <w:lang w:val="en-US" w:eastAsia="zh-CN"/>
              </w:rPr>
              <w:t>，但</w:t>
            </w:r>
            <w:r>
              <w:rPr>
                <w:rFonts w:hint="default"/>
                <w:highlight w:val="none"/>
                <w:lang w:val="en-US" w:eastAsia="zh-CN"/>
              </w:rPr>
              <w:t>设施设备配置落后、不合理、影响项目正常实施的得</w:t>
            </w:r>
            <w:r>
              <w:rPr>
                <w:rFonts w:hint="eastAsia"/>
                <w:highlight w:val="none"/>
                <w:lang w:val="en-US" w:eastAsia="zh-CN"/>
              </w:rPr>
              <w:t>2</w:t>
            </w:r>
            <w:r>
              <w:rPr>
                <w:rFonts w:hint="default"/>
                <w:highlight w:val="none"/>
                <w:lang w:val="en-US" w:eastAsia="zh-CN"/>
              </w:rPr>
              <w:t>分；</w:t>
            </w:r>
          </w:p>
          <w:p w14:paraId="44FFF9DB">
            <w:pPr>
              <w:spacing w:line="240" w:lineRule="auto"/>
              <w:jc w:val="left"/>
              <w:rPr>
                <w:rFonts w:hint="default"/>
                <w:highlight w:val="none"/>
                <w:lang w:val="en-US" w:eastAsia="zh-CN"/>
              </w:rPr>
            </w:pPr>
            <w:r>
              <w:rPr>
                <w:rFonts w:hint="default"/>
                <w:highlight w:val="none"/>
                <w:lang w:val="en-US" w:eastAsia="zh-CN"/>
              </w:rPr>
              <w:t>无相关内容不得分。</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3C49">
            <w:pPr>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6分</w:t>
            </w:r>
          </w:p>
        </w:tc>
      </w:tr>
      <w:tr w14:paraId="0C8BBF7C">
        <w:tblPrEx>
          <w:tblCellMar>
            <w:top w:w="0" w:type="dxa"/>
            <w:left w:w="108" w:type="dxa"/>
            <w:bottom w:w="0" w:type="dxa"/>
            <w:right w:w="108" w:type="dxa"/>
          </w:tblCellMar>
        </w:tblPrEx>
        <w:trPr>
          <w:trHeight w:val="90"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184405A8">
            <w:pPr>
              <w:jc w:val="center"/>
              <w:rPr>
                <w:rFonts w:cs="宋体"/>
                <w:b/>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47834F08">
            <w:pPr>
              <w:spacing w:line="240" w:lineRule="auto"/>
              <w:jc w:val="center"/>
              <w:rPr>
                <w:rFonts w:hint="eastAsia" w:ascii="宋体" w:hAnsi="宋体" w:cs="宋体"/>
                <w:highlight w:val="none"/>
                <w:lang w:eastAsia="zh-CN"/>
              </w:rPr>
            </w:pPr>
            <w:r>
              <w:rPr>
                <w:rFonts w:hint="eastAsia" w:ascii="宋体" w:hAnsi="宋体" w:cs="宋体"/>
                <w:highlight w:val="none"/>
              </w:rPr>
              <w:t>企业实力</w:t>
            </w:r>
          </w:p>
        </w:tc>
        <w:tc>
          <w:tcPr>
            <w:tcW w:w="8394" w:type="dxa"/>
            <w:tcBorders>
              <w:top w:val="single" w:color="000000" w:sz="4" w:space="0"/>
              <w:left w:val="single" w:color="auto" w:sz="4" w:space="0"/>
              <w:bottom w:val="single" w:color="000000" w:sz="4" w:space="0"/>
              <w:right w:val="single" w:color="000000" w:sz="4" w:space="0"/>
            </w:tcBorders>
            <w:vAlign w:val="top"/>
          </w:tcPr>
          <w:p w14:paraId="4CF52A68">
            <w:pPr>
              <w:spacing w:line="240" w:lineRule="auto"/>
              <w:jc w:val="lef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1、供应商具有市政公用工程施工总承包三级及以上资质的，得1.5分；</w:t>
            </w:r>
          </w:p>
          <w:p w14:paraId="46F2ADAB">
            <w:pPr>
              <w:spacing w:line="240" w:lineRule="auto"/>
              <w:jc w:val="lef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2、供应商具有环保工程专业承包三级及以上资质的，得1.5分；</w:t>
            </w:r>
          </w:p>
          <w:p w14:paraId="537494D2">
            <w:pPr>
              <w:spacing w:line="240" w:lineRule="auto"/>
              <w:jc w:val="left"/>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3、供应商具有质量管理体系认证证书的，得1分；</w:t>
            </w:r>
          </w:p>
          <w:p w14:paraId="129BDA9E">
            <w:pPr>
              <w:spacing w:line="240" w:lineRule="auto"/>
              <w:jc w:val="left"/>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4、供应商具有环境管理体系认证证书得，得1分；</w:t>
            </w:r>
          </w:p>
          <w:p w14:paraId="085F1FAF">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注：</w:t>
            </w:r>
            <w:r>
              <w:rPr>
                <w:rFonts w:hint="eastAsia" w:ascii="宋体" w:hAnsi="宋体" w:cs="宋体"/>
                <w:color w:val="000000"/>
                <w:kern w:val="0"/>
                <w:szCs w:val="21"/>
                <w:highlight w:val="none"/>
                <w:lang w:val="en-US" w:eastAsia="zh-CN"/>
              </w:rPr>
              <w:t>供应商须提供</w:t>
            </w:r>
            <w:r>
              <w:rPr>
                <w:rFonts w:hint="eastAsia" w:ascii="宋体" w:hAnsi="宋体" w:eastAsia="宋体" w:cs="宋体"/>
                <w:color w:val="000000"/>
                <w:kern w:val="0"/>
                <w:szCs w:val="21"/>
                <w:highlight w:val="none"/>
                <w:lang w:val="en-US" w:eastAsia="zh-CN"/>
              </w:rPr>
              <w:t>证书的复印件</w:t>
            </w:r>
            <w:r>
              <w:rPr>
                <w:rFonts w:hint="eastAsia" w:ascii="宋体" w:hAnsi="宋体" w:cs="宋体"/>
                <w:color w:val="000000"/>
                <w:kern w:val="0"/>
                <w:szCs w:val="21"/>
                <w:highlight w:val="none"/>
                <w:lang w:val="en-US" w:eastAsia="zh-CN"/>
              </w:rPr>
              <w:t>并加盖公章，未提供不得分</w:t>
            </w:r>
            <w:r>
              <w:rPr>
                <w:rFonts w:hint="eastAsia" w:ascii="宋体" w:hAnsi="宋体" w:eastAsia="宋体" w:cs="宋体"/>
                <w:color w:val="000000"/>
                <w:kern w:val="0"/>
                <w:szCs w:val="21"/>
                <w:highlight w:val="none"/>
                <w:lang w:val="en-US" w:eastAsia="zh-CN"/>
              </w:rPr>
              <w:t>。</w:t>
            </w:r>
          </w:p>
        </w:tc>
        <w:tc>
          <w:tcPr>
            <w:tcW w:w="456" w:type="dxa"/>
            <w:tcBorders>
              <w:top w:val="single" w:color="000000" w:sz="4" w:space="0"/>
              <w:left w:val="single" w:color="000000" w:sz="4" w:space="0"/>
              <w:bottom w:val="single" w:color="000000" w:sz="4" w:space="0"/>
              <w:right w:val="single" w:color="000000" w:sz="4" w:space="0"/>
            </w:tcBorders>
            <w:vAlign w:val="center"/>
          </w:tcPr>
          <w:p w14:paraId="2DA6B247">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5</w:t>
            </w:r>
            <w:r>
              <w:rPr>
                <w:rFonts w:hint="eastAsia" w:ascii="宋体" w:hAnsi="宋体" w:eastAsia="宋体" w:cs="宋体"/>
                <w:bCs/>
                <w:highlight w:val="none"/>
                <w:lang w:val="en-US" w:eastAsia="zh-CN"/>
              </w:rPr>
              <w:t>分</w:t>
            </w:r>
          </w:p>
        </w:tc>
      </w:tr>
      <w:tr w14:paraId="7E0F2F94">
        <w:tblPrEx>
          <w:tblCellMar>
            <w:top w:w="0" w:type="dxa"/>
            <w:left w:w="108" w:type="dxa"/>
            <w:bottom w:w="0" w:type="dxa"/>
            <w:right w:w="108" w:type="dxa"/>
          </w:tblCellMar>
        </w:tblPrEx>
        <w:trPr>
          <w:trHeight w:val="290" w:hRule="atLeast"/>
          <w:jc w:val="center"/>
        </w:trPr>
        <w:tc>
          <w:tcPr>
            <w:tcW w:w="748" w:type="dxa"/>
            <w:vMerge w:val="continue"/>
            <w:tcBorders>
              <w:top w:val="single" w:color="auto" w:sz="4" w:space="0"/>
              <w:left w:val="single" w:color="auto" w:sz="4" w:space="0"/>
              <w:bottom w:val="single" w:color="auto" w:sz="4" w:space="0"/>
              <w:right w:val="single" w:color="auto" w:sz="4" w:space="0"/>
            </w:tcBorders>
            <w:vAlign w:val="center"/>
          </w:tcPr>
          <w:p w14:paraId="1F3A3F36">
            <w:pPr>
              <w:jc w:val="center"/>
              <w:rPr>
                <w:rFonts w:cs="宋体"/>
                <w:b/>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10C660C6">
            <w:pPr>
              <w:spacing w:line="240" w:lineRule="auto"/>
              <w:jc w:val="center"/>
              <w:rPr>
                <w:rFonts w:hint="eastAsia" w:ascii="宋体" w:hAnsi="宋体" w:cs="宋体"/>
                <w:highlight w:val="none"/>
                <w:lang w:eastAsia="zh-CN"/>
              </w:rPr>
            </w:pPr>
            <w:r>
              <w:rPr>
                <w:rFonts w:hint="eastAsia" w:ascii="宋体" w:hAnsi="宋体" w:cs="宋体"/>
                <w:highlight w:val="none"/>
                <w:lang w:val="en-US" w:eastAsia="zh-CN"/>
              </w:rPr>
              <w:t>类似</w:t>
            </w:r>
            <w:r>
              <w:rPr>
                <w:rFonts w:hint="eastAsia" w:ascii="宋体" w:hAnsi="宋体" w:cs="宋体"/>
                <w:highlight w:val="none"/>
              </w:rPr>
              <w:t>业绩</w:t>
            </w:r>
          </w:p>
        </w:tc>
        <w:tc>
          <w:tcPr>
            <w:tcW w:w="8394" w:type="dxa"/>
            <w:tcBorders>
              <w:top w:val="single" w:color="000000" w:sz="4" w:space="0"/>
              <w:left w:val="single" w:color="auto" w:sz="4" w:space="0"/>
              <w:bottom w:val="single" w:color="000000" w:sz="4" w:space="0"/>
              <w:right w:val="single" w:color="000000" w:sz="4" w:space="0"/>
            </w:tcBorders>
            <w:vAlign w:val="top"/>
          </w:tcPr>
          <w:p w14:paraId="6A1BFF17">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供应商具有2021年1月1日至今（</w:t>
            </w:r>
            <w:r>
              <w:rPr>
                <w:rFonts w:hint="eastAsia" w:ascii="宋体" w:hAnsi="宋体" w:cs="宋体"/>
                <w:color w:val="000000"/>
                <w:kern w:val="0"/>
                <w:szCs w:val="21"/>
                <w:highlight w:val="none"/>
                <w:lang w:val="en-US" w:eastAsia="zh-CN"/>
              </w:rPr>
              <w:t>以</w:t>
            </w:r>
            <w:r>
              <w:rPr>
                <w:rFonts w:hint="eastAsia" w:ascii="宋体" w:hAnsi="宋体" w:eastAsia="宋体" w:cs="宋体"/>
                <w:color w:val="000000"/>
                <w:kern w:val="0"/>
                <w:szCs w:val="21"/>
                <w:highlight w:val="none"/>
                <w:lang w:val="en-US" w:eastAsia="zh-CN"/>
              </w:rPr>
              <w:t>合同签订时间</w:t>
            </w:r>
            <w:r>
              <w:rPr>
                <w:rFonts w:hint="eastAsia" w:ascii="宋体" w:hAnsi="宋体" w:cs="宋体"/>
                <w:color w:val="000000"/>
                <w:kern w:val="0"/>
                <w:szCs w:val="21"/>
                <w:highlight w:val="none"/>
                <w:lang w:val="en-US" w:eastAsia="zh-CN"/>
              </w:rPr>
              <w:t>为准</w:t>
            </w:r>
            <w:r>
              <w:rPr>
                <w:rFonts w:hint="eastAsia" w:ascii="宋体" w:hAnsi="宋体" w:eastAsia="宋体" w:cs="宋体"/>
                <w:color w:val="000000"/>
                <w:kern w:val="0"/>
                <w:szCs w:val="21"/>
                <w:highlight w:val="none"/>
                <w:lang w:val="en-US" w:eastAsia="zh-CN"/>
              </w:rPr>
              <w:t>），与本项目类似的业绩的，每提供一个合同得0.5分，满分1分；</w:t>
            </w:r>
          </w:p>
          <w:p w14:paraId="7024C817">
            <w:pPr>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（响应文件中提供合同复印件加盖公章</w:t>
            </w:r>
            <w:r>
              <w:rPr>
                <w:rFonts w:hint="eastAsia" w:ascii="宋体" w:hAnsi="宋体" w:cs="宋体"/>
                <w:color w:val="000000"/>
                <w:kern w:val="0"/>
                <w:szCs w:val="21"/>
                <w:highlight w:val="none"/>
                <w:lang w:val="en-US" w:eastAsia="zh-CN"/>
              </w:rPr>
              <w:t>，未提供不得分</w:t>
            </w:r>
            <w:r>
              <w:rPr>
                <w:rFonts w:hint="eastAsia" w:ascii="宋体" w:hAnsi="宋体" w:eastAsia="宋体" w:cs="宋体"/>
                <w:color w:val="000000"/>
                <w:kern w:val="0"/>
                <w:szCs w:val="21"/>
                <w:highlight w:val="none"/>
                <w:lang w:val="en-US" w:eastAsia="zh-CN"/>
              </w:rPr>
              <w:t>）。</w:t>
            </w:r>
          </w:p>
        </w:tc>
        <w:tc>
          <w:tcPr>
            <w:tcW w:w="456" w:type="dxa"/>
            <w:tcBorders>
              <w:top w:val="single" w:color="000000" w:sz="4" w:space="0"/>
              <w:left w:val="single" w:color="000000" w:sz="4" w:space="0"/>
              <w:bottom w:val="single" w:color="000000" w:sz="4" w:space="0"/>
              <w:right w:val="single" w:color="000000" w:sz="4" w:space="0"/>
            </w:tcBorders>
            <w:vAlign w:val="center"/>
          </w:tcPr>
          <w:p w14:paraId="07EA41E4">
            <w:pPr>
              <w:jc w:val="cente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1分</w:t>
            </w:r>
          </w:p>
        </w:tc>
      </w:tr>
      <w:tr w14:paraId="37E36530">
        <w:tblPrEx>
          <w:tblCellMar>
            <w:top w:w="0" w:type="dxa"/>
            <w:left w:w="108" w:type="dxa"/>
            <w:bottom w:w="0" w:type="dxa"/>
            <w:right w:w="108" w:type="dxa"/>
          </w:tblCellMar>
        </w:tblPrEx>
        <w:trPr>
          <w:trHeight w:val="1656"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4CC3B838">
            <w:pPr>
              <w:jc w:val="center"/>
              <w:rPr>
                <w:rFonts w:cs="宋体"/>
                <w:b/>
              </w:rPr>
            </w:pPr>
            <w:r>
              <w:rPr>
                <w:rFonts w:hint="eastAsia" w:cs="宋体"/>
                <w:b/>
              </w:rPr>
              <w:t>价格分（</w:t>
            </w:r>
            <w:r>
              <w:rPr>
                <w:rFonts w:hint="eastAsia" w:cs="宋体"/>
                <w:b/>
                <w:lang w:val="en-US" w:eastAsia="zh-CN"/>
              </w:rPr>
              <w:t>15</w:t>
            </w:r>
            <w:r>
              <w:rPr>
                <w:rFonts w:hint="eastAsia" w:cs="宋体"/>
                <w:b/>
              </w:rPr>
              <w:t>分）</w:t>
            </w:r>
          </w:p>
        </w:tc>
        <w:tc>
          <w:tcPr>
            <w:tcW w:w="9154" w:type="dxa"/>
            <w:gridSpan w:val="2"/>
            <w:tcBorders>
              <w:top w:val="single" w:color="000000" w:sz="4" w:space="0"/>
              <w:left w:val="single" w:color="000000" w:sz="4" w:space="0"/>
              <w:bottom w:val="single" w:color="000000" w:sz="4" w:space="0"/>
              <w:right w:val="single" w:color="000000" w:sz="4" w:space="0"/>
            </w:tcBorders>
            <w:vAlign w:val="center"/>
          </w:tcPr>
          <w:p w14:paraId="66984206">
            <w:r>
              <w:rPr>
                <w:rFonts w:hint="eastAsia"/>
              </w:rPr>
              <w:t>参与评审价格=最后磋商报价</w:t>
            </w:r>
          </w:p>
          <w:p w14:paraId="3B6F48FA">
            <w:r>
              <w:rPr>
                <w:rFonts w:hint="eastAsia"/>
              </w:rPr>
              <w:t>评审基准价=所有有效的最后磋商报价（初步评审合格且商务、技术、报价部分评审合格）的最低报价为评审基准价，供应商的最后磋商报价为评审基准价的其价格分得满分</w:t>
            </w:r>
            <w:r>
              <w:rPr>
                <w:rFonts w:hint="eastAsia"/>
                <w:lang w:val="en-US" w:eastAsia="zh-CN"/>
              </w:rPr>
              <w:t>15</w:t>
            </w:r>
            <w:r>
              <w:rPr>
                <w:rFonts w:hint="eastAsia"/>
              </w:rPr>
              <w:t xml:space="preserve">分； </w:t>
            </w:r>
          </w:p>
          <w:p w14:paraId="3BA357A5">
            <w:r>
              <w:rPr>
                <w:rFonts w:hint="eastAsia"/>
              </w:rPr>
              <w:t>其他供应商的价格分计算公式：价格分=（评审基准价/参与评审价格）×</w:t>
            </w:r>
            <w:r>
              <w:rPr>
                <w:rFonts w:hint="eastAsia"/>
                <w:lang w:val="en-US" w:eastAsia="zh-CN"/>
              </w:rPr>
              <w:t>15</w:t>
            </w:r>
            <w:r>
              <w:rPr>
                <w:rFonts w:hint="eastAsia"/>
              </w:rPr>
              <w:t>%×100。</w:t>
            </w:r>
          </w:p>
          <w:p w14:paraId="5E852B91">
            <w:pPr>
              <w:rPr>
                <w:rFonts w:cs="宋体"/>
              </w:rPr>
            </w:pPr>
            <w:r>
              <w:rPr>
                <w:rFonts w:hint="eastAsia"/>
              </w:rPr>
              <w:t>注：价格分保留两位小数。</w:t>
            </w:r>
          </w:p>
        </w:tc>
        <w:tc>
          <w:tcPr>
            <w:tcW w:w="456" w:type="dxa"/>
            <w:tcBorders>
              <w:top w:val="single" w:color="000000" w:sz="4" w:space="0"/>
              <w:left w:val="single" w:color="000000" w:sz="4" w:space="0"/>
              <w:bottom w:val="single" w:color="000000" w:sz="4" w:space="0"/>
              <w:right w:val="single" w:color="000000" w:sz="4" w:space="0"/>
            </w:tcBorders>
            <w:vAlign w:val="center"/>
          </w:tcPr>
          <w:p w14:paraId="6CC698C7">
            <w:pPr>
              <w:jc w:val="center"/>
              <w:rPr>
                <w:rFonts w:hint="eastAsia" w:ascii="宋体" w:hAnsi="宋体" w:eastAsia="宋体" w:cs="宋体"/>
                <w:bCs/>
              </w:rPr>
            </w:pPr>
            <w:r>
              <w:rPr>
                <w:rFonts w:hint="eastAsia" w:ascii="宋体" w:hAnsi="宋体" w:eastAsia="宋体" w:cs="宋体"/>
                <w:bCs/>
                <w:lang w:val="en-US" w:eastAsia="zh-CN"/>
              </w:rPr>
              <w:t>15</w:t>
            </w:r>
            <w:r>
              <w:rPr>
                <w:rFonts w:hint="eastAsia" w:ascii="宋体" w:hAnsi="宋体" w:eastAsia="宋体" w:cs="宋体"/>
                <w:bCs/>
              </w:rPr>
              <w:t>分</w:t>
            </w:r>
          </w:p>
        </w:tc>
      </w:tr>
    </w:tbl>
    <w:p w14:paraId="16023BDD">
      <w:pPr>
        <w:ind w:firstLine="103" w:firstLineChars="49"/>
        <w:rPr>
          <w:rFonts w:ascii="宋体" w:hAnsi="宋体" w:cs="宋体"/>
          <w:b/>
          <w:bCs/>
          <w:color w:val="000000"/>
        </w:rPr>
      </w:pPr>
      <w:r>
        <w:rPr>
          <w:rFonts w:hint="eastAsia" w:ascii="宋体" w:hAnsi="宋体" w:cs="宋体"/>
          <w:b/>
          <w:bCs/>
          <w:color w:val="000000"/>
        </w:rPr>
        <w:t xml:space="preserve">                                          </w:t>
      </w:r>
    </w:p>
    <w:p w14:paraId="59C38867">
      <w:pPr>
        <w:spacing w:line="360" w:lineRule="auto"/>
        <w:rPr>
          <w:rFonts w:ascii="宋体" w:hAnsi="宋体" w:cs="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、小数点后保留两位数。</w:t>
      </w:r>
      <w:r>
        <w:rPr>
          <w:rFonts w:ascii="宋体" w:hAnsi="宋体" w:cs="宋体"/>
          <w:color w:val="000000"/>
        </w:rPr>
        <w:t>2</w:t>
      </w:r>
      <w:r>
        <w:rPr>
          <w:rFonts w:hint="eastAsia" w:ascii="宋体" w:hAnsi="宋体" w:cs="宋体"/>
          <w:color w:val="000000"/>
        </w:rPr>
        <w:t>、各</w:t>
      </w:r>
      <w:r>
        <w:rPr>
          <w:rFonts w:hint="eastAsia" w:ascii="宋体" w:hAnsi="宋体"/>
          <w:color w:val="000000"/>
        </w:rPr>
        <w:t>磋商小组成员</w:t>
      </w:r>
      <w:r>
        <w:rPr>
          <w:rFonts w:hint="eastAsia" w:ascii="宋体" w:hAnsi="宋体" w:cs="宋体"/>
          <w:color w:val="000000"/>
        </w:rPr>
        <w:t>自行按以上参考分值评分。</w:t>
      </w:r>
    </w:p>
    <w:p w14:paraId="2F4F63BF">
      <w:pPr>
        <w:spacing w:line="360" w:lineRule="auto"/>
        <w:rPr>
          <w:rFonts w:ascii="宋体"/>
          <w:b/>
          <w:bCs/>
          <w:color w:val="000000"/>
        </w:rPr>
        <w:sectPr>
          <w:footerReference r:id="rId8" w:type="default"/>
          <w:pgSz w:w="11907" w:h="16840"/>
          <w:pgMar w:top="1191" w:right="1077" w:bottom="1117" w:left="1077" w:header="1134" w:footer="1134" w:gutter="0"/>
          <w:pgNumType w:fmt="decimal"/>
          <w:cols w:space="720" w:num="1"/>
          <w:docGrid w:linePitch="285" w:charSpace="0"/>
        </w:sectPr>
      </w:pPr>
      <w:r>
        <w:rPr>
          <w:rFonts w:hint="eastAsia" w:ascii="宋体" w:hAnsi="宋体" w:cs="宋体"/>
          <w:color w:val="000000"/>
        </w:rPr>
        <w:t>评委签名：</w:t>
      </w: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14:paraId="038925B8">
      <w:pPr>
        <w:spacing w:line="480" w:lineRule="auto"/>
        <w:jc w:val="center"/>
        <w:outlineLvl w:val="0"/>
        <w:rPr>
          <w:rFonts w:ascii="宋体" w:hAnsi="宋体" w:cs="宋体"/>
          <w:b/>
          <w:bCs/>
          <w:color w:val="000000"/>
          <w:sz w:val="30"/>
          <w:szCs w:val="30"/>
          <w:highlight w:val="none"/>
        </w:rPr>
      </w:pPr>
      <w:bookmarkStart w:id="11" w:name="_Toc50046894"/>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1"/>
    </w:p>
    <w:p w14:paraId="1E409957">
      <w:pPr>
        <w:numPr>
          <w:ilvl w:val="0"/>
          <w:numId w:val="6"/>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项目概况</w:t>
      </w:r>
    </w:p>
    <w:p w14:paraId="4379E258">
      <w:pPr>
        <w:snapToGrid w:val="0"/>
        <w:spacing w:line="360" w:lineRule="auto"/>
        <w:ind w:firstLine="411" w:firstLineChars="196"/>
        <w:rPr>
          <w:rFonts w:hint="default" w:ascii="宋体" w:hAnsi="宋体" w:eastAsia="宋体" w:cs="宋体"/>
          <w:szCs w:val="21"/>
          <w:lang w:val="en-US" w:eastAsia="zh-CN"/>
        </w:rPr>
      </w:pPr>
      <w:r>
        <w:rPr>
          <w:rFonts w:hint="eastAsia" w:ascii="宋体" w:hAnsi="宋体" w:eastAsia="宋体" w:cs="宋体"/>
          <w:szCs w:val="21"/>
          <w:lang w:val="en-US" w:eastAsia="zh-CN"/>
        </w:rPr>
        <w:t>1.项目名称：梅山街道农村污水管网养护项目</w:t>
      </w:r>
    </w:p>
    <w:p w14:paraId="64541859">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lang w:val="en-US" w:eastAsia="zh-CN"/>
        </w:rPr>
        <w:t>2.服务区域：北仑区梅山街道</w:t>
      </w:r>
    </w:p>
    <w:p w14:paraId="7427CCCE">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lang w:val="en-US" w:eastAsia="zh-CN"/>
        </w:rPr>
        <w:t>3.服务内容：北仑梅山农污设施养护及维修</w:t>
      </w:r>
      <w:r>
        <w:rPr>
          <w:rFonts w:hint="eastAsia" w:ascii="宋体" w:hAnsi="宋体" w:cs="宋体"/>
          <w:szCs w:val="21"/>
          <w:lang w:val="en-US" w:eastAsia="zh-CN"/>
        </w:rPr>
        <w:t>等</w:t>
      </w:r>
      <w:r>
        <w:rPr>
          <w:rFonts w:hint="eastAsia" w:ascii="宋体" w:hAnsi="宋体" w:eastAsia="宋体" w:cs="宋体"/>
          <w:szCs w:val="21"/>
          <w:lang w:val="en-US" w:eastAsia="zh-CN"/>
        </w:rPr>
        <w:t xml:space="preserve"> </w:t>
      </w:r>
    </w:p>
    <w:p w14:paraId="138F0D6A">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4.项目服务对象：</w:t>
      </w:r>
    </w:p>
    <w:p w14:paraId="12EFF2CF">
      <w:pPr>
        <w:snapToGrid w:val="0"/>
        <w:spacing w:line="360" w:lineRule="auto"/>
        <w:ind w:firstLine="411" w:firstLineChars="196"/>
        <w:rPr>
          <w:rFonts w:hint="eastAsia" w:ascii="宋体" w:hAnsi="宋体" w:eastAsia="宋体" w:cs="宋体"/>
          <w:szCs w:val="21"/>
        </w:rPr>
      </w:pPr>
      <w:r>
        <w:rPr>
          <w:rFonts w:hint="eastAsia" w:ascii="宋体" w:hAnsi="宋体" w:eastAsia="宋体" w:cs="宋体"/>
          <w:szCs w:val="21"/>
          <w:lang w:val="en-US" w:eastAsia="zh-CN"/>
        </w:rPr>
        <w:t xml:space="preserve">4.1梅山街道6座农村生活污水处理终端、16座提升井、45166公里污水管网（实际范围以农户围墙为界，自农户围墙始，至下游纳厂管道末端检查井或集中处理终端出水口）日常养护、维修。 </w:t>
      </w:r>
    </w:p>
    <w:p w14:paraId="13760027">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4.2 本项目服务区域内新增的集中处理终端、提升井、管网（户用处理设备、简易设施、公共化粪池、户内化粪池等），纳入本项目服务范围。</w:t>
      </w:r>
    </w:p>
    <w:p w14:paraId="5B1DC491">
      <w:pPr>
        <w:numPr>
          <w:ilvl w:val="0"/>
          <w:numId w:val="6"/>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 xml:space="preserve">服务要求 </w:t>
      </w:r>
    </w:p>
    <w:p w14:paraId="6F5737F8">
      <w:pPr>
        <w:snapToGrid w:val="0"/>
        <w:spacing w:line="360" w:lineRule="auto"/>
        <w:ind w:firstLine="413" w:firstLineChars="196"/>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（一）管网设施养护要求</w:t>
      </w:r>
    </w:p>
    <w:p w14:paraId="5254003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1.定期做好管网收集系统的巡查工作，每周巡查不少于一次，并做好巡查记录； </w:t>
      </w:r>
    </w:p>
    <w:p w14:paraId="16C81E4D">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2.确保管网收集系统正常运行，对出现的一般的漏、坏、堵、溢等异常现象，及时维修处理； </w:t>
      </w:r>
    </w:p>
    <w:p w14:paraId="6188F42B">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每半个月对管网、格栅、清扫口、检查井、化粪池等进行一次检查清理（包括检查管道、井盖、井筒、管口等各部位结构完好性；盖板的完整性、安全性；检查管道、检查井水流通畅性），根据检查存在的问题进行及时处理，确保管网、窨井不堵塞，窨井盖完好，并要巡查台账记录，每次巡查台账记录必须由采购人或采购人指定人员签字确认；夏秋季节每月应对清扫口、检查井进行一次杀虫消毒； </w:t>
      </w:r>
    </w:p>
    <w:p w14:paraId="6EFD1454">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4.每年至少一次对管线进行疏通，并建立管网疏通台账，台账内容必须包含疏通部位、疏通作业时间、疏通作业和清理淤塞物的影像资料，同时需经采购人或采购人指定人员签字确认； </w:t>
      </w:r>
    </w:p>
    <w:p w14:paraId="6F4672D1">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5.发现窨井盖破损或遗失，必须及时更换； </w:t>
      </w:r>
    </w:p>
    <w:p w14:paraId="125E382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6.视化粪池的使用情况，用抽粪车定期清运，防止满溢； </w:t>
      </w:r>
    </w:p>
    <w:p w14:paraId="21DD189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7.半月一次对提升井、格栅、水泵等提升设施进行检查，每三个月至少一次维护保养，每年 至少一次全面预防性检修，并记录台账。 </w:t>
      </w:r>
    </w:p>
    <w:p w14:paraId="4B9A8B9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8.定期（一月一次）对提升井配电间、设备间内的灭火器材检查并如实做好记录，对过期的灭火器材及时进行更换。</w:t>
      </w:r>
    </w:p>
    <w:p w14:paraId="18064D62">
      <w:pPr>
        <w:snapToGrid w:val="0"/>
        <w:spacing w:line="360" w:lineRule="auto"/>
        <w:ind w:firstLine="413" w:firstLineChars="196"/>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（二）处理终端运维要求</w:t>
      </w:r>
    </w:p>
    <w:p w14:paraId="5BA85B8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1.治理设备操作规范、日常工作制度、安全规程上墙明示； </w:t>
      </w:r>
    </w:p>
    <w:p w14:paraId="575260A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2.定期巡查，每周巡查不少于一次，确保污水治理设施正常运行，并做好巡查和运行记录； </w:t>
      </w:r>
    </w:p>
    <w:p w14:paraId="7EDC614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3.定期对格栅进行清渣、对集水井进行清淤，每月清淤不少于两次，并做好运行记录； </w:t>
      </w:r>
    </w:p>
    <w:p w14:paraId="3B85E0C3">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4.每半年由专业人员对终端治理设施进行一次清理和保养，确保设施完好； </w:t>
      </w:r>
    </w:p>
    <w:p w14:paraId="4FEEB5C3">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5.主要和附属构筑物及标识标牌完好无损； </w:t>
      </w:r>
    </w:p>
    <w:p w14:paraId="1BC30E5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6.定期（一周一次）对终端出水水质和水量进行观察记录，对日处理能力不足三十吨的终端设施，进、出水水质的检测频次每季度不得少于一次；对日处理能力三十吨以上不足二百吨的终端设施，进、出水水质的检测频次每月不得少于一次；对于日处理能力二百吨以上的终端设施，实时检测进、出水水量、水质；定期（每周不少于一次）对排放井（口）巡查，并每月至少一次清理排放。 </w:t>
      </w:r>
    </w:p>
    <w:p w14:paraId="2F20BCED">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7.发现进出水水质、水量出现异常，影响正常运行的，应立即采取措施防止或减少危害后果，及时向采购人报告，并及时排查检修，必要时上报主管部门协商解决； </w:t>
      </w:r>
    </w:p>
    <w:p w14:paraId="28870561">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8.配合相关部门做好定期水质检测、抽检工作； </w:t>
      </w:r>
    </w:p>
    <w:p w14:paraId="4B7C36CC">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9.定期清理废渣污泥，处置要求规范，有相关台帐记录； </w:t>
      </w:r>
    </w:p>
    <w:p w14:paraId="3CB93C52">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10.定期检查人工湿地植物生长状况，每周巡查不少于一次，并进行病虫害防治和修枝剪叶、清除杂草等；根据本地的气候环境，视植物生长情况对人工湿地植物进行收割（原则上一年不得少于 3 次）、补种，栽种时应保持植物间适当的密度和覆盖度，做好相关记录台账；</w:t>
      </w:r>
    </w:p>
    <w:p w14:paraId="32F252A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11.半月一次对格栅、水泵、风机等设施进行检查，每三个月至少一次维护保养，每年至少一次全面预防性检修，并记录台账。 </w:t>
      </w:r>
    </w:p>
    <w:p w14:paraId="37D21E3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12.保持治理设施内场地清洁，无积水，无垃圾、无污水外溢。 </w:t>
      </w:r>
    </w:p>
    <w:p w14:paraId="52CF248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13.定期（一月一次）对配电间、风机房、设备间内的灭火器材检查并如实做好记录，对过期的灭火器材及时进行更换。</w:t>
      </w:r>
    </w:p>
    <w:p w14:paraId="1C653D54">
      <w:pPr>
        <w:numPr>
          <w:ilvl w:val="0"/>
          <w:numId w:val="6"/>
        </w:numPr>
        <w:tabs>
          <w:tab w:val="left" w:pos="0"/>
        </w:tabs>
        <w:spacing w:line="360" w:lineRule="auto"/>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化验室管理</w:t>
      </w:r>
    </w:p>
    <w:p w14:paraId="447ADBD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1.检测方法符合标准，检测数据要及时、准确、可信，不得弄虚作假；</w:t>
      </w:r>
    </w:p>
    <w:p w14:paraId="0E9333C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2.建立化验数据档案库，随时备查。水质自检化验数据及时纳入信息管理系统； </w:t>
      </w:r>
    </w:p>
    <w:p w14:paraId="7A59068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3.专人负责实验室管理，设备要整齐、环境要整洁、化验器材摆放规范。 </w:t>
      </w:r>
    </w:p>
    <w:p w14:paraId="0E4D888C">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4.如无自建化验室的可委托具有资质的第三方检测机</w:t>
      </w:r>
      <w:r>
        <w:rPr>
          <w:rFonts w:hint="eastAsia" w:ascii="宋体" w:hAnsi="宋体" w:eastAsia="宋体" w:cs="宋体"/>
          <w:szCs w:val="21"/>
          <w:lang w:val="en-US" w:eastAsia="zh-CN"/>
        </w:rPr>
        <w:t xml:space="preserve">构进行检测。 </w:t>
      </w:r>
    </w:p>
    <w:p w14:paraId="52750AD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5.提供的水质检测报告须由有资质的检测机构出具。</w:t>
      </w:r>
    </w:p>
    <w:p w14:paraId="20DD5F79">
      <w:pPr>
        <w:numPr>
          <w:ilvl w:val="0"/>
          <w:numId w:val="6"/>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对运维单位的要求</w:t>
      </w:r>
    </w:p>
    <w:p w14:paraId="3C0934D4">
      <w:pPr>
        <w:snapToGrid w:val="0"/>
        <w:spacing w:line="360" w:lineRule="auto"/>
        <w:ind w:firstLine="411" w:firstLineChars="196"/>
        <w:rPr>
          <w:rFonts w:hint="default" w:ascii="宋体" w:hAnsi="宋体" w:eastAsia="宋体" w:cs="宋体"/>
          <w:szCs w:val="21"/>
          <w:highlight w:val="none"/>
          <w:lang w:val="en-US" w:eastAsia="zh-CN"/>
        </w:rPr>
      </w:pPr>
      <w:r>
        <w:rPr>
          <w:rFonts w:hint="default" w:ascii="宋体" w:hAnsi="宋体" w:eastAsia="宋体" w:cs="宋体"/>
          <w:szCs w:val="21"/>
          <w:lang w:val="en-US" w:eastAsia="zh-CN"/>
        </w:rPr>
        <w:t>1</w:t>
      </w:r>
      <w:r>
        <w:rPr>
          <w:rFonts w:hint="eastAsia" w:ascii="宋体" w:hAnsi="宋体" w:eastAsia="宋体" w:cs="宋体"/>
          <w:szCs w:val="21"/>
          <w:lang w:val="en-US" w:eastAsia="zh-CN"/>
        </w:rPr>
        <w:t>.管理体系中内部制度齐全、有效，且单项</w:t>
      </w:r>
      <w:r>
        <w:rPr>
          <w:rFonts w:hint="eastAsia" w:ascii="宋体" w:hAnsi="宋体" w:eastAsia="宋体" w:cs="宋体"/>
          <w:szCs w:val="21"/>
          <w:highlight w:val="none"/>
          <w:lang w:val="en-US" w:eastAsia="zh-CN"/>
        </w:rPr>
        <w:t>制度内容完整，具有针对性。按照半小时服务圈原则合理组建运维小组。每个</w:t>
      </w:r>
      <w:r>
        <w:rPr>
          <w:rFonts w:hint="eastAsia" w:ascii="宋体" w:hAnsi="宋体" w:cs="宋体"/>
          <w:szCs w:val="21"/>
          <w:highlight w:val="none"/>
          <w:lang w:val="en-US" w:eastAsia="zh-CN"/>
        </w:rPr>
        <w:t>养护</w:t>
      </w:r>
      <w:r>
        <w:rPr>
          <w:rFonts w:hint="eastAsia" w:ascii="宋体" w:hAnsi="宋体" w:eastAsia="宋体" w:cs="宋体"/>
          <w:szCs w:val="21"/>
          <w:highlight w:val="none"/>
          <w:lang w:val="en-US" w:eastAsia="zh-CN"/>
        </w:rPr>
        <w:t>小组负责工作范围不得多于</w:t>
      </w:r>
      <w:r>
        <w:rPr>
          <w:rFonts w:hint="default" w:ascii="宋体" w:hAnsi="宋体" w:eastAsia="宋体" w:cs="宋体"/>
          <w:szCs w:val="21"/>
          <w:highlight w:val="none"/>
          <w:lang w:val="en-US" w:eastAsia="zh-CN"/>
        </w:rPr>
        <w:t>8</w:t>
      </w:r>
      <w:r>
        <w:rPr>
          <w:rFonts w:hint="eastAsia" w:ascii="宋体" w:hAnsi="宋体" w:eastAsia="宋体" w:cs="宋体"/>
          <w:szCs w:val="21"/>
          <w:highlight w:val="none"/>
          <w:lang w:val="en-US" w:eastAsia="zh-CN"/>
        </w:rPr>
        <w:t>个终端设施</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组</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周（星期）；每个</w:t>
      </w:r>
      <w:r>
        <w:rPr>
          <w:rFonts w:hint="eastAsia" w:ascii="宋体" w:hAnsi="宋体" w:cs="宋体"/>
          <w:szCs w:val="21"/>
          <w:highlight w:val="none"/>
          <w:lang w:val="en-US" w:eastAsia="zh-CN"/>
        </w:rPr>
        <w:t>养护</w:t>
      </w:r>
      <w:r>
        <w:rPr>
          <w:rFonts w:hint="eastAsia" w:ascii="宋体" w:hAnsi="宋体" w:eastAsia="宋体" w:cs="宋体"/>
          <w:szCs w:val="21"/>
          <w:highlight w:val="none"/>
          <w:lang w:val="en-US" w:eastAsia="zh-CN"/>
        </w:rPr>
        <w:t>小组负责工作范围不得多于</w:t>
      </w:r>
      <w:r>
        <w:rPr>
          <w:rFonts w:hint="default" w:ascii="宋体" w:hAnsi="宋体" w:eastAsia="宋体" w:cs="宋体"/>
          <w:szCs w:val="21"/>
          <w:highlight w:val="none"/>
          <w:lang w:val="en-US" w:eastAsia="zh-CN"/>
        </w:rPr>
        <w:t>25</w:t>
      </w:r>
      <w:r>
        <w:rPr>
          <w:rFonts w:hint="eastAsia" w:ascii="宋体" w:hAnsi="宋体" w:eastAsia="宋体" w:cs="宋体"/>
          <w:szCs w:val="21"/>
          <w:highlight w:val="none"/>
          <w:lang w:val="en-US" w:eastAsia="zh-CN"/>
        </w:rPr>
        <w:t>公里管网设施</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组</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周（星期）。</w:t>
      </w:r>
      <w:r>
        <w:rPr>
          <w:rFonts w:hint="eastAsia" w:ascii="宋体" w:hAnsi="宋体" w:cs="宋体"/>
          <w:szCs w:val="21"/>
          <w:highlight w:val="none"/>
          <w:lang w:val="en-US" w:eastAsia="zh-CN"/>
        </w:rPr>
        <w:t>养护</w:t>
      </w:r>
      <w:r>
        <w:rPr>
          <w:rFonts w:hint="eastAsia" w:ascii="宋体" w:hAnsi="宋体" w:eastAsia="宋体" w:cs="宋体"/>
          <w:szCs w:val="21"/>
          <w:highlight w:val="none"/>
          <w:lang w:val="en-US" w:eastAsia="zh-CN"/>
        </w:rPr>
        <w:t>小组人员须经过专业技术培训，每组</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名养护人员及以上，共</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组及以上。要求运维单位人员统一着装</w:t>
      </w:r>
      <w:r>
        <w:rPr>
          <w:rFonts w:hint="eastAsia" w:ascii="宋体" w:hAnsi="宋体" w:cs="宋体"/>
          <w:szCs w:val="21"/>
          <w:highlight w:val="none"/>
          <w:lang w:val="en-US" w:eastAsia="zh-CN"/>
        </w:rPr>
        <w:t>。</w:t>
      </w:r>
    </w:p>
    <w:p w14:paraId="03DFCF1D">
      <w:pPr>
        <w:snapToGrid w:val="0"/>
        <w:spacing w:line="360" w:lineRule="auto"/>
        <w:ind w:firstLine="411" w:firstLineChars="196"/>
        <w:rPr>
          <w:rFonts w:hint="eastAsia" w:ascii="宋体" w:hAnsi="宋体" w:cs="宋体"/>
          <w:szCs w:val="21"/>
          <w:highlight w:val="none"/>
          <w:lang w:val="en-US" w:eastAsia="zh-CN"/>
        </w:rPr>
      </w:pP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.为运维管理单位提供相关现场资料和数据，保证平台上报及时和准确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运维单位</w:t>
      </w:r>
      <w:r>
        <w:rPr>
          <w:rFonts w:hint="eastAsia" w:ascii="宋体" w:hAnsi="宋体" w:cs="宋体"/>
          <w:szCs w:val="21"/>
          <w:highlight w:val="none"/>
          <w:lang w:val="en-US" w:eastAsia="zh-CN"/>
        </w:rPr>
        <w:t>需</w:t>
      </w:r>
      <w:r>
        <w:rPr>
          <w:rFonts w:hint="eastAsia" w:ascii="宋体" w:hAnsi="宋体" w:eastAsia="宋体" w:cs="宋体"/>
          <w:szCs w:val="21"/>
          <w:highlight w:val="none"/>
          <w:lang w:val="en-US" w:eastAsia="zh-CN"/>
        </w:rPr>
        <w:t>在项目所在区域设置运维服务站</w:t>
      </w:r>
      <w:r>
        <w:rPr>
          <w:rFonts w:hint="eastAsia" w:ascii="宋体" w:hAnsi="宋体" w:cs="宋体"/>
          <w:szCs w:val="21"/>
          <w:highlight w:val="none"/>
          <w:lang w:val="en-US" w:eastAsia="zh-CN"/>
        </w:rPr>
        <w:t>，用来存放机械设备、车辆停放及设备、材料的场所，服务站设置专门负责人负责维护管理。</w:t>
      </w:r>
    </w:p>
    <w:p w14:paraId="2616EB72">
      <w:pPr>
        <w:snapToGrid w:val="0"/>
        <w:spacing w:line="360" w:lineRule="auto"/>
        <w:ind w:firstLine="413" w:firstLineChars="196"/>
        <w:rPr>
          <w:rFonts w:hint="eastAsia" w:ascii="宋体" w:hAnsi="宋体" w:cs="宋体"/>
          <w:szCs w:val="21"/>
          <w:highlight w:val="none"/>
          <w:lang w:val="en-US" w:eastAsia="zh-CN"/>
        </w:rPr>
      </w:pPr>
      <w:r>
        <w:rPr>
          <w:rFonts w:hint="eastAsia" w:ascii="宋体" w:hAnsi="宋体" w:eastAsia="宋体" w:cs="宋体"/>
          <w:b/>
          <w:bCs/>
          <w:szCs w:val="21"/>
          <w:highlight w:val="none"/>
          <w:lang w:val="en-US" w:eastAsia="zh-CN"/>
        </w:rPr>
        <w:t>运维单位</w:t>
      </w:r>
      <w:r>
        <w:rPr>
          <w:rFonts w:hint="eastAsia" w:ascii="宋体" w:hAnsi="宋体" w:cs="宋体"/>
          <w:b/>
          <w:bCs/>
          <w:szCs w:val="21"/>
          <w:highlight w:val="none"/>
          <w:lang w:val="en-US" w:eastAsia="zh-CN"/>
        </w:rPr>
        <w:t>须提供相关证明或承诺：1）运维单位在梅山街道区域内有运维服务站的需提供租赁合同或自有房产证等证明；2）运维单位</w:t>
      </w:r>
      <w:r>
        <w:rPr>
          <w:rFonts w:hint="eastAsia" w:ascii="宋体" w:hAnsi="宋体" w:eastAsia="宋体" w:cs="宋体"/>
          <w:b/>
          <w:bCs/>
          <w:szCs w:val="21"/>
          <w:highlight w:val="none"/>
          <w:lang w:val="en-US" w:eastAsia="zh-CN"/>
        </w:rPr>
        <w:t>在</w:t>
      </w:r>
      <w:r>
        <w:rPr>
          <w:rFonts w:hint="eastAsia" w:ascii="宋体" w:hAnsi="宋体" w:cs="宋体"/>
          <w:b/>
          <w:bCs/>
          <w:szCs w:val="21"/>
          <w:highlight w:val="none"/>
          <w:lang w:val="en-US" w:eastAsia="zh-CN"/>
        </w:rPr>
        <w:t>梅</w:t>
      </w:r>
      <w:bookmarkStart w:id="188" w:name="_GoBack"/>
      <w:bookmarkEnd w:id="188"/>
      <w:r>
        <w:rPr>
          <w:rFonts w:hint="eastAsia" w:ascii="宋体" w:hAnsi="宋体" w:cs="宋体"/>
          <w:b/>
          <w:bCs/>
          <w:szCs w:val="21"/>
          <w:highlight w:val="none"/>
          <w:lang w:val="en-US" w:eastAsia="zh-CN"/>
        </w:rPr>
        <w:t>山</w:t>
      </w:r>
      <w:r>
        <w:rPr>
          <w:rFonts w:hint="eastAsia" w:ascii="宋体" w:hAnsi="宋体" w:eastAsia="宋体" w:cs="宋体"/>
          <w:b/>
          <w:bCs/>
          <w:szCs w:val="21"/>
          <w:highlight w:val="none"/>
          <w:lang w:val="en-US" w:eastAsia="zh-CN"/>
        </w:rPr>
        <w:t>街道区域内无运维服务站</w:t>
      </w:r>
      <w:r>
        <w:rPr>
          <w:rFonts w:hint="eastAsia" w:ascii="宋体" w:hAnsi="宋体" w:cs="宋体"/>
          <w:b/>
          <w:bCs/>
          <w:szCs w:val="21"/>
          <w:highlight w:val="none"/>
          <w:lang w:val="en-US" w:eastAsia="zh-CN"/>
        </w:rPr>
        <w:t>的</w:t>
      </w:r>
      <w:r>
        <w:rPr>
          <w:rFonts w:hint="eastAsia" w:ascii="宋体" w:hAnsi="宋体" w:eastAsia="宋体" w:cs="宋体"/>
          <w:b/>
          <w:bCs/>
          <w:szCs w:val="21"/>
          <w:highlight w:val="none"/>
          <w:lang w:val="en-US" w:eastAsia="zh-CN"/>
        </w:rPr>
        <w:t>，</w:t>
      </w:r>
      <w:r>
        <w:rPr>
          <w:rFonts w:hint="eastAsia" w:ascii="宋体" w:hAnsi="宋体" w:cs="宋体"/>
          <w:b/>
          <w:bCs/>
          <w:szCs w:val="21"/>
          <w:highlight w:val="none"/>
          <w:lang w:val="en-US" w:eastAsia="zh-CN"/>
        </w:rPr>
        <w:t>须</w:t>
      </w:r>
      <w:r>
        <w:rPr>
          <w:rFonts w:hint="eastAsia" w:ascii="宋体" w:hAnsi="宋体" w:eastAsia="宋体" w:cs="宋体"/>
          <w:b/>
          <w:bCs/>
          <w:szCs w:val="21"/>
          <w:highlight w:val="none"/>
          <w:lang w:val="en-US" w:eastAsia="zh-CN"/>
        </w:rPr>
        <w:t>承诺中标后</w:t>
      </w:r>
      <w:r>
        <w:rPr>
          <w:rFonts w:hint="eastAsia" w:ascii="宋体" w:hAnsi="宋体" w:cs="宋体"/>
          <w:b/>
          <w:bCs/>
          <w:szCs w:val="21"/>
          <w:highlight w:val="none"/>
          <w:lang w:val="en-US" w:eastAsia="zh-CN"/>
        </w:rPr>
        <w:t>在梅山</w:t>
      </w:r>
      <w:r>
        <w:rPr>
          <w:rFonts w:hint="eastAsia" w:ascii="宋体" w:hAnsi="宋体" w:eastAsia="宋体" w:cs="宋体"/>
          <w:b/>
          <w:bCs/>
          <w:szCs w:val="21"/>
          <w:highlight w:val="none"/>
          <w:lang w:val="en-US" w:eastAsia="zh-CN"/>
        </w:rPr>
        <w:t>街道区域内设置（在</w:t>
      </w:r>
      <w:r>
        <w:rPr>
          <w:rFonts w:hint="eastAsia" w:ascii="宋体" w:hAnsi="宋体" w:cs="宋体"/>
          <w:b/>
          <w:bCs/>
          <w:szCs w:val="21"/>
          <w:highlight w:val="none"/>
          <w:lang w:val="en-US" w:eastAsia="zh-CN"/>
        </w:rPr>
        <w:t>响应</w:t>
      </w:r>
      <w:r>
        <w:rPr>
          <w:rFonts w:hint="eastAsia" w:ascii="宋体" w:hAnsi="宋体" w:eastAsia="宋体" w:cs="宋体"/>
          <w:b/>
          <w:bCs/>
          <w:szCs w:val="21"/>
          <w:highlight w:val="none"/>
          <w:lang w:val="en-US" w:eastAsia="zh-CN"/>
        </w:rPr>
        <w:t>文件中提供承诺书</w:t>
      </w:r>
      <w:r>
        <w:rPr>
          <w:rFonts w:hint="eastAsia" w:ascii="宋体" w:hAnsi="宋体" w:cs="宋体"/>
          <w:b/>
          <w:bCs/>
          <w:szCs w:val="21"/>
          <w:highlight w:val="none"/>
          <w:lang w:val="en-US" w:eastAsia="zh-CN"/>
        </w:rPr>
        <w:t>，格式自拟</w:t>
      </w:r>
      <w:r>
        <w:rPr>
          <w:rFonts w:hint="eastAsia" w:ascii="宋体" w:hAnsi="宋体" w:eastAsia="宋体" w:cs="宋体"/>
          <w:b/>
          <w:bCs/>
          <w:szCs w:val="21"/>
          <w:highlight w:val="none"/>
          <w:lang w:val="en-US" w:eastAsia="zh-CN"/>
        </w:rPr>
        <w:t>）</w:t>
      </w:r>
      <w:r>
        <w:rPr>
          <w:rFonts w:hint="eastAsia" w:ascii="宋体" w:hAnsi="宋体" w:cs="宋体"/>
          <w:b/>
          <w:bCs/>
          <w:szCs w:val="21"/>
          <w:highlight w:val="none"/>
          <w:lang w:val="en-US" w:eastAsia="zh-CN"/>
        </w:rPr>
        <w:t>。</w:t>
      </w:r>
    </w:p>
    <w:p w14:paraId="6101A937">
      <w:pPr>
        <w:snapToGrid w:val="0"/>
        <w:spacing w:line="360" w:lineRule="auto"/>
        <w:ind w:firstLine="413" w:firstLineChars="196"/>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3.运维设备的要求</w:t>
      </w:r>
    </w:p>
    <w:p w14:paraId="541CA319">
      <w:pPr>
        <w:snapToGrid w:val="0"/>
        <w:spacing w:line="360" w:lineRule="auto"/>
        <w:ind w:firstLine="411" w:firstLineChars="196"/>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r>
        <w:rPr>
          <w:rFonts w:hint="eastAsia" w:ascii="宋体" w:hAnsi="宋体" w:eastAsia="宋体" w:cs="宋体"/>
          <w:szCs w:val="21"/>
          <w:highlight w:val="none"/>
          <w:lang w:val="en-US" w:eastAsia="zh-CN"/>
        </w:rPr>
        <w:t>运维车辆和工具满足半小时服务圈要求，满足日常运维和突发事件的应急需要。配备</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辆小型货车，按需配备工具与备件；</w:t>
      </w:r>
    </w:p>
    <w:p w14:paraId="50E456CF">
      <w:pPr>
        <w:snapToGrid w:val="0"/>
        <w:spacing w:line="360" w:lineRule="auto"/>
        <w:ind w:firstLine="411" w:firstLineChars="196"/>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r>
        <w:rPr>
          <w:rFonts w:hint="eastAsia" w:ascii="宋体" w:hAnsi="宋体" w:eastAsia="宋体" w:cs="宋体"/>
          <w:szCs w:val="21"/>
          <w:highlight w:val="none"/>
          <w:lang w:val="en-US" w:eastAsia="zh-CN"/>
        </w:rPr>
        <w:t>配备</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辆吸污车（</w:t>
      </w: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立方及以上），</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辆管道疏通车（</w:t>
      </w:r>
      <w:r>
        <w:rPr>
          <w:rFonts w:hint="default" w:ascii="宋体" w:hAnsi="宋体" w:eastAsia="宋体" w:cs="宋体"/>
          <w:szCs w:val="21"/>
          <w:highlight w:val="none"/>
          <w:lang w:val="en-US" w:eastAsia="zh-CN"/>
        </w:rPr>
        <w:t>6</w:t>
      </w:r>
      <w:r>
        <w:rPr>
          <w:rFonts w:hint="eastAsia" w:ascii="宋体" w:hAnsi="宋体" w:eastAsia="宋体" w:cs="宋体"/>
          <w:szCs w:val="21"/>
          <w:highlight w:val="none"/>
          <w:lang w:val="en-US" w:eastAsia="zh-CN"/>
        </w:rPr>
        <w:t xml:space="preserve">立方及以上）； </w:t>
      </w:r>
    </w:p>
    <w:p w14:paraId="3DF494A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3.3</w:t>
      </w:r>
      <w:r>
        <w:rPr>
          <w:rFonts w:hint="eastAsia" w:ascii="宋体" w:hAnsi="宋体" w:eastAsia="宋体" w:cs="宋体"/>
          <w:szCs w:val="21"/>
          <w:highlight w:val="none"/>
          <w:lang w:val="en-US" w:eastAsia="zh-CN"/>
        </w:rPr>
        <w:t>运维工具：</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w:t>
      </w:r>
      <w:r>
        <w:rPr>
          <w:rFonts w:hint="default" w:ascii="宋体" w:hAnsi="宋体" w:eastAsia="宋体" w:cs="宋体"/>
          <w:szCs w:val="21"/>
          <w:highlight w:val="none"/>
          <w:lang w:val="en-US" w:eastAsia="zh-CN"/>
        </w:rPr>
        <w:t xml:space="preserve">CCTV </w:t>
      </w:r>
      <w:r>
        <w:rPr>
          <w:rFonts w:hint="eastAsia" w:ascii="宋体" w:hAnsi="宋体" w:eastAsia="宋体" w:cs="宋体"/>
          <w:szCs w:val="21"/>
          <w:highlight w:val="none"/>
          <w:lang w:val="en-US" w:eastAsia="zh-CN"/>
        </w:rPr>
        <w:t>管道监测仪，</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辆小型管道疏通车，</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套管道内窥镜，</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套毒气检测仪，</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套移动供电设备（单台功率</w:t>
      </w:r>
      <w:r>
        <w:rPr>
          <w:rFonts w:hint="default" w:ascii="宋体" w:hAnsi="宋体" w:eastAsia="宋体" w:cs="宋体"/>
          <w:szCs w:val="21"/>
          <w:highlight w:val="none"/>
          <w:lang w:val="en-US" w:eastAsia="zh-CN"/>
        </w:rPr>
        <w:t>5kW</w:t>
      </w:r>
      <w:r>
        <w:rPr>
          <w:rFonts w:hint="eastAsia" w:ascii="宋体" w:hAnsi="宋体" w:eastAsia="宋体" w:cs="宋体"/>
          <w:szCs w:val="21"/>
          <w:highlight w:val="none"/>
          <w:lang w:val="en-US" w:eastAsia="zh-CN"/>
        </w:rPr>
        <w:t>及以上），应急排涝车（车</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泵）</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台（排水量≥</w:t>
      </w:r>
      <w:r>
        <w:rPr>
          <w:rFonts w:hint="default" w:ascii="宋体" w:hAnsi="宋体" w:eastAsia="宋体" w:cs="宋体"/>
          <w:szCs w:val="21"/>
          <w:highlight w:val="none"/>
          <w:lang w:val="en-US" w:eastAsia="zh-CN"/>
        </w:rPr>
        <w:t xml:space="preserve">400 </w:t>
      </w:r>
      <w:r>
        <w:rPr>
          <w:rFonts w:hint="eastAsia" w:ascii="宋体" w:hAnsi="宋体" w:eastAsia="宋体" w:cs="宋体"/>
          <w:szCs w:val="21"/>
          <w:highlight w:val="none"/>
          <w:lang w:val="en-US" w:eastAsia="zh-CN"/>
        </w:rPr>
        <w:t>立方米</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小时），气囊1套（D200、D300）。</w:t>
      </w:r>
    </w:p>
    <w:p w14:paraId="7F7EE762">
      <w:pPr>
        <w:snapToGrid w:val="0"/>
        <w:spacing w:line="360" w:lineRule="auto"/>
        <w:ind w:firstLine="413" w:firstLineChars="196"/>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上述（3.1、3.2、3.3）所需车辆或设备为供应商自有的响应文件中须提供购置发票扫描件加盖供应商公章；所需车辆或设备为供应商租赁的响应文件中须提供购置发票扫描件和租赁合同（租赁期若短于服务期限的须提供承诺书，承诺租赁期至合同履约完毕，格式自拟）扫描件加盖供应商公章；供应商中标后配备车辆或设备的，须在响应文件中进行承诺（响应文件中提供承诺书，格式自拟）,并在中标结果公示结束后、签订合同前向采购人提供相应（自有或租赁）的证明材料，如不提供取消其中标资格。</w:t>
      </w:r>
    </w:p>
    <w:p w14:paraId="5B9C92B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运维废弃物处置：供应商须自行妥善处置运维废弃物，处置方式和地点须符合相关法律法规相关要求，浙江省、宁波市及北仑区相关部门另有规定的，以其中最严格要求执行。运维废弃物处置等相关费用均包含于本项目费用中。</w:t>
      </w:r>
    </w:p>
    <w:p w14:paraId="2716F0CC">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val="en-US" w:eastAsia="zh-CN"/>
        </w:rPr>
        <w:t>.运维人员的要求</w:t>
      </w:r>
    </w:p>
    <w:p w14:paraId="6C20525D">
      <w:pPr>
        <w:snapToGrid w:val="0"/>
        <w:spacing w:line="360" w:lineRule="auto"/>
        <w:ind w:firstLine="411" w:firstLineChars="196"/>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项目负责人</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人</w:t>
      </w:r>
      <w:r>
        <w:rPr>
          <w:rFonts w:hint="eastAsia" w:ascii="宋体" w:hAnsi="宋体" w:cs="宋体"/>
          <w:szCs w:val="21"/>
          <w:highlight w:val="none"/>
          <w:lang w:val="en-US" w:eastAsia="zh-CN"/>
        </w:rPr>
        <w:t>：有3年及以上水污染治理从业经验，并具有给排水或环境工程中级及以上职称；</w:t>
      </w:r>
    </w:p>
    <w:p w14:paraId="30AF4073">
      <w:pPr>
        <w:snapToGrid w:val="0"/>
        <w:spacing w:line="360" w:lineRule="auto"/>
        <w:ind w:firstLine="411" w:firstLineChars="196"/>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安全员</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人</w:t>
      </w:r>
      <w:r>
        <w:rPr>
          <w:rFonts w:hint="eastAsia" w:ascii="宋体" w:hAnsi="宋体" w:cs="宋体"/>
          <w:szCs w:val="21"/>
          <w:highlight w:val="none"/>
          <w:lang w:val="en-US" w:eastAsia="zh-CN"/>
        </w:rPr>
        <w:t>：须常驻梅山街道，具有安全工程师证书或安全生产管理人员B证或C证；</w:t>
      </w:r>
    </w:p>
    <w:p w14:paraId="769EE9DF">
      <w:pPr>
        <w:snapToGrid w:val="0"/>
        <w:spacing w:line="360" w:lineRule="auto"/>
        <w:ind w:firstLine="411" w:firstLineChars="196"/>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养护人员</w:t>
      </w: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人</w:t>
      </w:r>
      <w:r>
        <w:rPr>
          <w:rFonts w:hint="eastAsia" w:ascii="宋体" w:hAnsi="宋体" w:cs="宋体"/>
          <w:szCs w:val="21"/>
          <w:highlight w:val="none"/>
          <w:lang w:val="en-US" w:eastAsia="zh-CN"/>
        </w:rPr>
        <w:t>：至少2人具有下水道养护工作业证或有限空间操作职业资格证书；</w:t>
      </w:r>
    </w:p>
    <w:p w14:paraId="6F8C7E0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智慧平台案件处置员</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人；内勤资料档案员</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人</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电工</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人</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具有特种作业操作证。</w:t>
      </w:r>
    </w:p>
    <w:p w14:paraId="1278A749">
      <w:pPr>
        <w:snapToGrid w:val="0"/>
        <w:spacing w:line="360" w:lineRule="auto"/>
        <w:ind w:firstLine="413" w:firstLineChars="196"/>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针对本项目配备至少6名运维人员，要求年龄60周岁以下，身体健康。智慧平台案件处置员</w:t>
      </w:r>
      <w:r>
        <w:rPr>
          <w:rFonts w:hint="eastAsia" w:ascii="宋体" w:hAnsi="宋体" w:cs="宋体"/>
          <w:b/>
          <w:bCs/>
          <w:szCs w:val="21"/>
          <w:highlight w:val="none"/>
          <w:lang w:val="en-US" w:eastAsia="zh-CN"/>
        </w:rPr>
        <w:t>、</w:t>
      </w:r>
      <w:r>
        <w:rPr>
          <w:rFonts w:hint="eastAsia" w:ascii="宋体" w:hAnsi="宋体" w:eastAsia="宋体" w:cs="宋体"/>
          <w:b/>
          <w:bCs/>
          <w:szCs w:val="21"/>
          <w:highlight w:val="none"/>
          <w:lang w:val="en-US" w:eastAsia="zh-CN"/>
        </w:rPr>
        <w:t>内勤资料档案员</w:t>
      </w:r>
      <w:r>
        <w:rPr>
          <w:rFonts w:hint="eastAsia" w:ascii="宋体" w:hAnsi="宋体" w:cs="宋体"/>
          <w:b/>
          <w:bCs/>
          <w:szCs w:val="21"/>
          <w:highlight w:val="none"/>
          <w:lang w:val="en-US" w:eastAsia="zh-CN"/>
        </w:rPr>
        <w:t>、</w:t>
      </w:r>
      <w:r>
        <w:rPr>
          <w:rFonts w:hint="eastAsia" w:ascii="宋体" w:hAnsi="宋体" w:eastAsia="宋体" w:cs="宋体"/>
          <w:b/>
          <w:bCs/>
          <w:szCs w:val="21"/>
          <w:highlight w:val="none"/>
          <w:lang w:val="en-US" w:eastAsia="zh-CN"/>
        </w:rPr>
        <w:t>电工可为兼职或兼任人员，项目负责人及安全员不得由养护人员兼任。</w:t>
      </w:r>
    </w:p>
    <w:p w14:paraId="54ACE6AF">
      <w:pPr>
        <w:numPr>
          <w:ilvl w:val="0"/>
          <w:numId w:val="6"/>
        </w:numPr>
        <w:tabs>
          <w:tab w:val="left" w:pos="0"/>
        </w:tabs>
        <w:spacing w:line="360" w:lineRule="auto"/>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 xml:space="preserve">安全管理要求 </w:t>
      </w:r>
    </w:p>
    <w:p w14:paraId="7E012061">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 xml:space="preserve">.建立安全管理制度； </w:t>
      </w:r>
    </w:p>
    <w:p w14:paraId="2EBFCDAF">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 xml:space="preserve">.制定安全应急预案，一年至少开展一次安全预演并记录； </w:t>
      </w:r>
    </w:p>
    <w:p w14:paraId="7C78B5CD">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3</w:t>
      </w:r>
      <w:r>
        <w:rPr>
          <w:rFonts w:hint="eastAsia" w:ascii="宋体" w:hAnsi="宋体" w:eastAsia="宋体" w:cs="宋体"/>
          <w:szCs w:val="21"/>
          <w:highlight w:val="none"/>
          <w:lang w:val="en-US" w:eastAsia="zh-CN"/>
        </w:rPr>
        <w:t xml:space="preserve">.运维作业范围区设置安全警示标识，运维现场严禁吸烟、严禁随意动用明火； </w:t>
      </w:r>
    </w:p>
    <w:p w14:paraId="0FB26ECF">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 xml:space="preserve">.受限空间作业严格实行审批制度，至少两人一组，且配备安全、照明及检测工具，落实定岗定人安全监护责任，作业完成后将设施复位。 </w:t>
      </w:r>
    </w:p>
    <w:p w14:paraId="7F14F3A3">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5</w:t>
      </w:r>
      <w:r>
        <w:rPr>
          <w:rFonts w:hint="eastAsia" w:ascii="宋体" w:hAnsi="宋体" w:eastAsia="宋体" w:cs="宋体"/>
          <w:szCs w:val="21"/>
          <w:highlight w:val="none"/>
          <w:lang w:val="en-US" w:eastAsia="zh-CN"/>
        </w:rPr>
        <w:t xml:space="preserve">.所有养护人员进场前须经过入职培训，并提供入职健康体检报告；且至少每年提供一次健康体检报告；如健康状况不良或不符合采购人要求，采购人有权要求调换人员。 </w:t>
      </w:r>
    </w:p>
    <w:p w14:paraId="1908F5DB">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6</w:t>
      </w:r>
      <w:r>
        <w:rPr>
          <w:rFonts w:hint="eastAsia" w:ascii="宋体" w:hAnsi="宋体" w:eastAsia="宋体" w:cs="宋体"/>
          <w:szCs w:val="21"/>
          <w:highlight w:val="none"/>
          <w:lang w:val="en-US" w:eastAsia="zh-CN"/>
        </w:rPr>
        <w:t xml:space="preserve">.供应商须为本项目所有养护人员购买意外险，如发生安全责任事故，由供应商自行承担一切责任及损失，采购人概不负责。 </w:t>
      </w:r>
    </w:p>
    <w:p w14:paraId="2340BDE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供应商须承诺中标后为养护区域内农污设施购买公众责任险。养护区域内农污设施因经营业务发生意外事故，造成第三者人身伤亡或财产损失，应由被保险人承担的经济赔偿责任，保险人累计赔偿额度每年度不低于500万元，每次事故赔偿额</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万元（其中财产损失额度不低于50万元，人身伤亡额度不低于</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万元），每人人身伤亡赔偿额度不低于</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万元。</w:t>
      </w:r>
    </w:p>
    <w:p w14:paraId="30651DB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供应商须为所管辖区域内的所有本项目相关服务内容购买保险，采购人移交给供应商的全部设施设备，因可能发生的包括但不限于以下风险而须索赔的均由供应商负责赔偿且处理相关事宜，相应的风险均由供应商承担：</w:t>
      </w:r>
    </w:p>
    <w:p w14:paraId="335C5D0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1）因井盖、盖板等排水设施损坏、缺失导致的人身、财产损失索赔； </w:t>
      </w:r>
    </w:p>
    <w:p w14:paraId="120F594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2）因供应商对管网的清疏不及时或对污水设施的管理不善导致污水不能及时排除造成的人身、财产损失索赔；</w:t>
      </w:r>
    </w:p>
    <w:p w14:paraId="45164A8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3）因供应商对管网的清疏不及时或对污水设施的管理不善导致污水溢流出排水系统造成的人身、财产损失索赔和环保处罚等；</w:t>
      </w:r>
    </w:p>
    <w:p w14:paraId="1FACD70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4）其他因供应商对管道及其附属构筑物、污水设施的检查与维修工作不及时造成的人身、财产损失索赔；</w:t>
      </w:r>
    </w:p>
    <w:p w14:paraId="55CA3B5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5）供应商员工或者供应商聘请的工作人员在维护作业过程中以及完成本项目约定的其他工作内容时造成的人身、财产损害等保险费用由供应商自行负责；</w:t>
      </w:r>
    </w:p>
    <w:p w14:paraId="3334123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6）在运营期间发生的一切事故、责任全部由供应商负责。如供应商未购买或少购买保险而导致赔偿纠纷的，均由供应商自行负责和处理。</w:t>
      </w:r>
    </w:p>
    <w:p w14:paraId="24BC4C42">
      <w:pPr>
        <w:numPr>
          <w:ilvl w:val="0"/>
          <w:numId w:val="6"/>
        </w:numPr>
        <w:tabs>
          <w:tab w:val="left" w:pos="0"/>
        </w:tabs>
        <w:spacing w:line="360" w:lineRule="auto"/>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 xml:space="preserve">其他要求 </w:t>
      </w:r>
    </w:p>
    <w:p w14:paraId="7A37F4A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1.在服务期限内，供应商应该按照相应技术规范，合理组织，精心养护施工，保质、保量完成管理任务。 </w:t>
      </w:r>
    </w:p>
    <w:p w14:paraId="3CEC60C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2.对养护项目实施养护规程施工管理所需的一切劳动力、材料、设备和服务由供应商自行组织，由此产生的一切费用由供应商承担。</w:t>
      </w:r>
    </w:p>
    <w:p w14:paraId="2C40148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3.对养护运维项目实施养护施工管理所需的养护施工管理房由供应商自行解决。 </w:t>
      </w:r>
    </w:p>
    <w:p w14:paraId="0809110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4.应定期向采购人提供养护运维施工管理计划（月度、年度）及有关措施，以便采购人进行监督考核。 </w:t>
      </w:r>
    </w:p>
    <w:p w14:paraId="48472E0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5.必须重视安全工作，确保全年不出安全责任事故。如发生安全责任事故，由供应商承担一切责任及损失。 </w:t>
      </w:r>
    </w:p>
    <w:p w14:paraId="7B4AE30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6.如遇台风、暴雨等特殊天气，供应商必须24小时值班巡逻，每组巡逻人员不少于2人，发现积水严重部位及时清理、疏通，并做好闸阀的启闭工作。 </w:t>
      </w:r>
    </w:p>
    <w:p w14:paraId="00E1F0E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7.加强对事故风险影响（包括进出水水质、水量出现异常，因故障、维护或其他自然、人为因素确实需临时停运的，终端防涝措施等）的预防对策和管理措施，并建立相应的应急预 案制度。如遇台风、暴雪等自然性突发灾害，应提前做好预处理措施，事后及时巡视和维护；</w:t>
      </w:r>
    </w:p>
    <w:p w14:paraId="5FC5C04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①每月10日前向采购人和运行维护主管部门报告上月的污水治理量、耗电量、巡查记录、设备完好率、设备操作维护记录等运行维护报表； </w:t>
      </w:r>
    </w:p>
    <w:p w14:paraId="516E9BF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② 每季度第1个月10日前，报告上季度进、出水水质，水量以及治理达标率等指标； </w:t>
      </w:r>
    </w:p>
    <w:p w14:paraId="01F48A6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 每年1月上旬，报告上年度污水治理设施运行维护管理情况（包括运营维护成本，包括能耗、设备材料费用、人工等、零小修工程量、巡查记录、投诉治理情况等数据）。</w:t>
      </w:r>
    </w:p>
    <w:p w14:paraId="79E60C87">
      <w:pPr>
        <w:numPr>
          <w:ilvl w:val="0"/>
          <w:numId w:val="6"/>
        </w:numPr>
        <w:tabs>
          <w:tab w:val="left" w:pos="0"/>
        </w:tabs>
        <w:spacing w:line="360" w:lineRule="auto"/>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更换、维修费用</w:t>
      </w:r>
    </w:p>
    <w:p w14:paraId="5285A16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污水检查井井盖（井座）更换、维修，按采购人要求施工，按《浙江省市政设施养护维修预算定额》（2018版）及现行的浙江省、宁波市有关费用调整规定计算；如不涉及到井座更换只更换井盖的，维修费用由供应商负责；非养护责任引起的终端、提升井及管道维修、</w:t>
      </w:r>
      <w:r>
        <w:rPr>
          <w:rFonts w:hint="eastAsia" w:ascii="宋体" w:hAnsi="宋体" w:cs="宋体"/>
          <w:szCs w:val="21"/>
          <w:highlight w:val="none"/>
          <w:lang w:val="en-US" w:eastAsia="zh-CN"/>
        </w:rPr>
        <w:t>大修、</w:t>
      </w:r>
      <w:r>
        <w:rPr>
          <w:rFonts w:hint="eastAsia" w:ascii="宋体" w:hAnsi="宋体" w:eastAsia="宋体" w:cs="宋体"/>
          <w:szCs w:val="21"/>
          <w:highlight w:val="none"/>
          <w:lang w:val="en-US" w:eastAsia="zh-CN"/>
        </w:rPr>
        <w:t>抢修等完善性改造，依据采购人的任务书（委托书）及采购人认可的实施方案、竣工图、签证单、预算、实际工作量等编制结算书（竣工验收资料齐全），工程款以采购人造价人员或采购人委托的造价咨询机构的审核结果为准。为便于排查管网原因，采购人可要求供应商对管网进行疏通检测，相关费用由供应商承担（相关设备、人员均由供应商负责落实）检测成果属采购人所有。</w:t>
      </w:r>
    </w:p>
    <w:p w14:paraId="494BBABD">
      <w:pPr>
        <w:numPr>
          <w:ilvl w:val="0"/>
          <w:numId w:val="6"/>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主要设施设备清单</w:t>
      </w:r>
    </w:p>
    <w:tbl>
      <w:tblPr>
        <w:tblStyle w:val="2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366"/>
        <w:gridCol w:w="1874"/>
        <w:gridCol w:w="2010"/>
        <w:gridCol w:w="2354"/>
        <w:gridCol w:w="1295"/>
      </w:tblGrid>
      <w:tr w14:paraId="2B27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2" w:type="pct"/>
            <w:noWrap w:val="0"/>
            <w:vAlign w:val="center"/>
          </w:tcPr>
          <w:p w14:paraId="292EE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98" w:type="pct"/>
            <w:noWrap w:val="0"/>
            <w:vAlign w:val="center"/>
          </w:tcPr>
          <w:p w14:paraId="3111F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行政村</w:t>
            </w:r>
          </w:p>
        </w:tc>
        <w:tc>
          <w:tcPr>
            <w:tcW w:w="959" w:type="pct"/>
            <w:noWrap w:val="0"/>
            <w:vAlign w:val="center"/>
          </w:tcPr>
          <w:p w14:paraId="4DE28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管线长度（m）</w:t>
            </w:r>
          </w:p>
        </w:tc>
        <w:tc>
          <w:tcPr>
            <w:tcW w:w="1029" w:type="pct"/>
            <w:noWrap w:val="0"/>
            <w:vAlign w:val="center"/>
          </w:tcPr>
          <w:p w14:paraId="48AE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终端养护（个）</w:t>
            </w:r>
          </w:p>
        </w:tc>
        <w:tc>
          <w:tcPr>
            <w:tcW w:w="1205" w:type="pct"/>
            <w:noWrap w:val="0"/>
            <w:vAlign w:val="center"/>
          </w:tcPr>
          <w:p w14:paraId="1DB5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提升井养护（个）</w:t>
            </w:r>
          </w:p>
        </w:tc>
        <w:tc>
          <w:tcPr>
            <w:tcW w:w="663" w:type="pct"/>
            <w:noWrap w:val="0"/>
            <w:vAlign w:val="center"/>
          </w:tcPr>
          <w:p w14:paraId="6DA01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250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4AC4C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8" w:type="pct"/>
            <w:noWrap w:val="0"/>
            <w:vAlign w:val="center"/>
          </w:tcPr>
          <w:p w14:paraId="0922B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梅山社</w:t>
            </w:r>
          </w:p>
        </w:tc>
        <w:tc>
          <w:tcPr>
            <w:tcW w:w="959" w:type="pct"/>
            <w:noWrap w:val="0"/>
            <w:vAlign w:val="center"/>
          </w:tcPr>
          <w:p w14:paraId="7AF19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29" w:type="pct"/>
            <w:noWrap w:val="0"/>
            <w:vAlign w:val="center"/>
          </w:tcPr>
          <w:p w14:paraId="3074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5" w:type="pct"/>
            <w:noWrap w:val="0"/>
            <w:vAlign w:val="center"/>
          </w:tcPr>
          <w:p w14:paraId="03FF5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3" w:type="pct"/>
            <w:noWrap w:val="0"/>
            <w:vAlign w:val="center"/>
          </w:tcPr>
          <w:p w14:paraId="4AE9CCD9">
            <w:pPr>
              <w:rPr>
                <w:rFonts w:hint="eastAsia" w:ascii="宋体" w:hAnsi="宋体" w:eastAsia="宋体" w:cs="宋体"/>
                <w:i w:val="0"/>
                <w:iCs w:val="0"/>
                <w:color w:val="000000"/>
                <w:sz w:val="20"/>
                <w:szCs w:val="20"/>
                <w:u w:val="none"/>
              </w:rPr>
            </w:pPr>
          </w:p>
        </w:tc>
      </w:tr>
      <w:tr w14:paraId="59E1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2E36F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8" w:type="pct"/>
            <w:noWrap w:val="0"/>
            <w:vAlign w:val="center"/>
          </w:tcPr>
          <w:p w14:paraId="164D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盘峙社</w:t>
            </w:r>
          </w:p>
        </w:tc>
        <w:tc>
          <w:tcPr>
            <w:tcW w:w="959" w:type="pct"/>
            <w:noWrap w:val="0"/>
            <w:vAlign w:val="center"/>
          </w:tcPr>
          <w:p w14:paraId="75564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4668</w:t>
            </w:r>
          </w:p>
        </w:tc>
        <w:tc>
          <w:tcPr>
            <w:tcW w:w="1029" w:type="pct"/>
            <w:noWrap w:val="0"/>
            <w:vAlign w:val="center"/>
          </w:tcPr>
          <w:p w14:paraId="1DF6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5" w:type="pct"/>
            <w:noWrap w:val="0"/>
            <w:vAlign w:val="center"/>
          </w:tcPr>
          <w:p w14:paraId="5F453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pct"/>
            <w:noWrap w:val="0"/>
            <w:vAlign w:val="center"/>
          </w:tcPr>
          <w:p w14:paraId="17362F60">
            <w:pPr>
              <w:rPr>
                <w:rFonts w:hint="eastAsia" w:ascii="宋体" w:hAnsi="宋体" w:eastAsia="宋体" w:cs="宋体"/>
                <w:i w:val="0"/>
                <w:iCs w:val="0"/>
                <w:color w:val="000000"/>
                <w:sz w:val="22"/>
                <w:szCs w:val="22"/>
                <w:u w:val="none"/>
              </w:rPr>
            </w:pPr>
          </w:p>
        </w:tc>
      </w:tr>
      <w:tr w14:paraId="5AA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04F97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8" w:type="pct"/>
            <w:noWrap w:val="0"/>
            <w:vAlign w:val="center"/>
          </w:tcPr>
          <w:p w14:paraId="4B839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炮台社</w:t>
            </w:r>
          </w:p>
        </w:tc>
        <w:tc>
          <w:tcPr>
            <w:tcW w:w="959" w:type="pct"/>
            <w:noWrap w:val="0"/>
            <w:vAlign w:val="center"/>
          </w:tcPr>
          <w:p w14:paraId="3F48F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7765</w:t>
            </w:r>
          </w:p>
        </w:tc>
        <w:tc>
          <w:tcPr>
            <w:tcW w:w="1029" w:type="pct"/>
            <w:noWrap w:val="0"/>
            <w:vAlign w:val="center"/>
          </w:tcPr>
          <w:p w14:paraId="20DE4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5" w:type="pct"/>
            <w:noWrap w:val="0"/>
            <w:vAlign w:val="center"/>
          </w:tcPr>
          <w:p w14:paraId="76114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noWrap w:val="0"/>
            <w:vAlign w:val="center"/>
          </w:tcPr>
          <w:p w14:paraId="5C0FE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494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4F4A5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8" w:type="pct"/>
            <w:noWrap w:val="0"/>
            <w:vAlign w:val="center"/>
          </w:tcPr>
          <w:p w14:paraId="4CF2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里岙社</w:t>
            </w:r>
          </w:p>
        </w:tc>
        <w:tc>
          <w:tcPr>
            <w:tcW w:w="959" w:type="pct"/>
            <w:noWrap w:val="0"/>
            <w:vAlign w:val="center"/>
          </w:tcPr>
          <w:p w14:paraId="4F6B7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14929</w:t>
            </w:r>
          </w:p>
        </w:tc>
        <w:tc>
          <w:tcPr>
            <w:tcW w:w="1029" w:type="pct"/>
            <w:noWrap w:val="0"/>
            <w:vAlign w:val="center"/>
          </w:tcPr>
          <w:p w14:paraId="05BD0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674C4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3" w:type="pct"/>
            <w:noWrap w:val="0"/>
            <w:vAlign w:val="center"/>
          </w:tcPr>
          <w:p w14:paraId="00400412">
            <w:pPr>
              <w:rPr>
                <w:rFonts w:hint="eastAsia" w:ascii="宋体" w:hAnsi="宋体" w:eastAsia="宋体" w:cs="宋体"/>
                <w:i w:val="0"/>
                <w:iCs w:val="0"/>
                <w:color w:val="000000"/>
                <w:sz w:val="22"/>
                <w:szCs w:val="22"/>
                <w:u w:val="none"/>
              </w:rPr>
            </w:pPr>
          </w:p>
        </w:tc>
      </w:tr>
      <w:tr w14:paraId="069F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4ABA2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8" w:type="pct"/>
            <w:noWrap w:val="0"/>
            <w:vAlign w:val="center"/>
          </w:tcPr>
          <w:p w14:paraId="1AC6F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担峙社</w:t>
            </w:r>
          </w:p>
        </w:tc>
        <w:tc>
          <w:tcPr>
            <w:tcW w:w="959" w:type="pct"/>
            <w:noWrap w:val="0"/>
            <w:vAlign w:val="center"/>
          </w:tcPr>
          <w:p w14:paraId="11384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7013</w:t>
            </w:r>
          </w:p>
        </w:tc>
        <w:tc>
          <w:tcPr>
            <w:tcW w:w="1029" w:type="pct"/>
            <w:noWrap w:val="0"/>
            <w:vAlign w:val="center"/>
          </w:tcPr>
          <w:p w14:paraId="2052B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5" w:type="pct"/>
            <w:noWrap w:val="0"/>
            <w:vAlign w:val="center"/>
          </w:tcPr>
          <w:p w14:paraId="5BA59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3" w:type="pct"/>
            <w:noWrap w:val="0"/>
            <w:vAlign w:val="center"/>
          </w:tcPr>
          <w:p w14:paraId="36BBF4A8">
            <w:pPr>
              <w:rPr>
                <w:rFonts w:hint="eastAsia" w:ascii="宋体" w:hAnsi="宋体" w:eastAsia="宋体" w:cs="宋体"/>
                <w:i w:val="0"/>
                <w:iCs w:val="0"/>
                <w:color w:val="000000"/>
                <w:sz w:val="22"/>
                <w:szCs w:val="22"/>
                <w:u w:val="none"/>
              </w:rPr>
            </w:pPr>
          </w:p>
        </w:tc>
      </w:tr>
      <w:tr w14:paraId="24C4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2333B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8" w:type="pct"/>
            <w:noWrap w:val="0"/>
            <w:vAlign w:val="center"/>
          </w:tcPr>
          <w:p w14:paraId="5417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外岙社</w:t>
            </w:r>
          </w:p>
        </w:tc>
        <w:tc>
          <w:tcPr>
            <w:tcW w:w="959" w:type="pct"/>
            <w:noWrap w:val="0"/>
            <w:vAlign w:val="center"/>
          </w:tcPr>
          <w:p w14:paraId="13D78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9" w:type="pct"/>
            <w:noWrap w:val="0"/>
            <w:vAlign w:val="center"/>
          </w:tcPr>
          <w:p w14:paraId="5EC4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6BF9B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noWrap w:val="0"/>
            <w:vAlign w:val="center"/>
          </w:tcPr>
          <w:p w14:paraId="13411F88">
            <w:pPr>
              <w:rPr>
                <w:rFonts w:hint="eastAsia" w:ascii="宋体" w:hAnsi="宋体" w:eastAsia="宋体" w:cs="宋体"/>
                <w:i w:val="0"/>
                <w:iCs w:val="0"/>
                <w:color w:val="000000"/>
                <w:sz w:val="20"/>
                <w:szCs w:val="20"/>
                <w:u w:val="none"/>
              </w:rPr>
            </w:pPr>
          </w:p>
        </w:tc>
      </w:tr>
      <w:tr w14:paraId="48D0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53B63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8" w:type="pct"/>
            <w:noWrap w:val="0"/>
            <w:vAlign w:val="center"/>
          </w:tcPr>
          <w:p w14:paraId="7CD45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南汇社</w:t>
            </w:r>
          </w:p>
        </w:tc>
        <w:tc>
          <w:tcPr>
            <w:tcW w:w="959" w:type="pct"/>
            <w:noWrap w:val="0"/>
            <w:vAlign w:val="center"/>
          </w:tcPr>
          <w:p w14:paraId="5CD20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4262</w:t>
            </w:r>
          </w:p>
        </w:tc>
        <w:tc>
          <w:tcPr>
            <w:tcW w:w="1029" w:type="pct"/>
            <w:noWrap w:val="0"/>
            <w:vAlign w:val="center"/>
          </w:tcPr>
          <w:p w14:paraId="059E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5" w:type="pct"/>
            <w:noWrap w:val="0"/>
            <w:vAlign w:val="center"/>
          </w:tcPr>
          <w:p w14:paraId="6C70C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noWrap w:val="0"/>
            <w:vAlign w:val="center"/>
          </w:tcPr>
          <w:p w14:paraId="56FCF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FCC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702B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8" w:type="pct"/>
            <w:noWrap w:val="0"/>
            <w:vAlign w:val="center"/>
          </w:tcPr>
          <w:p w14:paraId="5109C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霞岸社</w:t>
            </w:r>
          </w:p>
        </w:tc>
        <w:tc>
          <w:tcPr>
            <w:tcW w:w="959" w:type="pct"/>
            <w:noWrap w:val="0"/>
            <w:vAlign w:val="center"/>
          </w:tcPr>
          <w:p w14:paraId="1600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029" w:type="pct"/>
            <w:noWrap w:val="0"/>
            <w:vAlign w:val="center"/>
          </w:tcPr>
          <w:p w14:paraId="1F2F2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73132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noWrap w:val="0"/>
            <w:vAlign w:val="center"/>
          </w:tcPr>
          <w:p w14:paraId="4227B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B6E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5ABD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8" w:type="pct"/>
            <w:noWrap w:val="0"/>
            <w:vAlign w:val="center"/>
          </w:tcPr>
          <w:p w14:paraId="4A348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苔岙社</w:t>
            </w:r>
          </w:p>
        </w:tc>
        <w:tc>
          <w:tcPr>
            <w:tcW w:w="959" w:type="pct"/>
            <w:noWrap w:val="0"/>
            <w:vAlign w:val="center"/>
          </w:tcPr>
          <w:p w14:paraId="35735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4467</w:t>
            </w:r>
          </w:p>
        </w:tc>
        <w:tc>
          <w:tcPr>
            <w:tcW w:w="1029" w:type="pct"/>
            <w:noWrap w:val="0"/>
            <w:vAlign w:val="center"/>
          </w:tcPr>
          <w:p w14:paraId="22FC4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49523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noWrap w:val="0"/>
            <w:vAlign w:val="center"/>
          </w:tcPr>
          <w:p w14:paraId="1B12E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2897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noWrap w:val="0"/>
            <w:vAlign w:val="center"/>
          </w:tcPr>
          <w:p w14:paraId="417C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8" w:type="pct"/>
            <w:noWrap w:val="0"/>
            <w:vAlign w:val="center"/>
          </w:tcPr>
          <w:p w14:paraId="78547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石桥社</w:t>
            </w:r>
          </w:p>
        </w:tc>
        <w:tc>
          <w:tcPr>
            <w:tcW w:w="959" w:type="pct"/>
            <w:noWrap w:val="0"/>
            <w:vAlign w:val="center"/>
          </w:tcPr>
          <w:p w14:paraId="032AC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029" w:type="pct"/>
            <w:noWrap w:val="0"/>
            <w:vAlign w:val="center"/>
          </w:tcPr>
          <w:p w14:paraId="70325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5" w:type="pct"/>
            <w:noWrap w:val="0"/>
            <w:vAlign w:val="center"/>
          </w:tcPr>
          <w:p w14:paraId="6988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noWrap w:val="0"/>
            <w:vAlign w:val="center"/>
          </w:tcPr>
          <w:p w14:paraId="1F16EFCB">
            <w:pPr>
              <w:rPr>
                <w:rFonts w:hint="eastAsia" w:ascii="宋体" w:hAnsi="宋体" w:eastAsia="宋体" w:cs="宋体"/>
                <w:i w:val="0"/>
                <w:iCs w:val="0"/>
                <w:color w:val="000000"/>
                <w:sz w:val="22"/>
                <w:szCs w:val="22"/>
                <w:u w:val="none"/>
              </w:rPr>
            </w:pPr>
          </w:p>
        </w:tc>
      </w:tr>
      <w:tr w14:paraId="22FB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1" w:type="pct"/>
            <w:gridSpan w:val="2"/>
            <w:noWrap w:val="0"/>
            <w:vAlign w:val="center"/>
          </w:tcPr>
          <w:p w14:paraId="77E7D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工程量合计</w:t>
            </w:r>
          </w:p>
        </w:tc>
        <w:tc>
          <w:tcPr>
            <w:tcW w:w="959" w:type="pct"/>
            <w:noWrap w:val="0"/>
            <w:vAlign w:val="center"/>
          </w:tcPr>
          <w:p w14:paraId="20FF9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45166</w:t>
            </w:r>
          </w:p>
        </w:tc>
        <w:tc>
          <w:tcPr>
            <w:tcW w:w="1029" w:type="pct"/>
            <w:noWrap w:val="0"/>
            <w:vAlign w:val="center"/>
          </w:tcPr>
          <w:p w14:paraId="77087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5" w:type="pct"/>
            <w:noWrap w:val="0"/>
            <w:vAlign w:val="center"/>
          </w:tcPr>
          <w:p w14:paraId="65C84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3" w:type="pct"/>
            <w:noWrap w:val="0"/>
            <w:vAlign w:val="center"/>
          </w:tcPr>
          <w:p w14:paraId="7CEB44DF">
            <w:pPr>
              <w:jc w:val="center"/>
              <w:rPr>
                <w:rFonts w:hint="eastAsia" w:ascii="宋体" w:hAnsi="宋体" w:eastAsia="宋体" w:cs="宋体"/>
                <w:i w:val="0"/>
                <w:iCs w:val="0"/>
                <w:color w:val="000000"/>
                <w:sz w:val="22"/>
                <w:szCs w:val="22"/>
                <w:u w:val="none"/>
              </w:rPr>
            </w:pPr>
          </w:p>
        </w:tc>
      </w:tr>
    </w:tbl>
    <w:p w14:paraId="1C609526">
      <w:pPr>
        <w:numPr>
          <w:ilvl w:val="0"/>
          <w:numId w:val="6"/>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 xml:space="preserve">适用于本项目的标准、规范和导则 </w:t>
      </w:r>
    </w:p>
    <w:p w14:paraId="64920E8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）《农村生活污水厌氧处理终端运维导则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w:t>
      </w:r>
    </w:p>
    <w:p w14:paraId="48E814E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 xml:space="preserve">）《农村生活污水治理设施运行维护技术导则》 </w:t>
      </w:r>
    </w:p>
    <w:p w14:paraId="474A593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3</w:t>
      </w:r>
      <w:r>
        <w:rPr>
          <w:rFonts w:hint="eastAsia" w:ascii="宋体" w:hAnsi="宋体" w:eastAsia="宋体" w:cs="宋体"/>
          <w:szCs w:val="21"/>
          <w:highlight w:val="none"/>
          <w:lang w:val="en-US" w:eastAsia="zh-CN"/>
        </w:rPr>
        <w:t>）《农村生活污水治理设施第三方运维管理导则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31D1A76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）《浙江省县</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市、区</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农村生活污水治理设施运行维护管理导则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33FF4A9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5</w:t>
      </w:r>
      <w:r>
        <w:rPr>
          <w:rFonts w:hint="eastAsia" w:ascii="宋体" w:hAnsi="宋体" w:eastAsia="宋体" w:cs="宋体"/>
          <w:szCs w:val="21"/>
          <w:highlight w:val="none"/>
          <w:lang w:val="en-US" w:eastAsia="zh-CN"/>
        </w:rPr>
        <w:t>）《浙江省农村生活污水治理设施出水水质检测与评价导则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4FC54E0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6</w:t>
      </w:r>
      <w:r>
        <w:rPr>
          <w:rFonts w:hint="eastAsia" w:ascii="宋体" w:hAnsi="宋体" w:eastAsia="宋体" w:cs="宋体"/>
          <w:szCs w:val="21"/>
          <w:highlight w:val="none"/>
          <w:lang w:val="en-US" w:eastAsia="zh-CN"/>
        </w:rPr>
        <w:t>）《农村生活污水处理罐运行维护导则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30228D8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7</w:t>
      </w:r>
      <w:r>
        <w:rPr>
          <w:rFonts w:hint="eastAsia" w:ascii="宋体" w:hAnsi="宋体" w:eastAsia="宋体" w:cs="宋体"/>
          <w:szCs w:val="21"/>
          <w:highlight w:val="none"/>
          <w:lang w:val="en-US" w:eastAsia="zh-CN"/>
        </w:rPr>
        <w:t>）《农村生活污水治理设施编码导则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02297D4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8</w:t>
      </w:r>
      <w:r>
        <w:rPr>
          <w:rFonts w:hint="eastAsia" w:ascii="宋体" w:hAnsi="宋体" w:eastAsia="宋体" w:cs="宋体"/>
          <w:szCs w:val="21"/>
          <w:highlight w:val="none"/>
          <w:lang w:val="en-US" w:eastAsia="zh-CN"/>
        </w:rPr>
        <w:t>）《农村生活污水厌氧</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好氧</w:t>
      </w:r>
      <w:r>
        <w:rPr>
          <w:rFonts w:hint="default" w:ascii="宋体" w:hAnsi="宋体" w:eastAsia="宋体" w:cs="宋体"/>
          <w:szCs w:val="21"/>
          <w:highlight w:val="none"/>
          <w:lang w:val="en-US" w:eastAsia="zh-CN"/>
        </w:rPr>
        <w:t>(AO)</w:t>
      </w:r>
      <w:r>
        <w:rPr>
          <w:rFonts w:hint="eastAsia" w:ascii="宋体" w:hAnsi="宋体" w:eastAsia="宋体" w:cs="宋体"/>
          <w:szCs w:val="21"/>
          <w:highlight w:val="none"/>
          <w:lang w:val="en-US" w:eastAsia="zh-CN"/>
        </w:rPr>
        <w:t>处理终端维护导则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5919A0E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9</w:t>
      </w:r>
      <w:r>
        <w:rPr>
          <w:rFonts w:hint="eastAsia" w:ascii="宋体" w:hAnsi="宋体" w:eastAsia="宋体" w:cs="宋体"/>
          <w:szCs w:val="21"/>
          <w:highlight w:val="none"/>
          <w:lang w:val="en-US" w:eastAsia="zh-CN"/>
        </w:rPr>
        <w:t xml:space="preserve">）《浙江省农村生活污水处理设施标准化运维评价导则》 </w:t>
      </w:r>
    </w:p>
    <w:p w14:paraId="0709CC8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10</w:t>
      </w:r>
      <w:r>
        <w:rPr>
          <w:rFonts w:hint="eastAsia" w:ascii="宋体" w:hAnsi="宋体" w:eastAsia="宋体" w:cs="宋体"/>
          <w:szCs w:val="21"/>
          <w:highlight w:val="none"/>
          <w:lang w:val="en-US" w:eastAsia="zh-CN"/>
        </w:rPr>
        <w:t xml:space="preserve">）《农村生活污水 </w:t>
      </w:r>
      <w:r>
        <w:rPr>
          <w:rFonts w:hint="default" w:ascii="宋体" w:hAnsi="宋体" w:eastAsia="宋体" w:cs="宋体"/>
          <w:szCs w:val="21"/>
          <w:highlight w:val="none"/>
          <w:lang w:val="en-US" w:eastAsia="zh-CN"/>
        </w:rPr>
        <w:t xml:space="preserve">A2O </w:t>
      </w:r>
      <w:r>
        <w:rPr>
          <w:rFonts w:hint="eastAsia" w:ascii="宋体" w:hAnsi="宋体" w:eastAsia="宋体" w:cs="宋体"/>
          <w:szCs w:val="21"/>
          <w:highlight w:val="none"/>
          <w:lang w:val="en-US" w:eastAsia="zh-CN"/>
        </w:rPr>
        <w:t>处理终端维护导则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1D9DB69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11</w:t>
      </w:r>
      <w:r>
        <w:rPr>
          <w:rFonts w:hint="eastAsia" w:ascii="宋体" w:hAnsi="宋体" w:eastAsia="宋体" w:cs="宋体"/>
          <w:szCs w:val="21"/>
          <w:highlight w:val="none"/>
          <w:lang w:val="en-US" w:eastAsia="zh-CN"/>
        </w:rPr>
        <w:t>）《浙江省县域农村生活污水治理专项规划编制导则》</w:t>
      </w:r>
    </w:p>
    <w:p w14:paraId="0016E261">
      <w:pPr>
        <w:numPr>
          <w:ilvl w:val="0"/>
          <w:numId w:val="6"/>
        </w:numPr>
        <w:tabs>
          <w:tab w:val="left" w:pos="0"/>
        </w:tabs>
        <w:spacing w:line="360" w:lineRule="auto"/>
        <w:rPr>
          <w:rFonts w:hint="eastAsia" w:ascii="宋体" w:hAnsi="宋体" w:eastAsia="宋体" w:cs="宋体"/>
          <w:b/>
          <w:bCs/>
          <w:color w:val="auto"/>
          <w:highlight w:val="none"/>
          <w:lang w:val="en-US" w:eastAsia="zh-CN"/>
        </w:rPr>
      </w:pPr>
      <w:bookmarkStart w:id="12" w:name="_Toc50046895"/>
      <w:bookmarkStart w:id="13" w:name="_Toc430696979"/>
      <w:r>
        <w:rPr>
          <w:rFonts w:hint="eastAsia" w:ascii="宋体" w:hAnsi="宋体" w:eastAsia="宋体" w:cs="宋体"/>
          <w:b/>
          <w:bCs/>
          <w:color w:val="auto"/>
          <w:highlight w:val="none"/>
          <w:lang w:val="en-US" w:eastAsia="zh-CN"/>
        </w:rPr>
        <w:t>审（考）核</w:t>
      </w:r>
    </w:p>
    <w:p w14:paraId="0570E1E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关于本项目对中标人运行维护服务审（考）核的约定：</w:t>
      </w:r>
    </w:p>
    <w:p w14:paraId="28F1593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考核内容和细则参照浙江省《农村生活污水处理设施标准化运维标准》关于农村生活污水处理设施标准化运维评分表和浙江省相关法律、条例要求。若省标准在本合同期内有更改，以最新版为考核标准</w:t>
      </w:r>
      <w:r>
        <w:rPr>
          <w:rFonts w:hint="eastAsia" w:ascii="宋体" w:hAnsi="宋体" w:eastAsia="宋体" w:cs="宋体"/>
          <w:b/>
          <w:bCs/>
          <w:szCs w:val="21"/>
          <w:highlight w:val="none"/>
          <w:lang w:val="en-US" w:eastAsia="zh-CN"/>
        </w:rPr>
        <w:t>（农村生活污水处理设施标准化运维评分表详见附表</w:t>
      </w:r>
      <w:r>
        <w:rPr>
          <w:rFonts w:hint="eastAsia" w:ascii="宋体" w:hAnsi="宋体" w:cs="宋体"/>
          <w:b/>
          <w:bCs/>
          <w:szCs w:val="21"/>
          <w:highlight w:val="none"/>
          <w:lang w:val="en-US" w:eastAsia="zh-CN"/>
        </w:rPr>
        <w:t>1</w:t>
      </w:r>
      <w:r>
        <w:rPr>
          <w:rFonts w:hint="eastAsia" w:ascii="宋体" w:hAnsi="宋体" w:eastAsia="宋体" w:cs="宋体"/>
          <w:b/>
          <w:bCs/>
          <w:szCs w:val="21"/>
          <w:highlight w:val="none"/>
          <w:lang w:val="en-US" w:eastAsia="zh-CN"/>
        </w:rPr>
        <w:t>）</w:t>
      </w:r>
    </w:p>
    <w:p w14:paraId="5E0C6E2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人每月对中标人进行考核，其中①考核分数在90分及以上的付当月全款，②考核分数在90（不含）-85分（含）的，与90分比较每低一分扣1000元/分；③考核分数在85（不含）-80分（含）的，与85分比较每低一分扣2000元/分（②③分段累计扣费）；④考核分数在80（不含）-75分（含）的扣当月全额费用的50%。⑤考核分数在75分（不含）以下的不支付当月费用，且后续也不再以其他形式支付。如连续2个月考核分数在75分（不含）以下的或被上级部门多次通报批评的，采购人有权解除合同。</w:t>
      </w:r>
    </w:p>
    <w:p w14:paraId="5DF530E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考核方式有日常监督考核和月度集中考核两种方式，两种方式均有效。</w:t>
      </w:r>
    </w:p>
    <w:p w14:paraId="55301FA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考核采用扣分制，基本分为100分，基本分减去两种考核方式所扣分数之和，即为该月度考核结果。</w:t>
      </w:r>
    </w:p>
    <w:p w14:paraId="255C565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考核内容包括现场养护、维修效果和养护、维修台账资料、安全文明考核及人员设备等内容</w:t>
      </w:r>
      <w:r>
        <w:rPr>
          <w:rFonts w:hint="eastAsia" w:ascii="宋体" w:hAnsi="宋体" w:cs="宋体"/>
          <w:b/>
          <w:bCs/>
          <w:szCs w:val="21"/>
          <w:highlight w:val="none"/>
          <w:lang w:val="en-US" w:eastAsia="zh-CN"/>
        </w:rPr>
        <w:t>（详见附表1农村生活污水处理设施标准化运维考核表、附表2宁波市北仑区人民政府梅山街道办事处农污设施安全文明养护考核细则）</w:t>
      </w:r>
      <w:r>
        <w:rPr>
          <w:rFonts w:hint="eastAsia" w:ascii="宋体" w:hAnsi="宋体" w:eastAsia="宋体" w:cs="宋体"/>
          <w:b/>
          <w:bCs/>
          <w:szCs w:val="21"/>
          <w:highlight w:val="none"/>
          <w:lang w:val="en-US" w:eastAsia="zh-CN"/>
        </w:rPr>
        <w:t>。</w:t>
      </w:r>
    </w:p>
    <w:p w14:paraId="1B67097A">
      <w:pPr>
        <w:adjustRightInd w:val="0"/>
        <w:spacing w:line="360" w:lineRule="auto"/>
        <w:ind w:firstLine="596" w:firstLineChars="198"/>
        <w:jc w:val="center"/>
        <w:rPr>
          <w:rFonts w:hint="eastAsia" w:hAnsi="宋体"/>
          <w:b/>
          <w:bCs/>
          <w:color w:val="000000"/>
          <w:sz w:val="30"/>
          <w:szCs w:val="30"/>
        </w:rPr>
      </w:pPr>
    </w:p>
    <w:p w14:paraId="5626B28D">
      <w:pPr>
        <w:pStyle w:val="30"/>
        <w:rPr>
          <w:rFonts w:hint="eastAsia" w:hAnsi="宋体"/>
          <w:b/>
          <w:bCs/>
          <w:color w:val="000000"/>
          <w:sz w:val="30"/>
          <w:szCs w:val="30"/>
        </w:rPr>
      </w:pPr>
    </w:p>
    <w:p w14:paraId="48F89EA6">
      <w:pPr>
        <w:pStyle w:val="30"/>
        <w:rPr>
          <w:rFonts w:hint="eastAsia" w:hAnsi="宋体"/>
          <w:b/>
          <w:bCs/>
          <w:color w:val="000000"/>
          <w:sz w:val="30"/>
          <w:szCs w:val="30"/>
        </w:rPr>
      </w:pPr>
    </w:p>
    <w:p w14:paraId="3990F9CC">
      <w:pPr>
        <w:pStyle w:val="30"/>
        <w:rPr>
          <w:rFonts w:hint="eastAsia" w:hAnsi="宋体"/>
          <w:b/>
          <w:bCs/>
          <w:color w:val="000000"/>
          <w:sz w:val="30"/>
          <w:szCs w:val="30"/>
        </w:rPr>
      </w:pPr>
    </w:p>
    <w:p w14:paraId="055CA5DE">
      <w:pPr>
        <w:pStyle w:val="30"/>
        <w:rPr>
          <w:rFonts w:hint="eastAsia" w:hAnsi="宋体"/>
          <w:b/>
          <w:bCs/>
          <w:color w:val="000000"/>
          <w:sz w:val="30"/>
          <w:szCs w:val="30"/>
        </w:rPr>
      </w:pPr>
    </w:p>
    <w:p w14:paraId="7CD61D7A">
      <w:pPr>
        <w:pStyle w:val="30"/>
        <w:rPr>
          <w:rFonts w:hint="eastAsia" w:hAnsi="宋体"/>
          <w:b/>
          <w:bCs/>
          <w:color w:val="000000"/>
          <w:sz w:val="30"/>
          <w:szCs w:val="30"/>
        </w:rPr>
      </w:pPr>
    </w:p>
    <w:p w14:paraId="0E23404D">
      <w:pPr>
        <w:pStyle w:val="30"/>
        <w:rPr>
          <w:rFonts w:hint="eastAsia" w:hAnsi="宋体"/>
          <w:b/>
          <w:bCs/>
          <w:color w:val="000000"/>
          <w:sz w:val="30"/>
          <w:szCs w:val="30"/>
        </w:rPr>
      </w:pPr>
    </w:p>
    <w:p w14:paraId="12556079">
      <w:pPr>
        <w:pStyle w:val="30"/>
        <w:rPr>
          <w:rFonts w:hint="eastAsia" w:hAnsi="宋体"/>
          <w:b/>
          <w:bCs/>
          <w:color w:val="000000"/>
          <w:sz w:val="30"/>
          <w:szCs w:val="30"/>
        </w:rPr>
      </w:pPr>
    </w:p>
    <w:p w14:paraId="32630A93">
      <w:pPr>
        <w:pStyle w:val="30"/>
        <w:rPr>
          <w:rFonts w:hint="eastAsia" w:hAnsi="宋体"/>
          <w:b/>
          <w:bCs/>
          <w:color w:val="000000"/>
          <w:sz w:val="30"/>
          <w:szCs w:val="30"/>
        </w:rPr>
      </w:pPr>
    </w:p>
    <w:p w14:paraId="2307D4E8">
      <w:pPr>
        <w:pStyle w:val="30"/>
        <w:rPr>
          <w:rFonts w:hint="eastAsia" w:hAnsi="宋体"/>
          <w:b/>
          <w:bCs/>
          <w:color w:val="000000"/>
          <w:sz w:val="30"/>
          <w:szCs w:val="30"/>
        </w:rPr>
      </w:pPr>
    </w:p>
    <w:p w14:paraId="1A5A6A83">
      <w:pPr>
        <w:pStyle w:val="30"/>
        <w:rPr>
          <w:rFonts w:hint="eastAsia" w:hAnsi="宋体"/>
          <w:b/>
          <w:bCs/>
          <w:color w:val="000000"/>
          <w:sz w:val="30"/>
          <w:szCs w:val="30"/>
        </w:rPr>
      </w:pPr>
    </w:p>
    <w:p w14:paraId="37B8A336">
      <w:pPr>
        <w:pStyle w:val="30"/>
        <w:rPr>
          <w:rFonts w:hint="eastAsia" w:hAnsi="宋体"/>
          <w:b/>
          <w:bCs/>
          <w:color w:val="000000"/>
          <w:sz w:val="30"/>
          <w:szCs w:val="30"/>
        </w:rPr>
      </w:pPr>
    </w:p>
    <w:p w14:paraId="578E2058">
      <w:pPr>
        <w:pStyle w:val="30"/>
        <w:rPr>
          <w:rFonts w:hint="eastAsia" w:hAnsi="宋体"/>
          <w:b/>
          <w:bCs/>
          <w:color w:val="000000"/>
          <w:sz w:val="30"/>
          <w:szCs w:val="30"/>
        </w:rPr>
      </w:pPr>
    </w:p>
    <w:p w14:paraId="4368DD57">
      <w:pPr>
        <w:pStyle w:val="30"/>
        <w:rPr>
          <w:rFonts w:hint="eastAsia" w:hAnsi="宋体"/>
          <w:b/>
          <w:bCs/>
          <w:color w:val="000000"/>
          <w:sz w:val="30"/>
          <w:szCs w:val="30"/>
        </w:rPr>
      </w:pPr>
    </w:p>
    <w:p w14:paraId="76A66601">
      <w:pPr>
        <w:pStyle w:val="30"/>
        <w:rPr>
          <w:rFonts w:hint="eastAsia" w:hAnsi="宋体"/>
          <w:b/>
          <w:bCs/>
          <w:color w:val="000000"/>
          <w:sz w:val="30"/>
          <w:szCs w:val="30"/>
        </w:rPr>
      </w:pPr>
    </w:p>
    <w:p w14:paraId="78F1BA5B">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合同样本</w:t>
      </w:r>
      <w:bookmarkEnd w:id="12"/>
      <w:bookmarkEnd w:id="13"/>
    </w:p>
    <w:p w14:paraId="56E81027">
      <w:pPr>
        <w:pStyle w:val="12"/>
        <w:snapToGrid w:val="0"/>
        <w:spacing w:line="360" w:lineRule="auto"/>
        <w:jc w:val="center"/>
        <w:rPr>
          <w:b/>
          <w:sz w:val="21"/>
          <w:szCs w:val="21"/>
        </w:rPr>
      </w:pPr>
      <w:r>
        <w:rPr>
          <w:rFonts w:hint="eastAsia"/>
          <w:b/>
          <w:sz w:val="21"/>
          <w:szCs w:val="21"/>
        </w:rPr>
        <w:t>（本合同为合同样稿，最终稿由甲乙双方协商后确定）</w:t>
      </w:r>
    </w:p>
    <w:p w14:paraId="7E73155E">
      <w:pPr>
        <w:spacing w:after="105" w:line="360" w:lineRule="auto"/>
        <w:ind w:left="2"/>
        <w:jc w:val="center"/>
        <w:rPr>
          <w:rFonts w:ascii="宋体" w:hAnsi="宋体"/>
          <w:color w:val="000000"/>
        </w:rPr>
      </w:pPr>
      <w:bookmarkStart w:id="14" w:name="_Toc50046896"/>
    </w:p>
    <w:p w14:paraId="2DE9AF5C">
      <w:pPr>
        <w:pStyle w:val="2"/>
        <w:spacing w:line="240" w:lineRule="auto"/>
        <w:jc w:val="center"/>
        <w:rPr>
          <w:rFonts w:hint="eastAsia" w:ascii="仿宋" w:hAnsi="仿宋" w:eastAsia="仿宋" w:cs="仿宋"/>
          <w:sz w:val="22"/>
          <w:szCs w:val="22"/>
          <w:highlight w:val="none"/>
        </w:rPr>
      </w:pPr>
      <w:bookmarkStart w:id="15" w:name="_Toc26090"/>
      <w:r>
        <w:rPr>
          <w:rFonts w:hint="eastAsia" w:ascii="仿宋" w:hAnsi="仿宋" w:eastAsia="仿宋" w:cs="仿宋"/>
          <w:sz w:val="22"/>
          <w:szCs w:val="22"/>
          <w:highlight w:val="none"/>
        </w:rPr>
        <w:t>第一部分 合同协议书</w:t>
      </w:r>
      <w:bookmarkEnd w:id="15"/>
    </w:p>
    <w:p w14:paraId="739CE02A">
      <w:pPr>
        <w:pStyle w:val="3"/>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甲方（全称）：                                       </w:t>
      </w:r>
    </w:p>
    <w:p w14:paraId="36397CFF">
      <w:pPr>
        <w:pStyle w:val="3"/>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乙方（全称）：                                       </w:t>
      </w:r>
    </w:p>
    <w:p w14:paraId="1BDD873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根据《中华人民共和国民法典》《浙江省农村生活污水处理设施管理条例》等有关法律法规规定，遵循平等、自愿、公平和诚实信用的原则，双方就甲方委托乙方提供</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项目运维服务及有关事宜协商一致，共同达成如下协议。</w:t>
      </w:r>
    </w:p>
    <w:p w14:paraId="0E0833EA">
      <w:pPr>
        <w:pStyle w:val="3"/>
        <w:spacing w:line="240" w:lineRule="auto"/>
        <w:rPr>
          <w:rFonts w:hint="eastAsia" w:ascii="宋体" w:hAnsi="宋体" w:eastAsia="宋体" w:cs="宋体"/>
          <w:b/>
          <w:bCs/>
          <w:kern w:val="2"/>
          <w:sz w:val="22"/>
          <w:szCs w:val="22"/>
          <w:highlight w:val="none"/>
          <w:lang w:val="en-US" w:eastAsia="zh-CN" w:bidi="ar-SA"/>
        </w:rPr>
      </w:pPr>
      <w:bookmarkStart w:id="16" w:name="_Toc11096"/>
      <w:r>
        <w:rPr>
          <w:rFonts w:hint="eastAsia" w:ascii="宋体" w:hAnsi="宋体" w:eastAsia="宋体" w:cs="宋体"/>
          <w:b/>
          <w:bCs/>
          <w:kern w:val="2"/>
          <w:sz w:val="22"/>
          <w:szCs w:val="22"/>
          <w:highlight w:val="none"/>
          <w:lang w:val="en-US" w:eastAsia="zh-CN" w:bidi="ar-SA"/>
        </w:rPr>
        <w:t>一、项目概况</w:t>
      </w:r>
      <w:bookmarkEnd w:id="16"/>
    </w:p>
    <w:p w14:paraId="6A65266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项目名称：                         </w:t>
      </w:r>
    </w:p>
    <w:p w14:paraId="15F69CD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项目区域：                         </w:t>
      </w:r>
    </w:p>
    <w:p w14:paraId="2B51B66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项目内容：                         </w:t>
      </w:r>
    </w:p>
    <w:p w14:paraId="2D59CB1F">
      <w:pPr>
        <w:snapToGrid w:val="0"/>
        <w:spacing w:line="360" w:lineRule="auto"/>
        <w:ind w:firstLine="411" w:firstLineChars="196"/>
        <w:rPr>
          <w:rFonts w:hint="eastAsia" w:ascii="仿宋" w:hAnsi="仿宋" w:eastAsia="仿宋" w:cs="仿宋"/>
          <w:sz w:val="22"/>
          <w:szCs w:val="22"/>
          <w:highlight w:val="none"/>
          <w:u w:val="single"/>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项目服务对象：</w:t>
      </w:r>
      <w:r>
        <w:rPr>
          <w:rFonts w:hint="eastAsia" w:ascii="仿宋" w:hAnsi="仿宋" w:eastAsia="仿宋" w:cs="仿宋"/>
          <w:sz w:val="22"/>
          <w:szCs w:val="22"/>
          <w:highlight w:val="none"/>
        </w:rPr>
        <w:t xml:space="preserve">      </w:t>
      </w:r>
    </w:p>
    <w:p w14:paraId="4AD93123">
      <w:pPr>
        <w:pStyle w:val="3"/>
        <w:spacing w:line="240" w:lineRule="auto"/>
        <w:rPr>
          <w:rFonts w:hint="eastAsia" w:ascii="仿宋" w:hAnsi="仿宋" w:eastAsia="仿宋" w:cs="仿宋"/>
          <w:sz w:val="22"/>
          <w:szCs w:val="22"/>
          <w:highlight w:val="none"/>
        </w:rPr>
      </w:pPr>
      <w:bookmarkStart w:id="17" w:name="_Toc9211"/>
      <w:r>
        <w:rPr>
          <w:rFonts w:hint="eastAsia" w:ascii="宋体" w:hAnsi="宋体" w:eastAsia="宋体" w:cs="宋体"/>
          <w:b/>
          <w:bCs/>
          <w:kern w:val="2"/>
          <w:sz w:val="22"/>
          <w:szCs w:val="22"/>
          <w:highlight w:val="none"/>
          <w:lang w:val="en-US" w:eastAsia="zh-CN" w:bidi="ar-SA"/>
        </w:rPr>
        <w:t>二、合同服务期限</w:t>
      </w:r>
      <w:bookmarkEnd w:id="17"/>
      <w:r>
        <w:rPr>
          <w:rFonts w:hint="eastAsia" w:ascii="宋体" w:hAnsi="宋体" w:eastAsia="宋体" w:cs="宋体"/>
          <w:b/>
          <w:bCs/>
          <w:kern w:val="2"/>
          <w:sz w:val="22"/>
          <w:szCs w:val="22"/>
          <w:highlight w:val="none"/>
          <w:lang w:val="en-US" w:eastAsia="zh-CN" w:bidi="ar-SA"/>
        </w:rPr>
        <w:t xml:space="preserve">   </w:t>
      </w:r>
      <w:r>
        <w:rPr>
          <w:rFonts w:hint="eastAsia" w:ascii="宋体" w:hAnsi="宋体" w:eastAsia="宋体" w:cs="宋体"/>
          <w:sz w:val="22"/>
          <w:szCs w:val="22"/>
          <w:highlight w:val="none"/>
        </w:rPr>
        <w:t xml:space="preserve">  </w:t>
      </w:r>
      <w:r>
        <w:rPr>
          <w:rFonts w:hint="eastAsia" w:ascii="仿宋" w:hAnsi="仿宋" w:eastAsia="仿宋" w:cs="仿宋"/>
          <w:sz w:val="22"/>
          <w:szCs w:val="22"/>
          <w:highlight w:val="none"/>
        </w:rPr>
        <w:t xml:space="preserve"> </w:t>
      </w:r>
    </w:p>
    <w:p w14:paraId="0F0029E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服务期限：</w:t>
      </w:r>
    </w:p>
    <w:p w14:paraId="7AAC40F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开始日期：</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月</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日。</w:t>
      </w:r>
    </w:p>
    <w:p w14:paraId="7258848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终止日期：</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月</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日。</w:t>
      </w:r>
    </w:p>
    <w:p w14:paraId="6FE2B2D2">
      <w:pPr>
        <w:pStyle w:val="3"/>
        <w:spacing w:line="240" w:lineRule="auto"/>
        <w:rPr>
          <w:rFonts w:hint="eastAsia" w:ascii="宋体" w:hAnsi="宋体" w:eastAsia="宋体" w:cs="宋体"/>
          <w:b/>
          <w:bCs/>
          <w:kern w:val="2"/>
          <w:sz w:val="22"/>
          <w:szCs w:val="22"/>
          <w:highlight w:val="none"/>
          <w:lang w:val="en-US" w:eastAsia="zh-CN" w:bidi="ar-SA"/>
        </w:rPr>
      </w:pPr>
      <w:bookmarkStart w:id="18" w:name="_Toc20611"/>
      <w:r>
        <w:rPr>
          <w:rFonts w:hint="eastAsia" w:ascii="宋体" w:hAnsi="宋体" w:eastAsia="宋体" w:cs="宋体"/>
          <w:b/>
          <w:bCs/>
          <w:kern w:val="2"/>
          <w:sz w:val="22"/>
          <w:szCs w:val="22"/>
          <w:highlight w:val="none"/>
          <w:lang w:val="en-US" w:eastAsia="zh-CN" w:bidi="ar-SA"/>
        </w:rPr>
        <w:t>三、服务费用</w:t>
      </w:r>
      <w:bookmarkEnd w:id="18"/>
      <w:r>
        <w:rPr>
          <w:rFonts w:hint="eastAsia" w:ascii="宋体" w:hAnsi="宋体" w:eastAsia="宋体" w:cs="宋体"/>
          <w:b/>
          <w:bCs/>
          <w:kern w:val="2"/>
          <w:sz w:val="22"/>
          <w:szCs w:val="22"/>
          <w:highlight w:val="none"/>
          <w:lang w:val="en-US" w:eastAsia="zh-CN" w:bidi="ar-SA"/>
        </w:rPr>
        <w:t xml:space="preserve">    </w:t>
      </w:r>
    </w:p>
    <w:p w14:paraId="7FA3D31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本项目签约合同价为：人民币（大写）</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元（¥：        元）</w:t>
      </w:r>
      <w:r>
        <w:rPr>
          <w:rFonts w:hint="eastAsia" w:ascii="宋体" w:hAnsi="宋体" w:cs="宋体"/>
          <w:szCs w:val="21"/>
          <w:highlight w:val="none"/>
          <w:lang w:val="en-US" w:eastAsia="zh-CN"/>
        </w:rPr>
        <w:t>；其中提升井养护    元/座/年，污水管网养护   元/公里/年，污水处理终端养护    元/座/年。根据每月实际运维设施数量和每月考核结果，按月支付费用。设施量增、减按甲方确认后次月调整，按实结算</w:t>
      </w:r>
      <w:r>
        <w:rPr>
          <w:rFonts w:hint="eastAsia" w:ascii="宋体" w:hAnsi="宋体" w:eastAsia="宋体" w:cs="宋体"/>
          <w:szCs w:val="21"/>
          <w:highlight w:val="none"/>
          <w:lang w:val="en-US" w:eastAsia="zh-CN"/>
        </w:rPr>
        <w:t>。</w:t>
      </w:r>
    </w:p>
    <w:p w14:paraId="4A2E59A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本合同服务区域内新增或缩减的集中处理设施、提升井及农污管道，经甲方确认同意，运维费用按实际次月进行调整；每净增加幅度（以合同金额计）达到10%及以上须相应增加专业操作运维人员1组（2人），以此类推。</w:t>
      </w:r>
    </w:p>
    <w:p w14:paraId="7780DD7F">
      <w:pPr>
        <w:pStyle w:val="3"/>
        <w:spacing w:line="240" w:lineRule="auto"/>
        <w:rPr>
          <w:rFonts w:hint="eastAsia" w:ascii="宋体" w:hAnsi="宋体" w:eastAsia="宋体" w:cs="宋体"/>
          <w:b/>
          <w:bCs/>
          <w:kern w:val="2"/>
          <w:sz w:val="22"/>
          <w:szCs w:val="22"/>
          <w:highlight w:val="none"/>
          <w:lang w:val="en-US" w:eastAsia="zh-CN" w:bidi="ar-SA"/>
        </w:rPr>
      </w:pPr>
      <w:bookmarkStart w:id="19" w:name="_Toc29705"/>
      <w:r>
        <w:rPr>
          <w:rFonts w:hint="eastAsia" w:ascii="宋体" w:hAnsi="宋体" w:eastAsia="宋体" w:cs="宋体"/>
          <w:b/>
          <w:bCs/>
          <w:kern w:val="2"/>
          <w:sz w:val="22"/>
          <w:szCs w:val="22"/>
          <w:highlight w:val="none"/>
          <w:lang w:val="en-US" w:eastAsia="zh-CN" w:bidi="ar-SA"/>
        </w:rPr>
        <w:t>四、承诺</w:t>
      </w:r>
      <w:bookmarkEnd w:id="19"/>
    </w:p>
    <w:p w14:paraId="025F940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1、甲方承诺按照法律规定履行项目移交手续、筹集项目资金并按合同约定的期限和方式支付服务费用。</w:t>
      </w:r>
    </w:p>
    <w:p w14:paraId="4D6DB95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2、乙方承诺按照法律规定及合同约定组织开展运维服务，确保服务质量。</w:t>
      </w:r>
    </w:p>
    <w:p w14:paraId="4FFF5D5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3、甲方和乙方通过招投标形式签订合同的，双方理解并承诺不再就同一项目另行签订与合同实质性内容相背离的合同。</w:t>
      </w:r>
    </w:p>
    <w:p w14:paraId="4AA9B1EA">
      <w:pPr>
        <w:pStyle w:val="3"/>
        <w:spacing w:line="240" w:lineRule="auto"/>
        <w:rPr>
          <w:rFonts w:hint="eastAsia" w:ascii="宋体" w:hAnsi="宋体" w:eastAsia="宋体" w:cs="宋体"/>
          <w:b/>
          <w:bCs/>
          <w:kern w:val="2"/>
          <w:sz w:val="22"/>
          <w:szCs w:val="22"/>
          <w:highlight w:val="none"/>
          <w:lang w:val="en-US" w:eastAsia="zh-CN" w:bidi="ar-SA"/>
        </w:rPr>
      </w:pPr>
      <w:bookmarkStart w:id="20" w:name="_Toc2248"/>
      <w:r>
        <w:rPr>
          <w:rFonts w:hint="eastAsia" w:ascii="宋体" w:hAnsi="宋体" w:eastAsia="宋体" w:cs="宋体"/>
          <w:b/>
          <w:bCs/>
          <w:kern w:val="2"/>
          <w:sz w:val="22"/>
          <w:szCs w:val="22"/>
          <w:highlight w:val="none"/>
          <w:lang w:val="en-US" w:eastAsia="zh-CN" w:bidi="ar-SA"/>
        </w:rPr>
        <w:t>五、词语解释</w:t>
      </w:r>
      <w:bookmarkEnd w:id="20"/>
    </w:p>
    <w:p w14:paraId="10D96DA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本协议书中词语含义与第二部分通用合同条款中赋予的含义相同。</w:t>
      </w:r>
    </w:p>
    <w:p w14:paraId="61C12ACF">
      <w:pPr>
        <w:pStyle w:val="3"/>
        <w:spacing w:line="240" w:lineRule="auto"/>
        <w:rPr>
          <w:rFonts w:hint="eastAsia" w:ascii="宋体" w:hAnsi="宋体" w:eastAsia="宋体" w:cs="宋体"/>
          <w:b/>
          <w:bCs/>
          <w:kern w:val="2"/>
          <w:sz w:val="22"/>
          <w:szCs w:val="22"/>
          <w:highlight w:val="none"/>
          <w:lang w:val="en-US" w:eastAsia="zh-CN" w:bidi="ar-SA"/>
        </w:rPr>
      </w:pPr>
      <w:bookmarkStart w:id="21" w:name="_Toc7299"/>
      <w:r>
        <w:rPr>
          <w:rFonts w:hint="eastAsia" w:ascii="宋体" w:hAnsi="宋体" w:eastAsia="宋体" w:cs="宋体"/>
          <w:b/>
          <w:bCs/>
          <w:kern w:val="2"/>
          <w:sz w:val="22"/>
          <w:szCs w:val="22"/>
          <w:highlight w:val="none"/>
          <w:lang w:val="en-US" w:eastAsia="zh-CN" w:bidi="ar-SA"/>
        </w:rPr>
        <w:t>六、签订时间</w:t>
      </w:r>
      <w:bookmarkEnd w:id="21"/>
    </w:p>
    <w:p w14:paraId="70F635A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本合同于</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月</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日签订。</w:t>
      </w:r>
    </w:p>
    <w:p w14:paraId="38C09160">
      <w:pPr>
        <w:pStyle w:val="3"/>
        <w:spacing w:line="240" w:lineRule="auto"/>
        <w:rPr>
          <w:rFonts w:hint="eastAsia" w:ascii="宋体" w:hAnsi="宋体" w:eastAsia="宋体" w:cs="宋体"/>
          <w:b/>
          <w:bCs/>
          <w:kern w:val="2"/>
          <w:sz w:val="22"/>
          <w:szCs w:val="22"/>
          <w:highlight w:val="none"/>
          <w:lang w:val="en-US" w:eastAsia="zh-CN" w:bidi="ar-SA"/>
        </w:rPr>
      </w:pPr>
      <w:bookmarkStart w:id="22" w:name="_Toc15264"/>
      <w:r>
        <w:rPr>
          <w:rFonts w:hint="eastAsia" w:ascii="宋体" w:hAnsi="宋体" w:eastAsia="宋体" w:cs="宋体"/>
          <w:b/>
          <w:bCs/>
          <w:kern w:val="2"/>
          <w:sz w:val="22"/>
          <w:szCs w:val="22"/>
          <w:highlight w:val="none"/>
          <w:lang w:val="en-US" w:eastAsia="zh-CN" w:bidi="ar-SA"/>
        </w:rPr>
        <w:t>七、签订地点</w:t>
      </w:r>
      <w:bookmarkEnd w:id="22"/>
    </w:p>
    <w:p w14:paraId="590C0A6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本合同在</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签订。</w:t>
      </w:r>
    </w:p>
    <w:p w14:paraId="39C4A777">
      <w:pPr>
        <w:pStyle w:val="3"/>
        <w:spacing w:line="240" w:lineRule="auto"/>
        <w:rPr>
          <w:rFonts w:hint="eastAsia" w:ascii="宋体" w:hAnsi="宋体" w:eastAsia="宋体" w:cs="宋体"/>
          <w:b/>
          <w:bCs/>
          <w:kern w:val="2"/>
          <w:sz w:val="22"/>
          <w:szCs w:val="22"/>
          <w:highlight w:val="none"/>
          <w:lang w:val="en-US" w:eastAsia="zh-CN" w:bidi="ar-SA"/>
        </w:rPr>
      </w:pPr>
      <w:bookmarkStart w:id="23" w:name="_Toc7889"/>
      <w:r>
        <w:rPr>
          <w:rFonts w:hint="eastAsia" w:ascii="宋体" w:hAnsi="宋体" w:eastAsia="宋体" w:cs="宋体"/>
          <w:b/>
          <w:bCs/>
          <w:kern w:val="2"/>
          <w:sz w:val="22"/>
          <w:szCs w:val="22"/>
          <w:highlight w:val="none"/>
          <w:lang w:val="en-US" w:eastAsia="zh-CN" w:bidi="ar-SA"/>
        </w:rPr>
        <w:t>八、补充协议</w:t>
      </w:r>
      <w:bookmarkEnd w:id="23"/>
    </w:p>
    <w:p w14:paraId="106B3F4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合同未尽事宜，合同当事人另行签订补充协议，补充协议是合同的组成部分。</w:t>
      </w:r>
    </w:p>
    <w:p w14:paraId="1A03C13F">
      <w:pPr>
        <w:pStyle w:val="3"/>
        <w:spacing w:line="240" w:lineRule="auto"/>
        <w:rPr>
          <w:rFonts w:hint="eastAsia" w:ascii="宋体" w:hAnsi="宋体" w:eastAsia="宋体" w:cs="宋体"/>
          <w:b/>
          <w:bCs/>
          <w:kern w:val="2"/>
          <w:sz w:val="22"/>
          <w:szCs w:val="22"/>
          <w:highlight w:val="none"/>
          <w:lang w:val="en-US" w:eastAsia="zh-CN" w:bidi="ar-SA"/>
        </w:rPr>
      </w:pPr>
      <w:bookmarkStart w:id="24" w:name="_Toc1364"/>
      <w:r>
        <w:rPr>
          <w:rFonts w:hint="eastAsia" w:ascii="宋体" w:hAnsi="宋体" w:eastAsia="宋体" w:cs="宋体"/>
          <w:b/>
          <w:bCs/>
          <w:kern w:val="2"/>
          <w:sz w:val="22"/>
          <w:szCs w:val="22"/>
          <w:highlight w:val="none"/>
          <w:lang w:val="en-US" w:eastAsia="zh-CN" w:bidi="ar-SA"/>
        </w:rPr>
        <w:t>九、合同生效</w:t>
      </w:r>
      <w:bookmarkEnd w:id="24"/>
    </w:p>
    <w:p w14:paraId="6D4116E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本合同自双方签字并盖章后生效。</w:t>
      </w:r>
    </w:p>
    <w:p w14:paraId="001A7BFF">
      <w:pPr>
        <w:pStyle w:val="3"/>
        <w:spacing w:line="240" w:lineRule="auto"/>
        <w:rPr>
          <w:rFonts w:hint="eastAsia" w:ascii="宋体" w:hAnsi="宋体" w:eastAsia="宋体" w:cs="宋体"/>
          <w:b/>
          <w:bCs/>
          <w:kern w:val="2"/>
          <w:sz w:val="22"/>
          <w:szCs w:val="22"/>
          <w:highlight w:val="none"/>
          <w:lang w:val="en-US" w:eastAsia="zh-CN" w:bidi="ar-SA"/>
        </w:rPr>
      </w:pPr>
      <w:bookmarkStart w:id="25" w:name="_Toc27767"/>
      <w:r>
        <w:rPr>
          <w:rFonts w:hint="eastAsia" w:ascii="宋体" w:hAnsi="宋体" w:eastAsia="宋体" w:cs="宋体"/>
          <w:b/>
          <w:bCs/>
          <w:kern w:val="2"/>
          <w:sz w:val="22"/>
          <w:szCs w:val="22"/>
          <w:highlight w:val="none"/>
          <w:lang w:val="en-US" w:eastAsia="zh-CN" w:bidi="ar-SA"/>
        </w:rPr>
        <w:t>十、合同份数</w:t>
      </w:r>
      <w:bookmarkEnd w:id="25"/>
    </w:p>
    <w:p w14:paraId="755C6CD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本合同一式</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份，均具有同等法律效力，甲方执</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份，乙方执</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份</w:t>
      </w:r>
      <w:r>
        <w:rPr>
          <w:rFonts w:hint="eastAsia" w:ascii="宋体" w:hAnsi="宋体" w:cs="宋体"/>
          <w:szCs w:val="21"/>
          <w:highlight w:val="none"/>
          <w:lang w:val="en-US" w:eastAsia="zh-CN"/>
        </w:rPr>
        <w:t>，交易中心备案</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份。</w:t>
      </w:r>
    </w:p>
    <w:p w14:paraId="794598FB">
      <w:pPr>
        <w:snapToGrid w:val="0"/>
        <w:spacing w:line="360" w:lineRule="auto"/>
        <w:ind w:firstLine="411" w:firstLineChars="196"/>
        <w:rPr>
          <w:rFonts w:hint="eastAsia" w:ascii="宋体" w:hAnsi="宋体" w:eastAsia="宋体" w:cs="宋体"/>
          <w:szCs w:val="21"/>
          <w:highlight w:val="none"/>
          <w:lang w:val="en-US" w:eastAsia="zh-CN"/>
        </w:rPr>
      </w:pPr>
    </w:p>
    <w:p w14:paraId="62B33E2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甲方：（公章）                             乙方：（公章）</w:t>
      </w:r>
    </w:p>
    <w:p w14:paraId="56C1FF4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法定代表人或其委托代理人：                 法定代表人或其委托代理人：</w:t>
      </w:r>
    </w:p>
    <w:p w14:paraId="2D06478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（签字）                                   （签字）</w:t>
      </w:r>
    </w:p>
    <w:p w14:paraId="7072558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统一社会信用代码：                          统一社会信用代码：   </w:t>
      </w:r>
    </w:p>
    <w:p w14:paraId="1678D16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地址：                                      地址：                                                     </w:t>
      </w:r>
    </w:p>
    <w:p w14:paraId="53B715A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电话：                                      电话：                                   </w:t>
      </w:r>
    </w:p>
    <w:p w14:paraId="4702DF4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开户银行：                                  开户银行：                 </w:t>
      </w:r>
    </w:p>
    <w:p w14:paraId="3A5A7F3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账号：                                       账号：</w:t>
      </w:r>
    </w:p>
    <w:p w14:paraId="5014CD6B">
      <w:pPr>
        <w:spacing w:after="105" w:line="360" w:lineRule="auto"/>
        <w:ind w:left="2"/>
        <w:jc w:val="center"/>
        <w:rPr>
          <w:rFonts w:ascii="宋体" w:hAnsi="宋体"/>
          <w:color w:val="000000"/>
        </w:rPr>
      </w:pPr>
    </w:p>
    <w:p w14:paraId="1FE38B4B">
      <w:pPr>
        <w:pStyle w:val="11"/>
        <w:rPr>
          <w:rFonts w:ascii="宋体" w:hAnsi="宋体"/>
          <w:color w:val="000000"/>
        </w:rPr>
      </w:pPr>
    </w:p>
    <w:p w14:paraId="761BBC91">
      <w:pPr>
        <w:pStyle w:val="11"/>
        <w:rPr>
          <w:rFonts w:ascii="宋体" w:hAnsi="宋体"/>
          <w:color w:val="000000"/>
        </w:rPr>
      </w:pPr>
    </w:p>
    <w:p w14:paraId="7CFDE5CA">
      <w:pPr>
        <w:pStyle w:val="11"/>
        <w:rPr>
          <w:rFonts w:ascii="宋体" w:hAnsi="宋体"/>
          <w:color w:val="000000"/>
        </w:rPr>
      </w:pPr>
    </w:p>
    <w:p w14:paraId="7D6EA136">
      <w:pPr>
        <w:pStyle w:val="11"/>
        <w:rPr>
          <w:rFonts w:ascii="宋体" w:hAnsi="宋体"/>
          <w:color w:val="000000"/>
        </w:rPr>
      </w:pPr>
    </w:p>
    <w:p w14:paraId="7C7699E4">
      <w:pPr>
        <w:pStyle w:val="11"/>
        <w:rPr>
          <w:rFonts w:ascii="宋体" w:hAnsi="宋体"/>
          <w:color w:val="000000"/>
        </w:rPr>
      </w:pPr>
    </w:p>
    <w:p w14:paraId="7535DD38">
      <w:pPr>
        <w:pStyle w:val="11"/>
        <w:rPr>
          <w:rFonts w:ascii="宋体" w:hAnsi="宋体"/>
          <w:color w:val="000000"/>
        </w:rPr>
      </w:pPr>
    </w:p>
    <w:p w14:paraId="3102B12B">
      <w:pPr>
        <w:pStyle w:val="11"/>
        <w:rPr>
          <w:rFonts w:ascii="宋体" w:hAnsi="宋体"/>
          <w:color w:val="000000"/>
        </w:rPr>
      </w:pPr>
    </w:p>
    <w:p w14:paraId="131215DD">
      <w:pPr>
        <w:pStyle w:val="11"/>
        <w:rPr>
          <w:rFonts w:ascii="宋体" w:hAnsi="宋体"/>
          <w:color w:val="000000"/>
        </w:rPr>
      </w:pPr>
    </w:p>
    <w:p w14:paraId="09DDAF20">
      <w:pPr>
        <w:pStyle w:val="11"/>
        <w:rPr>
          <w:rFonts w:ascii="宋体" w:hAnsi="宋体"/>
          <w:color w:val="000000"/>
        </w:rPr>
      </w:pPr>
    </w:p>
    <w:p w14:paraId="70533ECF">
      <w:pPr>
        <w:pStyle w:val="11"/>
        <w:rPr>
          <w:rFonts w:ascii="宋体" w:hAnsi="宋体"/>
          <w:color w:val="000000"/>
        </w:rPr>
      </w:pPr>
    </w:p>
    <w:p w14:paraId="66CB995D">
      <w:pPr>
        <w:pStyle w:val="11"/>
        <w:rPr>
          <w:rFonts w:ascii="宋体" w:hAnsi="宋体"/>
          <w:color w:val="000000"/>
        </w:rPr>
      </w:pPr>
    </w:p>
    <w:p w14:paraId="7F00104B">
      <w:pPr>
        <w:pStyle w:val="2"/>
        <w:spacing w:line="240" w:lineRule="auto"/>
        <w:jc w:val="center"/>
        <w:rPr>
          <w:rFonts w:hint="eastAsia" w:ascii="仿宋" w:hAnsi="仿宋" w:eastAsia="仿宋" w:cs="仿宋"/>
          <w:sz w:val="22"/>
          <w:szCs w:val="22"/>
          <w:highlight w:val="none"/>
        </w:rPr>
      </w:pPr>
      <w:bookmarkStart w:id="26" w:name="_Toc17973"/>
      <w:r>
        <w:rPr>
          <w:rFonts w:hint="eastAsia" w:ascii="仿宋" w:hAnsi="仿宋" w:eastAsia="仿宋" w:cs="仿宋"/>
          <w:sz w:val="22"/>
          <w:szCs w:val="22"/>
          <w:highlight w:val="none"/>
        </w:rPr>
        <w:t>第二部分 通用合同条款</w:t>
      </w:r>
      <w:bookmarkEnd w:id="26"/>
    </w:p>
    <w:p w14:paraId="29C35844">
      <w:pPr>
        <w:pStyle w:val="3"/>
        <w:spacing w:line="240" w:lineRule="auto"/>
        <w:rPr>
          <w:rFonts w:hint="eastAsia" w:ascii="宋体" w:hAnsi="宋体" w:eastAsia="宋体" w:cs="宋体"/>
          <w:b/>
          <w:bCs/>
          <w:kern w:val="2"/>
          <w:sz w:val="22"/>
          <w:szCs w:val="22"/>
          <w:highlight w:val="none"/>
          <w:lang w:val="en-US" w:eastAsia="zh-CN" w:bidi="ar-SA"/>
        </w:rPr>
      </w:pPr>
      <w:bookmarkStart w:id="27" w:name="_Toc11768"/>
      <w:r>
        <w:rPr>
          <w:rFonts w:hint="eastAsia" w:ascii="宋体" w:hAnsi="宋体" w:eastAsia="宋体" w:cs="宋体"/>
          <w:b/>
          <w:bCs/>
          <w:kern w:val="2"/>
          <w:sz w:val="22"/>
          <w:szCs w:val="22"/>
          <w:highlight w:val="none"/>
          <w:lang w:val="en-US" w:eastAsia="zh-CN" w:bidi="ar-SA"/>
        </w:rPr>
        <w:t>1一般约定</w:t>
      </w:r>
      <w:bookmarkEnd w:id="27"/>
    </w:p>
    <w:p w14:paraId="584CAE56">
      <w:pPr>
        <w:snapToGrid w:val="0"/>
        <w:spacing w:line="360" w:lineRule="auto"/>
        <w:ind w:firstLine="413" w:firstLineChars="196"/>
        <w:rPr>
          <w:rFonts w:hint="eastAsia" w:ascii="宋体" w:hAnsi="宋体" w:eastAsia="宋体" w:cs="宋体"/>
          <w:b/>
          <w:bCs/>
          <w:szCs w:val="21"/>
          <w:highlight w:val="none"/>
          <w:lang w:val="en-US" w:eastAsia="zh-CN"/>
        </w:rPr>
      </w:pPr>
      <w:bookmarkStart w:id="28" w:name="_Toc28772"/>
      <w:r>
        <w:rPr>
          <w:rFonts w:hint="eastAsia" w:ascii="宋体" w:hAnsi="宋体" w:eastAsia="宋体" w:cs="宋体"/>
          <w:b/>
          <w:bCs/>
          <w:szCs w:val="21"/>
          <w:highlight w:val="none"/>
          <w:lang w:val="en-US" w:eastAsia="zh-CN"/>
        </w:rPr>
        <w:t>1.1词语定义和解释</w:t>
      </w:r>
      <w:bookmarkEnd w:id="28"/>
    </w:p>
    <w:p w14:paraId="240D254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合同协议书、通用合同条款、专用合同条款中的下列词语具有本款所赋予的含义。</w:t>
      </w:r>
    </w:p>
    <w:p w14:paraId="3D8D50F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1.1.1</w:t>
      </w:r>
      <w:r>
        <w:rPr>
          <w:rFonts w:hint="eastAsia" w:ascii="宋体" w:hAnsi="宋体" w:cs="宋体"/>
          <w:szCs w:val="21"/>
          <w:highlight w:val="none"/>
          <w:lang w:val="en-US" w:eastAsia="zh-CN"/>
        </w:rPr>
        <w:t>运维</w:t>
      </w:r>
      <w:r>
        <w:rPr>
          <w:rFonts w:hint="eastAsia" w:ascii="宋体" w:hAnsi="宋体" w:eastAsia="宋体" w:cs="宋体"/>
          <w:szCs w:val="21"/>
          <w:highlight w:val="none"/>
          <w:lang w:val="en-US" w:eastAsia="zh-CN"/>
        </w:rPr>
        <w:t>项目</w:t>
      </w:r>
    </w:p>
    <w:p w14:paraId="4386DF5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在确定区域内对提升井、管网（户用处理设备，简易设施、公共化粪池、户内化粪池）进行运行维护的服务项目。 </w:t>
      </w:r>
    </w:p>
    <w:p w14:paraId="4BC609A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1.1.2</w:t>
      </w:r>
      <w:r>
        <w:rPr>
          <w:rFonts w:hint="eastAsia" w:ascii="宋体" w:hAnsi="宋体" w:cs="宋体"/>
          <w:szCs w:val="21"/>
          <w:highlight w:val="none"/>
          <w:lang w:val="en-US" w:eastAsia="zh-CN"/>
        </w:rPr>
        <w:t>运维</w:t>
      </w:r>
      <w:r>
        <w:rPr>
          <w:rFonts w:hint="eastAsia" w:ascii="宋体" w:hAnsi="宋体" w:eastAsia="宋体" w:cs="宋体"/>
          <w:szCs w:val="21"/>
          <w:highlight w:val="none"/>
          <w:lang w:val="en-US" w:eastAsia="zh-CN"/>
        </w:rPr>
        <w:t>项目服务对象</w:t>
      </w:r>
    </w:p>
    <w:p w14:paraId="120765E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运维项目服务范围内的提升井、管网（户用处理设备、简易设施、公共化粪池、户内化粪池）进行运行维护以及与省文件规定的相关农污设施等。</w:t>
      </w:r>
    </w:p>
    <w:p w14:paraId="00D41BC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1..1.3服务期限</w:t>
      </w:r>
    </w:p>
    <w:p w14:paraId="2694F8C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在合同协议书约定的乙方对项目的运行维护服务的期限，包括按照合同约定所作的期限变更。</w:t>
      </w:r>
    </w:p>
    <w:p w14:paraId="4D45DD1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1.1.4 签约合同价</w:t>
      </w:r>
    </w:p>
    <w:p w14:paraId="4DE506D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甲方和乙方在合同协议书中确定的金额。</w:t>
      </w:r>
    </w:p>
    <w:p w14:paraId="6340D35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1.1.5运维服务费</w:t>
      </w:r>
    </w:p>
    <w:p w14:paraId="2BB1DEB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甲方用于支付乙方按照合同约定完成服务范围内工作的金额，包括合同履行过程中按合同约定发生的金额变化。</w:t>
      </w:r>
    </w:p>
    <w:p w14:paraId="5F8C038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1.1.6日期</w:t>
      </w:r>
    </w:p>
    <w:p w14:paraId="4E08769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天：除特别指明外，均指日历天。合同中按天计算时间的，开始当天不计入，从次日开始计算，期限最后一天的截止时间为当天24:00时。</w:t>
      </w:r>
    </w:p>
    <w:p w14:paraId="20D772DA">
      <w:pPr>
        <w:snapToGrid w:val="0"/>
        <w:spacing w:line="360" w:lineRule="auto"/>
        <w:ind w:firstLine="413" w:firstLineChars="196"/>
        <w:rPr>
          <w:rFonts w:hint="eastAsia" w:ascii="宋体" w:hAnsi="宋体" w:eastAsia="宋体" w:cs="宋体"/>
          <w:b/>
          <w:bCs/>
          <w:szCs w:val="21"/>
          <w:highlight w:val="none"/>
          <w:lang w:val="en-US" w:eastAsia="zh-CN"/>
        </w:rPr>
      </w:pPr>
      <w:bookmarkStart w:id="29" w:name="_Toc337558729"/>
      <w:bookmarkStart w:id="30" w:name="_Toc29171"/>
      <w:bookmarkStart w:id="31" w:name="_Toc351203497"/>
      <w:bookmarkStart w:id="32" w:name="_Toc296346530"/>
      <w:bookmarkStart w:id="33" w:name="_Toc296503029"/>
      <w:r>
        <w:rPr>
          <w:rFonts w:hint="eastAsia" w:ascii="宋体" w:hAnsi="宋体" w:eastAsia="宋体" w:cs="宋体"/>
          <w:b/>
          <w:bCs/>
          <w:szCs w:val="21"/>
          <w:highlight w:val="none"/>
          <w:lang w:val="en-US" w:eastAsia="zh-CN"/>
        </w:rPr>
        <w:t>1.2语言文字</w:t>
      </w:r>
      <w:bookmarkEnd w:id="29"/>
      <w:bookmarkEnd w:id="30"/>
      <w:bookmarkEnd w:id="31"/>
      <w:bookmarkEnd w:id="32"/>
      <w:bookmarkEnd w:id="33"/>
    </w:p>
    <w:p w14:paraId="3CE258E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合同以中国的汉语简体文字编写、解释和说明。合同当事人在专用合同条款中约定使用两种以上语言时，汉语为优先解释和说明合同的语言。</w:t>
      </w:r>
    </w:p>
    <w:p w14:paraId="0776BD9B">
      <w:pPr>
        <w:snapToGrid w:val="0"/>
        <w:spacing w:line="360" w:lineRule="auto"/>
        <w:ind w:firstLine="413" w:firstLineChars="196"/>
        <w:rPr>
          <w:rFonts w:hint="eastAsia" w:ascii="宋体" w:hAnsi="宋体" w:eastAsia="宋体" w:cs="宋体"/>
          <w:b/>
          <w:bCs/>
          <w:szCs w:val="21"/>
          <w:highlight w:val="none"/>
          <w:lang w:val="en-US" w:eastAsia="zh-CN"/>
        </w:rPr>
      </w:pPr>
      <w:bookmarkStart w:id="34" w:name="_Toc337558730"/>
      <w:bookmarkStart w:id="35" w:name="_Toc351203498"/>
      <w:bookmarkStart w:id="36" w:name="_Toc296503030"/>
      <w:bookmarkStart w:id="37" w:name="_Toc296346531"/>
      <w:bookmarkStart w:id="38" w:name="_Toc12544"/>
      <w:r>
        <w:rPr>
          <w:rFonts w:hint="eastAsia" w:ascii="宋体" w:hAnsi="宋体" w:eastAsia="宋体" w:cs="宋体"/>
          <w:b/>
          <w:bCs/>
          <w:szCs w:val="21"/>
          <w:highlight w:val="none"/>
          <w:lang w:val="en-US" w:eastAsia="zh-CN"/>
        </w:rPr>
        <w:t>1.3法律</w:t>
      </w:r>
      <w:bookmarkEnd w:id="34"/>
      <w:bookmarkEnd w:id="35"/>
      <w:bookmarkEnd w:id="36"/>
      <w:bookmarkEnd w:id="37"/>
      <w:r>
        <w:rPr>
          <w:rFonts w:hint="eastAsia" w:ascii="宋体" w:hAnsi="宋体" w:eastAsia="宋体" w:cs="宋体"/>
          <w:b/>
          <w:bCs/>
          <w:szCs w:val="21"/>
          <w:highlight w:val="none"/>
          <w:lang w:val="en-US" w:eastAsia="zh-CN"/>
        </w:rPr>
        <w:t>法规和规章</w:t>
      </w:r>
      <w:bookmarkEnd w:id="38"/>
    </w:p>
    <w:p w14:paraId="7ABF3D8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合同所称法律是指中华人民共和国法律、行政法规，以及项目所在地的地方性法规、自治条例、单行条例和部门规章、地方政府规章等。</w:t>
      </w:r>
    </w:p>
    <w:p w14:paraId="0E4A8AE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合同当事人可以在专用合同条款中约定合同适用的其他规范性文件。</w:t>
      </w:r>
    </w:p>
    <w:p w14:paraId="52191E62">
      <w:pPr>
        <w:snapToGrid w:val="0"/>
        <w:spacing w:line="360" w:lineRule="auto"/>
        <w:ind w:firstLine="413" w:firstLineChars="196"/>
        <w:rPr>
          <w:rFonts w:hint="eastAsia" w:ascii="宋体" w:hAnsi="宋体" w:eastAsia="宋体" w:cs="宋体"/>
          <w:b/>
          <w:bCs/>
          <w:szCs w:val="21"/>
          <w:highlight w:val="none"/>
          <w:lang w:val="en-US" w:eastAsia="zh-CN"/>
        </w:rPr>
      </w:pPr>
      <w:bookmarkStart w:id="39" w:name="_Toc351203499"/>
      <w:bookmarkStart w:id="40" w:name="_Toc3609"/>
      <w:r>
        <w:rPr>
          <w:rFonts w:hint="eastAsia" w:ascii="宋体" w:hAnsi="宋体" w:eastAsia="宋体" w:cs="宋体"/>
          <w:b/>
          <w:bCs/>
          <w:szCs w:val="21"/>
          <w:highlight w:val="none"/>
          <w:lang w:val="en-US" w:eastAsia="zh-CN"/>
        </w:rPr>
        <w:t>1.4标准、规范</w:t>
      </w:r>
      <w:bookmarkEnd w:id="39"/>
      <w:r>
        <w:rPr>
          <w:rFonts w:hint="eastAsia" w:ascii="宋体" w:hAnsi="宋体" w:eastAsia="宋体" w:cs="宋体"/>
          <w:b/>
          <w:bCs/>
          <w:szCs w:val="21"/>
          <w:highlight w:val="none"/>
          <w:lang w:val="en-US" w:eastAsia="zh-CN"/>
        </w:rPr>
        <w:t>和导则</w:t>
      </w:r>
      <w:bookmarkEnd w:id="40"/>
    </w:p>
    <w:p w14:paraId="3443319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 适用于运维项目的国家、省级标准（导则）和项目所在地的地方性标准（导则），以及相应的规范、规程等，合同当事人有特别要求的，应在专用合同条款中约定。</w:t>
      </w:r>
    </w:p>
    <w:p w14:paraId="213A5CE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 甲方对处理设施运维的技术标准、处理设施排放标准要求高于或严于现行国家、行业或地方标准（导则）的，应当在专用合同条款中予以明确。</w:t>
      </w:r>
    </w:p>
    <w:p w14:paraId="33F535EB">
      <w:pPr>
        <w:snapToGrid w:val="0"/>
        <w:spacing w:line="360" w:lineRule="auto"/>
        <w:ind w:firstLine="413" w:firstLineChars="196"/>
        <w:rPr>
          <w:rFonts w:hint="eastAsia" w:ascii="宋体" w:hAnsi="宋体" w:eastAsia="宋体" w:cs="宋体"/>
          <w:b/>
          <w:bCs/>
          <w:szCs w:val="21"/>
          <w:highlight w:val="none"/>
          <w:lang w:val="en-US" w:eastAsia="zh-CN"/>
        </w:rPr>
      </w:pPr>
      <w:bookmarkStart w:id="41" w:name="_Toc351203500"/>
      <w:bookmarkStart w:id="42" w:name="_Toc14272"/>
      <w:bookmarkStart w:id="43" w:name="_Toc337558731"/>
      <w:bookmarkStart w:id="44" w:name="_Toc296346532"/>
      <w:bookmarkStart w:id="45" w:name="_Toc296503031"/>
      <w:r>
        <w:rPr>
          <w:rFonts w:hint="eastAsia" w:ascii="宋体" w:hAnsi="宋体" w:eastAsia="宋体" w:cs="宋体"/>
          <w:b/>
          <w:bCs/>
          <w:szCs w:val="21"/>
          <w:highlight w:val="none"/>
          <w:lang w:val="en-US" w:eastAsia="zh-CN"/>
        </w:rPr>
        <w:t>1.5合同文件的优先顺序</w:t>
      </w:r>
      <w:bookmarkEnd w:id="41"/>
      <w:bookmarkEnd w:id="42"/>
    </w:p>
    <w:bookmarkEnd w:id="43"/>
    <w:bookmarkEnd w:id="44"/>
    <w:bookmarkEnd w:id="45"/>
    <w:p w14:paraId="68529AA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组成合同的各项文件应互相解释，互为说明。除专用合同条款另有约定外，解释合同文件的优先顺序如下：</w:t>
      </w:r>
    </w:p>
    <w:p w14:paraId="5502E01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（1）合同协议书；</w:t>
      </w:r>
    </w:p>
    <w:p w14:paraId="7302D62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（2）中标通知书；</w:t>
      </w:r>
    </w:p>
    <w:p w14:paraId="3C30B4A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（3）专用合同条款及其附件；</w:t>
      </w:r>
    </w:p>
    <w:p w14:paraId="4F22CB7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（4）通用合同条款；</w:t>
      </w:r>
    </w:p>
    <w:p w14:paraId="661B383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（5）响应文件；</w:t>
      </w:r>
    </w:p>
    <w:p w14:paraId="36DA154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（6）其他文件。</w:t>
      </w:r>
    </w:p>
    <w:p w14:paraId="57D5EC2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上述各项合同文件包括合同当事人就该项合同文件所作出的补充和修改，属于同一类内容的文件，应以最新签署的为准。</w:t>
      </w:r>
    </w:p>
    <w:p w14:paraId="3A50087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在合同订立及履行过程中形成的与合同有关的文件均构成合同文件组成部分，并根据其性质确定优先解释顺序。</w:t>
      </w:r>
    </w:p>
    <w:p w14:paraId="196EC830">
      <w:pPr>
        <w:snapToGrid w:val="0"/>
        <w:spacing w:line="360" w:lineRule="auto"/>
        <w:ind w:firstLine="413" w:firstLineChars="196"/>
        <w:rPr>
          <w:rFonts w:hint="eastAsia" w:ascii="宋体" w:hAnsi="宋体" w:eastAsia="宋体" w:cs="宋体"/>
          <w:b/>
          <w:bCs/>
          <w:szCs w:val="21"/>
          <w:highlight w:val="none"/>
          <w:lang w:val="en-US" w:eastAsia="zh-CN"/>
        </w:rPr>
      </w:pPr>
      <w:bookmarkStart w:id="46" w:name="_Toc2284"/>
      <w:bookmarkStart w:id="47" w:name="_Toc351203502"/>
      <w:bookmarkStart w:id="48" w:name="_Toc296346534"/>
      <w:bookmarkStart w:id="49" w:name="_Toc296503033"/>
      <w:bookmarkStart w:id="50" w:name="_Toc337558733"/>
      <w:r>
        <w:rPr>
          <w:rFonts w:hint="eastAsia" w:ascii="宋体" w:hAnsi="宋体" w:eastAsia="宋体" w:cs="宋体"/>
          <w:b/>
          <w:bCs/>
          <w:szCs w:val="21"/>
          <w:highlight w:val="none"/>
          <w:lang w:val="en-US" w:eastAsia="zh-CN"/>
        </w:rPr>
        <w:t>1.6联络</w:t>
      </w:r>
      <w:bookmarkEnd w:id="46"/>
      <w:bookmarkEnd w:id="47"/>
    </w:p>
    <w:bookmarkEnd w:id="48"/>
    <w:bookmarkEnd w:id="49"/>
    <w:bookmarkEnd w:id="50"/>
    <w:p w14:paraId="42FBB42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1.6.1 与合同有关的通知、批准、证明、证书、指示、指令、要求、请求、同意、意见、确定和决定等，应采用书面形式、电子文件方式，并应在约定的期限内送达接收人和送达地址。</w:t>
      </w:r>
    </w:p>
    <w:p w14:paraId="60A69E4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1.6.2 甲方和乙方应在专用合同条款中约定各自的送达接收人、送达方式和送达地点。任何一方合同当事人指定的接收人、送达方式或送达地点发生变动的，应提前3天以书面形式、电子文件方式通知对方。</w:t>
      </w:r>
    </w:p>
    <w:p w14:paraId="5D56E15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1.6.3 甲方和乙方应当及时签收另一方送达至送达地址和指定接收人的来往信函和电子文件。拒不签收的，由拒绝接收一方承担对方由此造成的损失赔偿，并承担有可能因此产生的法律责任。</w:t>
      </w:r>
    </w:p>
    <w:p w14:paraId="6CB3739B">
      <w:pPr>
        <w:snapToGrid w:val="0"/>
        <w:spacing w:line="360" w:lineRule="auto"/>
        <w:ind w:firstLine="413" w:firstLineChars="196"/>
        <w:rPr>
          <w:rFonts w:hint="eastAsia" w:ascii="宋体" w:hAnsi="宋体" w:eastAsia="宋体" w:cs="宋体"/>
          <w:b/>
          <w:bCs/>
          <w:szCs w:val="21"/>
          <w:highlight w:val="none"/>
          <w:lang w:val="en-US" w:eastAsia="zh-CN"/>
        </w:rPr>
      </w:pPr>
      <w:bookmarkStart w:id="51" w:name="_Toc351203503"/>
      <w:bookmarkStart w:id="52" w:name="_Toc14387"/>
      <w:bookmarkStart w:id="53" w:name="_Toc296346536"/>
      <w:bookmarkStart w:id="54" w:name="_Toc337558734"/>
      <w:bookmarkStart w:id="55" w:name="_Toc296503035"/>
      <w:r>
        <w:rPr>
          <w:rFonts w:hint="eastAsia" w:ascii="宋体" w:hAnsi="宋体" w:eastAsia="宋体" w:cs="宋体"/>
          <w:b/>
          <w:bCs/>
          <w:szCs w:val="21"/>
          <w:highlight w:val="none"/>
          <w:lang w:val="en-US" w:eastAsia="zh-CN"/>
        </w:rPr>
        <w:t>1.7严禁贿赂</w:t>
      </w:r>
      <w:bookmarkEnd w:id="51"/>
      <w:r>
        <w:rPr>
          <w:rFonts w:hint="eastAsia" w:ascii="宋体" w:hAnsi="宋体" w:eastAsia="宋体" w:cs="宋体"/>
          <w:b/>
          <w:bCs/>
          <w:szCs w:val="21"/>
          <w:highlight w:val="none"/>
          <w:lang w:val="en-US" w:eastAsia="zh-CN"/>
        </w:rPr>
        <w:t>、受贿及索贿</w:t>
      </w:r>
      <w:bookmarkEnd w:id="52"/>
    </w:p>
    <w:bookmarkEnd w:id="53"/>
    <w:bookmarkEnd w:id="54"/>
    <w:bookmarkEnd w:id="55"/>
    <w:p w14:paraId="07285DD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合同当事人不得以贿赂、受贿及索贿或变相贿赂、受贿及索贿的方式，谋取非法利益或损害对方权益。因一方合同当事人的贿赂、受贿及索贿造成对方损失的，应赔偿损失，并承担相应的法律责任。</w:t>
      </w:r>
    </w:p>
    <w:p w14:paraId="4CC12980">
      <w:pPr>
        <w:snapToGrid w:val="0"/>
        <w:spacing w:line="360" w:lineRule="auto"/>
        <w:ind w:firstLine="413" w:firstLineChars="196"/>
        <w:rPr>
          <w:rFonts w:hint="eastAsia" w:ascii="宋体" w:hAnsi="宋体" w:eastAsia="宋体" w:cs="宋体"/>
          <w:b/>
          <w:bCs/>
          <w:szCs w:val="21"/>
          <w:highlight w:val="none"/>
          <w:lang w:val="en-US" w:eastAsia="zh-CN"/>
        </w:rPr>
      </w:pPr>
      <w:bookmarkStart w:id="56" w:name="_Toc23148"/>
      <w:bookmarkStart w:id="57" w:name="_Toc337558735"/>
      <w:bookmarkStart w:id="58" w:name="_Toc296346537"/>
      <w:bookmarkStart w:id="59" w:name="_Toc296503036"/>
      <w:r>
        <w:rPr>
          <w:rFonts w:hint="eastAsia" w:ascii="宋体" w:hAnsi="宋体" w:eastAsia="宋体" w:cs="宋体"/>
          <w:b/>
          <w:bCs/>
          <w:szCs w:val="21"/>
          <w:highlight w:val="none"/>
          <w:lang w:val="en-US" w:eastAsia="zh-CN"/>
        </w:rPr>
        <w:t>1.8野生动植物</w:t>
      </w:r>
      <w:bookmarkEnd w:id="56"/>
    </w:p>
    <w:bookmarkEnd w:id="57"/>
    <w:bookmarkEnd w:id="58"/>
    <w:bookmarkEnd w:id="59"/>
    <w:p w14:paraId="4F72222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处理设施运维服务范围内发现的珍贵、濒危的陆生、水生野生动物和有重要生态、科学、社会价值的陆生、水生野生动物（含卵、蛋），原生地天然生长的珍贵植物和原生地天然生长并具有重要经济、科学研究、文化价值的濒危、稀有植物，上述资源均属于国家所有。一旦发现上述野生动植物，乙方应采取合理有效的保护措施，防止任何人员损坏、损害或损伤上述野生动植物，并立即报告有关政府行政管理部门，同时通知甲方。</w:t>
      </w:r>
    </w:p>
    <w:p w14:paraId="701E5FE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甲方、乙方应按有关政府行政管理部门要求采取妥善的保护措施，由此增加的费用由甲方承担。</w:t>
      </w:r>
    </w:p>
    <w:p w14:paraId="7A65C56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乙方发现珍贵、濒危野生动植物后不及时报告或隐瞒不报，致使珍贵、濒危野生动植物死亡或损伤的，应赔偿损失，并承担相应的法律责任。</w:t>
      </w:r>
    </w:p>
    <w:p w14:paraId="678B33E3">
      <w:pPr>
        <w:snapToGrid w:val="0"/>
        <w:spacing w:line="360" w:lineRule="auto"/>
        <w:ind w:firstLine="413" w:firstLineChars="196"/>
        <w:rPr>
          <w:rFonts w:hint="eastAsia" w:ascii="宋体" w:hAnsi="宋体" w:eastAsia="宋体" w:cs="宋体"/>
          <w:b/>
          <w:bCs/>
          <w:szCs w:val="21"/>
          <w:highlight w:val="none"/>
          <w:lang w:val="en-US" w:eastAsia="zh-CN"/>
        </w:rPr>
      </w:pPr>
      <w:bookmarkStart w:id="60" w:name="_Toc351203506"/>
      <w:bookmarkStart w:id="61" w:name="_Toc23111"/>
      <w:bookmarkStart w:id="62" w:name="_Toc337558737"/>
      <w:bookmarkStart w:id="63" w:name="_Toc296346538"/>
      <w:bookmarkStart w:id="64" w:name="_Toc296503037"/>
      <w:r>
        <w:rPr>
          <w:rFonts w:hint="eastAsia" w:ascii="宋体" w:hAnsi="宋体" w:eastAsia="宋体" w:cs="宋体"/>
          <w:b/>
          <w:bCs/>
          <w:szCs w:val="21"/>
          <w:highlight w:val="none"/>
          <w:lang w:val="en-US" w:eastAsia="zh-CN"/>
        </w:rPr>
        <w:t>1.9知识产权</w:t>
      </w:r>
      <w:bookmarkEnd w:id="60"/>
      <w:bookmarkEnd w:id="61"/>
      <w:r>
        <w:rPr>
          <w:rFonts w:hint="eastAsia" w:ascii="宋体" w:hAnsi="宋体" w:eastAsia="宋体" w:cs="宋体"/>
          <w:b/>
          <w:bCs/>
          <w:szCs w:val="21"/>
          <w:highlight w:val="none"/>
          <w:lang w:val="en-US" w:eastAsia="zh-CN"/>
        </w:rPr>
        <w:t xml:space="preserve"> </w:t>
      </w:r>
      <w:bookmarkEnd w:id="62"/>
    </w:p>
    <w:bookmarkEnd w:id="63"/>
    <w:bookmarkEnd w:id="64"/>
    <w:p w14:paraId="4D9B7FA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1.9.1 除专用合同条款另有约定外，甲方提供给乙方的规划、图纸、自行编制的技术文件及其他类似性质的技术文件的著作权属于甲方；乙方可以为实现合同目的而复制、使用此类文件，但不能用于与合同无关的其他事项。未经甲方书面同意，乙方不得为了合同以外的目的而复制、使用上述文件或将之提供给任何第三方。</w:t>
      </w:r>
    </w:p>
    <w:p w14:paraId="402AB46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1.9.2 除专用合同条款另有约定外，乙方为实施处理设施运维所编制的文件、运维过程与结果记录及相关台账资料，除署名权以外的著作权属于甲方，乙方可因实施处理设施运维的目的而复制、使用此类文件，但不能用于与合同无关的其他事项。未经甲方书面同意，乙方不得为了合同以外的目的而复制、使用上述文件或将之提供给任何第三方。</w:t>
      </w:r>
    </w:p>
    <w:p w14:paraId="2CCCA5F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1.9.3 合同当事人保证在履行合同过程中不侵犯对方及第三方的知识产权。乙方在使用计算机软件、材料、设备或工艺时，因侵犯他人的专利权或其他知识产权所引起的责任，由乙方承担；因甲方提供的计算机软件、材料、设备或工艺等导致侵权的，由甲方承担责任。</w:t>
      </w:r>
    </w:p>
    <w:p w14:paraId="3E8CF03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1.9.4 除专用合同条款另有约定外，乙方在运维过程中采用的专利、专有技术、技术秘密的使用费已包含在运维合同价中。</w:t>
      </w:r>
    </w:p>
    <w:p w14:paraId="26A71D2B">
      <w:pPr>
        <w:snapToGrid w:val="0"/>
        <w:spacing w:line="360" w:lineRule="auto"/>
        <w:ind w:firstLine="413" w:firstLineChars="196"/>
        <w:rPr>
          <w:rFonts w:hint="eastAsia" w:ascii="宋体" w:hAnsi="宋体" w:eastAsia="宋体" w:cs="宋体"/>
          <w:b/>
          <w:bCs/>
          <w:szCs w:val="21"/>
          <w:highlight w:val="none"/>
          <w:lang w:val="en-US" w:eastAsia="zh-CN"/>
        </w:rPr>
      </w:pPr>
      <w:bookmarkStart w:id="65" w:name="_Toc351203507"/>
      <w:bookmarkStart w:id="66" w:name="_Toc787"/>
      <w:bookmarkStart w:id="67" w:name="_Toc337558738"/>
      <w:r>
        <w:rPr>
          <w:rFonts w:hint="eastAsia" w:ascii="宋体" w:hAnsi="宋体" w:eastAsia="宋体" w:cs="宋体"/>
          <w:b/>
          <w:bCs/>
          <w:szCs w:val="21"/>
          <w:highlight w:val="none"/>
          <w:lang w:val="en-US" w:eastAsia="zh-CN"/>
        </w:rPr>
        <w:t>1.10保密</w:t>
      </w:r>
      <w:bookmarkEnd w:id="65"/>
      <w:bookmarkEnd w:id="66"/>
    </w:p>
    <w:bookmarkEnd w:id="67"/>
    <w:p w14:paraId="0C5C7CD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除法律规定或合同另有约定外，未经甲方同意，乙方不得将甲方提供的规划、图纸、文件以及声明需要保密的资料信息等秘密泄露给第三方。</w:t>
      </w:r>
    </w:p>
    <w:p w14:paraId="0F9CDDB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除法律规定或合同另有约定外，未经乙方同意，甲方不得将乙方提供的技术秘密及声明需要保密的资料信息等商业秘密泄露给第三方。</w:t>
      </w:r>
    </w:p>
    <w:p w14:paraId="027ABB86">
      <w:pPr>
        <w:snapToGrid w:val="0"/>
        <w:spacing w:line="360" w:lineRule="auto"/>
        <w:ind w:firstLine="413" w:firstLineChars="196"/>
        <w:rPr>
          <w:rFonts w:hint="eastAsia" w:ascii="宋体" w:hAnsi="宋体" w:eastAsia="宋体" w:cs="宋体"/>
          <w:b/>
          <w:bCs/>
          <w:szCs w:val="21"/>
          <w:highlight w:val="none"/>
          <w:lang w:val="en-US" w:eastAsia="zh-CN"/>
        </w:rPr>
      </w:pPr>
      <w:bookmarkStart w:id="68" w:name="_Toc351203508"/>
      <w:bookmarkStart w:id="69" w:name="_Toc15302"/>
      <w:r>
        <w:rPr>
          <w:rFonts w:hint="eastAsia" w:ascii="宋体" w:hAnsi="宋体" w:eastAsia="宋体" w:cs="宋体"/>
          <w:b/>
          <w:bCs/>
          <w:szCs w:val="21"/>
          <w:highlight w:val="none"/>
          <w:lang w:val="en-US" w:eastAsia="zh-CN"/>
        </w:rPr>
        <w:t>1.11费用</w:t>
      </w:r>
      <w:bookmarkEnd w:id="68"/>
      <w:r>
        <w:rPr>
          <w:rFonts w:hint="eastAsia" w:ascii="宋体" w:hAnsi="宋体" w:eastAsia="宋体" w:cs="宋体"/>
          <w:b/>
          <w:bCs/>
          <w:szCs w:val="21"/>
          <w:highlight w:val="none"/>
          <w:lang w:val="en-US" w:eastAsia="zh-CN"/>
        </w:rPr>
        <w:t>修正</w:t>
      </w:r>
      <w:bookmarkEnd w:id="69"/>
    </w:p>
    <w:p w14:paraId="2A38E5B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除专用合同条款另有约定外，甲方提供的项目具体服务范围清单，应被认为是准确的和完整的。项目具体服务范围清单漏项或缺项的，甲方应予以修正，当期按实调整。</w:t>
      </w:r>
    </w:p>
    <w:p w14:paraId="03A8B20B">
      <w:pPr>
        <w:pStyle w:val="3"/>
        <w:spacing w:line="240" w:lineRule="auto"/>
        <w:rPr>
          <w:rFonts w:hint="eastAsia" w:ascii="宋体" w:hAnsi="宋体" w:eastAsia="宋体" w:cs="宋体"/>
          <w:b/>
          <w:bCs/>
          <w:kern w:val="2"/>
          <w:sz w:val="22"/>
          <w:szCs w:val="22"/>
          <w:highlight w:val="none"/>
          <w:lang w:val="en-US" w:eastAsia="zh-CN" w:bidi="ar-SA"/>
        </w:rPr>
      </w:pPr>
      <w:bookmarkStart w:id="70" w:name="_Toc13268"/>
      <w:r>
        <w:rPr>
          <w:rFonts w:hint="eastAsia" w:ascii="宋体" w:hAnsi="宋体" w:eastAsia="宋体" w:cs="宋体"/>
          <w:b/>
          <w:bCs/>
          <w:kern w:val="2"/>
          <w:sz w:val="22"/>
          <w:szCs w:val="22"/>
          <w:highlight w:val="none"/>
          <w:lang w:val="en-US" w:eastAsia="zh-CN" w:bidi="ar-SA"/>
        </w:rPr>
        <w:t>2.甲方</w:t>
      </w:r>
      <w:bookmarkEnd w:id="70"/>
    </w:p>
    <w:p w14:paraId="7C8D3A64">
      <w:pPr>
        <w:snapToGrid w:val="0"/>
        <w:spacing w:line="360" w:lineRule="auto"/>
        <w:ind w:firstLine="413" w:firstLineChars="196"/>
        <w:rPr>
          <w:rFonts w:hint="eastAsia" w:ascii="宋体" w:hAnsi="宋体" w:eastAsia="宋体" w:cs="宋体"/>
          <w:b/>
          <w:bCs/>
          <w:szCs w:val="21"/>
          <w:highlight w:val="none"/>
          <w:lang w:val="en-US" w:eastAsia="zh-CN"/>
        </w:rPr>
      </w:pPr>
      <w:bookmarkStart w:id="71" w:name="_Toc351203511"/>
      <w:bookmarkStart w:id="72" w:name="_Toc29411"/>
      <w:r>
        <w:rPr>
          <w:rFonts w:hint="eastAsia" w:ascii="宋体" w:hAnsi="宋体" w:eastAsia="宋体" w:cs="宋体"/>
          <w:b/>
          <w:bCs/>
          <w:szCs w:val="21"/>
          <w:highlight w:val="none"/>
          <w:lang w:val="en-US" w:eastAsia="zh-CN"/>
        </w:rPr>
        <w:t>2.1 甲方代表</w:t>
      </w:r>
      <w:bookmarkEnd w:id="71"/>
      <w:bookmarkEnd w:id="72"/>
    </w:p>
    <w:p w14:paraId="204DD9C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应在专用合同条款中明确其指定的甲方代表的姓名、职务、联系方式及授权范围等事项。甲方代表在甲方的授权范围内，负责处理合同履行过程中与甲方有关的具体事宜。甲方代表在授权范围内的行为由甲方承担法律责任。甲方更换甲方代表的，应提前7天书面通知乙方。</w:t>
      </w:r>
    </w:p>
    <w:p w14:paraId="65FD0AB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甲方代表不能按照合同约定履行其职责及义务，并导致合同无法继续正常履行的，乙方可以要求甲方撤换甲方代表。</w:t>
      </w:r>
    </w:p>
    <w:p w14:paraId="5667153B">
      <w:pPr>
        <w:snapToGrid w:val="0"/>
        <w:spacing w:line="360" w:lineRule="auto"/>
        <w:ind w:firstLine="413" w:firstLineChars="196"/>
        <w:rPr>
          <w:rFonts w:hint="eastAsia" w:ascii="宋体" w:hAnsi="宋体" w:eastAsia="宋体" w:cs="宋体"/>
          <w:b/>
          <w:bCs/>
          <w:szCs w:val="21"/>
          <w:highlight w:val="none"/>
          <w:lang w:val="en-US" w:eastAsia="zh-CN"/>
        </w:rPr>
      </w:pPr>
      <w:bookmarkStart w:id="73" w:name="_Toc351203512"/>
      <w:bookmarkStart w:id="74" w:name="_Toc22268"/>
      <w:r>
        <w:rPr>
          <w:rFonts w:hint="eastAsia" w:ascii="宋体" w:hAnsi="宋体" w:eastAsia="宋体" w:cs="宋体"/>
          <w:b/>
          <w:bCs/>
          <w:szCs w:val="21"/>
          <w:highlight w:val="none"/>
          <w:lang w:val="en-US" w:eastAsia="zh-CN"/>
        </w:rPr>
        <w:t>2.2 甲方人员</w:t>
      </w:r>
      <w:bookmarkEnd w:id="73"/>
      <w:bookmarkEnd w:id="74"/>
    </w:p>
    <w:p w14:paraId="5E6E83E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甲方人员包括甲方代表及其他由甲方指派到处理设施运维现场的人员。</w:t>
      </w:r>
    </w:p>
    <w:p w14:paraId="00993BB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甲方应要求在处理设施运维现场的甲方人员遵守法律及有关安全、环境保护等规定，并保障乙方免于承受因甲方人员未遵守上述要求给乙方造成的损失和责任。</w:t>
      </w:r>
    </w:p>
    <w:p w14:paraId="5BAD7588">
      <w:pPr>
        <w:snapToGrid w:val="0"/>
        <w:spacing w:line="360" w:lineRule="auto"/>
        <w:ind w:firstLine="413" w:firstLineChars="196"/>
        <w:rPr>
          <w:rFonts w:hint="eastAsia" w:ascii="宋体" w:hAnsi="宋体" w:eastAsia="宋体" w:cs="宋体"/>
          <w:b/>
          <w:bCs/>
          <w:szCs w:val="21"/>
          <w:highlight w:val="none"/>
          <w:lang w:val="en-US" w:eastAsia="zh-CN"/>
        </w:rPr>
      </w:pPr>
      <w:bookmarkStart w:id="75" w:name="_Toc16913"/>
      <w:r>
        <w:rPr>
          <w:rFonts w:hint="eastAsia" w:ascii="宋体" w:hAnsi="宋体" w:eastAsia="宋体" w:cs="宋体"/>
          <w:b/>
          <w:bCs/>
          <w:szCs w:val="21"/>
          <w:highlight w:val="none"/>
          <w:lang w:val="en-US" w:eastAsia="zh-CN"/>
        </w:rPr>
        <w:t>2.3 甲方一般义务</w:t>
      </w:r>
      <w:bookmarkEnd w:id="75"/>
    </w:p>
    <w:p w14:paraId="6DB9275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2.3.1 提供运维服务条件</w:t>
      </w:r>
    </w:p>
    <w:p w14:paraId="6DBCE57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除专用合同条款另有约定外，甲方应负责提供运维服务所需要的条件，包括：</w:t>
      </w:r>
    </w:p>
    <w:p w14:paraId="3D4088D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（1）出入运维项目服务对象所需的批准手续和全部权利</w:t>
      </w:r>
      <w:r>
        <w:rPr>
          <w:rFonts w:hint="eastAsia" w:ascii="宋体" w:hAnsi="宋体" w:cs="宋体"/>
          <w:szCs w:val="21"/>
          <w:highlight w:val="none"/>
          <w:lang w:val="en-US" w:eastAsia="zh-CN"/>
        </w:rPr>
        <w:t>；</w:t>
      </w:r>
    </w:p>
    <w:p w14:paraId="3FEAC31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）专用合同条款的其他约定。</w:t>
      </w:r>
    </w:p>
    <w:p w14:paraId="56F1A65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2.3.2 提供基础资料</w:t>
      </w:r>
    </w:p>
    <w:p w14:paraId="60F4EBA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除专用合同条款另有约定外，甲方应当在移交处理设施前向乙方提供合同范围内处理设施及处理设施运维所必需的有关基础资料，并对所提供资料的真实性、准确性和完整性负责，包括：</w:t>
      </w:r>
    </w:p>
    <w:p w14:paraId="4A7697F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（1）提供本合同范围内涉及的所有行政村、自然村和运维项目服务对象情况，以及农户受益情况的详细资料；</w:t>
      </w:r>
    </w:p>
    <w:p w14:paraId="6DB5455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（2）提供已依法办理竣工验收合格手续的农村生活污水处理设施的竣工图、主要设施设备质保文件和使用说明书等技术资料；</w:t>
      </w:r>
    </w:p>
    <w:p w14:paraId="26FDE5C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（3）需投入运行但未依法办理竣工验收合格手续的农村生活污水处理设施，应尽可能提供相关资料；</w:t>
      </w:r>
    </w:p>
    <w:p w14:paraId="65064D7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（4）向乙方提供以往（近一年）处理设施运行状态、问题与整改、水质检测报告等主要日常运维记录；</w:t>
      </w:r>
    </w:p>
    <w:p w14:paraId="5A90410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（5）按照专用合同条款约定应提供的其他基础资料。</w:t>
      </w:r>
    </w:p>
    <w:p w14:paraId="3261FD0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2.3.3 支付运维服务费用</w:t>
      </w:r>
    </w:p>
    <w:p w14:paraId="495FBBA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甲方应按合同约定向乙方及时支付运维服务费。</w:t>
      </w:r>
    </w:p>
    <w:p w14:paraId="57208CB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2.3.4 逾期提供的责任</w:t>
      </w:r>
    </w:p>
    <w:p w14:paraId="21521FC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因甲方原因未能按合同约定及时向乙方提供运维服务条件、基础资料的，由甲方承担相应的责任。</w:t>
      </w:r>
    </w:p>
    <w:p w14:paraId="72B93EE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2.3.5 监督责任</w:t>
      </w:r>
    </w:p>
    <w:p w14:paraId="7706AAE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乙方产生的以下行为，甲方有权解除合同：</w:t>
      </w:r>
    </w:p>
    <w:p w14:paraId="2BD9874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1）不履行合同；</w:t>
      </w:r>
    </w:p>
    <w:p w14:paraId="7C61D61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2）由于运维不力，造成环境污染被处罚；</w:t>
      </w:r>
    </w:p>
    <w:p w14:paraId="45EE46D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3）由于运维不到位导致运维区域在设区市年度考核排名倒数第一；</w:t>
      </w:r>
    </w:p>
    <w:p w14:paraId="23037A2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4）乙方不配合甲方按规定进行的管理、监督检查和问题整改等。</w:t>
      </w:r>
    </w:p>
    <w:p w14:paraId="6170A9B6">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2.4支付担保</w:t>
      </w:r>
    </w:p>
    <w:p w14:paraId="441591A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乙方需要甲方提供支付担保的，具体由合同当事人在专用合同条款中约定支付担保的方式、金额及期限等。</w:t>
      </w:r>
    </w:p>
    <w:p w14:paraId="15BC53C7">
      <w:pPr>
        <w:pStyle w:val="3"/>
        <w:spacing w:line="240" w:lineRule="auto"/>
        <w:rPr>
          <w:rFonts w:hint="eastAsia" w:ascii="宋体" w:hAnsi="宋体" w:eastAsia="宋体" w:cs="宋体"/>
          <w:b/>
          <w:bCs/>
          <w:kern w:val="2"/>
          <w:sz w:val="22"/>
          <w:szCs w:val="22"/>
          <w:highlight w:val="none"/>
          <w:lang w:val="en-US" w:eastAsia="zh-CN" w:bidi="ar-SA"/>
        </w:rPr>
      </w:pPr>
      <w:bookmarkStart w:id="76" w:name="_Toc28604"/>
      <w:r>
        <w:rPr>
          <w:rFonts w:hint="eastAsia" w:ascii="宋体" w:hAnsi="宋体" w:eastAsia="宋体" w:cs="宋体"/>
          <w:b/>
          <w:bCs/>
          <w:kern w:val="2"/>
          <w:sz w:val="22"/>
          <w:szCs w:val="22"/>
          <w:highlight w:val="none"/>
          <w:lang w:val="en-US" w:eastAsia="zh-CN" w:bidi="ar-SA"/>
        </w:rPr>
        <w:t>3.乙方</w:t>
      </w:r>
      <w:bookmarkEnd w:id="76"/>
    </w:p>
    <w:p w14:paraId="2F0F65F5">
      <w:pPr>
        <w:snapToGrid w:val="0"/>
        <w:spacing w:line="360" w:lineRule="auto"/>
        <w:ind w:firstLine="413" w:firstLineChars="196"/>
        <w:rPr>
          <w:rFonts w:hint="eastAsia" w:ascii="宋体" w:hAnsi="宋体" w:eastAsia="宋体" w:cs="宋体"/>
          <w:b/>
          <w:bCs/>
          <w:szCs w:val="21"/>
          <w:highlight w:val="none"/>
          <w:lang w:val="en-US" w:eastAsia="zh-CN"/>
        </w:rPr>
      </w:pPr>
      <w:bookmarkStart w:id="77" w:name="_Toc19072"/>
      <w:r>
        <w:rPr>
          <w:rFonts w:hint="eastAsia" w:ascii="宋体" w:hAnsi="宋体" w:eastAsia="宋体" w:cs="宋体"/>
          <w:b/>
          <w:bCs/>
          <w:szCs w:val="21"/>
          <w:highlight w:val="none"/>
          <w:lang w:val="en-US" w:eastAsia="zh-CN"/>
        </w:rPr>
        <w:t>3.1 运维项目负责人</w:t>
      </w:r>
      <w:bookmarkEnd w:id="77"/>
    </w:p>
    <w:p w14:paraId="7450195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3.1.1 运维项目负责人应为合同当事人所确认的人选，并在专用合同条款中明确运维项目负责人的姓名、职称、相关证书编号、联系方式及授权范围等事项。运维项目负责人经乙方授权后代表乙方负责履行合同。运维项目负责人应是乙方正式聘用的员工，乙方应向甲方提交运维项目负责人与乙方之间的劳动合同，以及乙方为运维项目负责人缴纳社会保险的有效证明。乙方不提交上述文件的，运维项目负责人无权履行职责，甲方有权要求更换运维项目负责人，由此产生的费用和（或）法律责任由乙方承担。</w:t>
      </w:r>
    </w:p>
    <w:p w14:paraId="7C822BB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3.1.2 运维项目负责人按合同约定组织处理设施运维工作。在紧急情况下为确保设施安全和人员安全，在无法与甲方代表及时取得联系时，运维项目负责人有权采取必要的措施保证与处理设施有关的人身、财产的安全，但应在48小时内向甲方代表提交书面报告。</w:t>
      </w:r>
    </w:p>
    <w:p w14:paraId="7C679F8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3.1.3 乙方需要更换运维项目负责人的，应提前14天书面通知甲方，并征得甲方书面同意。通知中应当载明继任运维项目负责人的资格、管理经验等资料，继任运维项目负责人继续履行第3.1.1项约定的职责。未经甲方书面同意，乙方不得擅自更换项目负责人。乙方擅自更换运维项目负责人的，应按照专用合同条款的约定承担违约责任。</w:t>
      </w:r>
    </w:p>
    <w:p w14:paraId="7F7CB48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3.1.4 乙方应在接到甲方更换运维项目负责人通知后，14天内进行更换，并将新任命的运维项目负责人的资格、管理经验等资料书面通知甲方。继任运维项目负责人继续履行第3.1.1项约定的职责。乙方无正当理由拒绝更换运维项目负责人的，应按照合同条款的约定承担违约责任。</w:t>
      </w:r>
    </w:p>
    <w:p w14:paraId="1CB6F4C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3.1.5 除专用合同条款另有约定外，乙方的项目负责人离开运维项目所在地每月累计超过15天的，应通知甲方，并征得甲方书面同意。运维项目负责人因特殊情况授权其下属人员履行其某项工作职责的，该下属人员应具备履行相应职责的能力，并应提前7天将上述人员的姓名和授权范围书面通知甲方，并征得甲方书面同意。</w:t>
      </w:r>
    </w:p>
    <w:p w14:paraId="0BE45BBF">
      <w:pPr>
        <w:snapToGrid w:val="0"/>
        <w:spacing w:line="360" w:lineRule="auto"/>
        <w:ind w:firstLine="413" w:firstLineChars="196"/>
        <w:rPr>
          <w:rFonts w:hint="eastAsia" w:ascii="宋体" w:hAnsi="宋体" w:eastAsia="宋体" w:cs="宋体"/>
          <w:b/>
          <w:bCs/>
          <w:szCs w:val="21"/>
          <w:highlight w:val="none"/>
          <w:lang w:val="en-US" w:eastAsia="zh-CN"/>
        </w:rPr>
      </w:pPr>
      <w:bookmarkStart w:id="78" w:name="_Toc2202"/>
      <w:r>
        <w:rPr>
          <w:rFonts w:hint="eastAsia" w:ascii="宋体" w:hAnsi="宋体" w:eastAsia="宋体" w:cs="宋体"/>
          <w:b/>
          <w:bCs/>
          <w:szCs w:val="21"/>
          <w:highlight w:val="none"/>
          <w:lang w:val="en-US" w:eastAsia="zh-CN"/>
        </w:rPr>
        <w:t>3.2 项目人员</w:t>
      </w:r>
      <w:bookmarkEnd w:id="78"/>
    </w:p>
    <w:p w14:paraId="0F9F92C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3.2.1 乙方应在接到中标通知书或运维移交通知后7天内，向甲方提交乙方运维项目管理机构及运维管理人员安排的报告，具体内容在专用合同条款中明确主要人员名单及其岗位、执业资格等，以及各工种专业操作员的安排情况，并同时提交主要运维管理人员与乙方之间的劳动关系证明和缴纳社会保险的有效证明。</w:t>
      </w:r>
    </w:p>
    <w:p w14:paraId="25A01D5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3.2.2 乙方派遣到运维现场的主要运维管理人员应相对稳定。运维过程中如有变动，乙方应及时向甲方提交人员变动情况的报告。乙方更换主要运维管理人员时，应提前7天书面通知甲方，并征得甲方书面同意。通知中应当载明继任人员的执业资格、管理经验等资料。</w:t>
      </w:r>
    </w:p>
    <w:p w14:paraId="4E65BB8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特殊工种专业操作人员均应持有相应的资格证明，甲方可以随时检查。</w:t>
      </w:r>
    </w:p>
    <w:p w14:paraId="2A57644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3.2.3 甲方对于乙方主要运维管理人员的资格或能力有异议的，乙方应提供资料证明被质疑人员有能力完成其岗位工作或不存在甲方所质疑的情形。甲方要求撤换不能按照合同约定履行职责及义务的主要运维管理人员的，乙方应当撤换。乙方无正当理由拒绝撤换的，应按照专用合同条款的约定承担违约责任。</w:t>
      </w:r>
    </w:p>
    <w:p w14:paraId="5ECA9DB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3.2.4 除专用合同条款另有约定外，乙方的主要运维管理人员离开运维项目所在地每月累计超过15天的，应通知甲方，并征得甲方书面同意。主要运维管理人员离开前应指定一名有经验的人员临时代行其职责，该人员应具备履行相应职责的资格和能力，且应征得甲方的同意。</w:t>
      </w:r>
    </w:p>
    <w:p w14:paraId="779C7EEE">
      <w:pPr>
        <w:snapToGrid w:val="0"/>
        <w:spacing w:line="360" w:lineRule="auto"/>
        <w:ind w:firstLine="413" w:firstLineChars="196"/>
        <w:rPr>
          <w:rFonts w:hint="eastAsia" w:ascii="宋体" w:hAnsi="宋体" w:eastAsia="宋体" w:cs="宋体"/>
          <w:b/>
          <w:bCs/>
          <w:szCs w:val="21"/>
          <w:highlight w:val="none"/>
          <w:lang w:val="en-US" w:eastAsia="zh-CN"/>
        </w:rPr>
      </w:pPr>
      <w:bookmarkStart w:id="79" w:name="_Toc13450"/>
      <w:r>
        <w:rPr>
          <w:rFonts w:hint="eastAsia" w:ascii="宋体" w:hAnsi="宋体" w:eastAsia="宋体" w:cs="宋体"/>
          <w:b/>
          <w:bCs/>
          <w:szCs w:val="21"/>
          <w:highlight w:val="none"/>
          <w:lang w:val="en-US" w:eastAsia="zh-CN"/>
        </w:rPr>
        <w:t>3.3 乙方一般义务</w:t>
      </w:r>
      <w:bookmarkEnd w:id="79"/>
    </w:p>
    <w:p w14:paraId="64A54D0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乙方在履行合同过程中应遵守法律规章和运行维护服务标准（导则），并履行以下义务：</w:t>
      </w:r>
    </w:p>
    <w:p w14:paraId="4A78C002">
      <w:pPr>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szCs w:val="21"/>
          <w:highlight w:val="none"/>
          <w:lang w:val="en-US" w:eastAsia="zh-CN"/>
        </w:rPr>
        <w:t>（1）具备与其运维处理设施</w:t>
      </w:r>
      <w:r>
        <w:rPr>
          <w:rFonts w:hint="eastAsia" w:ascii="宋体" w:hAnsi="宋体" w:eastAsia="宋体" w:cs="宋体"/>
          <w:color w:val="auto"/>
          <w:szCs w:val="21"/>
          <w:highlight w:val="none"/>
          <w:lang w:val="en-US" w:eastAsia="zh-CN"/>
        </w:rPr>
        <w:t>数量相匹配的企业运维基本能力；</w:t>
      </w:r>
    </w:p>
    <w:p w14:paraId="14EEBA2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val="en-US" w:eastAsia="zh-CN"/>
        </w:rPr>
        <w:t>（2）按法律规章和通用合同条款4〔运维要求〕约定</w:t>
      </w:r>
      <w:r>
        <w:rPr>
          <w:rFonts w:hint="eastAsia" w:ascii="宋体" w:hAnsi="宋体" w:eastAsia="宋体" w:cs="宋体"/>
          <w:szCs w:val="21"/>
          <w:highlight w:val="none"/>
          <w:lang w:val="en-US" w:eastAsia="zh-CN"/>
        </w:rPr>
        <w:t>完成运行维护服务工作；</w:t>
      </w:r>
    </w:p>
    <w:p w14:paraId="258AB36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（3）应当在村内适当位置公示运行维护范围、标准、巡查时间、工作人员及其联系电话、责任人监督电话等内容，接受社会监督</w:t>
      </w:r>
      <w:r>
        <w:rPr>
          <w:rFonts w:hint="eastAsia" w:ascii="宋体" w:hAnsi="宋体" w:cs="宋体"/>
          <w:szCs w:val="21"/>
          <w:highlight w:val="none"/>
          <w:lang w:val="en-US" w:eastAsia="zh-CN"/>
        </w:rPr>
        <w:t>；</w:t>
      </w:r>
    </w:p>
    <w:p w14:paraId="7ACE2A6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（4）按合同约定完成农村生活污水处理设施大修范围以外的所有运维服务对象的维修工作；</w:t>
      </w:r>
    </w:p>
    <w:p w14:paraId="3AE3E0D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（5）采取必要的安全措施，确保其人员、材料和设备的安全，防止因处理设施运维造成的人身伤害和财产损失；</w:t>
      </w:r>
    </w:p>
    <w:p w14:paraId="2F3ACAD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（6）在进行合同约定的各项工作时，不得侵害甲方与他人使用公用道路、水源、市政管网等公共设施的权利，避免对邻近的他人或公共设施产生干扰；</w:t>
      </w:r>
    </w:p>
    <w:p w14:paraId="089EB86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（7）能达标的处理设施排水应符合省农村污水治理水污染物排放标准等标准要求，不能达标的运维项目服务对象应保证正常运行；</w:t>
      </w:r>
    </w:p>
    <w:p w14:paraId="060B794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（8）负责运维废弃物的清掏、收集，并运送到指定地点；</w:t>
      </w:r>
    </w:p>
    <w:p w14:paraId="194180E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（9）将甲方按合同约定支付的运维服务费及时支付其雇用人员工资，不得出现民工集体讨薪或因此产生的维权事件；</w:t>
      </w:r>
    </w:p>
    <w:p w14:paraId="4BD57A9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（10）按照法律规章、标准导则和合同约定编制日常运维记录资料、问题与整改记录和水质检测记录等，完成相关资料立卷及归档，并按专用合同条款约定和相关管理要求移交或报送甲方或甲方指定的单位；</w:t>
      </w:r>
    </w:p>
    <w:p w14:paraId="0191AAA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（11）在服务期内承担甲方因法规和工作需要新增的服务内容，产生的费用由合同当事人协商确定；</w:t>
      </w:r>
    </w:p>
    <w:p w14:paraId="41CF08F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至少每个月向甲方报送一次其运维服务范围内所有设施的体检报告，体检报告的内容包括但不限于运维服务机构对农村生活污水处理设施环境、水质、水量、处理工艺及设备工况等现状进行综合评价分析，并对下一步运维提出合理化建议的报告。</w:t>
      </w:r>
    </w:p>
    <w:p w14:paraId="3D5EA2B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（13）应履行的其他义务。</w:t>
      </w:r>
    </w:p>
    <w:p w14:paraId="1326189A">
      <w:pPr>
        <w:snapToGrid w:val="0"/>
        <w:spacing w:line="360" w:lineRule="auto"/>
        <w:ind w:firstLine="413" w:firstLineChars="196"/>
        <w:rPr>
          <w:rFonts w:hint="eastAsia" w:ascii="宋体" w:hAnsi="宋体" w:eastAsia="宋体" w:cs="宋体"/>
          <w:b/>
          <w:bCs/>
          <w:szCs w:val="21"/>
          <w:highlight w:val="none"/>
          <w:lang w:val="en-US" w:eastAsia="zh-CN"/>
        </w:rPr>
      </w:pPr>
      <w:bookmarkStart w:id="80" w:name="_Toc351203522"/>
      <w:bookmarkStart w:id="81" w:name="_Toc18860"/>
      <w:r>
        <w:rPr>
          <w:rFonts w:hint="eastAsia" w:ascii="宋体" w:hAnsi="宋体" w:eastAsia="宋体" w:cs="宋体"/>
          <w:b/>
          <w:bCs/>
          <w:szCs w:val="21"/>
          <w:highlight w:val="none"/>
          <w:lang w:val="en-US" w:eastAsia="zh-CN"/>
        </w:rPr>
        <w:t>3</w:t>
      </w:r>
      <w:bookmarkStart w:id="82" w:name="_Toc296346551"/>
      <w:bookmarkStart w:id="83" w:name="_Toc296503050"/>
      <w:bookmarkStart w:id="84" w:name="_Toc337558750"/>
      <w:r>
        <w:rPr>
          <w:rFonts w:hint="eastAsia" w:ascii="宋体" w:hAnsi="宋体" w:eastAsia="宋体" w:cs="宋体"/>
          <w:b/>
          <w:bCs/>
          <w:szCs w:val="21"/>
          <w:highlight w:val="none"/>
          <w:lang w:val="en-US" w:eastAsia="zh-CN"/>
        </w:rPr>
        <w:t>.4 乙方现场</w:t>
      </w:r>
      <w:bookmarkEnd w:id="80"/>
      <w:r>
        <w:rPr>
          <w:rFonts w:hint="eastAsia" w:ascii="宋体" w:hAnsi="宋体" w:eastAsia="宋体" w:cs="宋体"/>
          <w:b/>
          <w:bCs/>
          <w:szCs w:val="21"/>
          <w:highlight w:val="none"/>
          <w:lang w:val="en-US" w:eastAsia="zh-CN"/>
        </w:rPr>
        <w:t>踏勘</w:t>
      </w:r>
      <w:bookmarkEnd w:id="81"/>
    </w:p>
    <w:bookmarkEnd w:id="82"/>
    <w:bookmarkEnd w:id="83"/>
    <w:bookmarkEnd w:id="84"/>
    <w:p w14:paraId="6D952F5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乙方应对基于甲方按照通用合同条款2.3.1〔提供运维服务条件〕和2.3.2〔提供基础资料〕提交的资料所做出的解释和推断负责，但因资料存在错误、遗漏导致乙方解释或推断失实的，由甲方承担责任。</w:t>
      </w:r>
    </w:p>
    <w:p w14:paraId="3D0552E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应对处理设施和运维条件进行踏勘，并充分了解运维项目所在地的气象条件、交通条件、风俗习惯以及其他与完成合同工作有关的其他资料。因乙方未能充分踏勘、了解前述情况或未能充分估计前述情况所可能产生后果的，乙方承担由此产生的费用和（或）相关责任。</w:t>
      </w:r>
    </w:p>
    <w:p w14:paraId="2BBFAC9A">
      <w:pPr>
        <w:snapToGrid w:val="0"/>
        <w:spacing w:line="360" w:lineRule="auto"/>
        <w:ind w:firstLine="413" w:firstLineChars="196"/>
        <w:rPr>
          <w:rFonts w:hint="eastAsia" w:ascii="宋体" w:hAnsi="宋体" w:eastAsia="宋体" w:cs="宋体"/>
          <w:b/>
          <w:bCs/>
          <w:szCs w:val="21"/>
          <w:highlight w:val="none"/>
          <w:lang w:val="en-US" w:eastAsia="zh-CN"/>
        </w:rPr>
      </w:pPr>
      <w:bookmarkStart w:id="85" w:name="_Toc7264"/>
      <w:r>
        <w:rPr>
          <w:rFonts w:hint="eastAsia" w:ascii="宋体" w:hAnsi="宋体" w:eastAsia="宋体" w:cs="宋体"/>
          <w:b/>
          <w:bCs/>
          <w:szCs w:val="21"/>
          <w:highlight w:val="none"/>
          <w:lang w:val="en-US" w:eastAsia="zh-CN"/>
        </w:rPr>
        <w:t>3.5 分包</w:t>
      </w:r>
      <w:bookmarkEnd w:id="85"/>
    </w:p>
    <w:p w14:paraId="49D6F1F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除专用合同条款另有约定外，乙方不得将除劳务分包外的内容分包给第三方。</w:t>
      </w:r>
    </w:p>
    <w:p w14:paraId="6BF84658">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3.6 履约担保</w:t>
      </w:r>
    </w:p>
    <w:p w14:paraId="4D05469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本项目不做要求</w:t>
      </w:r>
      <w:r>
        <w:rPr>
          <w:rFonts w:hint="eastAsia" w:ascii="宋体" w:hAnsi="宋体" w:eastAsia="宋体" w:cs="宋体"/>
          <w:szCs w:val="21"/>
          <w:highlight w:val="none"/>
          <w:lang w:val="en-US" w:eastAsia="zh-CN"/>
        </w:rPr>
        <w:t>。</w:t>
      </w:r>
    </w:p>
    <w:p w14:paraId="6133F613">
      <w:pPr>
        <w:pStyle w:val="3"/>
        <w:numPr>
          <w:ilvl w:val="0"/>
          <w:numId w:val="0"/>
        </w:numPr>
        <w:spacing w:line="240" w:lineRule="auto"/>
        <w:ind w:leftChars="0"/>
        <w:rPr>
          <w:rFonts w:hint="eastAsia" w:ascii="宋体" w:hAnsi="宋体" w:eastAsia="宋体" w:cs="宋体"/>
          <w:b/>
          <w:bCs/>
          <w:kern w:val="2"/>
          <w:sz w:val="22"/>
          <w:szCs w:val="22"/>
          <w:highlight w:val="none"/>
          <w:lang w:val="en-US" w:eastAsia="zh-CN" w:bidi="ar-SA"/>
        </w:rPr>
      </w:pPr>
      <w:bookmarkStart w:id="86" w:name="_Toc4740"/>
      <w:r>
        <w:rPr>
          <w:rFonts w:hint="eastAsia" w:ascii="宋体" w:hAnsi="宋体" w:eastAsia="宋体" w:cs="宋体"/>
          <w:b/>
          <w:bCs/>
          <w:kern w:val="2"/>
          <w:sz w:val="22"/>
          <w:szCs w:val="22"/>
          <w:highlight w:val="none"/>
          <w:lang w:val="en-US" w:eastAsia="zh-CN" w:bidi="ar-SA"/>
        </w:rPr>
        <w:t>4.运维要求</w:t>
      </w:r>
      <w:bookmarkEnd w:id="86"/>
    </w:p>
    <w:p w14:paraId="4805CCBB">
      <w:pPr>
        <w:snapToGrid w:val="0"/>
        <w:spacing w:line="360" w:lineRule="auto"/>
        <w:ind w:firstLine="413" w:firstLineChars="196"/>
        <w:rPr>
          <w:rFonts w:hint="eastAsia" w:ascii="宋体" w:hAnsi="宋体" w:eastAsia="宋体" w:cs="宋体"/>
          <w:b/>
          <w:bCs/>
          <w:szCs w:val="21"/>
          <w:highlight w:val="none"/>
          <w:lang w:val="en-US" w:eastAsia="zh-CN"/>
        </w:rPr>
      </w:pPr>
      <w:bookmarkStart w:id="87" w:name="_Toc20468"/>
      <w:r>
        <w:rPr>
          <w:rFonts w:hint="eastAsia" w:ascii="宋体" w:hAnsi="宋体" w:eastAsia="宋体" w:cs="宋体"/>
          <w:b/>
          <w:bCs/>
          <w:szCs w:val="21"/>
          <w:highlight w:val="none"/>
          <w:lang w:val="en-US" w:eastAsia="zh-CN"/>
        </w:rPr>
        <w:t xml:space="preserve">4.1 </w:t>
      </w:r>
      <w:bookmarkEnd w:id="87"/>
      <w:r>
        <w:rPr>
          <w:rFonts w:hint="eastAsia" w:ascii="宋体" w:hAnsi="宋体" w:eastAsia="宋体" w:cs="宋体"/>
          <w:b/>
          <w:bCs/>
          <w:szCs w:val="21"/>
          <w:highlight w:val="none"/>
          <w:lang w:val="en-US" w:eastAsia="zh-CN"/>
        </w:rPr>
        <w:t xml:space="preserve"> 基本要求</w:t>
      </w:r>
    </w:p>
    <w:p w14:paraId="2933A14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4.1.1经甲乙双方确认，能达标的处理设施应达标运行；非达标处理设施和其他运维服务对象应正常运行。</w:t>
      </w:r>
    </w:p>
    <w:p w14:paraId="1ACBEA4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4.1.2乙方应当建立健全运行服务质量管理文件以及与其运维项目相适应的规章制度、工艺文件和作业指导书。</w:t>
      </w:r>
    </w:p>
    <w:p w14:paraId="690200F2">
      <w:pPr>
        <w:snapToGrid w:val="0"/>
        <w:spacing w:line="360" w:lineRule="auto"/>
        <w:ind w:firstLine="411" w:firstLineChars="196"/>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4.1.3乙方应按企业基本条件要求加强信息化建设。</w:t>
      </w:r>
    </w:p>
    <w:p w14:paraId="43BB7160">
      <w:pPr>
        <w:snapToGrid w:val="0"/>
        <w:spacing w:line="360" w:lineRule="auto"/>
        <w:ind w:firstLine="411" w:firstLineChars="196"/>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4.1.</w:t>
      </w:r>
      <w:r>
        <w:rPr>
          <w:rFonts w:hint="eastAsia" w:ascii="宋体" w:hAnsi="宋体" w:cs="宋体"/>
          <w:szCs w:val="21"/>
          <w:highlight w:val="none"/>
          <w:lang w:val="en-US" w:eastAsia="zh-CN"/>
        </w:rPr>
        <w:t>4</w:t>
      </w:r>
      <w:r>
        <w:rPr>
          <w:rFonts w:hint="default" w:ascii="宋体" w:hAnsi="宋体" w:eastAsia="宋体" w:cs="宋体"/>
          <w:szCs w:val="21"/>
          <w:highlight w:val="none"/>
          <w:lang w:val="en-US" w:eastAsia="zh-CN"/>
        </w:rPr>
        <w:t>乙方应依照法律规章、标准导则和合同约定，对运维项目服务对象进行日常养护、巡查，及时处理故障，清理运输运维服务过程中产生的废弃物。</w:t>
      </w:r>
    </w:p>
    <w:p w14:paraId="009A2F1E">
      <w:pPr>
        <w:snapToGrid w:val="0"/>
        <w:spacing w:line="360" w:lineRule="auto"/>
        <w:ind w:firstLine="411" w:firstLineChars="196"/>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4.1.</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乙方不得擅自停运污水处理设施。因检修、停用等原因确需停运全部或者部分污水处理设施的，应当在十个工作日前将停运原因、相应应急处理措施等向乡镇人民政府或者县（市、区）污水处理设施主管部门报告，并通知相关单位和个人。</w:t>
      </w:r>
    </w:p>
    <w:p w14:paraId="67C78EED">
      <w:pPr>
        <w:snapToGrid w:val="0"/>
        <w:spacing w:line="360" w:lineRule="auto"/>
        <w:ind w:firstLine="413" w:firstLineChars="196"/>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4.2</w:t>
      </w:r>
      <w:r>
        <w:rPr>
          <w:rFonts w:hint="default" w:ascii="宋体" w:hAnsi="宋体" w:eastAsia="宋体" w:cs="宋体"/>
          <w:b/>
          <w:bCs/>
          <w:szCs w:val="21"/>
          <w:highlight w:val="none"/>
          <w:lang w:val="en-US" w:eastAsia="zh-CN"/>
        </w:rPr>
        <w:t>运维相关配置</w:t>
      </w:r>
    </w:p>
    <w:p w14:paraId="1BC18D3C">
      <w:pPr>
        <w:snapToGrid w:val="0"/>
        <w:spacing w:line="360" w:lineRule="auto"/>
        <w:ind w:firstLine="411" w:firstLineChars="196"/>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乙方应按照运维企业基本条件要求，为本运维项目配置，包括但不限于办公场所、化验室、人员配备、运维车辆、运维工器具、运维信息中心（平台），明确配置的数量、到位时间、相关技术参数规格等要求。</w:t>
      </w:r>
    </w:p>
    <w:p w14:paraId="662996C3">
      <w:pPr>
        <w:snapToGrid w:val="0"/>
        <w:spacing w:line="360" w:lineRule="auto"/>
        <w:ind w:firstLine="413" w:firstLineChars="196"/>
        <w:rPr>
          <w:rFonts w:hint="eastAsia" w:ascii="宋体" w:hAnsi="宋体" w:eastAsia="宋体" w:cs="宋体"/>
          <w:b/>
          <w:bCs/>
          <w:szCs w:val="21"/>
          <w:highlight w:val="none"/>
          <w:lang w:val="en-US" w:eastAsia="zh-CN"/>
        </w:rPr>
      </w:pPr>
      <w:bookmarkStart w:id="88" w:name="_Toc2345"/>
      <w:r>
        <w:rPr>
          <w:rFonts w:hint="eastAsia" w:ascii="宋体" w:hAnsi="宋体" w:eastAsia="宋体" w:cs="宋体"/>
          <w:b/>
          <w:bCs/>
          <w:szCs w:val="21"/>
          <w:highlight w:val="none"/>
          <w:lang w:val="en-US" w:eastAsia="zh-CN"/>
        </w:rPr>
        <w:t>4.3 运行维护服务的内容</w:t>
      </w:r>
      <w:bookmarkEnd w:id="88"/>
    </w:p>
    <w:p w14:paraId="219DAA4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运行维护服务的内容应按照专用合同条款约定执行。</w:t>
      </w:r>
    </w:p>
    <w:p w14:paraId="1519C350">
      <w:pPr>
        <w:snapToGrid w:val="0"/>
        <w:spacing w:line="360" w:lineRule="auto"/>
        <w:ind w:firstLine="413" w:firstLineChars="196"/>
        <w:rPr>
          <w:rFonts w:hint="eastAsia" w:ascii="宋体" w:hAnsi="宋体" w:eastAsia="宋体" w:cs="宋体"/>
          <w:b/>
          <w:bCs/>
          <w:szCs w:val="21"/>
          <w:highlight w:val="none"/>
          <w:lang w:val="en-US" w:eastAsia="zh-CN"/>
        </w:rPr>
      </w:pPr>
      <w:bookmarkStart w:id="89" w:name="_Toc30133"/>
      <w:r>
        <w:rPr>
          <w:rFonts w:hint="eastAsia" w:ascii="宋体" w:hAnsi="宋体" w:eastAsia="宋体" w:cs="宋体"/>
          <w:b/>
          <w:bCs/>
          <w:szCs w:val="21"/>
          <w:highlight w:val="none"/>
          <w:lang w:val="en-US" w:eastAsia="zh-CN"/>
        </w:rPr>
        <w:t xml:space="preserve">4.4 </w:t>
      </w:r>
      <w:bookmarkEnd w:id="89"/>
      <w:r>
        <w:rPr>
          <w:rFonts w:hint="eastAsia" w:ascii="宋体" w:hAnsi="宋体" w:eastAsia="宋体" w:cs="宋体"/>
          <w:b/>
          <w:bCs/>
          <w:szCs w:val="21"/>
          <w:highlight w:val="none"/>
          <w:lang w:val="en-US" w:eastAsia="zh-CN"/>
        </w:rPr>
        <w:t>审（考）核</w:t>
      </w:r>
    </w:p>
    <w:p w14:paraId="367B26D6">
      <w:pPr>
        <w:snapToGrid w:val="0"/>
        <w:spacing w:line="360" w:lineRule="auto"/>
        <w:ind w:firstLine="411" w:firstLineChars="196"/>
        <w:rPr>
          <w:rFonts w:hint="eastAsia"/>
          <w:highlight w:val="none"/>
          <w:lang w:val="en-US" w:eastAsia="zh-CN"/>
        </w:rPr>
      </w:pPr>
      <w:r>
        <w:rPr>
          <w:rFonts w:hint="eastAsia" w:ascii="宋体" w:hAnsi="宋体" w:eastAsia="宋体" w:cs="宋体"/>
          <w:szCs w:val="21"/>
          <w:highlight w:val="none"/>
          <w:lang w:val="en-US" w:eastAsia="zh-CN"/>
        </w:rPr>
        <w:t>对乙方审（考）核运行维护服务的内容应按照专用合同条款约定执行。</w:t>
      </w:r>
    </w:p>
    <w:p w14:paraId="4D2E2560">
      <w:pPr>
        <w:pStyle w:val="3"/>
        <w:spacing w:line="240" w:lineRule="auto"/>
        <w:rPr>
          <w:rFonts w:hint="eastAsia" w:ascii="宋体" w:hAnsi="宋体" w:eastAsia="宋体" w:cs="宋体"/>
          <w:b/>
          <w:bCs/>
          <w:kern w:val="2"/>
          <w:sz w:val="22"/>
          <w:szCs w:val="22"/>
          <w:highlight w:val="none"/>
          <w:lang w:val="en-US" w:eastAsia="zh-CN" w:bidi="ar-SA"/>
        </w:rPr>
      </w:pPr>
      <w:bookmarkStart w:id="90" w:name="_Toc23597"/>
      <w:r>
        <w:rPr>
          <w:rFonts w:hint="eastAsia" w:ascii="宋体" w:hAnsi="宋体" w:eastAsia="宋体" w:cs="宋体"/>
          <w:b/>
          <w:bCs/>
          <w:kern w:val="2"/>
          <w:sz w:val="22"/>
          <w:szCs w:val="22"/>
          <w:highlight w:val="none"/>
          <w:lang w:val="en-US" w:eastAsia="zh-CN" w:bidi="ar-SA"/>
        </w:rPr>
        <w:t>5.运维服务费的支付</w:t>
      </w:r>
      <w:bookmarkEnd w:id="90"/>
    </w:p>
    <w:p w14:paraId="01607395">
      <w:pPr>
        <w:snapToGrid w:val="0"/>
        <w:spacing w:line="360" w:lineRule="auto"/>
        <w:ind w:firstLine="413" w:firstLineChars="196"/>
        <w:rPr>
          <w:rFonts w:hint="eastAsia" w:ascii="宋体" w:hAnsi="宋体" w:eastAsia="宋体" w:cs="宋体"/>
          <w:b/>
          <w:bCs/>
          <w:szCs w:val="21"/>
          <w:highlight w:val="none"/>
          <w:lang w:val="en-US" w:eastAsia="zh-CN"/>
        </w:rPr>
      </w:pPr>
      <w:bookmarkStart w:id="91" w:name="_Toc1889"/>
      <w:r>
        <w:rPr>
          <w:rFonts w:hint="eastAsia" w:ascii="宋体" w:hAnsi="宋体" w:eastAsia="宋体" w:cs="宋体"/>
          <w:b/>
          <w:bCs/>
          <w:szCs w:val="21"/>
          <w:highlight w:val="none"/>
          <w:lang w:val="en-US" w:eastAsia="zh-CN"/>
        </w:rPr>
        <w:t>5.1 预付款</w:t>
      </w:r>
      <w:bookmarkEnd w:id="91"/>
    </w:p>
    <w:p w14:paraId="5D31BBE2">
      <w:pPr>
        <w:snapToGrid w:val="0"/>
        <w:spacing w:line="360" w:lineRule="auto"/>
        <w:ind w:firstLine="411" w:firstLineChars="196"/>
        <w:rPr>
          <w:rFonts w:hint="eastAsia" w:ascii="宋体" w:hAnsi="宋体" w:eastAsia="宋体" w:cs="宋体"/>
          <w:szCs w:val="21"/>
          <w:highlight w:val="none"/>
          <w:lang w:val="en-US" w:eastAsia="zh-CN"/>
        </w:rPr>
      </w:pPr>
      <w:bookmarkStart w:id="92" w:name="_Toc288"/>
      <w:r>
        <w:rPr>
          <w:rFonts w:hint="eastAsia" w:ascii="宋体" w:hAnsi="宋体" w:eastAsia="宋体" w:cs="宋体"/>
          <w:szCs w:val="21"/>
          <w:highlight w:val="none"/>
          <w:lang w:val="en-US" w:eastAsia="zh-CN"/>
        </w:rPr>
        <w:t>合同生效并具备实施条件后7个工作日内，甲方凭乙方开具的发票支付合同金额的50%；乙方于合同签订前书面承诺放弃预付款或降低预付款支付比例的，可不适用本条款。</w:t>
      </w:r>
      <w:bookmarkEnd w:id="92"/>
    </w:p>
    <w:p w14:paraId="1B74EDFF">
      <w:pPr>
        <w:snapToGrid w:val="0"/>
        <w:spacing w:line="360" w:lineRule="auto"/>
        <w:ind w:firstLine="413" w:firstLineChars="196"/>
        <w:rPr>
          <w:rFonts w:hint="eastAsia" w:ascii="宋体" w:hAnsi="宋体" w:eastAsia="宋体" w:cs="宋体"/>
          <w:b/>
          <w:bCs/>
          <w:szCs w:val="21"/>
          <w:highlight w:val="none"/>
          <w:lang w:val="en-US" w:eastAsia="zh-CN"/>
        </w:rPr>
      </w:pPr>
      <w:bookmarkStart w:id="93" w:name="_Toc7230"/>
      <w:r>
        <w:rPr>
          <w:rFonts w:hint="eastAsia" w:ascii="宋体" w:hAnsi="宋体" w:eastAsia="宋体" w:cs="宋体"/>
          <w:b/>
          <w:bCs/>
          <w:szCs w:val="21"/>
          <w:highlight w:val="none"/>
          <w:lang w:val="en-US" w:eastAsia="zh-CN"/>
        </w:rPr>
        <w:t>5.2 费用结算</w:t>
      </w:r>
      <w:bookmarkEnd w:id="93"/>
    </w:p>
    <w:p w14:paraId="286BCD6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5.2.1结算原则</w:t>
      </w:r>
    </w:p>
    <w:p w14:paraId="2054367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运维服务费按照合同约定的合同价格、结算周期、考核结果等进行。</w:t>
      </w:r>
    </w:p>
    <w:p w14:paraId="3FF531A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5.2.2 结算周期</w:t>
      </w:r>
    </w:p>
    <w:p w14:paraId="63390CF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除专用合同条款另有约定外，结算周期按月进行。</w:t>
      </w:r>
    </w:p>
    <w:p w14:paraId="542933A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5.2.3费用确定</w:t>
      </w:r>
    </w:p>
    <w:p w14:paraId="13F2C50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费用确定按照专用合同条款约定执行。</w:t>
      </w:r>
    </w:p>
    <w:p w14:paraId="1CA34A1E">
      <w:pPr>
        <w:snapToGrid w:val="0"/>
        <w:spacing w:line="360" w:lineRule="auto"/>
        <w:ind w:firstLine="413" w:firstLineChars="196"/>
        <w:rPr>
          <w:rFonts w:hint="eastAsia" w:ascii="宋体" w:hAnsi="宋体" w:eastAsia="宋体" w:cs="宋体"/>
          <w:szCs w:val="21"/>
          <w:highlight w:val="none"/>
          <w:lang w:val="en-US" w:eastAsia="zh-CN"/>
        </w:rPr>
      </w:pPr>
      <w:bookmarkStart w:id="94" w:name="_Toc641"/>
      <w:r>
        <w:rPr>
          <w:rFonts w:hint="eastAsia" w:ascii="宋体" w:hAnsi="宋体" w:eastAsia="宋体" w:cs="宋体"/>
          <w:b/>
          <w:bCs/>
          <w:szCs w:val="21"/>
          <w:highlight w:val="none"/>
          <w:lang w:val="en-US" w:eastAsia="zh-CN"/>
        </w:rPr>
        <w:t>5.3运维服务费的支付</w:t>
      </w:r>
      <w:bookmarkEnd w:id="94"/>
    </w:p>
    <w:p w14:paraId="3B2338F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详见专用合同条款。</w:t>
      </w:r>
    </w:p>
    <w:p w14:paraId="7BC3835B">
      <w:pPr>
        <w:snapToGrid w:val="0"/>
        <w:spacing w:line="360" w:lineRule="auto"/>
        <w:ind w:firstLine="413" w:firstLineChars="196"/>
        <w:rPr>
          <w:rFonts w:hint="eastAsia" w:ascii="宋体" w:hAnsi="宋体" w:eastAsia="宋体" w:cs="宋体"/>
          <w:b/>
          <w:bCs/>
          <w:szCs w:val="21"/>
          <w:highlight w:val="none"/>
          <w:lang w:val="en-US" w:eastAsia="zh-CN"/>
        </w:rPr>
      </w:pPr>
      <w:bookmarkStart w:id="95" w:name="_Toc30424"/>
      <w:r>
        <w:rPr>
          <w:rFonts w:hint="eastAsia" w:ascii="宋体" w:hAnsi="宋体" w:eastAsia="宋体" w:cs="宋体"/>
          <w:b/>
          <w:bCs/>
          <w:szCs w:val="21"/>
          <w:highlight w:val="none"/>
          <w:lang w:val="en-US" w:eastAsia="zh-CN"/>
        </w:rPr>
        <w:t>5.4票据</w:t>
      </w:r>
      <w:bookmarkEnd w:id="95"/>
    </w:p>
    <w:p w14:paraId="1355B9B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除专用合同条款另有约定外，乙方应在甲方支付运维服务费时提供相应税务局正式票据。</w:t>
      </w:r>
    </w:p>
    <w:p w14:paraId="73287721">
      <w:pPr>
        <w:snapToGrid w:val="0"/>
        <w:spacing w:line="360" w:lineRule="auto"/>
        <w:ind w:firstLine="413" w:firstLineChars="196"/>
        <w:rPr>
          <w:rFonts w:hint="eastAsia" w:ascii="宋体" w:hAnsi="宋体" w:eastAsia="宋体" w:cs="宋体"/>
          <w:b/>
          <w:bCs/>
          <w:szCs w:val="21"/>
          <w:highlight w:val="none"/>
          <w:lang w:val="en-US" w:eastAsia="zh-CN"/>
        </w:rPr>
      </w:pPr>
      <w:bookmarkStart w:id="96" w:name="_Toc31394"/>
      <w:r>
        <w:rPr>
          <w:rFonts w:hint="eastAsia" w:ascii="宋体" w:hAnsi="宋体" w:eastAsia="宋体" w:cs="宋体"/>
          <w:b/>
          <w:bCs/>
          <w:szCs w:val="21"/>
          <w:highlight w:val="none"/>
          <w:lang w:val="en-US" w:eastAsia="zh-CN"/>
        </w:rPr>
        <w:t>5.5支付账户</w:t>
      </w:r>
      <w:bookmarkEnd w:id="96"/>
    </w:p>
    <w:p w14:paraId="71A1CA5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甲方应将运维服务费支付至合同协议书中约定的乙方账户。</w:t>
      </w:r>
    </w:p>
    <w:p w14:paraId="443CFAFB">
      <w:pPr>
        <w:pStyle w:val="3"/>
        <w:spacing w:line="240" w:lineRule="auto"/>
        <w:rPr>
          <w:rFonts w:hint="eastAsia" w:ascii="宋体" w:hAnsi="宋体" w:eastAsia="宋体" w:cs="宋体"/>
          <w:b/>
          <w:bCs/>
          <w:kern w:val="2"/>
          <w:sz w:val="22"/>
          <w:szCs w:val="22"/>
          <w:highlight w:val="none"/>
          <w:lang w:val="en-US" w:eastAsia="zh-CN" w:bidi="ar-SA"/>
        </w:rPr>
      </w:pPr>
      <w:bookmarkStart w:id="97" w:name="_Toc2625"/>
      <w:r>
        <w:rPr>
          <w:rFonts w:hint="eastAsia" w:ascii="宋体" w:hAnsi="宋体" w:eastAsia="宋体" w:cs="宋体"/>
          <w:b/>
          <w:bCs/>
          <w:kern w:val="2"/>
          <w:sz w:val="22"/>
          <w:szCs w:val="22"/>
          <w:highlight w:val="none"/>
          <w:lang w:val="en-US" w:eastAsia="zh-CN" w:bidi="ar-SA"/>
        </w:rPr>
        <w:t>6.违约</w:t>
      </w:r>
      <w:bookmarkEnd w:id="97"/>
    </w:p>
    <w:p w14:paraId="19B09975">
      <w:pPr>
        <w:snapToGrid w:val="0"/>
        <w:spacing w:line="360" w:lineRule="auto"/>
        <w:ind w:firstLine="413" w:firstLineChars="196"/>
        <w:rPr>
          <w:rFonts w:hint="eastAsia" w:ascii="宋体" w:hAnsi="宋体" w:eastAsia="宋体" w:cs="宋体"/>
          <w:b/>
          <w:bCs/>
          <w:szCs w:val="21"/>
          <w:highlight w:val="none"/>
          <w:lang w:val="en-US" w:eastAsia="zh-CN"/>
        </w:rPr>
      </w:pPr>
      <w:bookmarkStart w:id="98" w:name="_Toc4634"/>
      <w:r>
        <w:rPr>
          <w:rFonts w:hint="eastAsia" w:ascii="宋体" w:hAnsi="宋体" w:eastAsia="宋体" w:cs="宋体"/>
          <w:b/>
          <w:bCs/>
          <w:szCs w:val="21"/>
          <w:highlight w:val="none"/>
          <w:lang w:val="en-US" w:eastAsia="zh-CN"/>
        </w:rPr>
        <w:t>6.1甲方违约</w:t>
      </w:r>
      <w:bookmarkEnd w:id="98"/>
    </w:p>
    <w:p w14:paraId="3A35F36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6.1.1甲方违约的情形</w:t>
      </w:r>
    </w:p>
    <w:p w14:paraId="70AF049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在合同履行过程中发生的下列情形，属于甲方违约：</w:t>
      </w:r>
    </w:p>
    <w:p w14:paraId="6800242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（1）因甲方原因未按合同约定办理移交手续；</w:t>
      </w:r>
    </w:p>
    <w:p w14:paraId="4DF6DF9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（2）因甲方原因未能按合同约定支付运维服务费的；</w:t>
      </w:r>
    </w:p>
    <w:p w14:paraId="42D0E76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（3）因甲方违反合同约定造成乙方不能继续运维的；</w:t>
      </w:r>
    </w:p>
    <w:p w14:paraId="61F36F6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（4）甲方明确表示或者以其行为表明不履行合同主要义务的；</w:t>
      </w:r>
    </w:p>
    <w:p w14:paraId="4AFD8D8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（5）甲方未能按照合同约定履行其他义务的。</w:t>
      </w:r>
    </w:p>
    <w:p w14:paraId="2098B27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6.1.2甲方违约的责任</w:t>
      </w:r>
    </w:p>
    <w:p w14:paraId="56A5BCA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甲方因违约给乙方造成损失，应支付乙方损失所产生的合理费用。合同当事人可在专用合同条款中另行约定甲方违约责任的承担方式和计算方法。</w:t>
      </w:r>
    </w:p>
    <w:p w14:paraId="56396D6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6.1.3 因甲方违约解除合同</w:t>
      </w:r>
    </w:p>
    <w:p w14:paraId="1234065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甲方出现通用合同条款6.1.1〔甲方违约的情形〕约定的违约情形满28天后，甲方仍不纠正其违约行为并致使合同目的不能实现的，乙方有权解除合同，甲方应承担由此增加的费用，并支付乙方合理的费用。</w:t>
      </w:r>
    </w:p>
    <w:p w14:paraId="1BC4009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6.1.4 因甲方违约解除合同后的付款</w:t>
      </w:r>
    </w:p>
    <w:p w14:paraId="36D3BA1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乙方按照本款约定解除合同的，双方当事人应在解除合同后28天内完成下列款项的结算和支付：</w:t>
      </w:r>
    </w:p>
    <w:p w14:paraId="36C483D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（1）合同解除前所完成运维服务的费用；</w:t>
      </w:r>
    </w:p>
    <w:p w14:paraId="6BC134E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（2）按照合同约定在合同解除前应支付的违约金；</w:t>
      </w:r>
    </w:p>
    <w:p w14:paraId="177255E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（3）按照合同约定应当支付给乙方的其他款项；</w:t>
      </w:r>
    </w:p>
    <w:p w14:paraId="7E6C1A9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（4）按照合同约定应退还的履约担保；</w:t>
      </w:r>
    </w:p>
    <w:p w14:paraId="72101E4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（5）因解除合同给乙方造成的损失。</w:t>
      </w:r>
    </w:p>
    <w:p w14:paraId="70DE464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合同当事人未能就解除合同后的项目结算和（或）款项支付达成一致的，按照通用合同条款9〔争议解决〕及专用合同条款的约定处理。</w:t>
      </w:r>
    </w:p>
    <w:p w14:paraId="17C17F68">
      <w:pPr>
        <w:snapToGrid w:val="0"/>
        <w:spacing w:line="360" w:lineRule="auto"/>
        <w:ind w:firstLine="411" w:firstLineChars="196"/>
        <w:rPr>
          <w:rFonts w:hint="eastAsia" w:ascii="仿宋" w:hAnsi="仿宋" w:eastAsia="仿宋" w:cs="仿宋"/>
          <w:color w:val="000000"/>
          <w:kern w:val="0"/>
          <w:sz w:val="22"/>
          <w:szCs w:val="22"/>
          <w:highlight w:val="none"/>
        </w:rPr>
      </w:pPr>
      <w:r>
        <w:rPr>
          <w:rFonts w:hint="eastAsia" w:ascii="宋体" w:hAnsi="宋体" w:eastAsia="宋体" w:cs="宋体"/>
          <w:szCs w:val="21"/>
          <w:highlight w:val="none"/>
          <w:lang w:val="en-US" w:eastAsia="zh-CN"/>
        </w:rPr>
        <w:t>乙方应妥善做好处理设施的保护和移交工作，并将相关运维设备和运维人员撤出，甲方应为乙方撤出提供必要条件。</w:t>
      </w:r>
    </w:p>
    <w:p w14:paraId="66D748DE">
      <w:pPr>
        <w:snapToGrid w:val="0"/>
        <w:spacing w:line="360" w:lineRule="auto"/>
        <w:ind w:firstLine="413" w:firstLineChars="196"/>
        <w:rPr>
          <w:rFonts w:hint="eastAsia" w:ascii="宋体" w:hAnsi="宋体" w:eastAsia="宋体" w:cs="宋体"/>
          <w:b/>
          <w:bCs/>
          <w:szCs w:val="21"/>
          <w:highlight w:val="none"/>
          <w:lang w:val="en-US" w:eastAsia="zh-CN"/>
        </w:rPr>
      </w:pPr>
      <w:bookmarkStart w:id="99" w:name="_Toc32607"/>
      <w:r>
        <w:rPr>
          <w:rFonts w:hint="eastAsia" w:ascii="宋体" w:hAnsi="宋体" w:eastAsia="宋体" w:cs="宋体"/>
          <w:b/>
          <w:bCs/>
          <w:szCs w:val="21"/>
          <w:highlight w:val="none"/>
          <w:lang w:val="en-US" w:eastAsia="zh-CN"/>
        </w:rPr>
        <w:t>6.2乙方违约</w:t>
      </w:r>
      <w:bookmarkEnd w:id="99"/>
    </w:p>
    <w:p w14:paraId="40112D0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6.2.1乙方违约的情形</w:t>
      </w:r>
    </w:p>
    <w:p w14:paraId="717FE7E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在合同履行过程中发生的下列情形，属于乙方违约：</w:t>
      </w:r>
    </w:p>
    <w:p w14:paraId="0437146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（1）乙方违反合同约定进行转包或违法分包的；</w:t>
      </w:r>
    </w:p>
    <w:p w14:paraId="75125BB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（2）乙方违反合同约定采购和使用不合格的材料和设备的；</w:t>
      </w:r>
    </w:p>
    <w:p w14:paraId="10836A8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（3）因乙方原因导致处理设施功能性损坏或丧失的；</w:t>
      </w:r>
    </w:p>
    <w:p w14:paraId="066253F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（4）乙方明确表示或者以其行为表明不履行合同义务的；</w:t>
      </w:r>
    </w:p>
    <w:p w14:paraId="2FBF79E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（5）乙方未能按照合同约定履行其他义务的。</w:t>
      </w:r>
    </w:p>
    <w:p w14:paraId="49C8ED1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6.2.2 乙方违约的责任</w:t>
      </w:r>
    </w:p>
    <w:p w14:paraId="4A2C7F8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乙方应承担因其违约行为而产生的法律责任和费用。此外，合同当事人可在专用合同条款中另行约定乙方违约责任的承担方式和计算方法。</w:t>
      </w:r>
    </w:p>
    <w:p w14:paraId="066BAD1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6.2.3 因乙方违约解除合同</w:t>
      </w:r>
    </w:p>
    <w:p w14:paraId="736E1FE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专用合同条款另有约定外，出现通用合同条款6.2.1〔乙方违约的情形〕约定的违约情况时，或甲方发出整改通知后，乙方在指定的合理期限内仍不纠正违约行为并致使合同目的不能实现的，甲方有权解除合同。合同解除后，合同当事人应在专用合同条款约定相应费用的承担方式。</w:t>
      </w:r>
    </w:p>
    <w:p w14:paraId="2BFD413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6.2.4 因乙方违约解除合同后的处理</w:t>
      </w:r>
    </w:p>
    <w:p w14:paraId="4EC5F54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因乙方原因导致合同解除的，则合同当事人应在合同解除后28 天内完成结算和支付，并按以下约定执行：</w:t>
      </w:r>
    </w:p>
    <w:p w14:paraId="35BBEE1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（1）合同解除后，由合同当事人商定或确定乙方实际完成运维工作对应的运维服务费用，以及乙方已提供的其他服务的价值；</w:t>
      </w:r>
    </w:p>
    <w:p w14:paraId="0B6D267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（2）合同解除后，乙方应支付违约金；</w:t>
      </w:r>
    </w:p>
    <w:p w14:paraId="0B33E9C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（3）合同解除后，乙方应赔偿因解除合同给甲方造成的损失；</w:t>
      </w:r>
    </w:p>
    <w:p w14:paraId="15CC747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（4）合同解除后，乙方应按照甲方要求指示完成运维现场的清理和撤离；</w:t>
      </w:r>
    </w:p>
    <w:p w14:paraId="18058AD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（5）甲方和乙方应在合同解除后进行项目结算，结清全部款项，并出具最终结清付款凭证。</w:t>
      </w:r>
    </w:p>
    <w:p w14:paraId="7430EAE8">
      <w:pPr>
        <w:snapToGrid w:val="0"/>
        <w:spacing w:line="360" w:lineRule="auto"/>
        <w:ind w:firstLine="411" w:firstLineChars="196"/>
        <w:rPr>
          <w:rFonts w:hint="eastAsia" w:ascii="仿宋" w:hAnsi="仿宋" w:eastAsia="仿宋" w:cs="仿宋"/>
          <w:color w:val="000000"/>
          <w:kern w:val="0"/>
          <w:sz w:val="22"/>
          <w:szCs w:val="22"/>
          <w:highlight w:val="none"/>
        </w:rPr>
      </w:pPr>
      <w:r>
        <w:rPr>
          <w:rFonts w:hint="eastAsia" w:ascii="宋体" w:hAnsi="宋体" w:eastAsia="宋体" w:cs="宋体"/>
          <w:szCs w:val="21"/>
          <w:highlight w:val="none"/>
          <w:lang w:val="en-US" w:eastAsia="zh-CN"/>
        </w:rPr>
        <w:t>因乙方违约解除合同的，甲方有权暂停对乙方的付款，查清各项付款和已扣款项。甲方和乙方未能就合同解除后的项目结算和（或）款项支付达成一致的，按照通用合同条款9〔争议解决〕及专用合同条款的约定处理。</w:t>
      </w:r>
    </w:p>
    <w:p w14:paraId="7CA6F0DD">
      <w:pPr>
        <w:pStyle w:val="3"/>
        <w:spacing w:line="240" w:lineRule="auto"/>
        <w:rPr>
          <w:rFonts w:hint="eastAsia" w:ascii="宋体" w:hAnsi="宋体" w:eastAsia="宋体" w:cs="宋体"/>
          <w:b/>
          <w:bCs/>
          <w:kern w:val="2"/>
          <w:sz w:val="22"/>
          <w:szCs w:val="22"/>
          <w:highlight w:val="none"/>
          <w:lang w:val="en-US" w:eastAsia="zh-CN" w:bidi="ar-SA"/>
        </w:rPr>
      </w:pPr>
      <w:bookmarkStart w:id="100" w:name="_Toc28242"/>
      <w:r>
        <w:rPr>
          <w:rFonts w:hint="eastAsia" w:ascii="宋体" w:hAnsi="宋体" w:eastAsia="宋体" w:cs="宋体"/>
          <w:b/>
          <w:bCs/>
          <w:kern w:val="2"/>
          <w:sz w:val="22"/>
          <w:szCs w:val="22"/>
          <w:highlight w:val="none"/>
          <w:lang w:val="en-US" w:eastAsia="zh-CN" w:bidi="ar-SA"/>
        </w:rPr>
        <w:t>7.不可抗力</w:t>
      </w:r>
      <w:bookmarkEnd w:id="100"/>
    </w:p>
    <w:p w14:paraId="7735D87E">
      <w:pPr>
        <w:snapToGrid w:val="0"/>
        <w:spacing w:line="360" w:lineRule="auto"/>
        <w:ind w:firstLine="413" w:firstLineChars="196"/>
        <w:rPr>
          <w:rFonts w:hint="eastAsia" w:ascii="宋体" w:hAnsi="宋体" w:eastAsia="宋体" w:cs="宋体"/>
          <w:b/>
          <w:bCs/>
          <w:szCs w:val="21"/>
          <w:highlight w:val="none"/>
          <w:lang w:val="en-US" w:eastAsia="zh-CN"/>
        </w:rPr>
      </w:pPr>
      <w:bookmarkStart w:id="101" w:name="_Toc28068"/>
      <w:r>
        <w:rPr>
          <w:rFonts w:hint="eastAsia" w:ascii="宋体" w:hAnsi="宋体" w:eastAsia="宋体" w:cs="宋体"/>
          <w:b/>
          <w:bCs/>
          <w:szCs w:val="21"/>
          <w:highlight w:val="none"/>
          <w:lang w:val="en-US" w:eastAsia="zh-CN"/>
        </w:rPr>
        <w:t>7.1不可抗力的范围</w:t>
      </w:r>
      <w:bookmarkEnd w:id="101"/>
    </w:p>
    <w:p w14:paraId="09FEA2F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不可抗力是指合同当事人在签订合同时不可预见，在合同履行过程中不可避免且不能克服的自然灾害和社会性突发事件，如台风、地震、海啸、瘟疫、骚乱、戒严、暴动、战争和专用合同条款中约定的其他情形。</w:t>
      </w:r>
    </w:p>
    <w:p w14:paraId="2B4FC131">
      <w:pPr>
        <w:snapToGrid w:val="0"/>
        <w:spacing w:line="360" w:lineRule="auto"/>
        <w:ind w:firstLine="413" w:firstLineChars="196"/>
        <w:rPr>
          <w:rFonts w:hint="eastAsia" w:ascii="宋体" w:hAnsi="宋体" w:eastAsia="宋体" w:cs="宋体"/>
          <w:b/>
          <w:bCs/>
          <w:szCs w:val="21"/>
          <w:highlight w:val="none"/>
          <w:lang w:val="en-US" w:eastAsia="zh-CN"/>
        </w:rPr>
      </w:pPr>
      <w:bookmarkStart w:id="102" w:name="_Toc31195"/>
      <w:bookmarkStart w:id="103" w:name="_Toc351203609"/>
      <w:bookmarkStart w:id="104" w:name="_Toc337558825"/>
      <w:bookmarkStart w:id="105" w:name="_Toc296346619"/>
      <w:bookmarkStart w:id="106" w:name="_Toc296503118"/>
      <w:r>
        <w:rPr>
          <w:rFonts w:hint="eastAsia" w:ascii="宋体" w:hAnsi="宋体" w:eastAsia="宋体" w:cs="宋体"/>
          <w:b/>
          <w:bCs/>
          <w:szCs w:val="21"/>
          <w:highlight w:val="none"/>
          <w:lang w:val="en-US" w:eastAsia="zh-CN"/>
        </w:rPr>
        <w:t>7.2 不可抗力的通知</w:t>
      </w:r>
      <w:bookmarkEnd w:id="102"/>
      <w:bookmarkEnd w:id="103"/>
    </w:p>
    <w:bookmarkEnd w:id="104"/>
    <w:bookmarkEnd w:id="105"/>
    <w:bookmarkEnd w:id="106"/>
    <w:p w14:paraId="547A08E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合同一方当事人遇到不可抗力事件，使其履行合同义务受到阻碍时，应第一时间通知合同另一方当事人，固定证据，书面说明不可抗力和受阻碍的详细情况，并提供必要的证明。</w:t>
      </w:r>
    </w:p>
    <w:p w14:paraId="45468A6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不可抗力持续发生的，合同一方当事人应及时向合同另一方当事人提交中间报告，说明不可抗力和履行合同受阻的情况，并于不可抗力事件结束后28天内提交最终报告及有关资料。</w:t>
      </w:r>
    </w:p>
    <w:p w14:paraId="61986107">
      <w:pPr>
        <w:snapToGrid w:val="0"/>
        <w:spacing w:line="360" w:lineRule="auto"/>
        <w:ind w:firstLine="413" w:firstLineChars="196"/>
        <w:rPr>
          <w:rFonts w:hint="eastAsia" w:ascii="宋体" w:hAnsi="宋体" w:eastAsia="宋体" w:cs="宋体"/>
          <w:b/>
          <w:bCs/>
          <w:szCs w:val="21"/>
          <w:highlight w:val="none"/>
          <w:lang w:val="en-US" w:eastAsia="zh-CN"/>
        </w:rPr>
      </w:pPr>
      <w:bookmarkStart w:id="107" w:name="_Toc351203610"/>
      <w:bookmarkStart w:id="108" w:name="_Toc10913"/>
      <w:bookmarkStart w:id="109" w:name="_Toc296346620"/>
      <w:bookmarkStart w:id="110" w:name="_Toc337558826"/>
      <w:bookmarkStart w:id="111" w:name="_Toc296503119"/>
      <w:r>
        <w:rPr>
          <w:rFonts w:hint="eastAsia" w:ascii="宋体" w:hAnsi="宋体" w:eastAsia="宋体" w:cs="宋体"/>
          <w:b/>
          <w:bCs/>
          <w:szCs w:val="21"/>
          <w:highlight w:val="none"/>
          <w:lang w:val="en-US" w:eastAsia="zh-CN"/>
        </w:rPr>
        <w:t>7.3 不可抗力后果的承担</w:t>
      </w:r>
      <w:bookmarkEnd w:id="107"/>
      <w:bookmarkEnd w:id="108"/>
    </w:p>
    <w:bookmarkEnd w:id="109"/>
    <w:bookmarkEnd w:id="110"/>
    <w:bookmarkEnd w:id="111"/>
    <w:p w14:paraId="504BF25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7.3.1不可抗力发生后，甲方和乙方应收集证明不可抗力发生及不可抗力造成损失的证据，并及时认真统计所造成的损失。合同当事人对是否属于不可抗力或其损失的意见不一致，发生争议时，按通用合同条款9〔争议解决〕及专用合同条款的约定处理。</w:t>
      </w:r>
    </w:p>
    <w:p w14:paraId="24146C2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7.3.2 不可抗力引起的后果及造成的损失由合同当事人按照法律规定及合同约定各自承担。</w:t>
      </w:r>
    </w:p>
    <w:p w14:paraId="60D2416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7.3.3 不可抗力导致的人员伤亡、财产损失、费用增加等后果，由合同当事人按以下原则承担：</w:t>
      </w:r>
    </w:p>
    <w:p w14:paraId="19DA218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（1）运维设施设备及管网的损坏，由甲方承担；</w:t>
      </w:r>
    </w:p>
    <w:p w14:paraId="0BC2F31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（2）乙方运维配备的设施设备损坏由乙方承担；</w:t>
      </w:r>
    </w:p>
    <w:p w14:paraId="061B439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（3）甲方和乙方各自承担人员伤亡的损失；</w:t>
      </w:r>
    </w:p>
    <w:p w14:paraId="28873C6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因不可抗力影响乙方履行合同约定的义务，导致乙方停止部分运维工作产生的费用损失由甲方和乙方合理分担；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340AFA93">
      <w:pPr>
        <w:snapToGrid w:val="0"/>
        <w:spacing w:line="360" w:lineRule="auto"/>
        <w:ind w:firstLine="413" w:firstLineChars="196"/>
        <w:rPr>
          <w:rFonts w:hint="eastAsia" w:ascii="宋体" w:hAnsi="宋体" w:eastAsia="宋体" w:cs="宋体"/>
          <w:b/>
          <w:bCs/>
          <w:szCs w:val="21"/>
          <w:highlight w:val="none"/>
          <w:lang w:val="en-US" w:eastAsia="zh-CN"/>
        </w:rPr>
      </w:pPr>
      <w:bookmarkStart w:id="112" w:name="_Toc31804"/>
      <w:bookmarkStart w:id="113" w:name="_Toc351203611"/>
      <w:bookmarkStart w:id="114" w:name="_Toc337558827"/>
      <w:r>
        <w:rPr>
          <w:rFonts w:hint="eastAsia" w:ascii="宋体" w:hAnsi="宋体" w:eastAsia="宋体" w:cs="宋体"/>
          <w:b/>
          <w:bCs/>
          <w:szCs w:val="21"/>
          <w:highlight w:val="none"/>
          <w:lang w:val="en-US" w:eastAsia="zh-CN"/>
        </w:rPr>
        <w:t>7.4 因不可抗力解除合同</w:t>
      </w:r>
      <w:bookmarkEnd w:id="112"/>
      <w:bookmarkEnd w:id="113"/>
    </w:p>
    <w:bookmarkEnd w:id="114"/>
    <w:p w14:paraId="59F35A0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因不可抗力导致合同无法履行连续超过84天或累计超过140天的，甲方和乙方均有权解除合同。合同解除后，除专用合同条款另有约定外，双方当事人应当在28天内完成款项结算并支付。</w:t>
      </w:r>
    </w:p>
    <w:p w14:paraId="2795F9E4">
      <w:pPr>
        <w:pStyle w:val="3"/>
        <w:spacing w:line="240" w:lineRule="auto"/>
        <w:rPr>
          <w:rFonts w:hint="eastAsia" w:ascii="宋体" w:hAnsi="宋体" w:eastAsia="宋体" w:cs="宋体"/>
          <w:b/>
          <w:bCs/>
          <w:kern w:val="2"/>
          <w:sz w:val="22"/>
          <w:szCs w:val="22"/>
          <w:highlight w:val="none"/>
          <w:lang w:val="en-US" w:eastAsia="zh-CN" w:bidi="ar-SA"/>
        </w:rPr>
      </w:pPr>
      <w:bookmarkStart w:id="115" w:name="_Toc28434"/>
      <w:r>
        <w:rPr>
          <w:rFonts w:hint="eastAsia" w:ascii="宋体" w:hAnsi="宋体" w:eastAsia="宋体" w:cs="宋体"/>
          <w:b/>
          <w:bCs/>
          <w:kern w:val="2"/>
          <w:sz w:val="22"/>
          <w:szCs w:val="22"/>
          <w:highlight w:val="none"/>
          <w:lang w:val="en-US" w:eastAsia="zh-CN" w:bidi="ar-SA"/>
        </w:rPr>
        <w:t>8.索赔</w:t>
      </w:r>
      <w:bookmarkEnd w:id="115"/>
    </w:p>
    <w:p w14:paraId="1EE3BF85">
      <w:pPr>
        <w:snapToGrid w:val="0"/>
        <w:spacing w:line="360" w:lineRule="auto"/>
        <w:ind w:firstLine="413" w:firstLineChars="196"/>
        <w:rPr>
          <w:rFonts w:hint="eastAsia" w:ascii="宋体" w:hAnsi="宋体" w:eastAsia="宋体" w:cs="宋体"/>
          <w:b/>
          <w:bCs/>
          <w:szCs w:val="21"/>
          <w:highlight w:val="none"/>
          <w:lang w:val="en-US" w:eastAsia="zh-CN"/>
        </w:rPr>
      </w:pPr>
      <w:bookmarkStart w:id="116" w:name="_Toc25934"/>
      <w:bookmarkStart w:id="117" w:name="_Toc351203621"/>
      <w:bookmarkStart w:id="118" w:name="_Toc296503141"/>
      <w:bookmarkStart w:id="119" w:name="_Toc337558836"/>
      <w:bookmarkStart w:id="120" w:name="_Toc296346642"/>
      <w:r>
        <w:rPr>
          <w:rFonts w:hint="eastAsia" w:ascii="宋体" w:hAnsi="宋体" w:eastAsia="宋体" w:cs="宋体"/>
          <w:b/>
          <w:bCs/>
          <w:szCs w:val="21"/>
          <w:highlight w:val="none"/>
          <w:lang w:val="en-US" w:eastAsia="zh-CN"/>
        </w:rPr>
        <w:t>8.1乙方的索赔</w:t>
      </w:r>
      <w:bookmarkEnd w:id="116"/>
      <w:bookmarkEnd w:id="117"/>
    </w:p>
    <w:bookmarkEnd w:id="118"/>
    <w:bookmarkEnd w:id="119"/>
    <w:bookmarkEnd w:id="120"/>
    <w:p w14:paraId="28C1807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根据合同约定，乙方认为有权得到追加运维服务费和（或）其他费用的，应按以下程序向甲方提出索赔：</w:t>
      </w:r>
    </w:p>
    <w:p w14:paraId="391F075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（1）乙方应在知道或应当知道索赔事件发生后28天内，向甲方递交索赔意向通知书，并说明发生索赔事件的事由；乙方未在前述28天内发出索赔意向通知书的，丧失要求追加运维服务费和（或）其他费用的权利；</w:t>
      </w:r>
    </w:p>
    <w:p w14:paraId="01FA233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（2）乙方应在发出索赔意向通知书后28天内，向甲方正式递交索赔报告；索赔报告应详细说明索赔理由以及要求追加的运维服务费和（或）其他费用，并附必要的记录和证明材料；</w:t>
      </w:r>
    </w:p>
    <w:p w14:paraId="45192FA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（3）索赔事件具有持续影响的，乙方应按合理时间间隔继续递交延续索赔通知，说明持续影响的实际情况和记录，列出累计追加运维服务费和（或）其他费用的金额；</w:t>
      </w:r>
    </w:p>
    <w:p w14:paraId="256B395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（4）在索赔事件影响结束后28天内，乙方应向甲方递交最终索赔报告，说明最终要求索赔的追加运维服务费和（或）其他费用，并附必要的记录和证明材料。</w:t>
      </w:r>
    </w:p>
    <w:p w14:paraId="4EACAF0D">
      <w:pPr>
        <w:snapToGrid w:val="0"/>
        <w:spacing w:line="360" w:lineRule="auto"/>
        <w:ind w:firstLine="413" w:firstLineChars="196"/>
        <w:rPr>
          <w:rFonts w:hint="eastAsia" w:ascii="宋体" w:hAnsi="宋体" w:eastAsia="宋体" w:cs="宋体"/>
          <w:b/>
          <w:bCs/>
          <w:szCs w:val="21"/>
          <w:highlight w:val="none"/>
          <w:lang w:val="en-US" w:eastAsia="zh-CN"/>
        </w:rPr>
      </w:pPr>
      <w:bookmarkStart w:id="121" w:name="_Toc351203622"/>
      <w:bookmarkStart w:id="122" w:name="_Toc17741"/>
      <w:bookmarkStart w:id="123" w:name="_Toc296503142"/>
      <w:bookmarkStart w:id="124" w:name="_Toc337558837"/>
      <w:bookmarkStart w:id="125" w:name="_Toc296346643"/>
      <w:r>
        <w:rPr>
          <w:rFonts w:hint="eastAsia" w:ascii="宋体" w:hAnsi="宋体" w:eastAsia="宋体" w:cs="宋体"/>
          <w:b/>
          <w:bCs/>
          <w:szCs w:val="21"/>
          <w:highlight w:val="none"/>
          <w:lang w:val="en-US" w:eastAsia="zh-CN"/>
        </w:rPr>
        <w:t>8.2 对乙方索赔的处理</w:t>
      </w:r>
      <w:bookmarkEnd w:id="121"/>
      <w:bookmarkEnd w:id="122"/>
    </w:p>
    <w:bookmarkEnd w:id="123"/>
    <w:bookmarkEnd w:id="124"/>
    <w:bookmarkEnd w:id="125"/>
    <w:p w14:paraId="466A16C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对乙方索赔的处理如下：</w:t>
      </w:r>
    </w:p>
    <w:p w14:paraId="6FBF5D1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（1）甲方应在收到索赔报告后14天内完成审查。甲方对索赔报告存在异议的，有权要求乙方提交全部原始记录副本；</w:t>
      </w:r>
    </w:p>
    <w:p w14:paraId="3376D02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（2）甲方应在收到索赔报告或有关索赔的进一步证明材料后的28天内，向乙方出具经甲方签认的索赔处理结果。甲方逾期答复的，则视为认可乙方的索赔要求；</w:t>
      </w:r>
    </w:p>
    <w:p w14:paraId="6DE36CE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（3）乙方接受索赔处理结果的，索赔款项在当期运维服务费用中进行支付；乙方不接受索赔处理结果的，按照通用合同条款9〔争议解决〕及专用合同条款的约定处理。</w:t>
      </w:r>
    </w:p>
    <w:p w14:paraId="0E48E191">
      <w:pPr>
        <w:snapToGrid w:val="0"/>
        <w:spacing w:line="360" w:lineRule="auto"/>
        <w:ind w:firstLine="413" w:firstLineChars="196"/>
        <w:rPr>
          <w:rFonts w:hint="eastAsia" w:ascii="宋体" w:hAnsi="宋体" w:eastAsia="宋体" w:cs="宋体"/>
          <w:b/>
          <w:bCs/>
          <w:szCs w:val="21"/>
          <w:highlight w:val="none"/>
          <w:lang w:val="en-US" w:eastAsia="zh-CN"/>
        </w:rPr>
      </w:pPr>
      <w:bookmarkStart w:id="126" w:name="_Toc4200"/>
      <w:bookmarkStart w:id="127" w:name="_Toc351203623"/>
      <w:bookmarkStart w:id="128" w:name="_Toc296346644"/>
      <w:bookmarkStart w:id="129" w:name="_Toc337558838"/>
      <w:bookmarkStart w:id="130" w:name="_Toc296503143"/>
      <w:r>
        <w:rPr>
          <w:rFonts w:hint="eastAsia" w:ascii="宋体" w:hAnsi="宋体" w:eastAsia="宋体" w:cs="宋体"/>
          <w:b/>
          <w:bCs/>
          <w:szCs w:val="21"/>
          <w:highlight w:val="none"/>
          <w:lang w:val="en-US" w:eastAsia="zh-CN"/>
        </w:rPr>
        <w:t>8.3甲方的索赔</w:t>
      </w:r>
      <w:bookmarkEnd w:id="126"/>
      <w:bookmarkEnd w:id="127"/>
    </w:p>
    <w:bookmarkEnd w:id="128"/>
    <w:bookmarkEnd w:id="129"/>
    <w:bookmarkEnd w:id="130"/>
    <w:p w14:paraId="4CA9846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根据合同约定，甲方认为有权得到赔付金额和（或）其他费用的，甲方应向乙方发出通知并附有详细的证明。</w:t>
      </w:r>
    </w:p>
    <w:p w14:paraId="2CEC206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甲方应在知道或应当知道索赔事件发生后28天内向乙方提出索赔意向通知书，甲方未在前述28天内发出索赔意向通知书的，丧失要求赔付金额和（或）其他费用的权利。甲方应在发出索赔意向通知书后28天内，向乙方正式递交索赔报告。</w:t>
      </w:r>
    </w:p>
    <w:p w14:paraId="3A2D3B7A">
      <w:pPr>
        <w:snapToGrid w:val="0"/>
        <w:spacing w:line="360" w:lineRule="auto"/>
        <w:ind w:firstLine="413" w:firstLineChars="196"/>
        <w:rPr>
          <w:rFonts w:hint="eastAsia" w:ascii="宋体" w:hAnsi="宋体" w:eastAsia="宋体" w:cs="宋体"/>
          <w:b/>
          <w:bCs/>
          <w:szCs w:val="21"/>
          <w:highlight w:val="none"/>
          <w:lang w:val="en-US" w:eastAsia="zh-CN"/>
        </w:rPr>
      </w:pPr>
      <w:bookmarkStart w:id="131" w:name="_Toc5187"/>
      <w:bookmarkStart w:id="132" w:name="_Toc351203624"/>
      <w:bookmarkStart w:id="133" w:name="_Toc337558839"/>
      <w:bookmarkStart w:id="134" w:name="_Toc296503144"/>
      <w:bookmarkStart w:id="135" w:name="_Toc296346645"/>
      <w:r>
        <w:rPr>
          <w:rFonts w:hint="eastAsia" w:ascii="宋体" w:hAnsi="宋体" w:eastAsia="宋体" w:cs="宋体"/>
          <w:b/>
          <w:bCs/>
          <w:szCs w:val="21"/>
          <w:highlight w:val="none"/>
          <w:lang w:val="en-US" w:eastAsia="zh-CN"/>
        </w:rPr>
        <w:t>8.4 对甲方索赔的处理</w:t>
      </w:r>
      <w:bookmarkEnd w:id="131"/>
      <w:bookmarkEnd w:id="132"/>
    </w:p>
    <w:bookmarkEnd w:id="133"/>
    <w:bookmarkEnd w:id="134"/>
    <w:bookmarkEnd w:id="135"/>
    <w:p w14:paraId="071B7AF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对甲方索赔的处理如下：</w:t>
      </w:r>
    </w:p>
    <w:p w14:paraId="4F204CD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（1）乙方收到甲方提交的索赔报告后，应及时审查索赔报告的内容、查验甲方证明材料；</w:t>
      </w:r>
    </w:p>
    <w:p w14:paraId="0172221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（2）乙方应在收到索赔报告或有关索赔的进一步证明材料后28天内，将索赔处理结果答复甲方。如果乙方未在上述期限内作出答复的，则视为对甲方索赔要求的认可；</w:t>
      </w:r>
    </w:p>
    <w:p w14:paraId="6E6D3DB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（3）乙方接受索赔处理结果的，甲方可从应支付给乙方的当期运维服务费用中扣除赔付的金额或其他费用；甲方不接受索赔处理结果的，按专用合同条款9〔争议解决〕及专用合同条款的约定处理。</w:t>
      </w:r>
    </w:p>
    <w:p w14:paraId="6802BBB2">
      <w:pPr>
        <w:pStyle w:val="3"/>
        <w:spacing w:line="240" w:lineRule="auto"/>
        <w:rPr>
          <w:rFonts w:hint="eastAsia" w:ascii="宋体" w:hAnsi="宋体" w:eastAsia="宋体" w:cs="宋体"/>
          <w:b/>
          <w:bCs/>
          <w:kern w:val="2"/>
          <w:sz w:val="22"/>
          <w:szCs w:val="22"/>
          <w:highlight w:val="none"/>
          <w:lang w:val="en-US" w:eastAsia="zh-CN" w:bidi="ar-SA"/>
        </w:rPr>
      </w:pPr>
      <w:bookmarkStart w:id="136" w:name="_Toc9694"/>
      <w:r>
        <w:rPr>
          <w:rFonts w:hint="eastAsia" w:ascii="宋体" w:hAnsi="宋体" w:eastAsia="宋体" w:cs="宋体"/>
          <w:b/>
          <w:bCs/>
          <w:kern w:val="2"/>
          <w:sz w:val="22"/>
          <w:szCs w:val="22"/>
          <w:highlight w:val="none"/>
          <w:lang w:val="en-US" w:eastAsia="zh-CN" w:bidi="ar-SA"/>
        </w:rPr>
        <w:t>9.争议解决</w:t>
      </w:r>
      <w:bookmarkEnd w:id="136"/>
    </w:p>
    <w:p w14:paraId="096160E3">
      <w:pPr>
        <w:snapToGrid w:val="0"/>
        <w:spacing w:line="360" w:lineRule="auto"/>
        <w:ind w:firstLine="413" w:firstLineChars="196"/>
        <w:rPr>
          <w:rFonts w:hint="eastAsia" w:ascii="宋体" w:hAnsi="宋体" w:eastAsia="宋体" w:cs="宋体"/>
          <w:b/>
          <w:bCs/>
          <w:szCs w:val="21"/>
          <w:highlight w:val="none"/>
          <w:lang w:val="en-US" w:eastAsia="zh-CN"/>
        </w:rPr>
      </w:pPr>
      <w:bookmarkStart w:id="137" w:name="_Toc29556"/>
      <w:r>
        <w:rPr>
          <w:rFonts w:hint="eastAsia" w:ascii="宋体" w:hAnsi="宋体" w:eastAsia="宋体" w:cs="宋体"/>
          <w:b/>
          <w:bCs/>
          <w:szCs w:val="21"/>
          <w:highlight w:val="none"/>
          <w:lang w:val="en-US" w:eastAsia="zh-CN"/>
        </w:rPr>
        <w:t>9.1和解</w:t>
      </w:r>
      <w:bookmarkEnd w:id="137"/>
    </w:p>
    <w:p w14:paraId="6D9C826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合同当事人可以就争议自行和解，自行和解达成协议的经双方签字并盖章后作为合同补充文件，双方均应遵照执行。</w:t>
      </w:r>
    </w:p>
    <w:p w14:paraId="2C430B6A">
      <w:pPr>
        <w:snapToGrid w:val="0"/>
        <w:spacing w:line="360" w:lineRule="auto"/>
        <w:ind w:firstLine="413" w:firstLineChars="196"/>
        <w:rPr>
          <w:rFonts w:hint="eastAsia" w:ascii="宋体" w:hAnsi="宋体" w:eastAsia="宋体" w:cs="宋体"/>
          <w:b/>
          <w:bCs/>
          <w:szCs w:val="21"/>
          <w:highlight w:val="none"/>
          <w:lang w:val="en-US" w:eastAsia="zh-CN"/>
        </w:rPr>
      </w:pPr>
      <w:bookmarkStart w:id="138" w:name="_Toc13742"/>
      <w:r>
        <w:rPr>
          <w:rFonts w:hint="eastAsia" w:ascii="宋体" w:hAnsi="宋体" w:eastAsia="宋体" w:cs="宋体"/>
          <w:b/>
          <w:bCs/>
          <w:szCs w:val="21"/>
          <w:highlight w:val="none"/>
          <w:lang w:val="en-US" w:eastAsia="zh-CN"/>
        </w:rPr>
        <w:t>9.2调解</w:t>
      </w:r>
      <w:bookmarkEnd w:id="138"/>
    </w:p>
    <w:p w14:paraId="2730D75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合同当事人可以就争议请求上级运维主管部门或其他第三方进行调解，调解达成协议的，经双方签字并盖章后作为合同补充文件，双方均应遵照执行。</w:t>
      </w:r>
    </w:p>
    <w:p w14:paraId="5DDDD543">
      <w:pPr>
        <w:snapToGrid w:val="0"/>
        <w:spacing w:line="360" w:lineRule="auto"/>
        <w:ind w:firstLine="413" w:firstLineChars="196"/>
        <w:rPr>
          <w:rFonts w:hint="eastAsia" w:ascii="宋体" w:hAnsi="宋体" w:eastAsia="宋体" w:cs="宋体"/>
          <w:b/>
          <w:bCs/>
          <w:szCs w:val="21"/>
          <w:highlight w:val="none"/>
          <w:lang w:val="en-US" w:eastAsia="zh-CN"/>
        </w:rPr>
      </w:pPr>
      <w:bookmarkStart w:id="139" w:name="_Toc6014"/>
      <w:r>
        <w:rPr>
          <w:rFonts w:hint="eastAsia" w:ascii="宋体" w:hAnsi="宋体" w:eastAsia="宋体" w:cs="宋体"/>
          <w:b/>
          <w:bCs/>
          <w:szCs w:val="21"/>
          <w:highlight w:val="none"/>
          <w:lang w:val="en-US" w:eastAsia="zh-CN"/>
        </w:rPr>
        <w:t>9.3仲裁或诉讼</w:t>
      </w:r>
      <w:bookmarkEnd w:id="139"/>
    </w:p>
    <w:p w14:paraId="5B60870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因合同及合同有关事项产生的争议，合同当事人可以在专用合同条款中约定以下一种方式解决争议：</w:t>
      </w:r>
    </w:p>
    <w:p w14:paraId="11A4E56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（1）向约定的仲裁委员会申请仲裁；</w:t>
      </w:r>
    </w:p>
    <w:p w14:paraId="69FCFAE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（2）向有管辖权的人民法院起诉。</w:t>
      </w:r>
    </w:p>
    <w:p w14:paraId="38B392F0">
      <w:pPr>
        <w:snapToGrid w:val="0"/>
        <w:spacing w:line="360" w:lineRule="auto"/>
        <w:ind w:firstLine="413" w:firstLineChars="196"/>
        <w:rPr>
          <w:rFonts w:hint="eastAsia" w:ascii="宋体" w:hAnsi="宋体" w:eastAsia="宋体" w:cs="宋体"/>
          <w:b/>
          <w:bCs/>
          <w:szCs w:val="21"/>
          <w:highlight w:val="none"/>
          <w:lang w:val="en-US" w:eastAsia="zh-CN"/>
        </w:rPr>
      </w:pPr>
      <w:bookmarkStart w:id="140" w:name="_Toc15431"/>
      <w:r>
        <w:rPr>
          <w:rFonts w:hint="eastAsia" w:ascii="宋体" w:hAnsi="宋体" w:eastAsia="宋体" w:cs="宋体"/>
          <w:b/>
          <w:bCs/>
          <w:szCs w:val="21"/>
          <w:highlight w:val="none"/>
          <w:lang w:val="en-US" w:eastAsia="zh-CN"/>
        </w:rPr>
        <w:t>9.4争议解决条款的效力</w:t>
      </w:r>
      <w:bookmarkEnd w:id="140"/>
    </w:p>
    <w:p w14:paraId="67BE770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合同有关争议解决的条款独立存在，合同的变更、解除、终止、无效或者被撤销均不影响其效力。</w:t>
      </w:r>
    </w:p>
    <w:p w14:paraId="4434CEB2">
      <w:pPr>
        <w:pStyle w:val="11"/>
        <w:rPr>
          <w:rFonts w:ascii="宋体" w:hAnsi="宋体"/>
          <w:color w:val="000000"/>
        </w:rPr>
      </w:pPr>
    </w:p>
    <w:p w14:paraId="2052470B">
      <w:pPr>
        <w:pStyle w:val="11"/>
        <w:rPr>
          <w:rFonts w:ascii="宋体" w:hAnsi="宋体"/>
          <w:color w:val="000000"/>
        </w:rPr>
      </w:pPr>
    </w:p>
    <w:p w14:paraId="4B6ECBB4">
      <w:pPr>
        <w:pStyle w:val="11"/>
        <w:rPr>
          <w:rFonts w:ascii="宋体" w:hAnsi="宋体"/>
          <w:color w:val="000000"/>
        </w:rPr>
      </w:pPr>
    </w:p>
    <w:p w14:paraId="1B5D8010">
      <w:pPr>
        <w:pStyle w:val="11"/>
        <w:rPr>
          <w:rFonts w:ascii="宋体" w:hAnsi="宋体"/>
          <w:color w:val="000000"/>
        </w:rPr>
      </w:pPr>
    </w:p>
    <w:p w14:paraId="2CADB037">
      <w:pPr>
        <w:pStyle w:val="11"/>
        <w:rPr>
          <w:rFonts w:ascii="宋体" w:hAnsi="宋体"/>
          <w:color w:val="000000"/>
        </w:rPr>
      </w:pPr>
    </w:p>
    <w:p w14:paraId="4BAA58BE">
      <w:pPr>
        <w:pStyle w:val="11"/>
        <w:rPr>
          <w:rFonts w:ascii="宋体" w:hAnsi="宋体"/>
          <w:color w:val="000000"/>
        </w:rPr>
      </w:pPr>
    </w:p>
    <w:p w14:paraId="0122C627">
      <w:pPr>
        <w:pStyle w:val="11"/>
        <w:rPr>
          <w:rFonts w:ascii="宋体" w:hAnsi="宋体"/>
          <w:color w:val="000000"/>
        </w:rPr>
      </w:pPr>
    </w:p>
    <w:p w14:paraId="14F88EF8">
      <w:pPr>
        <w:pStyle w:val="11"/>
        <w:rPr>
          <w:rFonts w:ascii="宋体" w:hAnsi="宋体"/>
          <w:color w:val="000000"/>
        </w:rPr>
      </w:pPr>
    </w:p>
    <w:p w14:paraId="2A175FAD">
      <w:pPr>
        <w:pStyle w:val="11"/>
        <w:rPr>
          <w:rFonts w:ascii="宋体" w:hAnsi="宋体"/>
          <w:color w:val="000000"/>
        </w:rPr>
      </w:pPr>
    </w:p>
    <w:p w14:paraId="2649C689">
      <w:pPr>
        <w:pStyle w:val="11"/>
        <w:rPr>
          <w:rFonts w:ascii="宋体" w:hAnsi="宋体"/>
          <w:color w:val="000000"/>
        </w:rPr>
      </w:pPr>
    </w:p>
    <w:p w14:paraId="0D8908C5">
      <w:pPr>
        <w:pStyle w:val="11"/>
        <w:rPr>
          <w:rFonts w:ascii="宋体" w:hAnsi="宋体"/>
          <w:color w:val="000000"/>
        </w:rPr>
      </w:pPr>
    </w:p>
    <w:p w14:paraId="17A130A7">
      <w:pPr>
        <w:pStyle w:val="11"/>
        <w:rPr>
          <w:rFonts w:ascii="宋体" w:hAnsi="宋体"/>
          <w:color w:val="000000"/>
        </w:rPr>
      </w:pPr>
    </w:p>
    <w:p w14:paraId="1FEACDB9">
      <w:pPr>
        <w:pStyle w:val="11"/>
        <w:rPr>
          <w:rFonts w:ascii="宋体" w:hAnsi="宋体"/>
          <w:color w:val="000000"/>
        </w:rPr>
      </w:pPr>
    </w:p>
    <w:p w14:paraId="0E194C3F">
      <w:pPr>
        <w:pStyle w:val="11"/>
        <w:rPr>
          <w:rFonts w:ascii="宋体" w:hAnsi="宋体"/>
          <w:color w:val="000000"/>
        </w:rPr>
      </w:pPr>
    </w:p>
    <w:p w14:paraId="1C462B54">
      <w:pPr>
        <w:pStyle w:val="11"/>
        <w:rPr>
          <w:rFonts w:ascii="宋体" w:hAnsi="宋体"/>
          <w:color w:val="000000"/>
        </w:rPr>
      </w:pPr>
    </w:p>
    <w:p w14:paraId="702EB3B3">
      <w:pPr>
        <w:pStyle w:val="2"/>
        <w:spacing w:line="240" w:lineRule="auto"/>
        <w:jc w:val="center"/>
        <w:rPr>
          <w:rFonts w:hint="eastAsia" w:ascii="仿宋" w:hAnsi="仿宋" w:eastAsia="仿宋" w:cs="仿宋"/>
          <w:sz w:val="22"/>
          <w:szCs w:val="22"/>
          <w:highlight w:val="none"/>
          <w:lang w:val="en-US" w:eastAsia="zh-CN"/>
        </w:rPr>
      </w:pPr>
      <w:bookmarkStart w:id="141" w:name="_Toc25651"/>
      <w:bookmarkStart w:id="142" w:name="_Toc2763"/>
      <w:r>
        <w:rPr>
          <w:rFonts w:hint="eastAsia" w:ascii="仿宋" w:hAnsi="仿宋" w:eastAsia="仿宋" w:cs="仿宋"/>
          <w:sz w:val="22"/>
          <w:szCs w:val="22"/>
          <w:highlight w:val="none"/>
        </w:rPr>
        <w:t>第三部分 专用合同条款</w:t>
      </w:r>
      <w:bookmarkEnd w:id="141"/>
    </w:p>
    <w:p w14:paraId="59960096">
      <w:pPr>
        <w:pStyle w:val="3"/>
        <w:spacing w:line="240" w:lineRule="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1.一般约定</w:t>
      </w:r>
      <w:bookmarkEnd w:id="142"/>
    </w:p>
    <w:p w14:paraId="42EAB5FB">
      <w:pPr>
        <w:snapToGrid w:val="0"/>
        <w:spacing w:line="360" w:lineRule="auto"/>
        <w:ind w:firstLine="413" w:firstLineChars="196"/>
        <w:rPr>
          <w:rFonts w:hint="eastAsia" w:ascii="宋体" w:hAnsi="宋体" w:eastAsia="宋体" w:cs="宋体"/>
          <w:b/>
          <w:bCs/>
          <w:szCs w:val="21"/>
          <w:highlight w:val="none"/>
          <w:lang w:val="en-US" w:eastAsia="zh-CN"/>
        </w:rPr>
      </w:pPr>
      <w:bookmarkStart w:id="143" w:name="_Toc22620"/>
      <w:bookmarkStart w:id="144" w:name="_Toc28411"/>
      <w:bookmarkStart w:id="145" w:name="_Toc25830"/>
      <w:r>
        <w:rPr>
          <w:rFonts w:hint="eastAsia" w:ascii="宋体" w:hAnsi="宋体" w:eastAsia="宋体" w:cs="宋体"/>
          <w:b/>
          <w:bCs/>
          <w:szCs w:val="21"/>
          <w:highlight w:val="none"/>
          <w:lang w:val="en-US" w:eastAsia="zh-CN"/>
        </w:rPr>
        <w:t xml:space="preserve">1.1 </w:t>
      </w:r>
      <w:bookmarkEnd w:id="143"/>
      <w:bookmarkEnd w:id="144"/>
      <w:bookmarkEnd w:id="145"/>
      <w:bookmarkStart w:id="146" w:name="_Toc3509"/>
      <w:bookmarkStart w:id="147" w:name="_Toc405"/>
      <w:bookmarkStart w:id="148" w:name="_Toc25276"/>
      <w:r>
        <w:rPr>
          <w:rFonts w:hint="eastAsia" w:ascii="宋体" w:hAnsi="宋体" w:eastAsia="宋体" w:cs="宋体"/>
          <w:b/>
          <w:bCs/>
          <w:szCs w:val="21"/>
          <w:highlight w:val="none"/>
          <w:lang w:val="en-US" w:eastAsia="zh-CN"/>
        </w:rPr>
        <w:t xml:space="preserve"> 标准、规范和导则</w:t>
      </w:r>
      <w:bookmarkEnd w:id="146"/>
      <w:bookmarkEnd w:id="147"/>
      <w:bookmarkEnd w:id="148"/>
    </w:p>
    <w:p w14:paraId="5E51F0F3">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w:t>
      </w:r>
      <w:r>
        <w:rPr>
          <w:rFonts w:hint="eastAsia" w:ascii="宋体" w:hAnsi="宋体" w:cs="宋体"/>
          <w:b w:val="0"/>
          <w:bCs w:val="0"/>
          <w:szCs w:val="21"/>
          <w:highlight w:val="none"/>
          <w:lang w:val="en-US" w:eastAsia="zh-CN"/>
        </w:rPr>
        <w:t>1</w:t>
      </w:r>
      <w:r>
        <w:rPr>
          <w:rFonts w:hint="eastAsia" w:ascii="宋体" w:hAnsi="宋体" w:eastAsia="宋体" w:cs="宋体"/>
          <w:b w:val="0"/>
          <w:bCs w:val="0"/>
          <w:szCs w:val="21"/>
          <w:highlight w:val="none"/>
          <w:lang w:val="en-US" w:eastAsia="zh-CN"/>
        </w:rPr>
        <w:t>.1适用于本合同的标准、规范和导则：</w:t>
      </w:r>
    </w:p>
    <w:p w14:paraId="61B9012D">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（1）《农村生活污水厌氧处理终端运维导则（试行）》</w:t>
      </w:r>
    </w:p>
    <w:p w14:paraId="67E3DB23">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（2）《农村生活污水治理设施运行维护技术导则》</w:t>
      </w:r>
    </w:p>
    <w:p w14:paraId="6FEDE5A7">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（3）《农村生活污水治理设施第三方运维管理导则（试行）》</w:t>
      </w:r>
    </w:p>
    <w:p w14:paraId="58A07B9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（4）《浙江省县（市、区）农村生活污水治理设施运行维护管理导则（试行）》</w:t>
      </w:r>
    </w:p>
    <w:p w14:paraId="59EBDE0D">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（5）《浙江省农村生活污水治理设施出水水质检测与评价导则(试行）》</w:t>
      </w:r>
    </w:p>
    <w:p w14:paraId="302CEA5B">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（6）《农村生活污水处理罐运行维护导则（试行）》</w:t>
      </w:r>
    </w:p>
    <w:p w14:paraId="25456197">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（7）《农村生活污水治理设施编码导则（试行）》</w:t>
      </w:r>
    </w:p>
    <w:p w14:paraId="4D00AAEF">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（8）《农村生活污水厌氧-好氧（AO）处理终端维护导则（试行）》</w:t>
      </w:r>
    </w:p>
    <w:p w14:paraId="6BCFECA1">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（9）《浙江省农村生活污水处理设施标准化运维评价导则》</w:t>
      </w:r>
    </w:p>
    <w:p w14:paraId="5B95BA3D">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（10）《农村生活污水 A2O 处理终端维护导则（试行）》</w:t>
      </w:r>
    </w:p>
    <w:p w14:paraId="4B1C9F50">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（11）《浙江省县域农村生活污水治理专项规划编制导则》</w:t>
      </w:r>
    </w:p>
    <w:p w14:paraId="6D98F23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（12）服务期间新增加的标准、导则。</w:t>
      </w:r>
    </w:p>
    <w:p w14:paraId="0FCB5369">
      <w:pPr>
        <w:snapToGrid w:val="0"/>
        <w:spacing w:line="360" w:lineRule="auto"/>
        <w:ind w:firstLine="411" w:firstLineChars="196"/>
        <w:rPr>
          <w:rFonts w:hint="default" w:ascii="宋体" w:hAnsi="宋体" w:eastAsia="宋体" w:cs="宋体"/>
          <w:b w:val="0"/>
          <w:bCs w:val="0"/>
          <w:szCs w:val="21"/>
          <w:highlight w:val="none"/>
          <w:u w:val="single"/>
          <w:lang w:val="en-US" w:eastAsia="zh-CN"/>
        </w:rPr>
      </w:pPr>
      <w:r>
        <w:rPr>
          <w:rFonts w:hint="eastAsia" w:ascii="宋体" w:hAnsi="宋体" w:eastAsia="宋体" w:cs="宋体"/>
          <w:b w:val="0"/>
          <w:bCs w:val="0"/>
          <w:szCs w:val="21"/>
          <w:highlight w:val="none"/>
          <w:lang w:val="en-US" w:eastAsia="zh-CN"/>
        </w:rPr>
        <w:t>1.</w:t>
      </w:r>
      <w:r>
        <w:rPr>
          <w:rFonts w:hint="eastAsia" w:ascii="宋体" w:hAnsi="宋体" w:cs="宋体"/>
          <w:b w:val="0"/>
          <w:bCs w:val="0"/>
          <w:szCs w:val="21"/>
          <w:highlight w:val="none"/>
          <w:lang w:val="en-US" w:eastAsia="zh-CN"/>
        </w:rPr>
        <w:t>1</w:t>
      </w:r>
      <w:r>
        <w:rPr>
          <w:rFonts w:hint="eastAsia" w:ascii="宋体" w:hAnsi="宋体" w:eastAsia="宋体" w:cs="宋体"/>
          <w:b w:val="0"/>
          <w:bCs w:val="0"/>
          <w:szCs w:val="21"/>
          <w:highlight w:val="none"/>
          <w:lang w:val="en-US" w:eastAsia="zh-CN"/>
        </w:rPr>
        <w:t>.2甲方对处理设施运维的技术标准（导则）、处理设施排放标准的特殊要求：</w:t>
      </w:r>
      <w:bookmarkStart w:id="149" w:name="_Toc9603"/>
      <w:bookmarkStart w:id="150" w:name="_Toc18894"/>
      <w:bookmarkStart w:id="151" w:name="_Toc29910"/>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u w:val="none"/>
          <w:lang w:val="en-US" w:eastAsia="zh-CN"/>
        </w:rPr>
        <w:t>。</w:t>
      </w:r>
    </w:p>
    <w:p w14:paraId="0C7A54E0">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2</w:t>
      </w:r>
      <w:r>
        <w:rPr>
          <w:rFonts w:hint="eastAsia" w:ascii="宋体" w:hAnsi="宋体" w:eastAsia="宋体" w:cs="宋体"/>
          <w:b/>
          <w:bCs/>
          <w:szCs w:val="21"/>
          <w:highlight w:val="none"/>
          <w:lang w:val="en-US" w:eastAsia="zh-CN"/>
        </w:rPr>
        <w:t xml:space="preserve"> 合同文件的优先顺序</w:t>
      </w:r>
      <w:bookmarkEnd w:id="149"/>
      <w:bookmarkEnd w:id="150"/>
      <w:bookmarkEnd w:id="151"/>
    </w:p>
    <w:p w14:paraId="28FA8D15">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合同文件组成及优先顺序为：</w:t>
      </w:r>
    </w:p>
    <w:p w14:paraId="7CF9F491">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（1）合同协议书（中标经济合同）</w:t>
      </w:r>
    </w:p>
    <w:p w14:paraId="42AA8500">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（2）中标通知书</w:t>
      </w:r>
    </w:p>
    <w:p w14:paraId="37F6734B">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（3）专用合同条款及其附件</w:t>
      </w:r>
    </w:p>
    <w:p w14:paraId="2EF3DB0F">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（4）通用合同条款</w:t>
      </w:r>
    </w:p>
    <w:p w14:paraId="6B352522">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lang w:val="en-US" w:eastAsia="zh-CN"/>
        </w:rPr>
        <w:t>文件</w:t>
      </w:r>
    </w:p>
    <w:p w14:paraId="3F2A6845">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（6）其他文件。</w:t>
      </w:r>
    </w:p>
    <w:p w14:paraId="26A40280">
      <w:pPr>
        <w:snapToGrid w:val="0"/>
        <w:spacing w:line="360" w:lineRule="auto"/>
        <w:ind w:firstLine="413" w:firstLineChars="196"/>
        <w:rPr>
          <w:rFonts w:hint="eastAsia" w:ascii="宋体" w:hAnsi="宋体" w:eastAsia="宋体" w:cs="宋体"/>
          <w:b/>
          <w:bCs/>
          <w:szCs w:val="21"/>
          <w:highlight w:val="none"/>
          <w:lang w:val="en-US" w:eastAsia="zh-CN"/>
        </w:rPr>
      </w:pPr>
      <w:bookmarkStart w:id="152" w:name="_Toc5433"/>
      <w:bookmarkStart w:id="153" w:name="_Toc21669"/>
      <w:bookmarkStart w:id="154" w:name="_Toc3049"/>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lang w:val="en-US" w:eastAsia="zh-CN"/>
        </w:rPr>
        <w:t xml:space="preserve"> 联络</w:t>
      </w:r>
      <w:bookmarkEnd w:id="152"/>
      <w:bookmarkEnd w:id="153"/>
      <w:bookmarkEnd w:id="154"/>
    </w:p>
    <w:p w14:paraId="28D36889">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w:t>
      </w:r>
      <w:r>
        <w:rPr>
          <w:rFonts w:hint="eastAsia" w:ascii="宋体" w:hAnsi="宋体" w:cs="宋体"/>
          <w:b w:val="0"/>
          <w:bCs w:val="0"/>
          <w:szCs w:val="21"/>
          <w:highlight w:val="none"/>
          <w:lang w:val="en-US" w:eastAsia="zh-CN"/>
        </w:rPr>
        <w:t>3</w:t>
      </w:r>
      <w:r>
        <w:rPr>
          <w:rFonts w:hint="eastAsia" w:ascii="宋体" w:hAnsi="宋体" w:eastAsia="宋体" w:cs="宋体"/>
          <w:b w:val="0"/>
          <w:bCs w:val="0"/>
          <w:szCs w:val="21"/>
          <w:highlight w:val="none"/>
          <w:lang w:val="en-US" w:eastAsia="zh-CN"/>
        </w:rPr>
        <w:t>.1甲方和乙方应当在</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lang w:val="en-US" w:eastAsia="zh-CN"/>
        </w:rPr>
        <w:t>天内将与合同有关的通知、批准、证明、证书、指示、指令、要求、请求、同意、意见、确定和决定等书面函件或电子文件送达对方当事人。</w:t>
      </w:r>
    </w:p>
    <w:p w14:paraId="2C5DBE5D">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w:t>
      </w:r>
      <w:r>
        <w:rPr>
          <w:rFonts w:hint="eastAsia" w:ascii="宋体" w:hAnsi="宋体" w:cs="宋体"/>
          <w:b w:val="0"/>
          <w:bCs w:val="0"/>
          <w:szCs w:val="21"/>
          <w:highlight w:val="none"/>
          <w:lang w:val="en-US" w:eastAsia="zh-CN"/>
        </w:rPr>
        <w:t>3</w:t>
      </w:r>
      <w:r>
        <w:rPr>
          <w:rFonts w:hint="eastAsia" w:ascii="宋体" w:hAnsi="宋体" w:eastAsia="宋体" w:cs="宋体"/>
          <w:b w:val="0"/>
          <w:bCs w:val="0"/>
          <w:szCs w:val="21"/>
          <w:highlight w:val="none"/>
          <w:lang w:val="en-US" w:eastAsia="zh-CN"/>
        </w:rPr>
        <w:t>.2甲方指定的书面文件或电子文件接收人、接收方式、接收地址及联络方式为：接收人</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u w:val="none"/>
          <w:lang w:val="en-US" w:eastAsia="zh-CN"/>
        </w:rPr>
        <w:t>；</w:t>
      </w:r>
      <w:r>
        <w:rPr>
          <w:rFonts w:hint="eastAsia" w:ascii="宋体" w:hAnsi="宋体" w:eastAsia="宋体" w:cs="宋体"/>
          <w:b w:val="0"/>
          <w:bCs w:val="0"/>
          <w:szCs w:val="21"/>
          <w:highlight w:val="none"/>
          <w:lang w:val="en-US" w:eastAsia="zh-CN"/>
        </w:rPr>
        <w:t>接收方式</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u w:val="none"/>
          <w:lang w:val="en-US" w:eastAsia="zh-CN"/>
        </w:rPr>
        <w:t>；</w:t>
      </w:r>
      <w:r>
        <w:rPr>
          <w:rFonts w:hint="eastAsia" w:ascii="宋体" w:hAnsi="宋体" w:eastAsia="宋体" w:cs="宋体"/>
          <w:b w:val="0"/>
          <w:bCs w:val="0"/>
          <w:szCs w:val="21"/>
          <w:highlight w:val="none"/>
          <w:lang w:val="en-US" w:eastAsia="zh-CN"/>
        </w:rPr>
        <w:t>接收地址</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。乙方指定的书面文件或电子文件接收人、接收方式、接收地址及联络方式为：接收人</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u w:val="none"/>
          <w:lang w:val="en-US" w:eastAsia="zh-CN"/>
        </w:rPr>
        <w:t>；</w:t>
      </w:r>
      <w:r>
        <w:rPr>
          <w:rFonts w:hint="eastAsia" w:ascii="宋体" w:hAnsi="宋体" w:eastAsia="宋体" w:cs="宋体"/>
          <w:b w:val="0"/>
          <w:bCs w:val="0"/>
          <w:szCs w:val="21"/>
          <w:highlight w:val="none"/>
          <w:lang w:val="en-US" w:eastAsia="zh-CN"/>
        </w:rPr>
        <w:t>接收方式</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u w:val="none"/>
          <w:lang w:val="en-US" w:eastAsia="zh-CN"/>
        </w:rPr>
        <w:t>；</w:t>
      </w:r>
      <w:r>
        <w:rPr>
          <w:rFonts w:hint="eastAsia" w:ascii="宋体" w:hAnsi="宋体" w:eastAsia="宋体" w:cs="宋体"/>
          <w:b w:val="0"/>
          <w:bCs w:val="0"/>
          <w:szCs w:val="21"/>
          <w:highlight w:val="none"/>
          <w:lang w:val="en-US" w:eastAsia="zh-CN"/>
        </w:rPr>
        <w:t>接收地址</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7E0FC024">
      <w:pPr>
        <w:snapToGrid w:val="0"/>
        <w:spacing w:line="360" w:lineRule="auto"/>
        <w:ind w:firstLine="413" w:firstLineChars="196"/>
        <w:rPr>
          <w:rFonts w:hint="eastAsia" w:ascii="宋体" w:hAnsi="宋体" w:eastAsia="宋体" w:cs="宋体"/>
          <w:b/>
          <w:bCs/>
          <w:szCs w:val="21"/>
          <w:highlight w:val="none"/>
          <w:lang w:val="en-US" w:eastAsia="zh-CN"/>
        </w:rPr>
      </w:pPr>
      <w:bookmarkStart w:id="155" w:name="_Toc9586"/>
      <w:bookmarkStart w:id="156" w:name="_Toc12588"/>
      <w:bookmarkStart w:id="157" w:name="_Toc26276"/>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lang w:val="en-US" w:eastAsia="zh-CN"/>
        </w:rPr>
        <w:t>费用的修正</w:t>
      </w:r>
      <w:bookmarkEnd w:id="155"/>
      <w:bookmarkEnd w:id="156"/>
      <w:bookmarkEnd w:id="157"/>
    </w:p>
    <w:p w14:paraId="0D51E82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关于费用修正的约定：</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lang w:val="en-US" w:eastAsia="zh-CN"/>
        </w:rPr>
        <w:t>。</w:t>
      </w:r>
    </w:p>
    <w:p w14:paraId="5B227179">
      <w:pPr>
        <w:pStyle w:val="3"/>
        <w:spacing w:line="240" w:lineRule="auto"/>
        <w:rPr>
          <w:rFonts w:hint="eastAsia" w:ascii="宋体" w:hAnsi="宋体" w:eastAsia="宋体" w:cs="宋体"/>
          <w:b/>
          <w:bCs/>
          <w:kern w:val="2"/>
          <w:sz w:val="22"/>
          <w:szCs w:val="22"/>
          <w:highlight w:val="none"/>
          <w:lang w:val="en-US" w:eastAsia="zh-CN" w:bidi="ar-SA"/>
        </w:rPr>
      </w:pPr>
      <w:bookmarkStart w:id="158" w:name="_Toc353"/>
      <w:r>
        <w:rPr>
          <w:rFonts w:hint="eastAsia" w:ascii="宋体" w:hAnsi="宋体" w:eastAsia="宋体" w:cs="宋体"/>
          <w:b/>
          <w:bCs/>
          <w:kern w:val="2"/>
          <w:sz w:val="22"/>
          <w:szCs w:val="22"/>
          <w:highlight w:val="none"/>
          <w:lang w:val="en-US" w:eastAsia="zh-CN" w:bidi="ar-SA"/>
        </w:rPr>
        <w:t>2.甲方</w:t>
      </w:r>
      <w:bookmarkEnd w:id="158"/>
    </w:p>
    <w:p w14:paraId="461EB0D8">
      <w:pPr>
        <w:snapToGrid w:val="0"/>
        <w:spacing w:line="360" w:lineRule="auto"/>
        <w:ind w:firstLine="413" w:firstLineChars="196"/>
        <w:rPr>
          <w:rFonts w:hint="eastAsia" w:ascii="宋体" w:hAnsi="宋体" w:eastAsia="宋体" w:cs="宋体"/>
          <w:b/>
          <w:bCs/>
          <w:szCs w:val="21"/>
          <w:highlight w:val="none"/>
          <w:lang w:val="en-US" w:eastAsia="zh-CN"/>
        </w:rPr>
      </w:pPr>
      <w:bookmarkStart w:id="159" w:name="_Toc11586"/>
      <w:bookmarkStart w:id="160" w:name="_Toc9474"/>
      <w:bookmarkStart w:id="161" w:name="_Toc29397"/>
      <w:r>
        <w:rPr>
          <w:rFonts w:hint="eastAsia" w:ascii="宋体" w:hAnsi="宋体" w:eastAsia="宋体" w:cs="宋体"/>
          <w:b/>
          <w:bCs/>
          <w:szCs w:val="21"/>
          <w:highlight w:val="none"/>
          <w:lang w:val="en-US" w:eastAsia="zh-CN"/>
        </w:rPr>
        <w:t>2.1 甲方代表</w:t>
      </w:r>
      <w:bookmarkEnd w:id="159"/>
      <w:bookmarkEnd w:id="160"/>
      <w:bookmarkEnd w:id="161"/>
    </w:p>
    <w:p w14:paraId="68542CA5">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甲方代表姓名：</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73A8B577">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身份证号：</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3034F25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职务：</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017E6D95">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联系电话：</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52AB24C7">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电子信箱：</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5998BE1A">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通信地址：</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3DB0DBD7">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甲方对甲方代表的授权范围如下：</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u w:val="none"/>
          <w:lang w:val="en-US" w:eastAsia="zh-CN"/>
        </w:rPr>
        <w:t>。</w:t>
      </w:r>
    </w:p>
    <w:p w14:paraId="146B418F">
      <w:pPr>
        <w:snapToGrid w:val="0"/>
        <w:spacing w:line="360" w:lineRule="auto"/>
        <w:ind w:firstLine="413" w:firstLineChars="196"/>
        <w:rPr>
          <w:rFonts w:hint="eastAsia" w:ascii="宋体" w:hAnsi="宋体" w:eastAsia="宋体" w:cs="宋体"/>
          <w:b/>
          <w:bCs/>
          <w:szCs w:val="21"/>
          <w:highlight w:val="none"/>
          <w:lang w:val="en-US" w:eastAsia="zh-CN"/>
        </w:rPr>
      </w:pPr>
      <w:bookmarkStart w:id="162" w:name="_Toc14862"/>
      <w:bookmarkStart w:id="163" w:name="_Toc14398"/>
      <w:bookmarkStart w:id="164" w:name="_Toc31430"/>
      <w:r>
        <w:rPr>
          <w:rFonts w:hint="eastAsia" w:ascii="宋体" w:hAnsi="宋体" w:eastAsia="宋体" w:cs="宋体"/>
          <w:b/>
          <w:bCs/>
          <w:szCs w:val="21"/>
          <w:highlight w:val="none"/>
          <w:lang w:val="en-US" w:eastAsia="zh-CN"/>
        </w:rPr>
        <w:t>2.</w:t>
      </w:r>
      <w:r>
        <w:rPr>
          <w:rFonts w:hint="eastAsia" w:ascii="宋体" w:hAnsi="宋体" w:cs="宋体"/>
          <w:b/>
          <w:bCs/>
          <w:szCs w:val="21"/>
          <w:highlight w:val="none"/>
          <w:lang w:val="en-US" w:eastAsia="zh-CN"/>
        </w:rPr>
        <w:t>2</w:t>
      </w:r>
      <w:r>
        <w:rPr>
          <w:rFonts w:hint="eastAsia" w:ascii="宋体" w:hAnsi="宋体" w:eastAsia="宋体" w:cs="宋体"/>
          <w:b/>
          <w:bCs/>
          <w:szCs w:val="21"/>
          <w:highlight w:val="none"/>
          <w:lang w:val="en-US" w:eastAsia="zh-CN"/>
        </w:rPr>
        <w:t>甲方一般义务</w:t>
      </w:r>
      <w:bookmarkEnd w:id="162"/>
      <w:bookmarkEnd w:id="163"/>
      <w:bookmarkEnd w:id="164"/>
    </w:p>
    <w:p w14:paraId="69579302">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w:t>
      </w:r>
      <w:r>
        <w:rPr>
          <w:rFonts w:hint="eastAsia" w:ascii="宋体" w:hAnsi="宋体" w:cs="宋体"/>
          <w:b w:val="0"/>
          <w:bCs w:val="0"/>
          <w:szCs w:val="21"/>
          <w:highlight w:val="none"/>
          <w:lang w:val="en-US" w:eastAsia="zh-CN"/>
        </w:rPr>
        <w:t>2</w:t>
      </w:r>
      <w:r>
        <w:rPr>
          <w:rFonts w:hint="eastAsia" w:ascii="宋体" w:hAnsi="宋体" w:eastAsia="宋体" w:cs="宋体"/>
          <w:b w:val="0"/>
          <w:bCs w:val="0"/>
          <w:szCs w:val="21"/>
          <w:highlight w:val="none"/>
          <w:lang w:val="en-US" w:eastAsia="zh-CN"/>
        </w:rPr>
        <w:t>.1 提供运维服务条件</w:t>
      </w:r>
    </w:p>
    <w:p w14:paraId="2CA34090">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关于甲方提供运维服务条件的要求：</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74FCEA33">
      <w:pPr>
        <w:snapToGrid w:val="0"/>
        <w:spacing w:line="360" w:lineRule="auto"/>
        <w:ind w:firstLine="411" w:firstLineChars="196"/>
        <w:rPr>
          <w:rFonts w:hint="eastAsia" w:ascii="宋体" w:hAnsi="宋体" w:eastAsia="宋体" w:cs="宋体"/>
          <w:b w:val="0"/>
          <w:bCs w:val="0"/>
          <w:szCs w:val="21"/>
          <w:highlight w:val="none"/>
          <w:lang w:val="zh-TW" w:eastAsia="zh-CN"/>
        </w:rPr>
      </w:pPr>
      <w:r>
        <w:rPr>
          <w:rFonts w:hint="eastAsia" w:ascii="宋体" w:hAnsi="宋体" w:eastAsia="宋体" w:cs="宋体"/>
          <w:b w:val="0"/>
          <w:bCs w:val="0"/>
          <w:szCs w:val="21"/>
          <w:highlight w:val="none"/>
          <w:lang w:val="zh-TW" w:eastAsia="zh-TW"/>
        </w:rPr>
        <w:t>运维废弃物处置：运维废弃物</w:t>
      </w:r>
      <w:r>
        <w:rPr>
          <w:rFonts w:hint="eastAsia" w:ascii="宋体" w:hAnsi="宋体" w:eastAsia="宋体" w:cs="宋体"/>
          <w:b w:val="0"/>
          <w:bCs w:val="0"/>
          <w:szCs w:val="21"/>
          <w:highlight w:val="none"/>
          <w:lang w:val="zh-TW" w:eastAsia="zh-CN"/>
        </w:rPr>
        <w:t>须</w:t>
      </w:r>
      <w:r>
        <w:rPr>
          <w:rFonts w:hint="eastAsia" w:ascii="宋体" w:hAnsi="宋体" w:eastAsia="宋体" w:cs="宋体"/>
          <w:b w:val="0"/>
          <w:bCs w:val="0"/>
          <w:szCs w:val="21"/>
          <w:highlight w:val="none"/>
          <w:lang w:val="zh-TW" w:eastAsia="zh-TW"/>
        </w:rPr>
        <w:t>妥善处理</w:t>
      </w:r>
      <w:r>
        <w:rPr>
          <w:rFonts w:hint="eastAsia" w:ascii="宋体" w:hAnsi="宋体" w:eastAsia="宋体" w:cs="宋体"/>
          <w:b w:val="0"/>
          <w:bCs w:val="0"/>
          <w:szCs w:val="21"/>
          <w:highlight w:val="none"/>
          <w:lang w:val="zh-TW" w:eastAsia="zh-CN"/>
        </w:rPr>
        <w:t>，甲方应指导乙方</w:t>
      </w:r>
      <w:r>
        <w:rPr>
          <w:rFonts w:hint="eastAsia" w:ascii="宋体" w:hAnsi="宋体" w:eastAsia="宋体" w:cs="宋体"/>
          <w:b w:val="0"/>
          <w:bCs w:val="0"/>
          <w:szCs w:val="21"/>
          <w:highlight w:val="none"/>
          <w:lang w:val="zh-TW" w:eastAsia="zh-TW"/>
        </w:rPr>
        <w:t>按县级运维管理部门规定方式</w:t>
      </w:r>
      <w:r>
        <w:rPr>
          <w:rFonts w:hint="eastAsia" w:ascii="宋体" w:hAnsi="宋体" w:eastAsia="宋体" w:cs="宋体"/>
          <w:b w:val="0"/>
          <w:bCs w:val="0"/>
          <w:szCs w:val="21"/>
          <w:highlight w:val="none"/>
          <w:lang w:val="zh-TW" w:eastAsia="zh-CN"/>
        </w:rPr>
        <w:t>、</w:t>
      </w:r>
      <w:r>
        <w:rPr>
          <w:rFonts w:hint="eastAsia" w:ascii="宋体" w:hAnsi="宋体" w:eastAsia="宋体" w:cs="宋体"/>
          <w:b w:val="0"/>
          <w:bCs w:val="0"/>
          <w:szCs w:val="21"/>
          <w:highlight w:val="none"/>
          <w:lang w:val="en-US" w:eastAsia="zh-CN"/>
        </w:rPr>
        <w:t>相关法律法规</w:t>
      </w:r>
      <w:r>
        <w:rPr>
          <w:rFonts w:hint="eastAsia" w:ascii="宋体" w:hAnsi="宋体" w:eastAsia="宋体" w:cs="宋体"/>
          <w:b w:val="0"/>
          <w:bCs w:val="0"/>
          <w:szCs w:val="21"/>
          <w:highlight w:val="none"/>
          <w:lang w:val="zh-TW" w:eastAsia="zh-TW"/>
        </w:rPr>
        <w:t>处理处置</w:t>
      </w:r>
      <w:r>
        <w:rPr>
          <w:rFonts w:hint="eastAsia" w:ascii="宋体" w:hAnsi="宋体" w:eastAsia="宋体" w:cs="宋体"/>
          <w:b w:val="0"/>
          <w:bCs w:val="0"/>
          <w:szCs w:val="21"/>
          <w:highlight w:val="none"/>
          <w:lang w:val="zh-TW" w:eastAsia="zh-CN"/>
        </w:rPr>
        <w:t>。</w:t>
      </w:r>
    </w:p>
    <w:p w14:paraId="4C972EE7">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2.2.2提供基础资料</w:t>
      </w:r>
    </w:p>
    <w:p w14:paraId="31569820">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关于甲方应负责提供运维服务所需要的资料，包括：达标处理设施清单、非达标处理设施清单和其他运维服务对象清单；</w:t>
      </w:r>
    </w:p>
    <w:p w14:paraId="6887D544">
      <w:pPr>
        <w:snapToGrid w:val="0"/>
        <w:spacing w:line="360" w:lineRule="auto"/>
        <w:ind w:firstLine="413" w:firstLineChars="196"/>
        <w:rPr>
          <w:rFonts w:hint="eastAsia" w:ascii="宋体" w:hAnsi="宋体" w:eastAsia="宋体" w:cs="宋体"/>
          <w:b/>
          <w:bCs/>
          <w:szCs w:val="21"/>
          <w:highlight w:val="none"/>
          <w:lang w:val="zh-TW" w:eastAsia="zh-TW"/>
        </w:rPr>
      </w:pPr>
      <w:r>
        <w:rPr>
          <w:rFonts w:hint="eastAsia" w:ascii="宋体" w:hAnsi="宋体" w:eastAsia="宋体" w:cs="宋体"/>
          <w:b/>
          <w:bCs/>
          <w:szCs w:val="21"/>
          <w:highlight w:val="none"/>
          <w:lang w:val="en-US" w:eastAsia="zh-CN"/>
        </w:rPr>
        <w:t>2.3</w:t>
      </w:r>
      <w:r>
        <w:rPr>
          <w:rFonts w:hint="eastAsia" w:ascii="宋体" w:hAnsi="宋体" w:eastAsia="宋体" w:cs="宋体"/>
          <w:b/>
          <w:bCs/>
          <w:szCs w:val="21"/>
          <w:highlight w:val="none"/>
          <w:lang w:val="zh-TW" w:eastAsia="zh-TW"/>
        </w:rPr>
        <w:t>支付担保</w:t>
      </w:r>
    </w:p>
    <w:p w14:paraId="10E8D8C0">
      <w:pPr>
        <w:snapToGrid w:val="0"/>
        <w:spacing w:line="360" w:lineRule="auto"/>
        <w:ind w:firstLine="411" w:firstLineChars="196"/>
        <w:rPr>
          <w:rFonts w:hint="eastAsia" w:ascii="宋体" w:hAnsi="宋体" w:eastAsia="宋体" w:cs="宋体"/>
          <w:b w:val="0"/>
          <w:bCs w:val="0"/>
          <w:szCs w:val="21"/>
          <w:highlight w:val="none"/>
          <w:u w:val="single"/>
          <w:lang w:val="en-US" w:eastAsia="zh-CN"/>
        </w:rPr>
      </w:pPr>
      <w:r>
        <w:rPr>
          <w:rFonts w:hint="eastAsia" w:ascii="宋体" w:hAnsi="宋体" w:eastAsia="宋体" w:cs="宋体"/>
          <w:b w:val="0"/>
          <w:bCs w:val="0"/>
          <w:szCs w:val="21"/>
          <w:highlight w:val="none"/>
          <w:lang w:val="zh-TW" w:eastAsia="zh-TW"/>
        </w:rPr>
        <w:t>甲方是否提供支付担保：</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u w:val="none"/>
          <w:lang w:val="en-US" w:eastAsia="zh-CN"/>
        </w:rPr>
        <w:t>；</w:t>
      </w:r>
    </w:p>
    <w:p w14:paraId="796435EF">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zh-TW" w:eastAsia="zh-TW"/>
        </w:rPr>
        <w:t>甲方提供支付担保的形式、金额及期限：</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trike w:val="0"/>
          <w:dstrike w:val="0"/>
          <w:szCs w:val="21"/>
          <w:highlight w:val="none"/>
          <w:u w:val="none"/>
          <w:lang w:val="en-US" w:eastAsia="zh-CN"/>
        </w:rPr>
        <w:t>。</w:t>
      </w:r>
      <w:r>
        <w:rPr>
          <w:rFonts w:hint="eastAsia" w:ascii="宋体" w:hAnsi="宋体" w:eastAsia="宋体" w:cs="宋体"/>
          <w:b w:val="0"/>
          <w:bCs w:val="0"/>
          <w:strike w:val="0"/>
          <w:dstrike w:val="0"/>
          <w:szCs w:val="21"/>
          <w:highlight w:val="none"/>
          <w:u w:val="none"/>
          <w:lang w:val="zh-TW" w:eastAsia="zh-TW"/>
        </w:rPr>
        <w:t xml:space="preserve"> </w:t>
      </w:r>
    </w:p>
    <w:p w14:paraId="2CED0A91">
      <w:pPr>
        <w:pStyle w:val="3"/>
        <w:spacing w:line="240" w:lineRule="auto"/>
        <w:rPr>
          <w:rFonts w:hint="eastAsia" w:ascii="宋体" w:hAnsi="宋体" w:eastAsia="宋体" w:cs="宋体"/>
          <w:b/>
          <w:bCs/>
          <w:kern w:val="2"/>
          <w:sz w:val="22"/>
          <w:szCs w:val="22"/>
          <w:highlight w:val="none"/>
          <w:lang w:val="en-US" w:eastAsia="zh-CN" w:bidi="ar-SA"/>
        </w:rPr>
      </w:pPr>
      <w:bookmarkStart w:id="165" w:name="_Toc28818"/>
      <w:r>
        <w:rPr>
          <w:rFonts w:hint="eastAsia" w:ascii="宋体" w:hAnsi="宋体" w:eastAsia="宋体" w:cs="宋体"/>
          <w:b/>
          <w:bCs/>
          <w:kern w:val="2"/>
          <w:sz w:val="22"/>
          <w:szCs w:val="22"/>
          <w:highlight w:val="none"/>
          <w:lang w:val="en-US" w:eastAsia="zh-CN" w:bidi="ar-SA"/>
        </w:rPr>
        <w:t>3.乙方</w:t>
      </w:r>
      <w:bookmarkEnd w:id="165"/>
    </w:p>
    <w:p w14:paraId="4A242D95">
      <w:pPr>
        <w:snapToGrid w:val="0"/>
        <w:spacing w:line="360" w:lineRule="auto"/>
        <w:ind w:firstLine="413" w:firstLineChars="196"/>
        <w:rPr>
          <w:rFonts w:hint="eastAsia" w:ascii="宋体" w:hAnsi="宋体" w:eastAsia="宋体" w:cs="宋体"/>
          <w:b/>
          <w:bCs/>
          <w:szCs w:val="21"/>
          <w:highlight w:val="none"/>
          <w:lang w:val="en-US" w:eastAsia="zh-CN"/>
        </w:rPr>
      </w:pPr>
      <w:bookmarkStart w:id="166" w:name="_Toc19393"/>
      <w:bookmarkStart w:id="167" w:name="_Toc7987"/>
      <w:bookmarkStart w:id="168" w:name="_Toc15850"/>
      <w:r>
        <w:rPr>
          <w:rFonts w:hint="eastAsia" w:ascii="宋体" w:hAnsi="宋体" w:eastAsia="宋体" w:cs="宋体"/>
          <w:b/>
          <w:bCs/>
          <w:szCs w:val="21"/>
          <w:highlight w:val="none"/>
          <w:lang w:val="en-US" w:eastAsia="zh-CN"/>
        </w:rPr>
        <w:t>3.1 运维项目负责人</w:t>
      </w:r>
      <w:bookmarkEnd w:id="166"/>
      <w:bookmarkEnd w:id="167"/>
      <w:bookmarkEnd w:id="168"/>
    </w:p>
    <w:p w14:paraId="5B3D5A66">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3.1.1姓名：</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3566358E">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身份证号：</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0CB0553A">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相关证书编号：</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22EA29EA">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联系电话：</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 xml:space="preserve">； </w:t>
      </w:r>
    </w:p>
    <w:p w14:paraId="387F7CE9">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电子信箱：</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4D9CFA75">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通信地址：</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5255838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乙方对运维项目负责人的授权范围如下：</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26508393">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zh-TW" w:eastAsia="zh-TW"/>
        </w:rPr>
        <w:t>3.1.</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lang w:val="zh-TW" w:eastAsia="zh-CN"/>
        </w:rPr>
        <w:t>乙方未提交劳动合同，以及没有为运维项目负责人缴纳社会保险的违约责任：须于</w:t>
      </w:r>
      <w:r>
        <w:rPr>
          <w:rFonts w:hint="eastAsia" w:ascii="宋体" w:hAnsi="宋体" w:eastAsia="宋体" w:cs="宋体"/>
          <w:b w:val="0"/>
          <w:bCs w:val="0"/>
          <w:szCs w:val="21"/>
          <w:highlight w:val="none"/>
          <w:lang w:val="en-US" w:eastAsia="zh-CN"/>
        </w:rPr>
        <w:t>15日内落实到位，否则甲方可无条件拒签或解除合同。</w:t>
      </w:r>
    </w:p>
    <w:p w14:paraId="4249550B">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3.1.</w:t>
      </w:r>
      <w:r>
        <w:rPr>
          <w:rFonts w:hint="eastAsia" w:ascii="宋体" w:hAnsi="宋体" w:cs="宋体"/>
          <w:b w:val="0"/>
          <w:bCs w:val="0"/>
          <w:szCs w:val="21"/>
          <w:highlight w:val="none"/>
          <w:lang w:val="en-US" w:eastAsia="zh-CN"/>
        </w:rPr>
        <w:t>3</w:t>
      </w:r>
      <w:r>
        <w:rPr>
          <w:rFonts w:hint="eastAsia" w:ascii="宋体" w:hAnsi="宋体" w:eastAsia="宋体" w:cs="宋体"/>
          <w:b w:val="0"/>
          <w:bCs w:val="0"/>
          <w:szCs w:val="21"/>
          <w:highlight w:val="none"/>
          <w:lang w:val="en-US" w:eastAsia="zh-CN"/>
        </w:rPr>
        <w:t xml:space="preserve"> 乙方擅自更换运维项目负责人的违约责任：须于7日内整改，否则从当月养护费用中扣除3000元；12个月内发生第二次的，从当月养护费用中扣除6000元，以此类推。</w:t>
      </w:r>
    </w:p>
    <w:p w14:paraId="0939550F">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3.1.</w:t>
      </w:r>
      <w:r>
        <w:rPr>
          <w:rFonts w:hint="eastAsia" w:ascii="宋体" w:hAnsi="宋体" w:cs="宋体"/>
          <w:b w:val="0"/>
          <w:bCs w:val="0"/>
          <w:szCs w:val="21"/>
          <w:highlight w:val="none"/>
          <w:lang w:val="en-US" w:eastAsia="zh-CN"/>
        </w:rPr>
        <w:t>4</w:t>
      </w:r>
      <w:r>
        <w:rPr>
          <w:rFonts w:hint="eastAsia" w:ascii="宋体" w:hAnsi="宋体" w:eastAsia="宋体" w:cs="宋体"/>
          <w:b w:val="0"/>
          <w:bCs w:val="0"/>
          <w:szCs w:val="21"/>
          <w:highlight w:val="none"/>
          <w:lang w:val="en-US" w:eastAsia="zh-CN"/>
        </w:rPr>
        <w:t xml:space="preserve"> 乙方无正当理由拒绝更换运维项目负责人的违约责任：须于7日内整改到位，否则甲方可解除合同。</w:t>
      </w:r>
    </w:p>
    <w:p w14:paraId="27298B1C">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3.1.</w:t>
      </w:r>
      <w:r>
        <w:rPr>
          <w:rFonts w:hint="eastAsia" w:ascii="宋体" w:hAnsi="宋体" w:cs="宋体"/>
          <w:b w:val="0"/>
          <w:bCs w:val="0"/>
          <w:szCs w:val="21"/>
          <w:highlight w:val="none"/>
          <w:lang w:val="en-US" w:eastAsia="zh-CN"/>
        </w:rPr>
        <w:t>5</w:t>
      </w:r>
      <w:r>
        <w:rPr>
          <w:rFonts w:hint="eastAsia" w:ascii="宋体" w:hAnsi="宋体" w:eastAsia="宋体" w:cs="宋体"/>
          <w:b w:val="0"/>
          <w:bCs w:val="0"/>
          <w:szCs w:val="21"/>
          <w:highlight w:val="none"/>
          <w:lang w:val="en-US" w:eastAsia="zh-CN"/>
        </w:rPr>
        <w:t xml:space="preserve"> 乙方运维项目负责人擅自长时间离开因为项目所在地的违约责任：须于7日内整改到位，并从当月养护费用中扣除3000元。7日（含）拒不整改的，甲方可无条件解除合同。</w:t>
      </w:r>
    </w:p>
    <w:p w14:paraId="690F8B23">
      <w:pPr>
        <w:snapToGrid w:val="0"/>
        <w:spacing w:line="360" w:lineRule="auto"/>
        <w:ind w:firstLine="413" w:firstLineChars="196"/>
        <w:rPr>
          <w:rFonts w:hint="eastAsia" w:ascii="宋体" w:hAnsi="宋体" w:eastAsia="宋体" w:cs="宋体"/>
          <w:b/>
          <w:bCs/>
          <w:szCs w:val="21"/>
          <w:highlight w:val="none"/>
          <w:lang w:val="en-US" w:eastAsia="zh-CN"/>
        </w:rPr>
      </w:pPr>
      <w:bookmarkStart w:id="169" w:name="_Toc19152"/>
      <w:bookmarkStart w:id="170" w:name="_Toc15791"/>
      <w:bookmarkStart w:id="171" w:name="_Toc32566"/>
      <w:r>
        <w:rPr>
          <w:rFonts w:hint="eastAsia" w:ascii="宋体" w:hAnsi="宋体" w:eastAsia="宋体" w:cs="宋体"/>
          <w:b/>
          <w:bCs/>
          <w:szCs w:val="21"/>
          <w:highlight w:val="none"/>
          <w:lang w:val="en-US" w:eastAsia="zh-CN"/>
        </w:rPr>
        <w:t>3.2 项目人员</w:t>
      </w:r>
      <w:bookmarkEnd w:id="169"/>
      <w:bookmarkEnd w:id="170"/>
      <w:bookmarkEnd w:id="171"/>
    </w:p>
    <w:p w14:paraId="2993A060">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3.2.1 乙方提交项目管理机构及运维管理人员安排报告的期限：次月5日前</w:t>
      </w:r>
      <w:r>
        <w:rPr>
          <w:rFonts w:hint="eastAsia" w:ascii="宋体" w:hAnsi="宋体" w:cs="宋体"/>
          <w:b w:val="0"/>
          <w:bCs w:val="0"/>
          <w:szCs w:val="21"/>
          <w:highlight w:val="none"/>
          <w:lang w:val="en-US" w:eastAsia="zh-CN"/>
        </w:rPr>
        <w:t>。</w:t>
      </w:r>
    </w:p>
    <w:p w14:paraId="01C5579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3.2.3 乙方无正当理由拒绝撤换主要运维管理人员的违约责任：须于7日内整改到位，否则甲方可解除合同</w:t>
      </w:r>
      <w:r>
        <w:rPr>
          <w:rFonts w:hint="eastAsia" w:ascii="宋体" w:hAnsi="宋体" w:cs="宋体"/>
          <w:b w:val="0"/>
          <w:bCs w:val="0"/>
          <w:szCs w:val="21"/>
          <w:highlight w:val="none"/>
          <w:lang w:val="en-US" w:eastAsia="zh-CN"/>
        </w:rPr>
        <w:t>。</w:t>
      </w:r>
    </w:p>
    <w:p w14:paraId="3C5186C4">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3.2.4乙方擅自更换主要运维管理人员和擅自长时间离开运维项目所在地的违约责任：须于7日内整改到位，并从当月养护费用中扣除1500元。7日（含）拒不整改的，甲方可无条件解除合同。</w:t>
      </w:r>
    </w:p>
    <w:p w14:paraId="2535758B">
      <w:pPr>
        <w:snapToGrid w:val="0"/>
        <w:spacing w:line="360" w:lineRule="auto"/>
        <w:ind w:firstLine="413" w:firstLineChars="196"/>
        <w:rPr>
          <w:rFonts w:hint="eastAsia" w:ascii="宋体" w:hAnsi="宋体" w:eastAsia="宋体" w:cs="宋体"/>
          <w:b/>
          <w:bCs/>
          <w:szCs w:val="21"/>
          <w:highlight w:val="none"/>
          <w:lang w:val="en-US" w:eastAsia="zh-CN"/>
        </w:rPr>
      </w:pPr>
      <w:r>
        <w:rPr>
          <w:rFonts w:hint="default" w:ascii="宋体" w:hAnsi="宋体" w:eastAsia="宋体" w:cs="宋体"/>
          <w:b/>
          <w:bCs/>
          <w:szCs w:val="21"/>
          <w:highlight w:val="none"/>
          <w:lang w:val="en-US" w:eastAsia="zh-CN"/>
        </w:rPr>
        <w:t>3.3乙方一般义务</w:t>
      </w:r>
    </w:p>
    <w:p w14:paraId="3A03FAD4">
      <w:pPr>
        <w:snapToGrid w:val="0"/>
        <w:spacing w:line="360" w:lineRule="auto"/>
        <w:ind w:left="0" w:leftChars="0"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乙方提交运维资料的内容：齐全</w:t>
      </w:r>
      <w:r>
        <w:rPr>
          <w:rFonts w:hint="eastAsia" w:ascii="宋体" w:hAnsi="宋体" w:cs="宋体"/>
          <w:b w:val="0"/>
          <w:bCs w:val="0"/>
          <w:szCs w:val="21"/>
          <w:highlight w:val="none"/>
          <w:lang w:val="en-US" w:eastAsia="zh-CN"/>
        </w:rPr>
        <w:t>；</w:t>
      </w:r>
    </w:p>
    <w:p w14:paraId="07342A1E">
      <w:pPr>
        <w:snapToGrid w:val="0"/>
        <w:spacing w:line="360" w:lineRule="auto"/>
        <w:ind w:left="0" w:leftChars="0"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乙方需要提交的运维资料套数：2套(具体按甲方要求提供)</w:t>
      </w:r>
      <w:r>
        <w:rPr>
          <w:rFonts w:hint="eastAsia" w:ascii="宋体" w:hAnsi="宋体" w:cs="宋体"/>
          <w:b w:val="0"/>
          <w:bCs w:val="0"/>
          <w:szCs w:val="21"/>
          <w:highlight w:val="none"/>
          <w:lang w:val="en-US" w:eastAsia="zh-CN"/>
        </w:rPr>
        <w:t>；</w:t>
      </w:r>
    </w:p>
    <w:p w14:paraId="374A70AB">
      <w:pPr>
        <w:snapToGrid w:val="0"/>
        <w:spacing w:line="360" w:lineRule="auto"/>
        <w:ind w:left="0" w:leftChars="0"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乙方提交的运维资料的费用承担：乙方承担</w:t>
      </w:r>
      <w:r>
        <w:rPr>
          <w:rFonts w:hint="eastAsia" w:ascii="宋体" w:hAnsi="宋体" w:cs="宋体"/>
          <w:b w:val="0"/>
          <w:bCs w:val="0"/>
          <w:szCs w:val="21"/>
          <w:highlight w:val="none"/>
          <w:lang w:val="en-US" w:eastAsia="zh-CN"/>
        </w:rPr>
        <w:t>；</w:t>
      </w:r>
    </w:p>
    <w:p w14:paraId="3AC8D246">
      <w:pPr>
        <w:snapToGrid w:val="0"/>
        <w:spacing w:line="360" w:lineRule="auto"/>
        <w:ind w:left="0" w:leftChars="0"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乙方提交的运维资料移交时间：次月5日内</w:t>
      </w:r>
      <w:r>
        <w:rPr>
          <w:rFonts w:hint="eastAsia" w:ascii="宋体" w:hAnsi="宋体" w:cs="宋体"/>
          <w:b w:val="0"/>
          <w:bCs w:val="0"/>
          <w:szCs w:val="21"/>
          <w:highlight w:val="none"/>
          <w:lang w:val="en-US" w:eastAsia="zh-CN"/>
        </w:rPr>
        <w:t>；</w:t>
      </w:r>
    </w:p>
    <w:p w14:paraId="37047530">
      <w:pPr>
        <w:snapToGrid w:val="0"/>
        <w:spacing w:line="360" w:lineRule="auto"/>
        <w:ind w:left="0" w:leftChars="0" w:firstLine="420" w:firstLineChars="200"/>
        <w:rPr>
          <w:rFonts w:hint="eastAsia"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乙方提交的运维资料形式要求：按甲方要求</w:t>
      </w:r>
      <w:r>
        <w:rPr>
          <w:rFonts w:hint="eastAsia" w:ascii="宋体" w:hAnsi="宋体" w:eastAsia="宋体" w:cs="宋体"/>
          <w:b w:val="0"/>
          <w:bCs w:val="0"/>
          <w:szCs w:val="21"/>
          <w:highlight w:val="none"/>
          <w:lang w:val="en-US" w:eastAsia="zh-CN"/>
        </w:rPr>
        <w:t>；</w:t>
      </w:r>
    </w:p>
    <w:p w14:paraId="0DF0CFA3">
      <w:pPr>
        <w:snapToGrid w:val="0"/>
        <w:spacing w:line="360" w:lineRule="auto"/>
        <w:ind w:left="0" w:leftChars="0"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zh-TW" w:eastAsia="zh-TW"/>
        </w:rPr>
        <w:t>乙方应履行的其他义务：</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lang w:val="en-US" w:eastAsia="zh-CN"/>
        </w:rPr>
        <w:t>。</w:t>
      </w:r>
    </w:p>
    <w:p w14:paraId="2328520C">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3.4乙方安全文明养护及应急处置责任</w:t>
      </w:r>
    </w:p>
    <w:p w14:paraId="1C5D8870">
      <w:pPr>
        <w:snapToGrid w:val="0"/>
        <w:spacing w:line="360" w:lineRule="auto"/>
        <w:ind w:left="0" w:leftChars="0"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3.3.1乙方违反巡检、养护、抢修要求的；对因维修质量引起返修、未及时完成抢修任务而影响农污设施运行的，承担所有返修损失；</w:t>
      </w:r>
    </w:p>
    <w:p w14:paraId="63B50F01">
      <w:pPr>
        <w:snapToGrid w:val="0"/>
        <w:spacing w:line="360" w:lineRule="auto"/>
        <w:ind w:left="0"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szCs w:val="21"/>
          <w:highlight w:val="none"/>
          <w:lang w:val="en-US" w:eastAsia="zh-CN"/>
        </w:rPr>
        <w:t>3.3.2安全：乙方违反安全的有关规</w:t>
      </w:r>
      <w:r>
        <w:rPr>
          <w:rFonts w:hint="eastAsia" w:ascii="宋体" w:hAnsi="宋体" w:eastAsia="宋体" w:cs="宋体"/>
          <w:b w:val="0"/>
          <w:bCs w:val="0"/>
          <w:color w:val="auto"/>
          <w:szCs w:val="21"/>
          <w:highlight w:val="none"/>
          <w:lang w:val="en-US" w:eastAsia="zh-CN"/>
        </w:rPr>
        <w:t>定，根据附表2规定扣款。若由于乙方自身原因而发生安全事故，责任由乙方自行承担，具体安全协议另行签订。</w:t>
      </w:r>
    </w:p>
    <w:p w14:paraId="21932B98">
      <w:pPr>
        <w:snapToGrid w:val="0"/>
        <w:spacing w:line="360" w:lineRule="auto"/>
        <w:ind w:left="0"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3.3.3如果宁波市主管部门年度考核不合格或因养护原因导致甲方受到省市区县主管部门通报批评的，作为乙方违约，扣除履约保证金，并终止合同。</w:t>
      </w:r>
    </w:p>
    <w:p w14:paraId="4C62C3A4">
      <w:pPr>
        <w:snapToGrid w:val="0"/>
        <w:spacing w:line="360" w:lineRule="auto"/>
        <w:ind w:left="0"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3.3.4乙方未按养护要求安排人员、人员资质不符合要求或人数不到位的，专业操作人员（含一线养护人员）每人次扣养护费人民币5000元，管理人员每人次扣养护费人民币10000元。记录资料（包括但不限于本合同养护范围内相关的养护维修台账资料、安全管理、防疫管理资料）不符合要求或不按时整理上交的，每次扣养护费人民币1000元。</w:t>
      </w:r>
    </w:p>
    <w:p w14:paraId="28EB0CF1">
      <w:pPr>
        <w:snapToGrid w:val="0"/>
        <w:spacing w:line="360" w:lineRule="auto"/>
        <w:ind w:left="0"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3.3.5未尽事宜详见《宁波市北仑区人民政府梅山街道办事处农污设施安全文明养护考核办法》（附表2）。</w:t>
      </w:r>
    </w:p>
    <w:p w14:paraId="0D264F63">
      <w:pPr>
        <w:snapToGrid w:val="0"/>
        <w:spacing w:line="360" w:lineRule="auto"/>
        <w:ind w:left="0"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3.3.6甲方要求乙方法人代表参加的会议，法人代表未到场的，一次扣10000元。</w:t>
      </w:r>
    </w:p>
    <w:p w14:paraId="39109DD0">
      <w:pPr>
        <w:snapToGrid w:val="0"/>
        <w:spacing w:line="360" w:lineRule="auto"/>
        <w:ind w:left="0" w:leftChars="0"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color w:val="auto"/>
          <w:szCs w:val="21"/>
          <w:highlight w:val="none"/>
          <w:lang w:val="en-US" w:eastAsia="zh-CN"/>
        </w:rPr>
        <w:t>3.3.7养护人员发现终提升井围栏缺失，井盖缺失、</w:t>
      </w:r>
      <w:r>
        <w:rPr>
          <w:rFonts w:hint="eastAsia" w:ascii="宋体" w:hAnsi="宋体" w:eastAsia="宋体" w:cs="宋体"/>
          <w:b w:val="0"/>
          <w:bCs w:val="0"/>
          <w:szCs w:val="21"/>
          <w:highlight w:val="none"/>
          <w:lang w:val="en-US" w:eastAsia="zh-CN"/>
        </w:rPr>
        <w:t>严重破损或井内部件损坏的，应及时上报甲方并保证在井盖维修完毕前做好围护工作。因围护不当或养护时未及时发现提升井围栏缺失，井盖缺失、严重破损或部件损坏而造成安全事故发生的，由乙方负责赔偿。</w:t>
      </w:r>
    </w:p>
    <w:p w14:paraId="4E56EC71">
      <w:pPr>
        <w:pStyle w:val="30"/>
        <w:rPr>
          <w:rFonts w:hint="eastAsia"/>
          <w:lang w:val="en-US" w:eastAsia="zh-CN"/>
        </w:rPr>
      </w:pPr>
    </w:p>
    <w:p w14:paraId="2FE53BC8">
      <w:pPr>
        <w:pStyle w:val="3"/>
        <w:spacing w:line="240" w:lineRule="auto"/>
        <w:rPr>
          <w:rFonts w:hint="eastAsia" w:ascii="宋体" w:hAnsi="宋体" w:eastAsia="宋体" w:cs="宋体"/>
          <w:b/>
          <w:bCs/>
          <w:kern w:val="2"/>
          <w:sz w:val="22"/>
          <w:szCs w:val="22"/>
          <w:highlight w:val="none"/>
          <w:lang w:val="en-US" w:eastAsia="zh-CN" w:bidi="ar-SA"/>
        </w:rPr>
      </w:pPr>
      <w:bookmarkStart w:id="172" w:name="_Toc22012"/>
      <w:r>
        <w:rPr>
          <w:rFonts w:hint="eastAsia" w:ascii="宋体" w:hAnsi="宋体" w:eastAsia="宋体" w:cs="宋体"/>
          <w:b/>
          <w:bCs/>
          <w:kern w:val="2"/>
          <w:sz w:val="22"/>
          <w:szCs w:val="22"/>
          <w:highlight w:val="none"/>
          <w:lang w:val="en-US" w:eastAsia="zh-CN" w:bidi="ar-SA"/>
        </w:rPr>
        <w:t>4.运维要求</w:t>
      </w:r>
      <w:bookmarkEnd w:id="172"/>
    </w:p>
    <w:p w14:paraId="38E5B78F">
      <w:pPr>
        <w:numPr>
          <w:ilvl w:val="0"/>
          <w:numId w:val="0"/>
        </w:numPr>
        <w:tabs>
          <w:tab w:val="left" w:pos="0"/>
        </w:tabs>
        <w:spacing w:line="360" w:lineRule="auto"/>
        <w:rPr>
          <w:rFonts w:hint="eastAsia" w:ascii="宋体" w:hAnsi="宋体" w:eastAsia="宋体" w:cs="宋体"/>
          <w:b/>
          <w:bCs/>
          <w:color w:val="000000"/>
          <w:highlight w:val="none"/>
          <w:lang w:val="en-US" w:eastAsia="zh-CN"/>
        </w:rPr>
      </w:pPr>
      <w:r>
        <w:rPr>
          <w:rFonts w:hint="eastAsia" w:ascii="宋体" w:hAnsi="宋体" w:cs="宋体"/>
          <w:b/>
          <w:bCs/>
          <w:color w:val="000000"/>
          <w:highlight w:val="none"/>
          <w:lang w:val="en-US" w:eastAsia="zh-CN"/>
        </w:rPr>
        <w:t>4.1</w:t>
      </w:r>
      <w:r>
        <w:rPr>
          <w:rFonts w:hint="eastAsia" w:ascii="宋体" w:hAnsi="宋体" w:eastAsia="宋体" w:cs="宋体"/>
          <w:b/>
          <w:bCs/>
          <w:color w:val="000000"/>
          <w:highlight w:val="none"/>
          <w:lang w:val="en-US" w:eastAsia="zh-CN"/>
        </w:rPr>
        <w:t xml:space="preserve">服务要求 </w:t>
      </w:r>
    </w:p>
    <w:p w14:paraId="0A03D4A2">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（一）管网设施养护要求</w:t>
      </w:r>
    </w:p>
    <w:p w14:paraId="3439490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1.定期做好管网收集系统的巡查工作，每周巡查不少于一次，并做好巡查记录； </w:t>
      </w:r>
    </w:p>
    <w:p w14:paraId="4D7ABBA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2.确保管网收集</w:t>
      </w:r>
      <w:r>
        <w:rPr>
          <w:rFonts w:hint="eastAsia" w:ascii="宋体" w:hAnsi="宋体" w:eastAsia="宋体" w:cs="宋体"/>
          <w:szCs w:val="21"/>
          <w:lang w:val="en-US" w:eastAsia="zh-CN"/>
        </w:rPr>
        <w:t xml:space="preserve">系统正常运行，对出现的一般的漏、坏、堵、溢等异常现象，及时维修处理； </w:t>
      </w:r>
    </w:p>
    <w:p w14:paraId="2A4FF37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3.每半个月对管网、格栅、清扫口、检查井、化粪池等进行一次检查清理（包括检查管道、井盖、井筒、管口等各部位结构完好性；盖板的完整性、安全性；检查管道、检查井水流通畅性），根据检查存在的问题进行及时处理，确保管网、窨井不堵塞，窨井盖完好，并要巡查台账记录，每次巡查台账记录必须由</w:t>
      </w:r>
      <w:r>
        <w:rPr>
          <w:rFonts w:hint="eastAsia" w:ascii="宋体" w:hAnsi="宋体" w:cs="宋体"/>
          <w:szCs w:val="21"/>
          <w:lang w:val="en-US" w:eastAsia="zh-CN"/>
        </w:rPr>
        <w:t>甲方</w:t>
      </w:r>
      <w:r>
        <w:rPr>
          <w:rFonts w:hint="eastAsia" w:ascii="宋体" w:hAnsi="宋体" w:eastAsia="宋体" w:cs="宋体"/>
          <w:szCs w:val="21"/>
          <w:lang w:val="en-US" w:eastAsia="zh-CN"/>
        </w:rPr>
        <w:t>或</w:t>
      </w:r>
      <w:r>
        <w:rPr>
          <w:rFonts w:hint="eastAsia" w:ascii="宋体" w:hAnsi="宋体" w:cs="宋体"/>
          <w:szCs w:val="21"/>
          <w:lang w:val="en-US" w:eastAsia="zh-CN"/>
        </w:rPr>
        <w:t>甲方</w:t>
      </w:r>
      <w:r>
        <w:rPr>
          <w:rFonts w:hint="eastAsia" w:ascii="宋体" w:hAnsi="宋体" w:eastAsia="宋体" w:cs="宋体"/>
          <w:szCs w:val="21"/>
          <w:lang w:val="en-US" w:eastAsia="zh-CN"/>
        </w:rPr>
        <w:t xml:space="preserve">指定人员签字确认；夏秋季节每月应对清扫口、检查井进行一次杀虫消毒； </w:t>
      </w:r>
    </w:p>
    <w:p w14:paraId="5086FBE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4.每年至少一次对管线进行疏通，并建立管网疏通台账，台账内容必须包含疏通部位、疏通作业时间、疏通作业和清理淤塞物的影像资料，同时需经</w:t>
      </w:r>
      <w:r>
        <w:rPr>
          <w:rFonts w:hint="eastAsia" w:ascii="宋体" w:hAnsi="宋体" w:cs="宋体"/>
          <w:szCs w:val="21"/>
          <w:lang w:val="en-US" w:eastAsia="zh-CN"/>
        </w:rPr>
        <w:t>甲方</w:t>
      </w:r>
      <w:r>
        <w:rPr>
          <w:rFonts w:hint="eastAsia" w:ascii="宋体" w:hAnsi="宋体" w:eastAsia="宋体" w:cs="宋体"/>
          <w:szCs w:val="21"/>
          <w:lang w:val="en-US" w:eastAsia="zh-CN"/>
        </w:rPr>
        <w:t>或</w:t>
      </w:r>
      <w:r>
        <w:rPr>
          <w:rFonts w:hint="eastAsia" w:ascii="宋体" w:hAnsi="宋体" w:cs="宋体"/>
          <w:szCs w:val="21"/>
          <w:lang w:val="en-US" w:eastAsia="zh-CN"/>
        </w:rPr>
        <w:t>甲方</w:t>
      </w:r>
      <w:r>
        <w:rPr>
          <w:rFonts w:hint="eastAsia" w:ascii="宋体" w:hAnsi="宋体" w:eastAsia="宋体" w:cs="宋体"/>
          <w:szCs w:val="21"/>
          <w:lang w:val="en-US" w:eastAsia="zh-CN"/>
        </w:rPr>
        <w:t xml:space="preserve">指定人员签字确认； </w:t>
      </w:r>
    </w:p>
    <w:p w14:paraId="7E6464D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5.发现窨井盖破损或遗失，必须及时更换； </w:t>
      </w:r>
    </w:p>
    <w:p w14:paraId="32A72ADC">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6.视化粪池的使用情况，用抽粪车定期清运，防止满溢； </w:t>
      </w:r>
    </w:p>
    <w:p w14:paraId="667F42C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7.半月一次对提升井、格栅、水泵等提升设施进行检查，每三个月至少一次维护保养，每年 至少一次全面预防性检修，并记录台账。 </w:t>
      </w:r>
    </w:p>
    <w:p w14:paraId="397E3412">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8.定期（一月一次）对提升井配电间、设备间内的灭火器材检查并如实做好记录，对过期的灭火器材及时进行更换。</w:t>
      </w:r>
    </w:p>
    <w:p w14:paraId="11E636CB">
      <w:pPr>
        <w:snapToGrid w:val="0"/>
        <w:spacing w:line="360" w:lineRule="auto"/>
        <w:ind w:firstLine="413" w:firstLineChars="196"/>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（二）处理终端运维要求</w:t>
      </w:r>
    </w:p>
    <w:p w14:paraId="6732FA9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1.治理设备操作规范、日常工作制度、安全规程上墙明示； </w:t>
      </w:r>
    </w:p>
    <w:p w14:paraId="2C537F9A">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2.定期巡查，每周巡查不少于一次，确保污水治理设施正常运行，并做好巡查和运行记录； </w:t>
      </w:r>
    </w:p>
    <w:p w14:paraId="7EEA96E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3.定期对格栅进行清渣、对集水井进行清淤，每月清淤不少于两次，并做好运行记录； </w:t>
      </w:r>
    </w:p>
    <w:p w14:paraId="2B1817E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4.每半年由专业人员对终端治理设施进行一次清理和保养，确保设施完好； </w:t>
      </w:r>
    </w:p>
    <w:p w14:paraId="0DE60DBC">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5.主要和附属构筑物及标识标牌完好无损； </w:t>
      </w:r>
    </w:p>
    <w:p w14:paraId="2D5F28F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6.定期（一周一次）对终端出水水质和水量进行观察记录，对日处理能力不足三十吨的终端设施，进、出水水质的检测频次每季度不得少于一次；对日处理能力三十吨以上不足二百吨的终端设施，进、出水水质的检测频次每月不得少于一次；对于日处理能力二百吨以上的终端设施，实时检测进、出水水量、水质；定期（每周不少于一次）对排放井（口）巡查，并每月至少一次清理排放。 </w:t>
      </w:r>
    </w:p>
    <w:p w14:paraId="00EDAD4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7.发现进出水水质、水量出现异常，影响正常运行的，应立即采取措施防止或减少危害后果，及时向</w:t>
      </w:r>
      <w:r>
        <w:rPr>
          <w:rFonts w:hint="eastAsia" w:ascii="宋体" w:hAnsi="宋体" w:cs="宋体"/>
          <w:szCs w:val="21"/>
          <w:lang w:val="en-US" w:eastAsia="zh-CN"/>
        </w:rPr>
        <w:t>甲方</w:t>
      </w:r>
      <w:r>
        <w:rPr>
          <w:rFonts w:hint="eastAsia" w:ascii="宋体" w:hAnsi="宋体" w:eastAsia="宋体" w:cs="宋体"/>
          <w:szCs w:val="21"/>
          <w:lang w:val="en-US" w:eastAsia="zh-CN"/>
        </w:rPr>
        <w:t xml:space="preserve">报告，并及时排查检修，必要时上报主管部门协商解决； </w:t>
      </w:r>
    </w:p>
    <w:p w14:paraId="676489A1">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8.配合相关部门做好定期水质检测、抽检工作； </w:t>
      </w:r>
    </w:p>
    <w:p w14:paraId="191FEB4E">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9.定期清理废渣污泥，处置要求规范，有相关台帐记录； </w:t>
      </w:r>
    </w:p>
    <w:p w14:paraId="1817016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10.定期检查人工湿地植物生长状况，每周巡查不少于一次，并进行病虫害防治和修枝剪叶、清除杂草等；根据本地的气候环境，视植物生长情况对人工湿地植物进行收割（原则上一年不得少于 3 次）、补种，栽种时应保持植物间适当的密度和覆盖度，做好相关记录台账；</w:t>
      </w:r>
    </w:p>
    <w:p w14:paraId="0FEF691B">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11.半月一次对格栅、水泵、风机等设施进行检查，每三个月至少一次维护保养，每年至少一次全面预防性检修，并记录台账。 </w:t>
      </w:r>
    </w:p>
    <w:p w14:paraId="7B877E21">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12.保持治理设施内场地清洁，无积水，无垃圾、无污水外溢。 </w:t>
      </w:r>
    </w:p>
    <w:p w14:paraId="3C8F89A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13.定期（一月一次）对配电间、风机房、设备间内的灭火器材检查并如实做好记录，对过期的灭火器材及时进行更换。</w:t>
      </w:r>
    </w:p>
    <w:p w14:paraId="1CF68C8A">
      <w:pPr>
        <w:numPr>
          <w:ilvl w:val="0"/>
          <w:numId w:val="0"/>
        </w:numPr>
        <w:tabs>
          <w:tab w:val="left" w:pos="0"/>
        </w:tabs>
        <w:spacing w:line="360" w:lineRule="auto"/>
        <w:rPr>
          <w:rFonts w:hint="eastAsia" w:ascii="宋体" w:hAnsi="宋体" w:eastAsia="宋体" w:cs="宋体"/>
          <w:b/>
          <w:bCs/>
          <w:color w:val="000000"/>
          <w:highlight w:val="none"/>
          <w:lang w:val="en-US" w:eastAsia="zh-CN"/>
        </w:rPr>
      </w:pPr>
      <w:r>
        <w:rPr>
          <w:rFonts w:hint="eastAsia" w:ascii="宋体" w:hAnsi="宋体" w:cs="宋体"/>
          <w:b/>
          <w:bCs/>
          <w:color w:val="000000"/>
          <w:highlight w:val="none"/>
          <w:lang w:val="en-US" w:eastAsia="zh-CN"/>
        </w:rPr>
        <w:t>4.2</w:t>
      </w:r>
      <w:r>
        <w:rPr>
          <w:rFonts w:hint="eastAsia" w:ascii="宋体" w:hAnsi="宋体" w:eastAsia="宋体" w:cs="宋体"/>
          <w:b/>
          <w:bCs/>
          <w:color w:val="000000"/>
          <w:highlight w:val="none"/>
          <w:lang w:val="en-US" w:eastAsia="zh-CN"/>
        </w:rPr>
        <w:t>化验室管理</w:t>
      </w:r>
    </w:p>
    <w:p w14:paraId="42E9497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1.检测方法符合标准，检测数据要及时、准确、可信，不得弄虚作假；</w:t>
      </w:r>
    </w:p>
    <w:p w14:paraId="4C4DD95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2.建立化验数据档案库，随时备查。水质自检化验数据及时纳入信息管理系统； </w:t>
      </w:r>
    </w:p>
    <w:p w14:paraId="19CD0FC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3.专人负责实验室管理，设备要整齐、环境要整洁、化验器材摆放规范。 </w:t>
      </w:r>
    </w:p>
    <w:p w14:paraId="28A0CC94">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4.如无自建化验室的可委托具有资质的第三方检测机</w:t>
      </w:r>
      <w:r>
        <w:rPr>
          <w:rFonts w:hint="eastAsia" w:ascii="宋体" w:hAnsi="宋体" w:eastAsia="宋体" w:cs="宋体"/>
          <w:szCs w:val="21"/>
          <w:lang w:val="en-US" w:eastAsia="zh-CN"/>
        </w:rPr>
        <w:t xml:space="preserve">构进行检测。 </w:t>
      </w:r>
    </w:p>
    <w:p w14:paraId="25EA535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5.提供的水质检测报告须由有资质的检测机构出具。</w:t>
      </w:r>
    </w:p>
    <w:p w14:paraId="2713ECF7">
      <w:pPr>
        <w:numPr>
          <w:ilvl w:val="0"/>
          <w:numId w:val="0"/>
        </w:numPr>
        <w:tabs>
          <w:tab w:val="left" w:pos="0"/>
        </w:tabs>
        <w:spacing w:line="360" w:lineRule="auto"/>
        <w:rPr>
          <w:rFonts w:hint="eastAsia" w:ascii="宋体" w:hAnsi="宋体" w:eastAsia="宋体" w:cs="宋体"/>
          <w:b/>
          <w:bCs/>
          <w:color w:val="000000"/>
          <w:lang w:val="en-US" w:eastAsia="zh-CN"/>
        </w:rPr>
      </w:pPr>
      <w:r>
        <w:rPr>
          <w:rFonts w:hint="eastAsia" w:ascii="宋体" w:hAnsi="宋体" w:cs="宋体"/>
          <w:b/>
          <w:bCs/>
          <w:color w:val="000000"/>
          <w:lang w:val="en-US" w:eastAsia="zh-CN"/>
        </w:rPr>
        <w:t>4.3</w:t>
      </w:r>
      <w:r>
        <w:rPr>
          <w:rFonts w:hint="eastAsia" w:ascii="宋体" w:hAnsi="宋体" w:eastAsia="宋体" w:cs="宋体"/>
          <w:b/>
          <w:bCs/>
          <w:color w:val="000000"/>
          <w:lang w:val="en-US" w:eastAsia="zh-CN"/>
        </w:rPr>
        <w:t>对运维单位的要求</w:t>
      </w:r>
    </w:p>
    <w:p w14:paraId="2D028014">
      <w:pPr>
        <w:snapToGrid w:val="0"/>
        <w:spacing w:line="360" w:lineRule="auto"/>
        <w:ind w:firstLine="411" w:firstLineChars="196"/>
        <w:rPr>
          <w:rFonts w:hint="default" w:ascii="宋体" w:hAnsi="宋体" w:eastAsia="宋体" w:cs="宋体"/>
          <w:szCs w:val="21"/>
          <w:highlight w:val="none"/>
          <w:lang w:val="en-US" w:eastAsia="zh-CN"/>
        </w:rPr>
      </w:pPr>
      <w:r>
        <w:rPr>
          <w:rFonts w:hint="default" w:ascii="宋体" w:hAnsi="宋体" w:eastAsia="宋体" w:cs="宋体"/>
          <w:szCs w:val="21"/>
          <w:lang w:val="en-US" w:eastAsia="zh-CN"/>
        </w:rPr>
        <w:t>1</w:t>
      </w:r>
      <w:r>
        <w:rPr>
          <w:rFonts w:hint="eastAsia" w:ascii="宋体" w:hAnsi="宋体" w:eastAsia="宋体" w:cs="宋体"/>
          <w:szCs w:val="21"/>
          <w:lang w:val="en-US" w:eastAsia="zh-CN"/>
        </w:rPr>
        <w:t>.管理体系中内部制度齐全、有效，且单项</w:t>
      </w:r>
      <w:r>
        <w:rPr>
          <w:rFonts w:hint="eastAsia" w:ascii="宋体" w:hAnsi="宋体" w:eastAsia="宋体" w:cs="宋体"/>
          <w:szCs w:val="21"/>
          <w:highlight w:val="none"/>
          <w:lang w:val="en-US" w:eastAsia="zh-CN"/>
        </w:rPr>
        <w:t>制度内容完整，具有针对性。按照半小时服务圈原则合理组建运维小组。每个</w:t>
      </w:r>
      <w:r>
        <w:rPr>
          <w:rFonts w:hint="eastAsia" w:ascii="宋体" w:hAnsi="宋体" w:cs="宋体"/>
          <w:szCs w:val="21"/>
          <w:highlight w:val="none"/>
          <w:lang w:val="en-US" w:eastAsia="zh-CN"/>
        </w:rPr>
        <w:t>养护</w:t>
      </w:r>
      <w:r>
        <w:rPr>
          <w:rFonts w:hint="eastAsia" w:ascii="宋体" w:hAnsi="宋体" w:eastAsia="宋体" w:cs="宋体"/>
          <w:szCs w:val="21"/>
          <w:highlight w:val="none"/>
          <w:lang w:val="en-US" w:eastAsia="zh-CN"/>
        </w:rPr>
        <w:t>小组负责工作范围不得多于</w:t>
      </w:r>
      <w:r>
        <w:rPr>
          <w:rFonts w:hint="default" w:ascii="宋体" w:hAnsi="宋体" w:eastAsia="宋体" w:cs="宋体"/>
          <w:szCs w:val="21"/>
          <w:highlight w:val="none"/>
          <w:lang w:val="en-US" w:eastAsia="zh-CN"/>
        </w:rPr>
        <w:t>8</w:t>
      </w:r>
      <w:r>
        <w:rPr>
          <w:rFonts w:hint="eastAsia" w:ascii="宋体" w:hAnsi="宋体" w:eastAsia="宋体" w:cs="宋体"/>
          <w:szCs w:val="21"/>
          <w:highlight w:val="none"/>
          <w:lang w:val="en-US" w:eastAsia="zh-CN"/>
        </w:rPr>
        <w:t>个终端设施</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组</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周（星期）；每个</w:t>
      </w:r>
      <w:r>
        <w:rPr>
          <w:rFonts w:hint="eastAsia" w:ascii="宋体" w:hAnsi="宋体" w:cs="宋体"/>
          <w:szCs w:val="21"/>
          <w:highlight w:val="none"/>
          <w:lang w:val="en-US" w:eastAsia="zh-CN"/>
        </w:rPr>
        <w:t>养护</w:t>
      </w:r>
      <w:r>
        <w:rPr>
          <w:rFonts w:hint="eastAsia" w:ascii="宋体" w:hAnsi="宋体" w:eastAsia="宋体" w:cs="宋体"/>
          <w:szCs w:val="21"/>
          <w:highlight w:val="none"/>
          <w:lang w:val="en-US" w:eastAsia="zh-CN"/>
        </w:rPr>
        <w:t>小组负责工作范围不得多于</w:t>
      </w:r>
      <w:r>
        <w:rPr>
          <w:rFonts w:hint="default" w:ascii="宋体" w:hAnsi="宋体" w:eastAsia="宋体" w:cs="宋体"/>
          <w:szCs w:val="21"/>
          <w:highlight w:val="none"/>
          <w:lang w:val="en-US" w:eastAsia="zh-CN"/>
        </w:rPr>
        <w:t>25</w:t>
      </w:r>
      <w:r>
        <w:rPr>
          <w:rFonts w:hint="eastAsia" w:ascii="宋体" w:hAnsi="宋体" w:eastAsia="宋体" w:cs="宋体"/>
          <w:szCs w:val="21"/>
          <w:highlight w:val="none"/>
          <w:lang w:val="en-US" w:eastAsia="zh-CN"/>
        </w:rPr>
        <w:t>公里管网设施</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组</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周（星期）。</w:t>
      </w:r>
      <w:r>
        <w:rPr>
          <w:rFonts w:hint="eastAsia" w:ascii="宋体" w:hAnsi="宋体" w:cs="宋体"/>
          <w:szCs w:val="21"/>
          <w:highlight w:val="none"/>
          <w:lang w:val="en-US" w:eastAsia="zh-CN"/>
        </w:rPr>
        <w:t>养护</w:t>
      </w:r>
      <w:r>
        <w:rPr>
          <w:rFonts w:hint="eastAsia" w:ascii="宋体" w:hAnsi="宋体" w:eastAsia="宋体" w:cs="宋体"/>
          <w:szCs w:val="21"/>
          <w:highlight w:val="none"/>
          <w:lang w:val="en-US" w:eastAsia="zh-CN"/>
        </w:rPr>
        <w:t>小组人员须经过专业技术培训，每组</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名养护人员及以上，共</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组及以上。要求运维单位人员统一着装</w:t>
      </w:r>
      <w:r>
        <w:rPr>
          <w:rFonts w:hint="eastAsia" w:ascii="宋体" w:hAnsi="宋体" w:cs="宋体"/>
          <w:szCs w:val="21"/>
          <w:highlight w:val="none"/>
          <w:lang w:val="en-US" w:eastAsia="zh-CN"/>
        </w:rPr>
        <w:t>。</w:t>
      </w:r>
    </w:p>
    <w:p w14:paraId="39C70558">
      <w:pPr>
        <w:snapToGrid w:val="0"/>
        <w:spacing w:line="360" w:lineRule="auto"/>
        <w:ind w:firstLine="411" w:firstLineChars="196"/>
        <w:rPr>
          <w:rFonts w:hint="eastAsia" w:ascii="宋体" w:hAnsi="宋体" w:cs="宋体"/>
          <w:szCs w:val="21"/>
          <w:highlight w:val="none"/>
          <w:lang w:val="en-US" w:eastAsia="zh-CN"/>
        </w:rPr>
      </w:pP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.为运维管理单位提供相关现场资料和数据，保证平台上报及时和准确</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运维单位</w:t>
      </w:r>
      <w:r>
        <w:rPr>
          <w:rFonts w:hint="eastAsia" w:ascii="宋体" w:hAnsi="宋体" w:cs="宋体"/>
          <w:szCs w:val="21"/>
          <w:highlight w:val="none"/>
          <w:lang w:val="en-US" w:eastAsia="zh-CN"/>
        </w:rPr>
        <w:t>需</w:t>
      </w:r>
      <w:r>
        <w:rPr>
          <w:rFonts w:hint="eastAsia" w:ascii="宋体" w:hAnsi="宋体" w:eastAsia="宋体" w:cs="宋体"/>
          <w:szCs w:val="21"/>
          <w:highlight w:val="none"/>
          <w:lang w:val="en-US" w:eastAsia="zh-CN"/>
        </w:rPr>
        <w:t>在项目所在区域设置运维服务站</w:t>
      </w:r>
      <w:r>
        <w:rPr>
          <w:rFonts w:hint="eastAsia" w:ascii="宋体" w:hAnsi="宋体" w:cs="宋体"/>
          <w:szCs w:val="21"/>
          <w:highlight w:val="none"/>
          <w:lang w:val="en-US" w:eastAsia="zh-CN"/>
        </w:rPr>
        <w:t>，用来存放机械设备、车辆停放及设备、材料的场所，服务站设置专门负责人负责维护管理。</w:t>
      </w:r>
    </w:p>
    <w:p w14:paraId="7DB17894">
      <w:pPr>
        <w:snapToGrid w:val="0"/>
        <w:spacing w:line="360" w:lineRule="auto"/>
        <w:ind w:firstLine="413" w:firstLineChars="196"/>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3.运维设备的要求</w:t>
      </w:r>
    </w:p>
    <w:p w14:paraId="57EAEC60">
      <w:pPr>
        <w:snapToGrid w:val="0"/>
        <w:spacing w:line="360" w:lineRule="auto"/>
        <w:ind w:firstLine="411" w:firstLineChars="196"/>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r>
        <w:rPr>
          <w:rFonts w:hint="eastAsia" w:ascii="宋体" w:hAnsi="宋体" w:eastAsia="宋体" w:cs="宋体"/>
          <w:szCs w:val="21"/>
          <w:highlight w:val="none"/>
          <w:lang w:val="en-US" w:eastAsia="zh-CN"/>
        </w:rPr>
        <w:t>运维车辆和工具满足半小时服务圈要求，满足日常运维和突发事件的应急需要。配备</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辆小型货车，按需配备工具与备件；</w:t>
      </w:r>
    </w:p>
    <w:p w14:paraId="6A281161">
      <w:pPr>
        <w:snapToGrid w:val="0"/>
        <w:spacing w:line="360" w:lineRule="auto"/>
        <w:ind w:firstLine="411" w:firstLineChars="196"/>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r>
        <w:rPr>
          <w:rFonts w:hint="eastAsia" w:ascii="宋体" w:hAnsi="宋体" w:eastAsia="宋体" w:cs="宋体"/>
          <w:szCs w:val="21"/>
          <w:highlight w:val="none"/>
          <w:lang w:val="en-US" w:eastAsia="zh-CN"/>
        </w:rPr>
        <w:t>配备</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辆吸污车（</w:t>
      </w: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立方及以上），</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辆管道疏通车（</w:t>
      </w:r>
      <w:r>
        <w:rPr>
          <w:rFonts w:hint="default" w:ascii="宋体" w:hAnsi="宋体" w:eastAsia="宋体" w:cs="宋体"/>
          <w:szCs w:val="21"/>
          <w:highlight w:val="none"/>
          <w:lang w:val="en-US" w:eastAsia="zh-CN"/>
        </w:rPr>
        <w:t>6</w:t>
      </w:r>
      <w:r>
        <w:rPr>
          <w:rFonts w:hint="eastAsia" w:ascii="宋体" w:hAnsi="宋体" w:eastAsia="宋体" w:cs="宋体"/>
          <w:szCs w:val="21"/>
          <w:highlight w:val="none"/>
          <w:lang w:val="en-US" w:eastAsia="zh-CN"/>
        </w:rPr>
        <w:t xml:space="preserve">立方及以上）； </w:t>
      </w:r>
    </w:p>
    <w:p w14:paraId="07D2C3D6">
      <w:pPr>
        <w:snapToGrid w:val="0"/>
        <w:spacing w:line="360" w:lineRule="auto"/>
        <w:ind w:firstLine="411" w:firstLineChars="196"/>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r>
        <w:rPr>
          <w:rFonts w:hint="eastAsia" w:ascii="宋体" w:hAnsi="宋体" w:eastAsia="宋体" w:cs="宋体"/>
          <w:szCs w:val="21"/>
          <w:highlight w:val="none"/>
          <w:lang w:val="en-US" w:eastAsia="zh-CN"/>
        </w:rPr>
        <w:t>运维工具：</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w:t>
      </w:r>
      <w:r>
        <w:rPr>
          <w:rFonts w:hint="default" w:ascii="宋体" w:hAnsi="宋体" w:eastAsia="宋体" w:cs="宋体"/>
          <w:szCs w:val="21"/>
          <w:highlight w:val="none"/>
          <w:lang w:val="en-US" w:eastAsia="zh-CN"/>
        </w:rPr>
        <w:t xml:space="preserve">CCTV </w:t>
      </w:r>
      <w:r>
        <w:rPr>
          <w:rFonts w:hint="eastAsia" w:ascii="宋体" w:hAnsi="宋体" w:eastAsia="宋体" w:cs="宋体"/>
          <w:szCs w:val="21"/>
          <w:highlight w:val="none"/>
          <w:lang w:val="en-US" w:eastAsia="zh-CN"/>
        </w:rPr>
        <w:t>管道监测仪，</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辆小型管道疏通车，</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套管道内窥镜，</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套毒气检测仪，</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套移动供电设备（单台功率</w:t>
      </w:r>
      <w:r>
        <w:rPr>
          <w:rFonts w:hint="default" w:ascii="宋体" w:hAnsi="宋体" w:eastAsia="宋体" w:cs="宋体"/>
          <w:szCs w:val="21"/>
          <w:highlight w:val="none"/>
          <w:lang w:val="en-US" w:eastAsia="zh-CN"/>
        </w:rPr>
        <w:t>5kW</w:t>
      </w:r>
      <w:r>
        <w:rPr>
          <w:rFonts w:hint="eastAsia" w:ascii="宋体" w:hAnsi="宋体" w:eastAsia="宋体" w:cs="宋体"/>
          <w:szCs w:val="21"/>
          <w:highlight w:val="none"/>
          <w:lang w:val="en-US" w:eastAsia="zh-CN"/>
        </w:rPr>
        <w:t>及以上），应急排涝车（车</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泵）</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台（排水量≥</w:t>
      </w:r>
      <w:r>
        <w:rPr>
          <w:rFonts w:hint="default" w:ascii="宋体" w:hAnsi="宋体" w:eastAsia="宋体" w:cs="宋体"/>
          <w:szCs w:val="21"/>
          <w:highlight w:val="none"/>
          <w:lang w:val="en-US" w:eastAsia="zh-CN"/>
        </w:rPr>
        <w:t xml:space="preserve">400 </w:t>
      </w:r>
      <w:r>
        <w:rPr>
          <w:rFonts w:hint="eastAsia" w:ascii="宋体" w:hAnsi="宋体" w:eastAsia="宋体" w:cs="宋体"/>
          <w:szCs w:val="21"/>
          <w:highlight w:val="none"/>
          <w:lang w:val="en-US" w:eastAsia="zh-CN"/>
        </w:rPr>
        <w:t>立方米</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小时），气囊1套（D200、D300）。</w:t>
      </w:r>
    </w:p>
    <w:p w14:paraId="0BD7A61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运维废弃物处置：</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须自行妥善处置运维废弃物，处置方式和地点须符合相关法律法规相关要求，浙江省、宁波市及北仑区相关部门另有规定的，以其中最严格要求执行。运维废弃物处置等相关费用均包含于本项目费用中。</w:t>
      </w:r>
    </w:p>
    <w:p w14:paraId="53981F72">
      <w:pPr>
        <w:snapToGrid w:val="0"/>
        <w:spacing w:line="360" w:lineRule="auto"/>
        <w:ind w:firstLine="411" w:firstLineChars="196"/>
        <w:rPr>
          <w:rFonts w:hint="eastAsia" w:ascii="宋体" w:hAnsi="宋体" w:eastAsia="宋体" w:cs="宋体"/>
          <w:b/>
          <w:bCs/>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.运维人员的要求</w:t>
      </w:r>
    </w:p>
    <w:p w14:paraId="06FF67A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1）项目负责人1人：有3年及以上水污染治理从业经验，并具有给排水或环境工程中级及以上职称；</w:t>
      </w:r>
    </w:p>
    <w:p w14:paraId="4E00F40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2）安全员1人：须常驻梅山街道，具有安全工程师证书或安全生产管理人员B证或C证；</w:t>
      </w:r>
    </w:p>
    <w:p w14:paraId="42FCA3A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3）养护人员4人：至少2人具有下水道养护工作业证或有限空间操作职业资格证书；</w:t>
      </w:r>
    </w:p>
    <w:p w14:paraId="6B432DA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4）智慧平台案件处置员1人；内勤资料档案员1人；电工1人：具有特种作业操作证。</w:t>
      </w:r>
    </w:p>
    <w:p w14:paraId="49BF19C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针对本项目配备至少6名运维人员，要求年龄60周岁以下，身体健康。智慧平台案件处置员、内勤资料档案员、电工可为兼职或兼任人员，项目负责人及安全员不得由养护人员兼任。</w:t>
      </w:r>
    </w:p>
    <w:p w14:paraId="67E240BF">
      <w:pPr>
        <w:numPr>
          <w:ilvl w:val="0"/>
          <w:numId w:val="0"/>
        </w:numPr>
        <w:tabs>
          <w:tab w:val="left" w:pos="0"/>
        </w:tabs>
        <w:spacing w:line="360" w:lineRule="auto"/>
        <w:rPr>
          <w:rFonts w:hint="eastAsia" w:ascii="宋体" w:hAnsi="宋体" w:eastAsia="宋体" w:cs="宋体"/>
          <w:b/>
          <w:bCs/>
          <w:color w:val="000000"/>
          <w:highlight w:val="none"/>
          <w:lang w:val="en-US" w:eastAsia="zh-CN"/>
        </w:rPr>
      </w:pPr>
      <w:r>
        <w:rPr>
          <w:rFonts w:hint="eastAsia" w:ascii="宋体" w:hAnsi="宋体" w:cs="宋体"/>
          <w:b/>
          <w:bCs/>
          <w:color w:val="000000"/>
          <w:highlight w:val="none"/>
          <w:lang w:val="en-US" w:eastAsia="zh-CN"/>
        </w:rPr>
        <w:t>4.4</w:t>
      </w:r>
      <w:r>
        <w:rPr>
          <w:rFonts w:hint="eastAsia" w:ascii="宋体" w:hAnsi="宋体" w:eastAsia="宋体" w:cs="宋体"/>
          <w:b/>
          <w:bCs/>
          <w:color w:val="000000"/>
          <w:highlight w:val="none"/>
          <w:lang w:val="en-US" w:eastAsia="zh-CN"/>
        </w:rPr>
        <w:t xml:space="preserve">安全管理要求 </w:t>
      </w:r>
    </w:p>
    <w:p w14:paraId="515AC022">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 xml:space="preserve">.建立安全管理制度； </w:t>
      </w:r>
    </w:p>
    <w:p w14:paraId="26F60825">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 xml:space="preserve">.制定安全应急预案，一年至少开展一次安全预演并记录； </w:t>
      </w:r>
    </w:p>
    <w:p w14:paraId="7F6AF5A8">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3</w:t>
      </w:r>
      <w:r>
        <w:rPr>
          <w:rFonts w:hint="eastAsia" w:ascii="宋体" w:hAnsi="宋体" w:eastAsia="宋体" w:cs="宋体"/>
          <w:szCs w:val="21"/>
          <w:highlight w:val="none"/>
          <w:lang w:val="en-US" w:eastAsia="zh-CN"/>
        </w:rPr>
        <w:t xml:space="preserve">.运维作业范围区设置安全警示标识，运维现场严禁吸烟、严禁随意动用明火； </w:t>
      </w:r>
    </w:p>
    <w:p w14:paraId="642B17EA">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 xml:space="preserve">.受限空间作业严格实行审批制度，至少两人一组，且配备安全、照明及检测工具，落实定岗定人安全监护责任，作业完成后将设施复位。 </w:t>
      </w:r>
    </w:p>
    <w:p w14:paraId="2E16A44D">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5</w:t>
      </w:r>
      <w:r>
        <w:rPr>
          <w:rFonts w:hint="eastAsia" w:ascii="宋体" w:hAnsi="宋体" w:eastAsia="宋体" w:cs="宋体"/>
          <w:szCs w:val="21"/>
          <w:highlight w:val="none"/>
          <w:lang w:val="en-US" w:eastAsia="zh-CN"/>
        </w:rPr>
        <w:t>.所有养护人员进场前须经过入职培训，并提供入职健康体检报告；且至少每年提供一次健康体检报告；如健康状况不良或不符合</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要求，</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 xml:space="preserve">有权要求调换人员。 </w:t>
      </w:r>
    </w:p>
    <w:p w14:paraId="08BC4420">
      <w:pPr>
        <w:snapToGrid w:val="0"/>
        <w:spacing w:line="360" w:lineRule="auto"/>
        <w:ind w:firstLine="411" w:firstLineChars="196"/>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6</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须为本项目所有养护人员购买意外险，如发生安全责任事故，由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自行承担一切责任及损失，</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 xml:space="preserve">概不负责。 </w:t>
      </w:r>
    </w:p>
    <w:p w14:paraId="2F24F370">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须为养护区域内农污设施购买公众责任险。养护区域内农污设施因经营业务发生意外事故，造成第三者人身伤亡或财产损失，应由被保险人承担的经济赔偿责任，保险人累计赔偿额度每年度不低于500万元，每次事故赔偿额</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万元（其中财产损失额度不低于50万元，人身伤亡额度不低于</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万元），每人人身伤亡赔偿额度不低于</w:t>
      </w:r>
      <w:r>
        <w:rPr>
          <w:rFonts w:hint="eastAsia" w:ascii="宋体" w:hAnsi="宋体" w:cs="宋体"/>
          <w:szCs w:val="21"/>
          <w:highlight w:val="none"/>
          <w:lang w:val="en-US" w:eastAsia="zh-CN"/>
        </w:rPr>
        <w:t>100</w:t>
      </w:r>
      <w:r>
        <w:rPr>
          <w:rFonts w:hint="eastAsia" w:ascii="宋体" w:hAnsi="宋体" w:eastAsia="宋体" w:cs="宋体"/>
          <w:szCs w:val="21"/>
          <w:highlight w:val="none"/>
          <w:lang w:val="en-US" w:eastAsia="zh-CN"/>
        </w:rPr>
        <w:t>万元。</w:t>
      </w:r>
    </w:p>
    <w:p w14:paraId="5B2105F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须为所管辖区域内的所有本项目相关服务内容购买保险，</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移交给</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的全部设施设备，因可能发生的包括但不限于以下风险而须索赔的均由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负责赔偿且处理相关事宜，相应的风险均由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承担：</w:t>
      </w:r>
    </w:p>
    <w:p w14:paraId="4A9C23B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1）因井盖、盖板等排水设施损坏、缺失导致的人身、财产损失索赔； </w:t>
      </w:r>
    </w:p>
    <w:p w14:paraId="215AF37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2）因</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对管网的清疏不及时或对污水设施的管理不善导致污水不能及时排除造成的人身、财产损失索赔；</w:t>
      </w:r>
    </w:p>
    <w:p w14:paraId="3CDD81F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3）因</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对管网的清疏不及时或对污水设施的管理不善导致污水溢流出排水系统造成的人身、财产损失索赔和环保处罚等；</w:t>
      </w:r>
    </w:p>
    <w:p w14:paraId="61FF29A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4）其他因</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对管道及其附属构筑物、污水设施的检查与维修工作不及时造成的人身、财产损失索赔；</w:t>
      </w:r>
    </w:p>
    <w:p w14:paraId="78D25838">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员工或者</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聘请的工作人员在维护作业过程中以及完成本项目约定的其他工作内容时造成的人身、财产损害等保险费用由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自行负责；</w:t>
      </w:r>
    </w:p>
    <w:p w14:paraId="1B93929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6）在运营期间发生的一切事故、责任全部由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负责。如</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未购买或少购买保险而导致赔偿纠纷的，均由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自行负责和处理。</w:t>
      </w:r>
    </w:p>
    <w:p w14:paraId="5F023DBC">
      <w:pPr>
        <w:numPr>
          <w:ilvl w:val="0"/>
          <w:numId w:val="0"/>
        </w:numPr>
        <w:tabs>
          <w:tab w:val="left" w:pos="0"/>
        </w:tabs>
        <w:spacing w:line="360" w:lineRule="auto"/>
        <w:rPr>
          <w:rFonts w:hint="eastAsia" w:ascii="宋体" w:hAnsi="宋体" w:eastAsia="宋体" w:cs="宋体"/>
          <w:b/>
          <w:bCs/>
          <w:color w:val="000000"/>
          <w:lang w:val="en-US" w:eastAsia="zh-CN"/>
        </w:rPr>
      </w:pPr>
      <w:r>
        <w:rPr>
          <w:rFonts w:hint="eastAsia" w:ascii="宋体" w:hAnsi="宋体" w:cs="宋体"/>
          <w:b/>
          <w:bCs/>
          <w:color w:val="000000"/>
          <w:lang w:val="en-US" w:eastAsia="zh-CN"/>
        </w:rPr>
        <w:t>4.5</w:t>
      </w:r>
      <w:r>
        <w:rPr>
          <w:rFonts w:hint="eastAsia" w:ascii="宋体" w:hAnsi="宋体" w:eastAsia="宋体" w:cs="宋体"/>
          <w:b/>
          <w:bCs/>
          <w:color w:val="000000"/>
          <w:lang w:val="en-US" w:eastAsia="zh-CN"/>
        </w:rPr>
        <w:t xml:space="preserve">其他要求 </w:t>
      </w:r>
    </w:p>
    <w:p w14:paraId="6A233C2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1.在服务期限内，</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 xml:space="preserve">应该按照相应技术规范，合理组织，精心养护施工，保质、保量完成管理任务。 </w:t>
      </w:r>
    </w:p>
    <w:p w14:paraId="141C8E7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2.对养护项目实施养护规程施工管理所需的一切劳动力、材料、设备和服务由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自行组织，由此产生的一切费用由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承担。</w:t>
      </w:r>
    </w:p>
    <w:p w14:paraId="263EF44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3.对养护运维项目实施养护施工管理所需的养护施工管理房由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 xml:space="preserve">自行解决。 </w:t>
      </w:r>
    </w:p>
    <w:p w14:paraId="591DF0D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4.应定期向</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提供养护运维施工管理计划（月度、年度）及有关措施，以便</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 xml:space="preserve">进行监督考核。 </w:t>
      </w:r>
    </w:p>
    <w:p w14:paraId="58EFB18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5.必须重视安全工作，确保全年不出安全责任事故。如发生安全责任事故，由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 xml:space="preserve">承担一切责任及损失。 </w:t>
      </w:r>
    </w:p>
    <w:p w14:paraId="4D6132A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6.如遇台风、暴雨等特殊天气，</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 xml:space="preserve">必须24小时值班巡逻，每组巡逻人员不少于2人，发现积水严重部位及时清理、疏通，并做好闸阀的启闭工作。 </w:t>
      </w:r>
    </w:p>
    <w:p w14:paraId="6323CB9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7.加强对事故风险影响（包括进出水水质、水量出现异常，因故障、维护或其他自然、人为因素确实需临时停运的，终端防涝措施等）的预防对策和管理措施，并建立相应的应急预 案制度。如遇台风、暴雪等自然性突发灾害，应提前做好预处理措施，事后及时巡视和维护；</w:t>
      </w:r>
    </w:p>
    <w:p w14:paraId="65333364">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①每月10日前向</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 xml:space="preserve">和运行维护主管部门报告上月的污水治理量、耗电量、巡查记录、设备完好率、设备操作维护记录等运行维护报表； </w:t>
      </w:r>
    </w:p>
    <w:p w14:paraId="33FAFDBF">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② 每季度第1个月10日前，报告上季度进、出水水质，水量以及治理达标率等指标； </w:t>
      </w:r>
    </w:p>
    <w:p w14:paraId="17371C7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 每年1月上旬，报告上年度污水治理设施运行维护管理情况（包括运营维护成本，包括能耗、设备材料费用、人工等、零小修工程量、巡查记录、投诉治理情况等数据）。</w:t>
      </w:r>
    </w:p>
    <w:p w14:paraId="6069C7EC">
      <w:pPr>
        <w:numPr>
          <w:ilvl w:val="0"/>
          <w:numId w:val="0"/>
        </w:numPr>
        <w:tabs>
          <w:tab w:val="left" w:pos="0"/>
        </w:tabs>
        <w:spacing w:line="360" w:lineRule="auto"/>
        <w:rPr>
          <w:rFonts w:hint="default" w:ascii="宋体" w:hAnsi="宋体" w:eastAsia="宋体" w:cs="宋体"/>
          <w:b/>
          <w:bCs/>
          <w:color w:val="000000"/>
          <w:lang w:val="en-US" w:eastAsia="zh-CN"/>
        </w:rPr>
      </w:pPr>
      <w:r>
        <w:rPr>
          <w:rFonts w:hint="eastAsia" w:ascii="宋体" w:hAnsi="宋体" w:cs="宋体"/>
          <w:b/>
          <w:bCs/>
          <w:color w:val="000000"/>
          <w:lang w:val="en-US" w:eastAsia="zh-CN"/>
        </w:rPr>
        <w:t>4.6</w:t>
      </w:r>
      <w:r>
        <w:rPr>
          <w:rFonts w:hint="eastAsia" w:ascii="宋体" w:hAnsi="宋体" w:eastAsia="宋体" w:cs="宋体"/>
          <w:b/>
          <w:bCs/>
          <w:color w:val="000000"/>
          <w:lang w:val="en-US" w:eastAsia="zh-CN"/>
        </w:rPr>
        <w:t>更换、维修费用</w:t>
      </w:r>
    </w:p>
    <w:p w14:paraId="0252706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污水检查井井盖（井座）更换、维修，按</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要求施工，按《浙江省市政设施养护维修预算定额》（2018版）及现行的浙江省、宁波市有关费用调整规定计算；如不涉及到井座更换只更换井盖的，维修费用由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负责；非养护责任引起的终端、提升井及管道维修、</w:t>
      </w:r>
      <w:r>
        <w:rPr>
          <w:rFonts w:hint="eastAsia" w:ascii="宋体" w:hAnsi="宋体" w:cs="宋体"/>
          <w:szCs w:val="21"/>
          <w:highlight w:val="none"/>
          <w:lang w:val="en-US" w:eastAsia="zh-CN"/>
        </w:rPr>
        <w:t>大修、</w:t>
      </w:r>
      <w:r>
        <w:rPr>
          <w:rFonts w:hint="eastAsia" w:ascii="宋体" w:hAnsi="宋体" w:eastAsia="宋体" w:cs="宋体"/>
          <w:szCs w:val="21"/>
          <w:highlight w:val="none"/>
          <w:lang w:val="en-US" w:eastAsia="zh-CN"/>
        </w:rPr>
        <w:t>抢修等完善性改造，依据</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的任务书（委托书）及</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认可的实施方案、竣工图、签证单、预算、实际工作量等编制结算书（竣工验收资料齐全），工程款以</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造价人员或</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委托的造价咨询机构的审核结果为准。为便于排查管网原因，</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可要求</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对管网进行疏通检测，相关费用由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承担（相关设备、人员均由</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负责落实）检测成果属</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所有。</w:t>
      </w:r>
    </w:p>
    <w:p w14:paraId="4FC36F09">
      <w:pPr>
        <w:numPr>
          <w:ilvl w:val="0"/>
          <w:numId w:val="0"/>
        </w:numPr>
        <w:tabs>
          <w:tab w:val="left" w:pos="0"/>
        </w:tabs>
        <w:spacing w:line="360" w:lineRule="auto"/>
        <w:rPr>
          <w:rFonts w:hint="eastAsia" w:ascii="宋体" w:hAnsi="宋体" w:eastAsia="宋体" w:cs="宋体"/>
          <w:b/>
          <w:bCs/>
          <w:color w:val="000000"/>
          <w:lang w:val="en-US" w:eastAsia="zh-CN"/>
        </w:rPr>
      </w:pPr>
      <w:r>
        <w:rPr>
          <w:rFonts w:hint="eastAsia" w:ascii="宋体" w:hAnsi="宋体" w:cs="宋体"/>
          <w:b/>
          <w:bCs/>
          <w:color w:val="000000"/>
          <w:lang w:val="en-US" w:eastAsia="zh-CN"/>
        </w:rPr>
        <w:t>4.7</w:t>
      </w:r>
      <w:r>
        <w:rPr>
          <w:rFonts w:hint="eastAsia" w:ascii="宋体" w:hAnsi="宋体" w:eastAsia="宋体" w:cs="宋体"/>
          <w:b/>
          <w:bCs/>
          <w:color w:val="000000"/>
          <w:lang w:val="en-US" w:eastAsia="zh-CN"/>
        </w:rPr>
        <w:t>主要设施设备清单</w:t>
      </w:r>
    </w:p>
    <w:tbl>
      <w:tblPr>
        <w:tblStyle w:val="24"/>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61"/>
        <w:gridCol w:w="1864"/>
        <w:gridCol w:w="2001"/>
        <w:gridCol w:w="2343"/>
        <w:gridCol w:w="1289"/>
      </w:tblGrid>
      <w:tr w14:paraId="5755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48F01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00" w:type="pct"/>
            <w:noWrap w:val="0"/>
            <w:vAlign w:val="center"/>
          </w:tcPr>
          <w:p w14:paraId="10CDA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行政村</w:t>
            </w:r>
          </w:p>
        </w:tc>
        <w:tc>
          <w:tcPr>
            <w:tcW w:w="959" w:type="pct"/>
            <w:noWrap w:val="0"/>
            <w:vAlign w:val="center"/>
          </w:tcPr>
          <w:p w14:paraId="38141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管线长度（m）</w:t>
            </w:r>
          </w:p>
        </w:tc>
        <w:tc>
          <w:tcPr>
            <w:tcW w:w="1029" w:type="pct"/>
            <w:noWrap w:val="0"/>
            <w:vAlign w:val="center"/>
          </w:tcPr>
          <w:p w14:paraId="37C7C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终端养护（个）</w:t>
            </w:r>
          </w:p>
        </w:tc>
        <w:tc>
          <w:tcPr>
            <w:tcW w:w="1205" w:type="pct"/>
            <w:noWrap w:val="0"/>
            <w:vAlign w:val="center"/>
          </w:tcPr>
          <w:p w14:paraId="341BA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提升井养护（个）</w:t>
            </w:r>
          </w:p>
        </w:tc>
        <w:tc>
          <w:tcPr>
            <w:tcW w:w="663" w:type="pct"/>
            <w:noWrap w:val="0"/>
            <w:vAlign w:val="center"/>
          </w:tcPr>
          <w:p w14:paraId="27B6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99B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75C23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pct"/>
            <w:noWrap w:val="0"/>
            <w:vAlign w:val="center"/>
          </w:tcPr>
          <w:p w14:paraId="25E38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梅山社</w:t>
            </w:r>
          </w:p>
        </w:tc>
        <w:tc>
          <w:tcPr>
            <w:tcW w:w="959" w:type="pct"/>
            <w:noWrap w:val="0"/>
            <w:vAlign w:val="center"/>
          </w:tcPr>
          <w:p w14:paraId="76507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29" w:type="pct"/>
            <w:noWrap w:val="0"/>
            <w:vAlign w:val="center"/>
          </w:tcPr>
          <w:p w14:paraId="55DA0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5" w:type="pct"/>
            <w:noWrap w:val="0"/>
            <w:vAlign w:val="center"/>
          </w:tcPr>
          <w:p w14:paraId="1A633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3" w:type="pct"/>
            <w:noWrap w:val="0"/>
            <w:vAlign w:val="center"/>
          </w:tcPr>
          <w:p w14:paraId="7B66500C">
            <w:pPr>
              <w:rPr>
                <w:rFonts w:hint="eastAsia" w:ascii="宋体" w:hAnsi="宋体" w:eastAsia="宋体" w:cs="宋体"/>
                <w:i w:val="0"/>
                <w:iCs w:val="0"/>
                <w:color w:val="000000"/>
                <w:sz w:val="20"/>
                <w:szCs w:val="20"/>
                <w:u w:val="none"/>
              </w:rPr>
            </w:pPr>
          </w:p>
        </w:tc>
      </w:tr>
      <w:tr w14:paraId="1C54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1E0B4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pct"/>
            <w:noWrap w:val="0"/>
            <w:vAlign w:val="center"/>
          </w:tcPr>
          <w:p w14:paraId="66DA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盘峙社</w:t>
            </w:r>
          </w:p>
        </w:tc>
        <w:tc>
          <w:tcPr>
            <w:tcW w:w="959" w:type="pct"/>
            <w:noWrap w:val="0"/>
            <w:vAlign w:val="center"/>
          </w:tcPr>
          <w:p w14:paraId="2033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4668</w:t>
            </w:r>
          </w:p>
        </w:tc>
        <w:tc>
          <w:tcPr>
            <w:tcW w:w="1029" w:type="pct"/>
            <w:noWrap w:val="0"/>
            <w:vAlign w:val="center"/>
          </w:tcPr>
          <w:p w14:paraId="3633F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5" w:type="pct"/>
            <w:noWrap w:val="0"/>
            <w:vAlign w:val="center"/>
          </w:tcPr>
          <w:p w14:paraId="0D68E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pct"/>
            <w:noWrap w:val="0"/>
            <w:vAlign w:val="center"/>
          </w:tcPr>
          <w:p w14:paraId="237F193A">
            <w:pPr>
              <w:rPr>
                <w:rFonts w:hint="eastAsia" w:ascii="宋体" w:hAnsi="宋体" w:eastAsia="宋体" w:cs="宋体"/>
                <w:i w:val="0"/>
                <w:iCs w:val="0"/>
                <w:color w:val="000000"/>
                <w:sz w:val="22"/>
                <w:szCs w:val="22"/>
                <w:u w:val="none"/>
              </w:rPr>
            </w:pPr>
          </w:p>
        </w:tc>
      </w:tr>
      <w:tr w14:paraId="2325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59A1E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pct"/>
            <w:noWrap w:val="0"/>
            <w:vAlign w:val="center"/>
          </w:tcPr>
          <w:p w14:paraId="02877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炮台社</w:t>
            </w:r>
          </w:p>
        </w:tc>
        <w:tc>
          <w:tcPr>
            <w:tcW w:w="959" w:type="pct"/>
            <w:noWrap w:val="0"/>
            <w:vAlign w:val="center"/>
          </w:tcPr>
          <w:p w14:paraId="39C22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7765</w:t>
            </w:r>
          </w:p>
        </w:tc>
        <w:tc>
          <w:tcPr>
            <w:tcW w:w="1029" w:type="pct"/>
            <w:noWrap w:val="0"/>
            <w:vAlign w:val="center"/>
          </w:tcPr>
          <w:p w14:paraId="3A98F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5" w:type="pct"/>
            <w:noWrap w:val="0"/>
            <w:vAlign w:val="center"/>
          </w:tcPr>
          <w:p w14:paraId="1A433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noWrap w:val="0"/>
            <w:vAlign w:val="center"/>
          </w:tcPr>
          <w:p w14:paraId="29B95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AA2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668F7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pct"/>
            <w:noWrap w:val="0"/>
            <w:vAlign w:val="center"/>
          </w:tcPr>
          <w:p w14:paraId="0F18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里岙社</w:t>
            </w:r>
          </w:p>
        </w:tc>
        <w:tc>
          <w:tcPr>
            <w:tcW w:w="959" w:type="pct"/>
            <w:noWrap w:val="0"/>
            <w:vAlign w:val="center"/>
          </w:tcPr>
          <w:p w14:paraId="7D601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14929</w:t>
            </w:r>
          </w:p>
        </w:tc>
        <w:tc>
          <w:tcPr>
            <w:tcW w:w="1029" w:type="pct"/>
            <w:noWrap w:val="0"/>
            <w:vAlign w:val="center"/>
          </w:tcPr>
          <w:p w14:paraId="616C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4A111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3" w:type="pct"/>
            <w:noWrap w:val="0"/>
            <w:vAlign w:val="center"/>
          </w:tcPr>
          <w:p w14:paraId="2AE68A4E">
            <w:pPr>
              <w:rPr>
                <w:rFonts w:hint="eastAsia" w:ascii="宋体" w:hAnsi="宋体" w:eastAsia="宋体" w:cs="宋体"/>
                <w:i w:val="0"/>
                <w:iCs w:val="0"/>
                <w:color w:val="000000"/>
                <w:sz w:val="22"/>
                <w:szCs w:val="22"/>
                <w:u w:val="none"/>
              </w:rPr>
            </w:pPr>
          </w:p>
        </w:tc>
      </w:tr>
      <w:tr w14:paraId="516B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5BF83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0" w:type="pct"/>
            <w:noWrap w:val="0"/>
            <w:vAlign w:val="center"/>
          </w:tcPr>
          <w:p w14:paraId="08EAA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担峙社</w:t>
            </w:r>
          </w:p>
        </w:tc>
        <w:tc>
          <w:tcPr>
            <w:tcW w:w="959" w:type="pct"/>
            <w:noWrap w:val="0"/>
            <w:vAlign w:val="center"/>
          </w:tcPr>
          <w:p w14:paraId="6745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7013</w:t>
            </w:r>
          </w:p>
        </w:tc>
        <w:tc>
          <w:tcPr>
            <w:tcW w:w="1029" w:type="pct"/>
            <w:noWrap w:val="0"/>
            <w:vAlign w:val="center"/>
          </w:tcPr>
          <w:p w14:paraId="26654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5" w:type="pct"/>
            <w:noWrap w:val="0"/>
            <w:vAlign w:val="center"/>
          </w:tcPr>
          <w:p w14:paraId="5AD0E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3" w:type="pct"/>
            <w:noWrap w:val="0"/>
            <w:vAlign w:val="center"/>
          </w:tcPr>
          <w:p w14:paraId="447ACAEE">
            <w:pPr>
              <w:rPr>
                <w:rFonts w:hint="eastAsia" w:ascii="宋体" w:hAnsi="宋体" w:eastAsia="宋体" w:cs="宋体"/>
                <w:i w:val="0"/>
                <w:iCs w:val="0"/>
                <w:color w:val="000000"/>
                <w:sz w:val="22"/>
                <w:szCs w:val="22"/>
                <w:u w:val="none"/>
              </w:rPr>
            </w:pPr>
          </w:p>
        </w:tc>
      </w:tr>
      <w:tr w14:paraId="7FB0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5A58E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0" w:type="pct"/>
            <w:noWrap w:val="0"/>
            <w:vAlign w:val="center"/>
          </w:tcPr>
          <w:p w14:paraId="0D91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外岙社</w:t>
            </w:r>
          </w:p>
        </w:tc>
        <w:tc>
          <w:tcPr>
            <w:tcW w:w="959" w:type="pct"/>
            <w:noWrap w:val="0"/>
            <w:vAlign w:val="center"/>
          </w:tcPr>
          <w:p w14:paraId="2F7A4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9" w:type="pct"/>
            <w:noWrap w:val="0"/>
            <w:vAlign w:val="center"/>
          </w:tcPr>
          <w:p w14:paraId="4ADBD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150B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noWrap w:val="0"/>
            <w:vAlign w:val="center"/>
          </w:tcPr>
          <w:p w14:paraId="377FE9A8">
            <w:pPr>
              <w:rPr>
                <w:rFonts w:hint="eastAsia" w:ascii="宋体" w:hAnsi="宋体" w:eastAsia="宋体" w:cs="宋体"/>
                <w:i w:val="0"/>
                <w:iCs w:val="0"/>
                <w:color w:val="000000"/>
                <w:sz w:val="20"/>
                <w:szCs w:val="20"/>
                <w:u w:val="none"/>
              </w:rPr>
            </w:pPr>
          </w:p>
        </w:tc>
      </w:tr>
      <w:tr w14:paraId="659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5D1FE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pct"/>
            <w:noWrap w:val="0"/>
            <w:vAlign w:val="center"/>
          </w:tcPr>
          <w:p w14:paraId="7FB17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南汇社</w:t>
            </w:r>
          </w:p>
        </w:tc>
        <w:tc>
          <w:tcPr>
            <w:tcW w:w="959" w:type="pct"/>
            <w:noWrap w:val="0"/>
            <w:vAlign w:val="center"/>
          </w:tcPr>
          <w:p w14:paraId="75964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4262</w:t>
            </w:r>
          </w:p>
        </w:tc>
        <w:tc>
          <w:tcPr>
            <w:tcW w:w="1029" w:type="pct"/>
            <w:noWrap w:val="0"/>
            <w:vAlign w:val="center"/>
          </w:tcPr>
          <w:p w14:paraId="46908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5" w:type="pct"/>
            <w:noWrap w:val="0"/>
            <w:vAlign w:val="center"/>
          </w:tcPr>
          <w:p w14:paraId="43FB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noWrap w:val="0"/>
            <w:vAlign w:val="center"/>
          </w:tcPr>
          <w:p w14:paraId="6C99B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3F5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5DC48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pct"/>
            <w:noWrap w:val="0"/>
            <w:vAlign w:val="center"/>
          </w:tcPr>
          <w:p w14:paraId="467B0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霞岸社</w:t>
            </w:r>
          </w:p>
        </w:tc>
        <w:tc>
          <w:tcPr>
            <w:tcW w:w="959" w:type="pct"/>
            <w:noWrap w:val="0"/>
            <w:vAlign w:val="center"/>
          </w:tcPr>
          <w:p w14:paraId="13C2E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029" w:type="pct"/>
            <w:noWrap w:val="0"/>
            <w:vAlign w:val="center"/>
          </w:tcPr>
          <w:p w14:paraId="45F2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7DD52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noWrap w:val="0"/>
            <w:vAlign w:val="center"/>
          </w:tcPr>
          <w:p w14:paraId="68031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4F5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77F56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0" w:type="pct"/>
            <w:noWrap w:val="0"/>
            <w:vAlign w:val="center"/>
          </w:tcPr>
          <w:p w14:paraId="1944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苔岙社</w:t>
            </w:r>
          </w:p>
        </w:tc>
        <w:tc>
          <w:tcPr>
            <w:tcW w:w="959" w:type="pct"/>
            <w:noWrap w:val="0"/>
            <w:vAlign w:val="center"/>
          </w:tcPr>
          <w:p w14:paraId="51D32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4467</w:t>
            </w:r>
          </w:p>
        </w:tc>
        <w:tc>
          <w:tcPr>
            <w:tcW w:w="1029" w:type="pct"/>
            <w:noWrap w:val="0"/>
            <w:vAlign w:val="center"/>
          </w:tcPr>
          <w:p w14:paraId="4AB8E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5" w:type="pct"/>
            <w:noWrap w:val="0"/>
            <w:vAlign w:val="center"/>
          </w:tcPr>
          <w:p w14:paraId="44127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noWrap w:val="0"/>
            <w:vAlign w:val="center"/>
          </w:tcPr>
          <w:p w14:paraId="250AA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34F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1" w:type="pct"/>
            <w:noWrap w:val="0"/>
            <w:vAlign w:val="center"/>
          </w:tcPr>
          <w:p w14:paraId="51F7C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0" w:type="pct"/>
            <w:noWrap w:val="0"/>
            <w:vAlign w:val="center"/>
          </w:tcPr>
          <w:p w14:paraId="2DA0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石桥社</w:t>
            </w:r>
          </w:p>
        </w:tc>
        <w:tc>
          <w:tcPr>
            <w:tcW w:w="959" w:type="pct"/>
            <w:noWrap w:val="0"/>
            <w:vAlign w:val="center"/>
          </w:tcPr>
          <w:p w14:paraId="62900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029" w:type="pct"/>
            <w:noWrap w:val="0"/>
            <w:vAlign w:val="center"/>
          </w:tcPr>
          <w:p w14:paraId="0663E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5" w:type="pct"/>
            <w:noWrap w:val="0"/>
            <w:vAlign w:val="center"/>
          </w:tcPr>
          <w:p w14:paraId="5AD05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noWrap w:val="0"/>
            <w:vAlign w:val="center"/>
          </w:tcPr>
          <w:p w14:paraId="00C92B31">
            <w:pPr>
              <w:rPr>
                <w:rFonts w:hint="eastAsia" w:ascii="宋体" w:hAnsi="宋体" w:eastAsia="宋体" w:cs="宋体"/>
                <w:i w:val="0"/>
                <w:iCs w:val="0"/>
                <w:color w:val="000000"/>
                <w:sz w:val="22"/>
                <w:szCs w:val="22"/>
                <w:u w:val="none"/>
              </w:rPr>
            </w:pPr>
          </w:p>
        </w:tc>
      </w:tr>
      <w:tr w14:paraId="7FC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41" w:type="pct"/>
            <w:gridSpan w:val="2"/>
            <w:noWrap w:val="0"/>
            <w:vAlign w:val="center"/>
          </w:tcPr>
          <w:p w14:paraId="578CF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工程量合计</w:t>
            </w:r>
          </w:p>
        </w:tc>
        <w:tc>
          <w:tcPr>
            <w:tcW w:w="959" w:type="pct"/>
            <w:noWrap w:val="0"/>
            <w:vAlign w:val="center"/>
          </w:tcPr>
          <w:p w14:paraId="39746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45166</w:t>
            </w:r>
          </w:p>
        </w:tc>
        <w:tc>
          <w:tcPr>
            <w:tcW w:w="1029" w:type="pct"/>
            <w:noWrap w:val="0"/>
            <w:vAlign w:val="center"/>
          </w:tcPr>
          <w:p w14:paraId="39B1A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5" w:type="pct"/>
            <w:noWrap w:val="0"/>
            <w:vAlign w:val="center"/>
          </w:tcPr>
          <w:p w14:paraId="72099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3" w:type="pct"/>
            <w:noWrap w:val="0"/>
            <w:vAlign w:val="center"/>
          </w:tcPr>
          <w:p w14:paraId="1DFCF446">
            <w:pPr>
              <w:jc w:val="center"/>
              <w:rPr>
                <w:rFonts w:hint="eastAsia" w:ascii="宋体" w:hAnsi="宋体" w:eastAsia="宋体" w:cs="宋体"/>
                <w:i w:val="0"/>
                <w:iCs w:val="0"/>
                <w:color w:val="000000"/>
                <w:sz w:val="22"/>
                <w:szCs w:val="22"/>
                <w:u w:val="none"/>
              </w:rPr>
            </w:pPr>
          </w:p>
        </w:tc>
      </w:tr>
    </w:tbl>
    <w:p w14:paraId="100C019C">
      <w:pPr>
        <w:numPr>
          <w:ilvl w:val="0"/>
          <w:numId w:val="0"/>
        </w:numPr>
        <w:tabs>
          <w:tab w:val="left" w:pos="0"/>
        </w:tabs>
        <w:spacing w:line="360" w:lineRule="auto"/>
        <w:rPr>
          <w:rFonts w:hint="eastAsia" w:ascii="宋体" w:hAnsi="宋体" w:eastAsia="宋体" w:cs="宋体"/>
          <w:b/>
          <w:bCs/>
          <w:color w:val="000000"/>
          <w:lang w:val="en-US" w:eastAsia="zh-CN"/>
        </w:rPr>
      </w:pPr>
      <w:r>
        <w:rPr>
          <w:rFonts w:hint="eastAsia" w:ascii="宋体" w:hAnsi="宋体" w:cs="宋体"/>
          <w:b/>
          <w:bCs/>
          <w:color w:val="000000"/>
          <w:lang w:val="en-US" w:eastAsia="zh-CN"/>
        </w:rPr>
        <w:t>4.8</w:t>
      </w:r>
      <w:r>
        <w:rPr>
          <w:rFonts w:hint="eastAsia" w:ascii="宋体" w:hAnsi="宋体" w:eastAsia="宋体" w:cs="宋体"/>
          <w:b/>
          <w:bCs/>
          <w:color w:val="000000"/>
          <w:lang w:val="en-US" w:eastAsia="zh-CN"/>
        </w:rPr>
        <w:t xml:space="preserve">适用于本项目的标准、规范和导则 </w:t>
      </w:r>
    </w:p>
    <w:p w14:paraId="27E8A62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）《农村生活污水厌氧处理终端运维导则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w:t>
      </w:r>
    </w:p>
    <w:p w14:paraId="2D15747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 xml:space="preserve">）《农村生活污水治理设施运行维护技术导则》 </w:t>
      </w:r>
    </w:p>
    <w:p w14:paraId="2510CAE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3</w:t>
      </w:r>
      <w:r>
        <w:rPr>
          <w:rFonts w:hint="eastAsia" w:ascii="宋体" w:hAnsi="宋体" w:eastAsia="宋体" w:cs="宋体"/>
          <w:szCs w:val="21"/>
          <w:highlight w:val="none"/>
          <w:lang w:val="en-US" w:eastAsia="zh-CN"/>
        </w:rPr>
        <w:t>）《农村生活污水治理设施第三方运维管理导则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5BB36EC7">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）《浙江省县</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市、区</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农村生活污水治理设施运行维护管理导则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17BD3275">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5</w:t>
      </w:r>
      <w:r>
        <w:rPr>
          <w:rFonts w:hint="eastAsia" w:ascii="宋体" w:hAnsi="宋体" w:eastAsia="宋体" w:cs="宋体"/>
          <w:szCs w:val="21"/>
          <w:highlight w:val="none"/>
          <w:lang w:val="en-US" w:eastAsia="zh-CN"/>
        </w:rPr>
        <w:t>）《浙江省农村生活污水治理设施出水水质检测与评价导则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17C6DAC2">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6</w:t>
      </w:r>
      <w:r>
        <w:rPr>
          <w:rFonts w:hint="eastAsia" w:ascii="宋体" w:hAnsi="宋体" w:eastAsia="宋体" w:cs="宋体"/>
          <w:szCs w:val="21"/>
          <w:highlight w:val="none"/>
          <w:lang w:val="en-US" w:eastAsia="zh-CN"/>
        </w:rPr>
        <w:t>）《农村生活污水处理罐运行维护导则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4284064C">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7</w:t>
      </w:r>
      <w:r>
        <w:rPr>
          <w:rFonts w:hint="eastAsia" w:ascii="宋体" w:hAnsi="宋体" w:eastAsia="宋体" w:cs="宋体"/>
          <w:szCs w:val="21"/>
          <w:highlight w:val="none"/>
          <w:lang w:val="en-US" w:eastAsia="zh-CN"/>
        </w:rPr>
        <w:t>）《农村生活污水治理设施编码导则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28129176">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8</w:t>
      </w:r>
      <w:r>
        <w:rPr>
          <w:rFonts w:hint="eastAsia" w:ascii="宋体" w:hAnsi="宋体" w:eastAsia="宋体" w:cs="宋体"/>
          <w:szCs w:val="21"/>
          <w:highlight w:val="none"/>
          <w:lang w:val="en-US" w:eastAsia="zh-CN"/>
        </w:rPr>
        <w:t>）《农村生活污水厌氧</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好氧</w:t>
      </w:r>
      <w:r>
        <w:rPr>
          <w:rFonts w:hint="default" w:ascii="宋体" w:hAnsi="宋体" w:eastAsia="宋体" w:cs="宋体"/>
          <w:szCs w:val="21"/>
          <w:highlight w:val="none"/>
          <w:lang w:val="en-US" w:eastAsia="zh-CN"/>
        </w:rPr>
        <w:t>(AO)</w:t>
      </w:r>
      <w:r>
        <w:rPr>
          <w:rFonts w:hint="eastAsia" w:ascii="宋体" w:hAnsi="宋体" w:eastAsia="宋体" w:cs="宋体"/>
          <w:szCs w:val="21"/>
          <w:highlight w:val="none"/>
          <w:lang w:val="en-US" w:eastAsia="zh-CN"/>
        </w:rPr>
        <w:t>处理终端维护导则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2C0EAC7A">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9</w:t>
      </w:r>
      <w:r>
        <w:rPr>
          <w:rFonts w:hint="eastAsia" w:ascii="宋体" w:hAnsi="宋体" w:eastAsia="宋体" w:cs="宋体"/>
          <w:szCs w:val="21"/>
          <w:highlight w:val="none"/>
          <w:lang w:val="en-US" w:eastAsia="zh-CN"/>
        </w:rPr>
        <w:t xml:space="preserve">）《浙江省农村生活污水处理设施标准化运维评价导则》 </w:t>
      </w:r>
    </w:p>
    <w:p w14:paraId="44F18CC3">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10</w:t>
      </w:r>
      <w:r>
        <w:rPr>
          <w:rFonts w:hint="eastAsia" w:ascii="宋体" w:hAnsi="宋体" w:eastAsia="宋体" w:cs="宋体"/>
          <w:szCs w:val="21"/>
          <w:highlight w:val="none"/>
          <w:lang w:val="en-US" w:eastAsia="zh-CN"/>
        </w:rPr>
        <w:t xml:space="preserve">）《农村生活污水 </w:t>
      </w:r>
      <w:r>
        <w:rPr>
          <w:rFonts w:hint="default" w:ascii="宋体" w:hAnsi="宋体" w:eastAsia="宋体" w:cs="宋体"/>
          <w:szCs w:val="21"/>
          <w:highlight w:val="none"/>
          <w:lang w:val="en-US" w:eastAsia="zh-CN"/>
        </w:rPr>
        <w:t xml:space="preserve">A2O </w:t>
      </w:r>
      <w:r>
        <w:rPr>
          <w:rFonts w:hint="eastAsia" w:ascii="宋体" w:hAnsi="宋体" w:eastAsia="宋体" w:cs="宋体"/>
          <w:szCs w:val="21"/>
          <w:highlight w:val="none"/>
          <w:lang w:val="en-US" w:eastAsia="zh-CN"/>
        </w:rPr>
        <w:t>处理终端维护导则</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试行</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 xml:space="preserve">》 </w:t>
      </w:r>
    </w:p>
    <w:p w14:paraId="17B0396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11</w:t>
      </w:r>
      <w:r>
        <w:rPr>
          <w:rFonts w:hint="eastAsia" w:ascii="宋体" w:hAnsi="宋体" w:eastAsia="宋体" w:cs="宋体"/>
          <w:szCs w:val="21"/>
          <w:highlight w:val="none"/>
          <w:lang w:val="en-US" w:eastAsia="zh-CN"/>
        </w:rPr>
        <w:t>）《浙江省县域农村生活污水治理专项规划编制导则》</w:t>
      </w:r>
    </w:p>
    <w:p w14:paraId="7C4EF28F">
      <w:pPr>
        <w:numPr>
          <w:ilvl w:val="0"/>
          <w:numId w:val="0"/>
        </w:numPr>
        <w:tabs>
          <w:tab w:val="left" w:pos="0"/>
        </w:tabs>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4.9</w:t>
      </w:r>
      <w:r>
        <w:rPr>
          <w:rFonts w:hint="eastAsia" w:ascii="宋体" w:hAnsi="宋体" w:eastAsia="宋体" w:cs="宋体"/>
          <w:b/>
          <w:bCs/>
          <w:color w:val="auto"/>
          <w:highlight w:val="none"/>
          <w:lang w:val="en-US" w:eastAsia="zh-CN"/>
        </w:rPr>
        <w:t>审（考）核</w:t>
      </w:r>
    </w:p>
    <w:p w14:paraId="26864801">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关于本项目对中标人运行维护服务审（考）核的约定：</w:t>
      </w:r>
    </w:p>
    <w:p w14:paraId="1F844D4B">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考核内容和细则参照浙江省《农村生活污水处理设施标准化运维标准》关于农村生活污水处理设施标准化运维评分表和浙江省相关法律、条例要求。若省标准在本合同期内有更改，以最新版为考核标准</w:t>
      </w:r>
      <w:r>
        <w:rPr>
          <w:rFonts w:hint="eastAsia" w:ascii="宋体" w:hAnsi="宋体" w:eastAsia="宋体" w:cs="宋体"/>
          <w:b/>
          <w:bCs/>
          <w:szCs w:val="21"/>
          <w:highlight w:val="none"/>
          <w:lang w:val="en-US" w:eastAsia="zh-CN"/>
        </w:rPr>
        <w:t>（农村生活污水处理设施标准化运维评分表详见附表</w:t>
      </w:r>
      <w:r>
        <w:rPr>
          <w:rFonts w:hint="eastAsia" w:ascii="宋体" w:hAnsi="宋体" w:cs="宋体"/>
          <w:b/>
          <w:bCs/>
          <w:szCs w:val="21"/>
          <w:highlight w:val="none"/>
          <w:lang w:val="en-US" w:eastAsia="zh-CN"/>
        </w:rPr>
        <w:t>1</w:t>
      </w:r>
      <w:r>
        <w:rPr>
          <w:rFonts w:hint="eastAsia" w:ascii="宋体" w:hAnsi="宋体" w:eastAsia="宋体" w:cs="宋体"/>
          <w:b/>
          <w:bCs/>
          <w:szCs w:val="21"/>
          <w:highlight w:val="none"/>
          <w:lang w:val="en-US" w:eastAsia="zh-CN"/>
        </w:rPr>
        <w:t>）</w:t>
      </w:r>
    </w:p>
    <w:p w14:paraId="17E9363E">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每月对</w:t>
      </w:r>
      <w:r>
        <w:rPr>
          <w:rFonts w:hint="eastAsia" w:ascii="宋体" w:hAnsi="宋体" w:cs="宋体"/>
          <w:szCs w:val="21"/>
          <w:highlight w:val="none"/>
          <w:lang w:val="en-US" w:eastAsia="zh-CN"/>
        </w:rPr>
        <w:t>乙方</w:t>
      </w:r>
      <w:r>
        <w:rPr>
          <w:rFonts w:hint="eastAsia" w:ascii="宋体" w:hAnsi="宋体" w:eastAsia="宋体" w:cs="宋体"/>
          <w:szCs w:val="21"/>
          <w:highlight w:val="none"/>
          <w:lang w:val="en-US" w:eastAsia="zh-CN"/>
        </w:rPr>
        <w:t>进行考核，其中①考核分数在90分及以上的付当月全款，②考核分数在90（不含）-85分（含）的，与90分比较每低一分扣1000元/分；③考核分数在85（不含）-80分（含）的，与85分比较每低一分扣2000元/分（②③分段累计扣费）；④考核分数在80（不含）-75分（含）的扣当月全额费用的50%。⑤考核分数在75分（不含）以下的不支付当月费用，且后续也不再以其他形式支付。如连续2个月考核分数在75分（不含）以下的或被上级部门多次通报批评的，</w:t>
      </w:r>
      <w:r>
        <w:rPr>
          <w:rFonts w:hint="eastAsia" w:ascii="宋体" w:hAnsi="宋体" w:cs="宋体"/>
          <w:szCs w:val="21"/>
          <w:highlight w:val="none"/>
          <w:lang w:val="en-US" w:eastAsia="zh-CN"/>
        </w:rPr>
        <w:t>甲方</w:t>
      </w:r>
      <w:r>
        <w:rPr>
          <w:rFonts w:hint="eastAsia" w:ascii="宋体" w:hAnsi="宋体" w:eastAsia="宋体" w:cs="宋体"/>
          <w:szCs w:val="21"/>
          <w:highlight w:val="none"/>
          <w:lang w:val="en-US" w:eastAsia="zh-CN"/>
        </w:rPr>
        <w:t>有权解除合同。</w:t>
      </w:r>
    </w:p>
    <w:p w14:paraId="1F44C1FD">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考核方式有日常监督考核和月度集中考核两种方式，两种方式均有效。</w:t>
      </w:r>
    </w:p>
    <w:p w14:paraId="27BFAE49">
      <w:pPr>
        <w:snapToGrid w:val="0"/>
        <w:spacing w:line="360" w:lineRule="auto"/>
        <w:ind w:firstLine="411" w:firstLineChars="196"/>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考核采用扣分制，基本分为100分，基本分减去两种考核方式所扣分数之和，即为该月度考核结果。</w:t>
      </w:r>
    </w:p>
    <w:p w14:paraId="4B2DA19A">
      <w:pPr>
        <w:snapToGrid w:val="0"/>
        <w:spacing w:line="360" w:lineRule="auto"/>
        <w:ind w:firstLine="411" w:firstLineChars="196"/>
        <w:rPr>
          <w:rFonts w:hint="eastAsia"/>
          <w:lang w:val="en-US" w:eastAsia="zh-CN"/>
        </w:rPr>
      </w:pPr>
      <w:r>
        <w:rPr>
          <w:rFonts w:hint="eastAsia" w:ascii="宋体" w:hAnsi="宋体" w:eastAsia="宋体" w:cs="宋体"/>
          <w:szCs w:val="21"/>
          <w:highlight w:val="none"/>
          <w:lang w:val="en-US" w:eastAsia="zh-CN"/>
        </w:rPr>
        <w:t>考核内容包括现场养护、维修效果和养护、维修台账资料、安全文明考核及人员设备等内容</w:t>
      </w:r>
      <w:r>
        <w:rPr>
          <w:rFonts w:hint="eastAsia" w:ascii="宋体" w:hAnsi="宋体" w:cs="宋体"/>
          <w:b/>
          <w:bCs/>
          <w:szCs w:val="21"/>
          <w:highlight w:val="none"/>
          <w:lang w:val="en-US" w:eastAsia="zh-CN"/>
        </w:rPr>
        <w:t>（详见附表1农村生活污水处理设施标准化运维考核表、附表2宁波市北仑区人民政府梅山街道办事处农污设施安全文明养护考核细则）</w:t>
      </w:r>
      <w:r>
        <w:rPr>
          <w:rFonts w:hint="eastAsia" w:ascii="宋体" w:hAnsi="宋体" w:eastAsia="宋体" w:cs="宋体"/>
          <w:b/>
          <w:bCs/>
          <w:szCs w:val="21"/>
          <w:highlight w:val="none"/>
          <w:lang w:val="en-US" w:eastAsia="zh-CN"/>
        </w:rPr>
        <w:t>。</w:t>
      </w:r>
    </w:p>
    <w:p w14:paraId="5AC24395">
      <w:pPr>
        <w:snapToGrid w:val="0"/>
        <w:spacing w:line="360" w:lineRule="auto"/>
        <w:rPr>
          <w:rFonts w:hint="eastAsia" w:ascii="宋体" w:hAnsi="宋体" w:eastAsia="宋体" w:cs="宋体"/>
          <w:b/>
          <w:bCs/>
          <w:kern w:val="2"/>
          <w:sz w:val="22"/>
          <w:szCs w:val="22"/>
          <w:highlight w:val="none"/>
          <w:lang w:val="en-US" w:eastAsia="zh-CN" w:bidi="ar-SA"/>
        </w:rPr>
      </w:pPr>
      <w:bookmarkStart w:id="173" w:name="_Toc7293"/>
      <w:r>
        <w:rPr>
          <w:rFonts w:hint="eastAsia" w:ascii="宋体" w:hAnsi="宋体" w:eastAsia="宋体" w:cs="宋体"/>
          <w:b/>
          <w:bCs/>
          <w:kern w:val="2"/>
          <w:sz w:val="22"/>
          <w:szCs w:val="22"/>
          <w:highlight w:val="none"/>
          <w:lang w:val="en-US" w:eastAsia="zh-CN" w:bidi="ar-SA"/>
        </w:rPr>
        <w:t>5.费用的支付</w:t>
      </w:r>
      <w:bookmarkEnd w:id="173"/>
    </w:p>
    <w:p w14:paraId="6247CB30">
      <w:pPr>
        <w:snapToGrid w:val="0"/>
        <w:spacing w:line="360" w:lineRule="auto"/>
        <w:ind w:firstLine="413" w:firstLineChars="196"/>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5.1预付款</w:t>
      </w:r>
    </w:p>
    <w:p w14:paraId="0A830F1A">
      <w:pPr>
        <w:snapToGrid w:val="0"/>
        <w:spacing w:line="360" w:lineRule="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 xml:space="preserve">  合同生效并具备实施条件后7个工作日内，甲方凭乙方开具的发票支付合同金额的50%；乙方于合同签订前书面承诺放弃预付款或降低预付款支付比例的，可不适用本条款。</w:t>
      </w:r>
    </w:p>
    <w:p w14:paraId="70D0A535">
      <w:pPr>
        <w:snapToGrid w:val="0"/>
        <w:spacing w:line="360" w:lineRule="auto"/>
        <w:ind w:firstLine="413" w:firstLineChars="196"/>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5.2费用结算</w:t>
      </w:r>
    </w:p>
    <w:p w14:paraId="71CCF91B">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5.2.1费用结算</w:t>
      </w:r>
    </w:p>
    <w:p w14:paraId="15F9EBFE">
      <w:pPr>
        <w:snapToGrid w:val="0"/>
        <w:spacing w:line="360" w:lineRule="auto"/>
        <w:ind w:firstLine="420" w:firstLineChars="200"/>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5.2.1.1</w:t>
      </w:r>
      <w:r>
        <w:rPr>
          <w:rFonts w:hint="default" w:ascii="宋体" w:hAnsi="宋体" w:eastAsia="宋体" w:cs="宋体"/>
          <w:b w:val="0"/>
          <w:bCs w:val="0"/>
          <w:szCs w:val="21"/>
          <w:highlight w:val="none"/>
          <w:lang w:val="en-US" w:eastAsia="zh-CN"/>
        </w:rPr>
        <w:t>农污设施养护</w:t>
      </w:r>
    </w:p>
    <w:p w14:paraId="0660DEC3">
      <w:pPr>
        <w:snapToGrid w:val="0"/>
        <w:spacing w:line="360" w:lineRule="auto"/>
        <w:ind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lang w:val="en-US" w:eastAsia="zh-CN"/>
        </w:rPr>
        <w:t>2</w:t>
      </w:r>
      <w:r>
        <w:rPr>
          <w:rFonts w:hint="default" w:ascii="宋体" w:hAnsi="宋体" w:eastAsia="宋体" w:cs="宋体"/>
          <w:b w:val="0"/>
          <w:bCs w:val="0"/>
          <w:szCs w:val="21"/>
          <w:highlight w:val="none"/>
          <w:lang w:val="en-US" w:eastAsia="zh-CN"/>
        </w:rPr>
        <w:t>.1.1</w:t>
      </w:r>
      <w:r>
        <w:rPr>
          <w:rFonts w:hint="eastAsia" w:ascii="宋体" w:hAnsi="宋体" w:eastAsia="宋体" w:cs="宋体"/>
          <w:b w:val="0"/>
          <w:bCs w:val="0"/>
          <w:szCs w:val="21"/>
          <w:highlight w:val="none"/>
          <w:lang w:val="en-US" w:eastAsia="zh-CN"/>
        </w:rPr>
        <w:t>.1</w:t>
      </w:r>
      <w:r>
        <w:rPr>
          <w:rFonts w:hint="default" w:ascii="宋体" w:hAnsi="宋体" w:eastAsia="宋体" w:cs="宋体"/>
          <w:b w:val="0"/>
          <w:bCs w:val="0"/>
          <w:szCs w:val="21"/>
          <w:highlight w:val="none"/>
          <w:lang w:val="en-US" w:eastAsia="zh-CN"/>
        </w:rPr>
        <w:t>根据每月实际运维设施数量和每月考核结果，按月支付费用。设施量增、减按</w:t>
      </w:r>
      <w:r>
        <w:rPr>
          <w:rFonts w:hint="eastAsia" w:ascii="宋体" w:hAnsi="宋体" w:eastAsia="宋体" w:cs="宋体"/>
          <w:b w:val="0"/>
          <w:bCs w:val="0"/>
          <w:szCs w:val="21"/>
          <w:highlight w:val="none"/>
          <w:lang w:val="en-US" w:eastAsia="zh-CN"/>
        </w:rPr>
        <w:t>甲方</w:t>
      </w:r>
      <w:r>
        <w:rPr>
          <w:rFonts w:hint="default" w:ascii="宋体" w:hAnsi="宋体" w:eastAsia="宋体" w:cs="宋体"/>
          <w:b w:val="0"/>
          <w:bCs w:val="0"/>
          <w:szCs w:val="21"/>
          <w:highlight w:val="none"/>
          <w:lang w:val="en-US" w:eastAsia="zh-CN"/>
        </w:rPr>
        <w:t>确认后次月调整，按实结算。</w:t>
      </w:r>
    </w:p>
    <w:p w14:paraId="3FFE5550">
      <w:pPr>
        <w:snapToGrid w:val="0"/>
        <w:spacing w:line="360" w:lineRule="auto"/>
        <w:ind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lang w:val="en-US" w:eastAsia="zh-CN"/>
        </w:rPr>
        <w:t>2</w:t>
      </w:r>
      <w:r>
        <w:rPr>
          <w:rFonts w:hint="default"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lang w:val="en-US" w:eastAsia="zh-CN"/>
        </w:rPr>
        <w:t>1.</w:t>
      </w:r>
      <w:r>
        <w:rPr>
          <w:rFonts w:hint="default" w:ascii="宋体" w:hAnsi="宋体" w:eastAsia="宋体" w:cs="宋体"/>
          <w:b w:val="0"/>
          <w:bCs w:val="0"/>
          <w:szCs w:val="21"/>
          <w:highlight w:val="none"/>
          <w:lang w:val="en-US" w:eastAsia="zh-CN"/>
        </w:rPr>
        <w:t>2提升井范围内水泵、风机、流量计等设备日常养护及零星维修。</w:t>
      </w:r>
    </w:p>
    <w:p w14:paraId="077D9020">
      <w:pPr>
        <w:snapToGrid w:val="0"/>
        <w:spacing w:line="360" w:lineRule="auto"/>
        <w:ind w:firstLine="420" w:firstLineChars="200"/>
        <w:rPr>
          <w:rFonts w:hint="eastAsia"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5.1.1.</w:t>
      </w:r>
      <w:r>
        <w:rPr>
          <w:rFonts w:hint="eastAsia" w:ascii="宋体" w:hAnsi="宋体" w:eastAsia="宋体" w:cs="宋体"/>
          <w:b w:val="0"/>
          <w:bCs w:val="0"/>
          <w:szCs w:val="21"/>
          <w:highlight w:val="none"/>
          <w:lang w:val="en-US" w:eastAsia="zh-CN"/>
        </w:rPr>
        <w:t>1.</w:t>
      </w:r>
      <w:r>
        <w:rPr>
          <w:rFonts w:hint="default" w:ascii="宋体" w:hAnsi="宋体" w:eastAsia="宋体" w:cs="宋体"/>
          <w:b w:val="0"/>
          <w:bCs w:val="0"/>
          <w:szCs w:val="21"/>
          <w:highlight w:val="none"/>
          <w:lang w:val="en-US" w:eastAsia="zh-CN"/>
        </w:rPr>
        <w:t>3提升井范围内场地、围栏、井盖、井座、风机等设施、设备每年度至少一次油漆（油漆颜色、品质等须经申报甲方同意）</w:t>
      </w:r>
      <w:r>
        <w:rPr>
          <w:rFonts w:hint="eastAsia" w:ascii="宋体" w:hAnsi="宋体" w:eastAsia="宋体" w:cs="宋体"/>
          <w:b w:val="0"/>
          <w:bCs w:val="0"/>
          <w:szCs w:val="21"/>
          <w:highlight w:val="none"/>
          <w:lang w:val="en-US" w:eastAsia="zh-CN"/>
        </w:rPr>
        <w:t>。</w:t>
      </w:r>
    </w:p>
    <w:p w14:paraId="4C26C3AD">
      <w:pPr>
        <w:snapToGrid w:val="0"/>
        <w:spacing w:line="360" w:lineRule="auto"/>
        <w:ind w:firstLine="420" w:firstLineChars="200"/>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5.1.1.</w:t>
      </w:r>
      <w:r>
        <w:rPr>
          <w:rFonts w:hint="eastAsia" w:ascii="宋体" w:hAnsi="宋体" w:eastAsia="宋体" w:cs="宋体"/>
          <w:b w:val="0"/>
          <w:bCs w:val="0"/>
          <w:szCs w:val="21"/>
          <w:highlight w:val="none"/>
          <w:lang w:val="en-US" w:eastAsia="zh-CN"/>
        </w:rPr>
        <w:t>1.4更换、维修费用</w:t>
      </w:r>
    </w:p>
    <w:p w14:paraId="739EE56B">
      <w:pPr>
        <w:snapToGrid w:val="0"/>
        <w:spacing w:line="360" w:lineRule="auto"/>
        <w:ind w:firstLine="420" w:firstLineChars="200"/>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污水检查井井盖（井座）更换、维修，按甲方要求施工，按《浙江省市政设施养护维修预算定额》（2018版）及现行的浙江省、宁波市有关费用调整规定计算；如不涉及到井座更换只更换井盖的，维修费用由</w:t>
      </w:r>
      <w:r>
        <w:rPr>
          <w:rFonts w:hint="eastAsia" w:ascii="宋体" w:hAnsi="宋体" w:cs="宋体"/>
          <w:b w:val="0"/>
          <w:bCs w:val="0"/>
          <w:szCs w:val="21"/>
          <w:highlight w:val="none"/>
          <w:lang w:val="en-US" w:eastAsia="zh-CN"/>
        </w:rPr>
        <w:t>乙方</w:t>
      </w:r>
      <w:r>
        <w:rPr>
          <w:rFonts w:hint="eastAsia" w:ascii="宋体" w:hAnsi="宋体" w:eastAsia="宋体" w:cs="宋体"/>
          <w:b w:val="0"/>
          <w:bCs w:val="0"/>
          <w:szCs w:val="21"/>
          <w:highlight w:val="none"/>
          <w:lang w:val="en-US" w:eastAsia="zh-CN"/>
        </w:rPr>
        <w:t>负责；非养护责任引起的终端、提升井及管道维修、</w:t>
      </w:r>
      <w:r>
        <w:rPr>
          <w:rFonts w:hint="eastAsia" w:ascii="宋体" w:hAnsi="宋体" w:cs="宋体"/>
          <w:b w:val="0"/>
          <w:bCs w:val="0"/>
          <w:szCs w:val="21"/>
          <w:highlight w:val="none"/>
          <w:lang w:val="en-US" w:eastAsia="zh-CN"/>
        </w:rPr>
        <w:t>大修、</w:t>
      </w:r>
      <w:r>
        <w:rPr>
          <w:rFonts w:hint="eastAsia" w:ascii="宋体" w:hAnsi="宋体" w:eastAsia="宋体" w:cs="宋体"/>
          <w:b w:val="0"/>
          <w:bCs w:val="0"/>
          <w:szCs w:val="21"/>
          <w:highlight w:val="none"/>
          <w:lang w:val="en-US" w:eastAsia="zh-CN"/>
        </w:rPr>
        <w:t>抢修等完善性改造，依据甲方的任务书（委托书）及采购人认可的实施方案、竣工图、签证单、预算、实际工作量等编制结算书（竣工验收资料齐全），工程款以甲方造价人员或甲方委托的造价咨询机构的审核结果为准。为便于排查管网原因，甲方可要求</w:t>
      </w:r>
      <w:r>
        <w:rPr>
          <w:rFonts w:hint="eastAsia" w:ascii="宋体" w:hAnsi="宋体" w:cs="宋体"/>
          <w:b w:val="0"/>
          <w:bCs w:val="0"/>
          <w:szCs w:val="21"/>
          <w:highlight w:val="none"/>
          <w:lang w:val="en-US" w:eastAsia="zh-CN"/>
        </w:rPr>
        <w:t>乙方</w:t>
      </w:r>
      <w:r>
        <w:rPr>
          <w:rFonts w:hint="eastAsia" w:ascii="宋体" w:hAnsi="宋体" w:eastAsia="宋体" w:cs="宋体"/>
          <w:b w:val="0"/>
          <w:bCs w:val="0"/>
          <w:szCs w:val="21"/>
          <w:highlight w:val="none"/>
          <w:lang w:val="en-US" w:eastAsia="zh-CN"/>
        </w:rPr>
        <w:t>对管网进行疏通检测，相关费用由乙方承担（相关设备、人员均由乙方负责落实）检测成果属甲方所有。</w:t>
      </w:r>
    </w:p>
    <w:p w14:paraId="432011DF">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5.2.2费用结算周期</w:t>
      </w:r>
    </w:p>
    <w:p w14:paraId="561E56DD">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本项目运维服务费按照以下第</w:t>
      </w:r>
      <w:r>
        <w:rPr>
          <w:rFonts w:hint="eastAsia" w:ascii="宋体" w:hAnsi="宋体" w:eastAsia="宋体" w:cs="宋体"/>
          <w:b w:val="0"/>
          <w:bCs w:val="0"/>
          <w:szCs w:val="21"/>
          <w:highlight w:val="none"/>
          <w:u w:val="single"/>
          <w:lang w:val="en-US" w:eastAsia="zh-CN"/>
        </w:rPr>
        <w:t>（3）</w:t>
      </w:r>
      <w:r>
        <w:rPr>
          <w:rFonts w:hint="default" w:ascii="宋体" w:hAnsi="宋体" w:eastAsia="宋体" w:cs="宋体"/>
          <w:b w:val="0"/>
          <w:bCs w:val="0"/>
          <w:szCs w:val="21"/>
          <w:highlight w:val="none"/>
          <w:lang w:val="en-US" w:eastAsia="zh-CN"/>
        </w:rPr>
        <w:t>种方式进行：</w:t>
      </w:r>
    </w:p>
    <w:p w14:paraId="09D9A319">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（1）按季度；</w:t>
      </w:r>
    </w:p>
    <w:p w14:paraId="21800475">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（2）按半年度；</w:t>
      </w:r>
    </w:p>
    <w:p w14:paraId="0DC897C9">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default" w:ascii="宋体" w:hAnsi="宋体" w:eastAsia="宋体" w:cs="宋体"/>
          <w:b w:val="0"/>
          <w:bCs w:val="0"/>
          <w:szCs w:val="21"/>
          <w:highlight w:val="none"/>
          <w:lang w:val="en-US" w:eastAsia="zh-CN"/>
        </w:rPr>
        <w:t>（3）（自行约定）。</w:t>
      </w:r>
    </w:p>
    <w:p w14:paraId="694945A5">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5.2.3费用确定</w:t>
      </w:r>
    </w:p>
    <w:p w14:paraId="6ECFC2D2">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乙方在费用结算周期到期后的次月</w:t>
      </w:r>
      <w:r>
        <w:rPr>
          <w:rFonts w:hint="eastAsia" w:ascii="宋体" w:hAnsi="宋体" w:eastAsia="宋体" w:cs="宋体"/>
          <w:b w:val="0"/>
          <w:bCs w:val="0"/>
          <w:szCs w:val="21"/>
          <w:highlight w:val="none"/>
          <w:u w:val="single"/>
          <w:lang w:val="en-US" w:eastAsia="zh-CN"/>
        </w:rPr>
        <w:t xml:space="preserve"> 5 日</w:t>
      </w:r>
      <w:r>
        <w:rPr>
          <w:rFonts w:hint="eastAsia" w:ascii="宋体" w:hAnsi="宋体" w:eastAsia="宋体" w:cs="宋体"/>
          <w:b w:val="0"/>
          <w:bCs w:val="0"/>
          <w:szCs w:val="21"/>
          <w:highlight w:val="none"/>
          <w:lang w:val="en-US" w:eastAsia="zh-CN"/>
        </w:rPr>
        <w:t>前或甲方将该月现场、台账资料考核结果反馈给乙方后</w:t>
      </w:r>
      <w:r>
        <w:rPr>
          <w:rFonts w:hint="eastAsia" w:ascii="宋体" w:hAnsi="宋体" w:eastAsia="宋体" w:cs="宋体"/>
          <w:b w:val="0"/>
          <w:bCs w:val="0"/>
          <w:szCs w:val="21"/>
          <w:highlight w:val="none"/>
          <w:u w:val="single"/>
          <w:lang w:val="en-US" w:eastAsia="zh-CN"/>
        </w:rPr>
        <w:t>5日</w:t>
      </w:r>
      <w:r>
        <w:rPr>
          <w:rFonts w:hint="eastAsia" w:ascii="宋体" w:hAnsi="宋体" w:eastAsia="宋体" w:cs="宋体"/>
          <w:b w:val="0"/>
          <w:bCs w:val="0"/>
          <w:szCs w:val="21"/>
          <w:highlight w:val="none"/>
          <w:lang w:val="en-US" w:eastAsia="zh-CN"/>
        </w:rPr>
        <w:t>内，向甲方提交请款申请报告，甲方在收到报告后</w:t>
      </w:r>
      <w:r>
        <w:rPr>
          <w:rFonts w:hint="eastAsia" w:ascii="宋体" w:hAnsi="宋体" w:eastAsia="宋体" w:cs="宋体"/>
          <w:b w:val="0"/>
          <w:bCs w:val="0"/>
          <w:szCs w:val="21"/>
          <w:highlight w:val="none"/>
          <w:u w:val="single"/>
          <w:lang w:val="en-US" w:eastAsia="zh-CN"/>
        </w:rPr>
        <w:t>10天</w:t>
      </w:r>
      <w:r>
        <w:rPr>
          <w:rFonts w:hint="eastAsia" w:ascii="宋体" w:hAnsi="宋体" w:eastAsia="宋体" w:cs="宋体"/>
          <w:b w:val="0"/>
          <w:bCs w:val="0"/>
          <w:szCs w:val="21"/>
          <w:highlight w:val="none"/>
          <w:lang w:val="en-US" w:eastAsia="zh-CN"/>
        </w:rPr>
        <w:t>内完成审(考)核并确定当期运维服务费。</w:t>
      </w:r>
    </w:p>
    <w:p w14:paraId="591C05B3">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5.3运维服务费用的支付</w:t>
      </w:r>
    </w:p>
    <w:p w14:paraId="0CF14005">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关于运维服务费支付的时间约定：审核完成</w:t>
      </w:r>
      <w:r>
        <w:rPr>
          <w:rFonts w:hint="eastAsia" w:ascii="宋体" w:hAnsi="宋体" w:cs="宋体"/>
          <w:b w:val="0"/>
          <w:bCs w:val="0"/>
          <w:szCs w:val="21"/>
          <w:highlight w:val="none"/>
          <w:u w:val="single"/>
          <w:lang w:val="en-US" w:eastAsia="zh-CN"/>
        </w:rPr>
        <w:t>10日</w:t>
      </w:r>
      <w:r>
        <w:rPr>
          <w:rFonts w:hint="eastAsia" w:ascii="宋体" w:hAnsi="宋体" w:eastAsia="宋体" w:cs="宋体"/>
          <w:b w:val="0"/>
          <w:bCs w:val="0"/>
          <w:szCs w:val="21"/>
          <w:highlight w:val="none"/>
          <w:u w:val="single"/>
          <w:lang w:val="en-US" w:eastAsia="zh-CN"/>
        </w:rPr>
        <w:t>内</w:t>
      </w:r>
      <w:r>
        <w:rPr>
          <w:rFonts w:hint="eastAsia" w:ascii="宋体" w:hAnsi="宋体" w:eastAsia="宋体" w:cs="宋体"/>
          <w:b w:val="0"/>
          <w:bCs w:val="0"/>
          <w:szCs w:val="21"/>
          <w:highlight w:val="none"/>
          <w:lang w:val="en-US" w:eastAsia="zh-CN"/>
        </w:rPr>
        <w:t>。</w:t>
      </w:r>
    </w:p>
    <w:p w14:paraId="148F0551">
      <w:pPr>
        <w:pStyle w:val="3"/>
        <w:spacing w:line="240" w:lineRule="auto"/>
        <w:rPr>
          <w:rFonts w:hint="eastAsia" w:ascii="宋体" w:hAnsi="宋体" w:eastAsia="宋体" w:cs="宋体"/>
          <w:b/>
          <w:bCs/>
          <w:kern w:val="2"/>
          <w:sz w:val="22"/>
          <w:szCs w:val="22"/>
          <w:highlight w:val="none"/>
          <w:lang w:val="en-US" w:eastAsia="zh-CN" w:bidi="ar-SA"/>
        </w:rPr>
      </w:pPr>
      <w:bookmarkStart w:id="174" w:name="_Toc12739"/>
      <w:bookmarkStart w:id="175" w:name="_Toc280868717"/>
      <w:r>
        <w:rPr>
          <w:rFonts w:hint="eastAsia" w:cs="宋体"/>
          <w:b/>
          <w:bCs/>
          <w:kern w:val="2"/>
          <w:sz w:val="22"/>
          <w:szCs w:val="22"/>
          <w:highlight w:val="none"/>
          <w:lang w:val="en-US" w:eastAsia="zh-CN" w:bidi="ar-SA"/>
        </w:rPr>
        <w:t>6</w:t>
      </w:r>
      <w:r>
        <w:rPr>
          <w:rFonts w:hint="eastAsia" w:ascii="宋体" w:hAnsi="宋体" w:eastAsia="宋体" w:cs="宋体"/>
          <w:b/>
          <w:bCs/>
          <w:kern w:val="2"/>
          <w:sz w:val="22"/>
          <w:szCs w:val="22"/>
          <w:highlight w:val="none"/>
          <w:lang w:val="en-US" w:eastAsia="zh-CN" w:bidi="ar-SA"/>
        </w:rPr>
        <w:t>.不可抗力</w:t>
      </w:r>
      <w:bookmarkEnd w:id="174"/>
    </w:p>
    <w:p w14:paraId="2C3FDF47">
      <w:pPr>
        <w:snapToGrid w:val="0"/>
        <w:spacing w:line="360" w:lineRule="auto"/>
        <w:ind w:firstLine="411" w:firstLineChars="196"/>
        <w:rPr>
          <w:rFonts w:hint="eastAsia" w:ascii="宋体" w:hAnsi="宋体" w:eastAsia="宋体" w:cs="宋体"/>
          <w:b w:val="0"/>
          <w:bCs w:val="0"/>
          <w:szCs w:val="21"/>
          <w:highlight w:val="none"/>
          <w:lang w:val="en-US" w:eastAsia="zh-CN"/>
        </w:rPr>
      </w:pPr>
      <w:bookmarkStart w:id="176" w:name="_Toc20578"/>
      <w:bookmarkStart w:id="177" w:name="_Toc20105"/>
      <w:bookmarkStart w:id="178" w:name="_Toc5445"/>
      <w:r>
        <w:rPr>
          <w:rFonts w:hint="eastAsia" w:ascii="宋体" w:hAnsi="宋体" w:cs="宋体"/>
          <w:b w:val="0"/>
          <w:bCs w:val="0"/>
          <w:szCs w:val="21"/>
          <w:highlight w:val="none"/>
          <w:lang w:val="en-US" w:eastAsia="zh-CN"/>
        </w:rPr>
        <w:t>6</w:t>
      </w:r>
      <w:r>
        <w:rPr>
          <w:rFonts w:hint="eastAsia" w:ascii="宋体" w:hAnsi="宋体" w:eastAsia="宋体" w:cs="宋体"/>
          <w:b w:val="0"/>
          <w:bCs w:val="0"/>
          <w:szCs w:val="21"/>
          <w:highlight w:val="none"/>
          <w:lang w:val="en-US" w:eastAsia="zh-CN"/>
        </w:rPr>
        <w:t>.1不可抗力的范围</w:t>
      </w:r>
      <w:bookmarkEnd w:id="176"/>
      <w:bookmarkEnd w:id="177"/>
      <w:bookmarkEnd w:id="178"/>
    </w:p>
    <w:p w14:paraId="4EDFE1C9">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除通用合同条款约定的不可抗力事件之外，视为不可抗力的其他情形：</w:t>
      </w:r>
      <w:r>
        <w:rPr>
          <w:rFonts w:hint="eastAsia" w:ascii="宋体" w:hAnsi="宋体" w:eastAsia="宋体" w:cs="宋体"/>
          <w:b w:val="0"/>
          <w:bCs w:val="0"/>
          <w:szCs w:val="21"/>
          <w:highlight w:val="none"/>
          <w:u w:val="single"/>
          <w:lang w:val="en-US" w:eastAsia="zh-CN"/>
        </w:rPr>
        <w:t xml:space="preserve"> 火灾、洪水、政府禁止令等</w:t>
      </w:r>
      <w:r>
        <w:rPr>
          <w:rFonts w:hint="eastAsia" w:ascii="宋体" w:hAnsi="宋体" w:eastAsia="宋体" w:cs="宋体"/>
          <w:b w:val="0"/>
          <w:bCs w:val="0"/>
          <w:szCs w:val="21"/>
          <w:highlight w:val="none"/>
          <w:lang w:val="en-US" w:eastAsia="zh-CN"/>
        </w:rPr>
        <w:t>。</w:t>
      </w:r>
    </w:p>
    <w:p w14:paraId="731DF74E">
      <w:pPr>
        <w:snapToGrid w:val="0"/>
        <w:spacing w:line="360" w:lineRule="auto"/>
        <w:ind w:firstLine="411" w:firstLineChars="196"/>
        <w:rPr>
          <w:rFonts w:hint="eastAsia" w:ascii="宋体" w:hAnsi="宋体" w:eastAsia="宋体" w:cs="宋体"/>
          <w:b w:val="0"/>
          <w:bCs w:val="0"/>
          <w:szCs w:val="21"/>
          <w:highlight w:val="none"/>
          <w:lang w:val="en-US" w:eastAsia="zh-CN"/>
        </w:rPr>
      </w:pPr>
      <w:bookmarkStart w:id="179" w:name="_Toc2686"/>
      <w:bookmarkStart w:id="180" w:name="_Toc24049"/>
      <w:bookmarkStart w:id="181" w:name="_Toc29334"/>
      <w:r>
        <w:rPr>
          <w:rFonts w:hint="eastAsia" w:ascii="宋体" w:hAnsi="宋体" w:cs="宋体"/>
          <w:b w:val="0"/>
          <w:bCs w:val="0"/>
          <w:szCs w:val="21"/>
          <w:highlight w:val="none"/>
          <w:lang w:val="en-US" w:eastAsia="zh-CN"/>
        </w:rPr>
        <w:t>6</w:t>
      </w:r>
      <w:r>
        <w:rPr>
          <w:rFonts w:hint="eastAsia" w:ascii="宋体" w:hAnsi="宋体" w:eastAsia="宋体" w:cs="宋体"/>
          <w:b w:val="0"/>
          <w:bCs w:val="0"/>
          <w:szCs w:val="21"/>
          <w:highlight w:val="none"/>
          <w:lang w:val="en-US" w:eastAsia="zh-CN"/>
        </w:rPr>
        <w:t>.2 因不可抗力解除合同</w:t>
      </w:r>
      <w:bookmarkEnd w:id="179"/>
      <w:bookmarkEnd w:id="180"/>
      <w:bookmarkEnd w:id="181"/>
    </w:p>
    <w:p w14:paraId="44DEE3C9">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合同解除后，双方当事人应当在</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lang w:val="en-US" w:eastAsia="zh-CN"/>
        </w:rPr>
        <w:t>天内完成款项结算并支付。</w:t>
      </w:r>
    </w:p>
    <w:bookmarkEnd w:id="175"/>
    <w:p w14:paraId="52464EB5">
      <w:pPr>
        <w:pStyle w:val="3"/>
        <w:spacing w:line="240" w:lineRule="auto"/>
        <w:rPr>
          <w:rFonts w:hint="eastAsia" w:ascii="宋体" w:hAnsi="宋体" w:eastAsia="宋体" w:cs="宋体"/>
          <w:b/>
          <w:bCs/>
          <w:kern w:val="2"/>
          <w:sz w:val="22"/>
          <w:szCs w:val="22"/>
          <w:highlight w:val="none"/>
          <w:lang w:val="en-US" w:eastAsia="zh-CN" w:bidi="ar-SA"/>
        </w:rPr>
      </w:pPr>
      <w:bookmarkStart w:id="182" w:name="_Toc19950"/>
      <w:r>
        <w:rPr>
          <w:rFonts w:hint="eastAsia" w:cs="宋体"/>
          <w:b/>
          <w:bCs/>
          <w:kern w:val="2"/>
          <w:sz w:val="22"/>
          <w:szCs w:val="22"/>
          <w:highlight w:val="none"/>
          <w:lang w:val="en-US" w:eastAsia="zh-CN" w:bidi="ar-SA"/>
        </w:rPr>
        <w:t>7</w:t>
      </w:r>
      <w:r>
        <w:rPr>
          <w:rFonts w:hint="eastAsia" w:ascii="宋体" w:hAnsi="宋体" w:eastAsia="宋体" w:cs="宋体"/>
          <w:b/>
          <w:bCs/>
          <w:kern w:val="2"/>
          <w:sz w:val="22"/>
          <w:szCs w:val="22"/>
          <w:highlight w:val="none"/>
          <w:lang w:val="en-US" w:eastAsia="zh-CN" w:bidi="ar-SA"/>
        </w:rPr>
        <w:t>.争议解决</w:t>
      </w:r>
      <w:bookmarkEnd w:id="182"/>
    </w:p>
    <w:p w14:paraId="7855E3F0">
      <w:pPr>
        <w:snapToGrid w:val="0"/>
        <w:spacing w:line="360" w:lineRule="auto"/>
        <w:ind w:firstLine="411" w:firstLineChars="196"/>
        <w:rPr>
          <w:rFonts w:hint="eastAsia" w:ascii="宋体" w:hAnsi="宋体" w:eastAsia="宋体" w:cs="宋体"/>
          <w:b w:val="0"/>
          <w:bCs w:val="0"/>
          <w:szCs w:val="21"/>
          <w:highlight w:val="none"/>
          <w:lang w:val="en-US" w:eastAsia="zh-CN"/>
        </w:rPr>
      </w:pPr>
      <w:bookmarkStart w:id="183" w:name="_Toc21314"/>
      <w:bookmarkStart w:id="184" w:name="_Toc21211"/>
      <w:bookmarkStart w:id="185" w:name="_Toc1055"/>
      <w:r>
        <w:rPr>
          <w:rFonts w:hint="eastAsia" w:ascii="宋体" w:hAnsi="宋体" w:eastAsia="宋体" w:cs="宋体"/>
          <w:b w:val="0"/>
          <w:bCs w:val="0"/>
          <w:szCs w:val="21"/>
          <w:highlight w:val="none"/>
          <w:lang w:val="en-US" w:eastAsia="zh-CN"/>
        </w:rPr>
        <w:t>8.1仲裁或诉讼</w:t>
      </w:r>
      <w:bookmarkEnd w:id="183"/>
      <w:bookmarkEnd w:id="184"/>
      <w:bookmarkEnd w:id="185"/>
    </w:p>
    <w:p w14:paraId="69E3D534">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因合同及合同有关事项发生的争议，按下列第</w:t>
      </w:r>
      <w:r>
        <w:rPr>
          <w:rFonts w:hint="eastAsia" w:ascii="宋体" w:hAnsi="宋体" w:eastAsia="宋体" w:cs="宋体"/>
          <w:b w:val="0"/>
          <w:bCs w:val="0"/>
          <w:szCs w:val="21"/>
          <w:highlight w:val="none"/>
          <w:u w:val="single"/>
          <w:lang w:val="en-US" w:eastAsia="zh-CN"/>
        </w:rPr>
        <w:t xml:space="preserve">  2  </w:t>
      </w:r>
      <w:r>
        <w:rPr>
          <w:rFonts w:hint="eastAsia" w:ascii="宋体" w:hAnsi="宋体" w:eastAsia="宋体" w:cs="宋体"/>
          <w:b w:val="0"/>
          <w:bCs w:val="0"/>
          <w:szCs w:val="21"/>
          <w:highlight w:val="none"/>
          <w:lang w:val="en-US" w:eastAsia="zh-CN"/>
        </w:rPr>
        <w:t>种方式解决：</w:t>
      </w:r>
    </w:p>
    <w:p w14:paraId="0C6DBA69">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（1）向</w:t>
      </w:r>
      <w:r>
        <w:rPr>
          <w:rFonts w:hint="eastAsia" w:ascii="宋体" w:hAnsi="宋体" w:eastAsia="宋体" w:cs="宋体"/>
          <w:b w:val="0"/>
          <w:bCs w:val="0"/>
          <w:szCs w:val="21"/>
          <w:highlight w:val="none"/>
          <w:u w:val="single"/>
          <w:lang w:val="en-US" w:eastAsia="zh-CN"/>
        </w:rPr>
        <w:t xml:space="preserve">    宁波市   </w:t>
      </w:r>
      <w:r>
        <w:rPr>
          <w:rFonts w:hint="eastAsia" w:ascii="宋体" w:hAnsi="宋体" w:eastAsia="宋体" w:cs="宋体"/>
          <w:b w:val="0"/>
          <w:bCs w:val="0"/>
          <w:szCs w:val="21"/>
          <w:highlight w:val="none"/>
          <w:lang w:val="en-US" w:eastAsia="zh-CN"/>
        </w:rPr>
        <w:t>仲裁委员会申请仲裁；</w:t>
      </w:r>
    </w:p>
    <w:p w14:paraId="3B88C892">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（2）向</w:t>
      </w:r>
      <w:r>
        <w:rPr>
          <w:rFonts w:hint="eastAsia" w:ascii="宋体" w:hAnsi="宋体" w:eastAsia="宋体" w:cs="宋体"/>
          <w:b w:val="0"/>
          <w:bCs w:val="0"/>
          <w:szCs w:val="21"/>
          <w:highlight w:val="none"/>
          <w:u w:val="single"/>
          <w:lang w:val="en-US" w:eastAsia="zh-CN"/>
        </w:rPr>
        <w:t xml:space="preserve">   项目所在地  </w:t>
      </w:r>
      <w:r>
        <w:rPr>
          <w:rFonts w:hint="eastAsia" w:ascii="宋体" w:hAnsi="宋体" w:eastAsia="宋体" w:cs="宋体"/>
          <w:b w:val="0"/>
          <w:bCs w:val="0"/>
          <w:szCs w:val="21"/>
          <w:highlight w:val="none"/>
          <w:lang w:val="en-US" w:eastAsia="zh-CN"/>
        </w:rPr>
        <w:t>人民法院起诉。</w:t>
      </w:r>
    </w:p>
    <w:p w14:paraId="3E1E2CC3">
      <w:pPr>
        <w:jc w:val="center"/>
        <w:rPr>
          <w:rFonts w:hint="eastAsia" w:ascii="仿宋" w:hAnsi="仿宋" w:eastAsia="仿宋" w:cs="仿宋"/>
          <w:b/>
          <w:bCs/>
          <w:sz w:val="22"/>
          <w:szCs w:val="22"/>
          <w:highlight w:val="none"/>
        </w:rPr>
      </w:pPr>
      <w:r>
        <w:rPr>
          <w:rFonts w:hint="eastAsia" w:ascii="仿宋" w:hAnsi="仿宋" w:eastAsia="仿宋" w:cs="仿宋"/>
          <w:color w:val="000000"/>
          <w:sz w:val="22"/>
          <w:szCs w:val="22"/>
          <w:highlight w:val="none"/>
        </w:rPr>
        <w:br w:type="page"/>
      </w:r>
      <w:r>
        <w:rPr>
          <w:rFonts w:hint="eastAsia" w:ascii="仿宋" w:hAnsi="仿宋" w:eastAsia="仿宋" w:cs="仿宋"/>
          <w:b/>
          <w:bCs/>
          <w:sz w:val="22"/>
          <w:szCs w:val="22"/>
          <w:highlight w:val="none"/>
        </w:rPr>
        <w:t>第四部分  其他文件</w:t>
      </w:r>
    </w:p>
    <w:p w14:paraId="6D54A563">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1、响应文件；</w:t>
      </w:r>
    </w:p>
    <w:p w14:paraId="42917F62">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2、中标通知书；</w:t>
      </w:r>
    </w:p>
    <w:p w14:paraId="19EC0A41">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3</w:t>
      </w:r>
      <w:r>
        <w:rPr>
          <w:rFonts w:hint="eastAsia" w:ascii="宋体" w:hAnsi="宋体" w:eastAsia="宋体" w:cs="宋体"/>
          <w:b w:val="0"/>
          <w:bCs w:val="0"/>
          <w:szCs w:val="21"/>
          <w:highlight w:val="none"/>
          <w:lang w:val="en-US" w:eastAsia="zh-CN"/>
        </w:rPr>
        <w:t>、其他文件。</w:t>
      </w:r>
    </w:p>
    <w:p w14:paraId="516103C0">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在合同订立及履行过程中形成的与合同有关的文件构成合同文件组成部分。</w:t>
      </w:r>
    </w:p>
    <w:p w14:paraId="0098465E">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75C414D8">
      <w:pPr>
        <w:spacing w:line="360" w:lineRule="auto"/>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br w:type="page"/>
      </w:r>
    </w:p>
    <w:p w14:paraId="6C1E86AE">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1、附表1农村生活污水处理设施标准化运维考核表；</w:t>
      </w:r>
    </w:p>
    <w:p w14:paraId="260E4B69">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w:t>
      </w:r>
      <w:r>
        <w:rPr>
          <w:rFonts w:hint="default" w:ascii="宋体" w:hAnsi="宋体" w:eastAsia="宋体" w:cs="宋体"/>
          <w:b w:val="0"/>
          <w:bCs w:val="0"/>
          <w:szCs w:val="21"/>
          <w:highlight w:val="none"/>
          <w:lang w:val="en-US" w:eastAsia="zh-CN"/>
        </w:rPr>
        <w:t>附</w:t>
      </w:r>
      <w:r>
        <w:rPr>
          <w:rFonts w:hint="eastAsia" w:ascii="宋体" w:hAnsi="宋体" w:eastAsia="宋体" w:cs="宋体"/>
          <w:b w:val="0"/>
          <w:bCs w:val="0"/>
          <w:szCs w:val="21"/>
          <w:highlight w:val="none"/>
          <w:lang w:val="en-US" w:eastAsia="zh-CN"/>
        </w:rPr>
        <w:t>表</w:t>
      </w:r>
      <w:r>
        <w:rPr>
          <w:rFonts w:hint="default" w:ascii="宋体" w:hAnsi="宋体" w:eastAsia="宋体" w:cs="宋体"/>
          <w:b w:val="0"/>
          <w:bCs w:val="0"/>
          <w:szCs w:val="21"/>
          <w:highlight w:val="none"/>
          <w:lang w:val="en-US" w:eastAsia="zh-CN"/>
        </w:rPr>
        <w:t>2宁波市北仑区人民政府梅山街道办事处农污设施安全文明养护考核细则；</w:t>
      </w:r>
    </w:p>
    <w:p w14:paraId="2B13FD06">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w:t>
      </w:r>
      <w:r>
        <w:rPr>
          <w:rFonts w:hint="default" w:ascii="宋体" w:hAnsi="宋体" w:eastAsia="宋体" w:cs="宋体"/>
          <w:b w:val="0"/>
          <w:bCs w:val="0"/>
          <w:szCs w:val="21"/>
          <w:highlight w:val="none"/>
          <w:lang w:val="en-US" w:eastAsia="zh-CN"/>
        </w:rPr>
        <w:t>附</w:t>
      </w:r>
      <w:r>
        <w:rPr>
          <w:rFonts w:hint="eastAsia" w:ascii="宋体" w:hAnsi="宋体" w:eastAsia="宋体" w:cs="宋体"/>
          <w:b w:val="0"/>
          <w:bCs w:val="0"/>
          <w:szCs w:val="21"/>
          <w:highlight w:val="none"/>
          <w:lang w:val="en-US" w:eastAsia="zh-CN"/>
        </w:rPr>
        <w:t>表</w:t>
      </w:r>
      <w:r>
        <w:rPr>
          <w:rFonts w:hint="default" w:ascii="宋体" w:hAnsi="宋体" w:eastAsia="宋体" w:cs="宋体"/>
          <w:b w:val="0"/>
          <w:bCs w:val="0"/>
          <w:szCs w:val="21"/>
          <w:highlight w:val="none"/>
          <w:lang w:val="en-US" w:eastAsia="zh-CN"/>
        </w:rPr>
        <w:t>3项目安全责任状；</w:t>
      </w:r>
    </w:p>
    <w:p w14:paraId="0AD490A2">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w:t>
      </w:r>
      <w:r>
        <w:rPr>
          <w:rFonts w:hint="default" w:ascii="宋体" w:hAnsi="宋体" w:eastAsia="宋体" w:cs="宋体"/>
          <w:b w:val="0"/>
          <w:bCs w:val="0"/>
          <w:szCs w:val="21"/>
          <w:highlight w:val="none"/>
          <w:lang w:val="en-US" w:eastAsia="zh-CN"/>
        </w:rPr>
        <w:t>附</w:t>
      </w:r>
      <w:r>
        <w:rPr>
          <w:rFonts w:hint="eastAsia" w:ascii="宋体" w:hAnsi="宋体" w:eastAsia="宋体" w:cs="宋体"/>
          <w:b w:val="0"/>
          <w:bCs w:val="0"/>
          <w:szCs w:val="21"/>
          <w:highlight w:val="none"/>
          <w:lang w:val="en-US" w:eastAsia="zh-CN"/>
        </w:rPr>
        <w:t>表</w:t>
      </w:r>
      <w:r>
        <w:rPr>
          <w:rFonts w:hint="default" w:ascii="宋体" w:hAnsi="宋体" w:eastAsia="宋体" w:cs="宋体"/>
          <w:b w:val="0"/>
          <w:bCs w:val="0"/>
          <w:szCs w:val="21"/>
          <w:highlight w:val="none"/>
          <w:lang w:val="en-US" w:eastAsia="zh-CN"/>
        </w:rPr>
        <w:t>4廉政合同；</w:t>
      </w:r>
    </w:p>
    <w:p w14:paraId="50E1E80E">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w:t>
      </w:r>
      <w:r>
        <w:rPr>
          <w:rFonts w:hint="default" w:ascii="宋体" w:hAnsi="宋体" w:eastAsia="宋体" w:cs="宋体"/>
          <w:b w:val="0"/>
          <w:bCs w:val="0"/>
          <w:szCs w:val="21"/>
          <w:highlight w:val="none"/>
          <w:lang w:val="en-US" w:eastAsia="zh-CN"/>
        </w:rPr>
        <w:t>附</w:t>
      </w:r>
      <w:r>
        <w:rPr>
          <w:rFonts w:hint="eastAsia" w:ascii="宋体" w:hAnsi="宋体" w:eastAsia="宋体" w:cs="宋体"/>
          <w:b w:val="0"/>
          <w:bCs w:val="0"/>
          <w:szCs w:val="21"/>
          <w:highlight w:val="none"/>
          <w:lang w:val="en-US" w:eastAsia="zh-CN"/>
        </w:rPr>
        <w:t>表</w:t>
      </w:r>
      <w:r>
        <w:rPr>
          <w:rFonts w:hint="default" w:ascii="宋体" w:hAnsi="宋体" w:eastAsia="宋体" w:cs="宋体"/>
          <w:b w:val="0"/>
          <w:bCs w:val="0"/>
          <w:szCs w:val="21"/>
          <w:highlight w:val="none"/>
          <w:lang w:val="en-US" w:eastAsia="zh-CN"/>
        </w:rPr>
        <w:t>5使用地形图（含电子版）保密协议。</w:t>
      </w:r>
    </w:p>
    <w:p w14:paraId="4B15D584">
      <w:pPr>
        <w:pStyle w:val="11"/>
        <w:rPr>
          <w:rFonts w:hint="eastAsia" w:ascii="仿宋" w:hAnsi="仿宋" w:eastAsia="仿宋" w:cs="仿宋"/>
          <w:color w:val="000000"/>
          <w:sz w:val="22"/>
          <w:szCs w:val="22"/>
          <w:highlight w:val="none"/>
        </w:rPr>
      </w:pPr>
    </w:p>
    <w:p w14:paraId="43DB8BDE">
      <w:pPr>
        <w:pStyle w:val="11"/>
        <w:rPr>
          <w:rFonts w:hint="eastAsia" w:ascii="仿宋" w:hAnsi="仿宋" w:eastAsia="仿宋" w:cs="仿宋"/>
          <w:color w:val="000000"/>
          <w:sz w:val="22"/>
          <w:szCs w:val="22"/>
          <w:highlight w:val="none"/>
        </w:rPr>
      </w:pPr>
    </w:p>
    <w:p w14:paraId="6099A9BD">
      <w:pPr>
        <w:pStyle w:val="11"/>
        <w:rPr>
          <w:rFonts w:hint="eastAsia" w:ascii="仿宋" w:hAnsi="仿宋" w:eastAsia="仿宋" w:cs="仿宋"/>
          <w:color w:val="000000"/>
          <w:sz w:val="22"/>
          <w:szCs w:val="22"/>
          <w:highlight w:val="none"/>
        </w:rPr>
      </w:pPr>
    </w:p>
    <w:p w14:paraId="731462EC">
      <w:pPr>
        <w:pStyle w:val="11"/>
        <w:rPr>
          <w:rFonts w:hint="eastAsia" w:ascii="仿宋" w:hAnsi="仿宋" w:eastAsia="仿宋" w:cs="仿宋"/>
          <w:color w:val="000000"/>
          <w:sz w:val="22"/>
          <w:szCs w:val="22"/>
          <w:highlight w:val="none"/>
        </w:rPr>
      </w:pPr>
    </w:p>
    <w:p w14:paraId="164D7324">
      <w:pPr>
        <w:pStyle w:val="11"/>
        <w:rPr>
          <w:rFonts w:hint="eastAsia" w:ascii="仿宋" w:hAnsi="仿宋" w:eastAsia="仿宋" w:cs="仿宋"/>
          <w:color w:val="000000"/>
          <w:sz w:val="22"/>
          <w:szCs w:val="22"/>
          <w:highlight w:val="none"/>
        </w:rPr>
      </w:pPr>
    </w:p>
    <w:p w14:paraId="6B5426FD">
      <w:pPr>
        <w:pStyle w:val="11"/>
        <w:rPr>
          <w:rFonts w:hint="eastAsia" w:ascii="仿宋" w:hAnsi="仿宋" w:eastAsia="仿宋" w:cs="仿宋"/>
          <w:color w:val="000000"/>
          <w:sz w:val="22"/>
          <w:szCs w:val="22"/>
          <w:highlight w:val="none"/>
        </w:rPr>
      </w:pPr>
    </w:p>
    <w:p w14:paraId="5FB13FD9">
      <w:pPr>
        <w:pStyle w:val="11"/>
        <w:rPr>
          <w:rFonts w:hint="eastAsia" w:ascii="仿宋" w:hAnsi="仿宋" w:eastAsia="仿宋" w:cs="仿宋"/>
          <w:color w:val="000000"/>
          <w:sz w:val="22"/>
          <w:szCs w:val="22"/>
          <w:highlight w:val="none"/>
        </w:rPr>
      </w:pPr>
    </w:p>
    <w:p w14:paraId="4E9B9E72">
      <w:pPr>
        <w:pStyle w:val="11"/>
        <w:rPr>
          <w:rFonts w:hint="eastAsia" w:ascii="仿宋" w:hAnsi="仿宋" w:eastAsia="仿宋" w:cs="仿宋"/>
          <w:color w:val="000000"/>
          <w:sz w:val="22"/>
          <w:szCs w:val="22"/>
          <w:highlight w:val="none"/>
        </w:rPr>
      </w:pPr>
    </w:p>
    <w:p w14:paraId="476ED645">
      <w:pPr>
        <w:pStyle w:val="11"/>
        <w:rPr>
          <w:rFonts w:hint="eastAsia" w:ascii="仿宋" w:hAnsi="仿宋" w:eastAsia="仿宋" w:cs="仿宋"/>
          <w:color w:val="000000"/>
          <w:sz w:val="22"/>
          <w:szCs w:val="22"/>
          <w:highlight w:val="none"/>
        </w:rPr>
      </w:pPr>
    </w:p>
    <w:p w14:paraId="56366974">
      <w:pPr>
        <w:pStyle w:val="11"/>
        <w:rPr>
          <w:rFonts w:hint="eastAsia" w:ascii="仿宋" w:hAnsi="仿宋" w:eastAsia="仿宋" w:cs="仿宋"/>
          <w:color w:val="000000"/>
          <w:sz w:val="22"/>
          <w:szCs w:val="22"/>
          <w:highlight w:val="none"/>
        </w:rPr>
      </w:pPr>
    </w:p>
    <w:p w14:paraId="38D56B9C">
      <w:pPr>
        <w:pStyle w:val="11"/>
        <w:rPr>
          <w:rFonts w:hint="eastAsia" w:ascii="仿宋" w:hAnsi="仿宋" w:eastAsia="仿宋" w:cs="仿宋"/>
          <w:color w:val="000000"/>
          <w:sz w:val="22"/>
          <w:szCs w:val="22"/>
          <w:highlight w:val="none"/>
        </w:rPr>
      </w:pPr>
    </w:p>
    <w:p w14:paraId="72D2A6AE">
      <w:pPr>
        <w:pStyle w:val="11"/>
        <w:rPr>
          <w:rFonts w:hint="eastAsia" w:ascii="仿宋" w:hAnsi="仿宋" w:eastAsia="仿宋" w:cs="仿宋"/>
          <w:color w:val="000000"/>
          <w:sz w:val="22"/>
          <w:szCs w:val="22"/>
          <w:highlight w:val="none"/>
        </w:rPr>
      </w:pPr>
    </w:p>
    <w:p w14:paraId="009D8378">
      <w:pPr>
        <w:pStyle w:val="11"/>
        <w:rPr>
          <w:rFonts w:hint="eastAsia" w:ascii="仿宋" w:hAnsi="仿宋" w:eastAsia="仿宋" w:cs="仿宋"/>
          <w:color w:val="000000"/>
          <w:sz w:val="22"/>
          <w:szCs w:val="22"/>
          <w:highlight w:val="none"/>
        </w:rPr>
      </w:pPr>
    </w:p>
    <w:p w14:paraId="7E143370">
      <w:pPr>
        <w:pStyle w:val="11"/>
        <w:rPr>
          <w:rFonts w:hint="eastAsia" w:ascii="仿宋" w:hAnsi="仿宋" w:eastAsia="仿宋" w:cs="仿宋"/>
          <w:color w:val="000000"/>
          <w:sz w:val="22"/>
          <w:szCs w:val="22"/>
          <w:highlight w:val="none"/>
        </w:rPr>
      </w:pPr>
    </w:p>
    <w:p w14:paraId="6911CB4B">
      <w:pPr>
        <w:pStyle w:val="11"/>
        <w:rPr>
          <w:rFonts w:hint="eastAsia" w:ascii="仿宋" w:hAnsi="仿宋" w:eastAsia="仿宋" w:cs="仿宋"/>
          <w:color w:val="000000"/>
          <w:sz w:val="22"/>
          <w:szCs w:val="22"/>
          <w:highlight w:val="none"/>
        </w:rPr>
        <w:sectPr>
          <w:footerReference r:id="rId10" w:type="first"/>
          <w:footerReference r:id="rId9" w:type="default"/>
          <w:pgSz w:w="11906" w:h="16838"/>
          <w:pgMar w:top="1474" w:right="1174" w:bottom="1247" w:left="1174" w:header="851" w:footer="851" w:gutter="0"/>
          <w:pgNumType w:fmt="decimal"/>
          <w:cols w:space="720" w:num="1"/>
          <w:titlePg/>
          <w:docGrid w:linePitch="312" w:charSpace="0"/>
        </w:sectPr>
      </w:pPr>
    </w:p>
    <w:p w14:paraId="075A6350">
      <w:pPr>
        <w:keepNext w:val="0"/>
        <w:keepLines w:val="0"/>
        <w:pageBreakBefore w:val="0"/>
        <w:widowControl/>
        <w:tabs>
          <w:tab w:val="left" w:pos="700"/>
        </w:tabs>
        <w:kinsoku/>
        <w:wordWrap/>
        <w:overflowPunct/>
        <w:topLinePunct w:val="0"/>
        <w:autoSpaceDE w:val="0"/>
        <w:autoSpaceDN w:val="0"/>
        <w:bidi w:val="0"/>
        <w:adjustRightInd/>
        <w:snapToGrid/>
        <w:spacing w:line="240" w:lineRule="auto"/>
        <w:ind w:right="0"/>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0"/>
          <w:highlight w:val="none"/>
          <w:lang w:val="en-US" w:eastAsia="zh-CN"/>
        </w:rPr>
        <w:t>附表</w:t>
      </w:r>
      <w:r>
        <w:rPr>
          <w:rFonts w:hint="eastAsia" w:ascii="宋体" w:hAnsi="宋体" w:eastAsia="宋体" w:cs="宋体"/>
          <w:color w:val="auto"/>
          <w:sz w:val="36"/>
          <w:szCs w:val="36"/>
          <w:highlight w:val="none"/>
          <w:lang w:val="en-US" w:eastAsia="zh-CN"/>
        </w:rPr>
        <w:t>1</w:t>
      </w:r>
    </w:p>
    <w:p w14:paraId="7BA90A23">
      <w:pPr>
        <w:tabs>
          <w:tab w:val="left" w:pos="700"/>
        </w:tabs>
        <w:spacing w:before="1" w:after="4"/>
        <w:ind w:right="2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表</w:t>
      </w:r>
      <w:r>
        <w:rPr>
          <w:rFonts w:hint="eastAsia" w:ascii="宋体" w:hAnsi="宋体" w:eastAsia="宋体" w:cs="宋体"/>
          <w:b/>
          <w:color w:val="auto"/>
          <w:spacing w:val="-60"/>
          <w:sz w:val="24"/>
          <w:highlight w:val="none"/>
        </w:rPr>
        <w:t xml:space="preserve"> </w:t>
      </w:r>
      <w:r>
        <w:rPr>
          <w:rFonts w:hint="eastAsia" w:ascii="宋体" w:hAnsi="宋体" w:eastAsia="宋体" w:cs="宋体"/>
          <w:b/>
          <w:color w:val="auto"/>
          <w:sz w:val="24"/>
          <w:highlight w:val="none"/>
        </w:rPr>
        <w:t>A</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农村生活污水处理设施标准化运维</w:t>
      </w:r>
      <w:r>
        <w:rPr>
          <w:rFonts w:hint="eastAsia" w:ascii="宋体" w:hAnsi="宋体" w:eastAsia="宋体" w:cs="宋体"/>
          <w:b/>
          <w:color w:val="auto"/>
          <w:sz w:val="24"/>
          <w:highlight w:val="none"/>
          <w:lang w:val="en-US" w:eastAsia="zh-CN"/>
        </w:rPr>
        <w:t>考核表</w:t>
      </w:r>
    </w:p>
    <w:tbl>
      <w:tblPr>
        <w:tblStyle w:val="24"/>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9"/>
        <w:gridCol w:w="551"/>
        <w:gridCol w:w="586"/>
        <w:gridCol w:w="1196"/>
        <w:gridCol w:w="6836"/>
        <w:gridCol w:w="899"/>
        <w:gridCol w:w="972"/>
        <w:gridCol w:w="840"/>
        <w:gridCol w:w="732"/>
        <w:gridCol w:w="741"/>
        <w:gridCol w:w="771"/>
      </w:tblGrid>
      <w:tr w14:paraId="4F60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top"/>
          </w:tcPr>
          <w:p w14:paraId="35A627C5">
            <w:pPr>
              <w:spacing w:before="28"/>
              <w:ind w:left="32" w:right="12" w:hanging="3"/>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评价指标</w:t>
            </w:r>
          </w:p>
        </w:tc>
        <w:tc>
          <w:tcPr>
            <w:tcW w:w="189" w:type="pct"/>
            <w:vMerge w:val="restart"/>
            <w:tcBorders>
              <w:top w:val="single" w:color="000000" w:sz="4" w:space="0"/>
              <w:left w:val="single" w:color="000000" w:sz="4" w:space="0"/>
              <w:bottom w:val="single" w:color="000000" w:sz="4" w:space="0"/>
              <w:right w:val="single" w:color="000000" w:sz="4" w:space="0"/>
            </w:tcBorders>
            <w:noWrap w:val="0"/>
            <w:vAlign w:val="top"/>
          </w:tcPr>
          <w:p w14:paraId="63832F81">
            <w:pPr>
              <w:spacing w:before="28"/>
              <w:ind w:left="32" w:right="12" w:hanging="3"/>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项目类型</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top"/>
          </w:tcPr>
          <w:p w14:paraId="0D4340E6">
            <w:pPr>
              <w:spacing w:before="144" w:line="242" w:lineRule="auto"/>
              <w:ind w:left="99" w:right="89"/>
              <w:rPr>
                <w:rFonts w:hint="eastAsia" w:ascii="宋体" w:hAnsi="宋体" w:eastAsia="宋体" w:cs="宋体"/>
                <w:color w:val="auto"/>
                <w:sz w:val="18"/>
                <w:highlight w:val="none"/>
              </w:rPr>
            </w:pPr>
            <w:r>
              <w:rPr>
                <w:rFonts w:hint="eastAsia" w:ascii="宋体" w:hAnsi="宋体" w:eastAsia="宋体" w:cs="宋体"/>
                <w:color w:val="auto"/>
                <w:sz w:val="18"/>
                <w:highlight w:val="none"/>
              </w:rPr>
              <w:t>章条编号</w:t>
            </w:r>
          </w:p>
        </w:tc>
        <w:tc>
          <w:tcPr>
            <w:tcW w:w="2753" w:type="pct"/>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6DF5AA39">
            <w:pPr>
              <w:spacing w:before="5"/>
              <w:rPr>
                <w:rFonts w:hint="eastAsia" w:ascii="宋体" w:hAnsi="宋体" w:eastAsia="宋体" w:cs="宋体"/>
                <w:b/>
                <w:color w:val="auto"/>
                <w:sz w:val="20"/>
                <w:highlight w:val="none"/>
              </w:rPr>
            </w:pPr>
          </w:p>
          <w:p w14:paraId="0BCA3B9F">
            <w:pPr>
              <w:ind w:left="3194" w:right="330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评价内容</w:t>
            </w:r>
          </w:p>
        </w:tc>
        <w:tc>
          <w:tcPr>
            <w:tcW w:w="308" w:type="pct"/>
            <w:vMerge w:val="restart"/>
            <w:tcBorders>
              <w:top w:val="single" w:color="000000" w:sz="4" w:space="0"/>
              <w:left w:val="single" w:color="000000" w:sz="4" w:space="0"/>
              <w:bottom w:val="single" w:color="000000" w:sz="4" w:space="0"/>
              <w:right w:val="single" w:color="000000" w:sz="4" w:space="0"/>
            </w:tcBorders>
            <w:noWrap w:val="0"/>
            <w:vAlign w:val="top"/>
          </w:tcPr>
          <w:p w14:paraId="4EB6B474">
            <w:pPr>
              <w:spacing w:before="5"/>
              <w:rPr>
                <w:rFonts w:hint="eastAsia" w:ascii="宋体" w:hAnsi="宋体" w:eastAsia="宋体" w:cs="宋体"/>
                <w:b/>
                <w:color w:val="auto"/>
                <w:sz w:val="20"/>
                <w:highlight w:val="none"/>
              </w:rPr>
            </w:pPr>
          </w:p>
          <w:p w14:paraId="220ADCAA">
            <w:pPr>
              <w:ind w:left="65"/>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评价方法</w:t>
            </w: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top"/>
          </w:tcPr>
          <w:p w14:paraId="023CADAC">
            <w:pPr>
              <w:spacing w:before="28"/>
              <w:ind w:left="32" w:right="12" w:hanging="3"/>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rPr>
              <w:t>是否满足（满足√）</w:t>
            </w:r>
          </w:p>
        </w:tc>
        <w:tc>
          <w:tcPr>
            <w:tcW w:w="793" w:type="pct"/>
            <w:gridSpan w:val="3"/>
            <w:tcBorders>
              <w:top w:val="single" w:color="000000" w:sz="4" w:space="0"/>
              <w:left w:val="single" w:color="000000" w:sz="4" w:space="0"/>
              <w:bottom w:val="single" w:color="000000" w:sz="4" w:space="0"/>
              <w:right w:val="single" w:color="000000" w:sz="4" w:space="0"/>
            </w:tcBorders>
            <w:noWrap w:val="0"/>
            <w:vAlign w:val="top"/>
          </w:tcPr>
          <w:p w14:paraId="7D912B79">
            <w:pPr>
              <w:spacing w:before="52"/>
              <w:ind w:left="917" w:right="898"/>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lang w:val="en-US" w:eastAsia="zh-CN"/>
              </w:rPr>
              <w:t>扣</w:t>
            </w:r>
            <w:r>
              <w:rPr>
                <w:rFonts w:hint="eastAsia" w:ascii="宋体" w:hAnsi="宋体" w:eastAsia="宋体" w:cs="宋体"/>
                <w:color w:val="auto"/>
                <w:sz w:val="18"/>
                <w:highlight w:val="none"/>
              </w:rPr>
              <w:t>分</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top"/>
          </w:tcPr>
          <w:p w14:paraId="6CF891D6">
            <w:pPr>
              <w:spacing w:before="144" w:line="242" w:lineRule="auto"/>
              <w:ind w:left="104" w:right="74"/>
              <w:rPr>
                <w:rFonts w:hint="eastAsia" w:ascii="宋体" w:hAnsi="宋体" w:eastAsia="宋体" w:cs="宋体"/>
                <w:color w:val="auto"/>
                <w:sz w:val="18"/>
                <w:highlight w:val="none"/>
              </w:rPr>
            </w:pPr>
            <w:r>
              <w:rPr>
                <w:rFonts w:hint="eastAsia" w:ascii="宋体" w:hAnsi="宋体" w:eastAsia="宋体" w:cs="宋体"/>
                <w:color w:val="auto"/>
                <w:sz w:val="18"/>
                <w:highlight w:val="none"/>
              </w:rPr>
              <w:t>说明扣分原因</w:t>
            </w:r>
          </w:p>
        </w:tc>
      </w:tr>
      <w:tr w14:paraId="31D4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B1BE1">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DE539">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019C0">
            <w:pPr>
              <w:autoSpaceDE/>
              <w:autoSpaceDN/>
              <w:rPr>
                <w:rFonts w:hint="eastAsia" w:ascii="宋体" w:hAnsi="宋体" w:eastAsia="宋体" w:cs="宋体"/>
                <w:color w:val="auto"/>
                <w:sz w:val="18"/>
                <w:highlight w:val="none"/>
              </w:rPr>
            </w:pPr>
          </w:p>
        </w:tc>
        <w:tc>
          <w:tcPr>
            <w:tcW w:w="27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4F0356">
            <w:pPr>
              <w:autoSpaceDE/>
              <w:autoSpaceDN/>
              <w:rPr>
                <w:rFonts w:hint="eastAsia" w:ascii="宋体" w:hAnsi="宋体" w:eastAsia="宋体" w:cs="宋体"/>
                <w:color w:val="auto"/>
                <w:sz w:val="18"/>
                <w:highlight w:val="none"/>
              </w:rPr>
            </w:pPr>
          </w:p>
        </w:tc>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9AD882">
            <w:pPr>
              <w:autoSpaceDE/>
              <w:autoSpaceDN/>
              <w:rPr>
                <w:rFonts w:hint="eastAsia" w:ascii="宋体" w:hAnsi="宋体" w:eastAsia="宋体" w:cs="宋体"/>
                <w:color w:val="auto"/>
                <w:sz w:val="18"/>
                <w:highlight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6AFDD2">
            <w:pPr>
              <w:autoSpaceDE/>
              <w:autoSpaceDN/>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0A8E83D8">
            <w:pPr>
              <w:spacing w:before="100"/>
              <w:ind w:left="39"/>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 xml:space="preserve">评分人 </w:t>
            </w:r>
            <w:r>
              <w:rPr>
                <w:rFonts w:hint="eastAsia" w:ascii="宋体" w:hAnsi="宋体" w:eastAsia="宋体" w:cs="宋体"/>
                <w:color w:val="auto"/>
                <w:sz w:val="18"/>
                <w:highlight w:val="none"/>
              </w:rPr>
              <w:t>1</w:t>
            </w: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4196FEC0">
            <w:pPr>
              <w:spacing w:before="100"/>
              <w:ind w:left="33"/>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2</w:t>
            </w: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34CAC8B3">
            <w:pPr>
              <w:spacing w:before="100"/>
              <w:ind w:left="46"/>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3</w:t>
            </w: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A54E50">
            <w:pPr>
              <w:autoSpaceDE/>
              <w:autoSpaceDN/>
              <w:rPr>
                <w:rFonts w:hint="eastAsia" w:ascii="宋体" w:hAnsi="宋体" w:eastAsia="宋体" w:cs="宋体"/>
                <w:color w:val="auto"/>
                <w:sz w:val="18"/>
                <w:highlight w:val="none"/>
              </w:rPr>
            </w:pPr>
          </w:p>
        </w:tc>
      </w:tr>
      <w:tr w14:paraId="79F1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top"/>
          </w:tcPr>
          <w:p w14:paraId="57DD3922">
            <w:pPr>
              <w:rPr>
                <w:rFonts w:hint="eastAsia" w:ascii="宋体" w:hAnsi="宋体" w:eastAsia="宋体" w:cs="宋体"/>
                <w:b/>
                <w:color w:val="auto"/>
                <w:sz w:val="18"/>
                <w:highlight w:val="none"/>
              </w:rPr>
            </w:pPr>
          </w:p>
          <w:p w14:paraId="4C80A1A7">
            <w:pPr>
              <w:rPr>
                <w:rFonts w:hint="eastAsia" w:ascii="宋体" w:hAnsi="宋体" w:eastAsia="宋体" w:cs="宋体"/>
                <w:b/>
                <w:color w:val="auto"/>
                <w:sz w:val="18"/>
                <w:highlight w:val="none"/>
              </w:rPr>
            </w:pPr>
          </w:p>
          <w:p w14:paraId="574DF0D8">
            <w:pPr>
              <w:rPr>
                <w:rFonts w:hint="eastAsia" w:ascii="宋体" w:hAnsi="宋体" w:eastAsia="宋体" w:cs="宋体"/>
                <w:b/>
                <w:color w:val="auto"/>
                <w:sz w:val="18"/>
                <w:highlight w:val="none"/>
              </w:rPr>
            </w:pPr>
          </w:p>
          <w:p w14:paraId="75F9AA27">
            <w:pPr>
              <w:rPr>
                <w:rFonts w:hint="eastAsia" w:ascii="宋体" w:hAnsi="宋体" w:eastAsia="宋体" w:cs="宋体"/>
                <w:b/>
                <w:color w:val="auto"/>
                <w:sz w:val="18"/>
                <w:highlight w:val="none"/>
              </w:rPr>
            </w:pPr>
          </w:p>
          <w:p w14:paraId="35834373">
            <w:pPr>
              <w:rPr>
                <w:rFonts w:hint="eastAsia" w:ascii="宋体" w:hAnsi="宋体" w:eastAsia="宋体" w:cs="宋体"/>
                <w:b/>
                <w:color w:val="auto"/>
                <w:sz w:val="18"/>
                <w:highlight w:val="none"/>
              </w:rPr>
            </w:pPr>
          </w:p>
          <w:p w14:paraId="014BF52E">
            <w:pPr>
              <w:rPr>
                <w:rFonts w:hint="eastAsia" w:ascii="宋体" w:hAnsi="宋体" w:eastAsia="宋体" w:cs="宋体"/>
                <w:b/>
                <w:color w:val="auto"/>
                <w:sz w:val="18"/>
                <w:highlight w:val="none"/>
              </w:rPr>
            </w:pPr>
          </w:p>
          <w:p w14:paraId="3B6DB253">
            <w:pPr>
              <w:rPr>
                <w:rFonts w:hint="eastAsia" w:ascii="宋体" w:hAnsi="宋体" w:eastAsia="宋体" w:cs="宋体"/>
                <w:b/>
                <w:color w:val="auto"/>
                <w:sz w:val="18"/>
                <w:highlight w:val="none"/>
              </w:rPr>
            </w:pPr>
          </w:p>
          <w:p w14:paraId="78F4FA72">
            <w:pPr>
              <w:rPr>
                <w:rFonts w:hint="eastAsia" w:ascii="宋体" w:hAnsi="宋体" w:eastAsia="宋体" w:cs="宋体"/>
                <w:b/>
                <w:color w:val="auto"/>
                <w:sz w:val="18"/>
                <w:highlight w:val="none"/>
              </w:rPr>
            </w:pPr>
          </w:p>
          <w:p w14:paraId="25C49ABC">
            <w:pPr>
              <w:rPr>
                <w:rFonts w:hint="eastAsia" w:ascii="宋体" w:hAnsi="宋体" w:eastAsia="宋体" w:cs="宋体"/>
                <w:b/>
                <w:color w:val="auto"/>
                <w:sz w:val="18"/>
                <w:highlight w:val="none"/>
              </w:rPr>
            </w:pPr>
          </w:p>
          <w:p w14:paraId="6317EB14">
            <w:pPr>
              <w:rPr>
                <w:rFonts w:hint="eastAsia" w:ascii="宋体" w:hAnsi="宋体" w:eastAsia="宋体" w:cs="宋体"/>
                <w:b/>
                <w:color w:val="auto"/>
                <w:sz w:val="18"/>
                <w:highlight w:val="none"/>
              </w:rPr>
            </w:pPr>
          </w:p>
          <w:p w14:paraId="7C1BB6C5">
            <w:pPr>
              <w:rPr>
                <w:rFonts w:hint="eastAsia" w:ascii="宋体" w:hAnsi="宋体" w:eastAsia="宋体" w:cs="宋体"/>
                <w:b/>
                <w:color w:val="auto"/>
                <w:sz w:val="18"/>
                <w:highlight w:val="none"/>
              </w:rPr>
            </w:pPr>
          </w:p>
          <w:p w14:paraId="7DA35DAA">
            <w:pPr>
              <w:spacing w:before="7"/>
              <w:rPr>
                <w:rFonts w:hint="eastAsia" w:ascii="宋体" w:hAnsi="宋体" w:eastAsia="宋体" w:cs="宋体"/>
                <w:b/>
                <w:color w:val="auto"/>
                <w:sz w:val="15"/>
                <w:highlight w:val="none"/>
              </w:rPr>
            </w:pPr>
          </w:p>
          <w:p w14:paraId="551BFDD5">
            <w:pPr>
              <w:spacing w:before="64"/>
              <w:ind w:left="57"/>
              <w:rPr>
                <w:rFonts w:hint="eastAsia" w:ascii="宋体" w:hAnsi="宋体" w:eastAsia="宋体" w:cs="宋体"/>
                <w:color w:val="auto"/>
                <w:spacing w:val="-9"/>
                <w:sz w:val="18"/>
                <w:highlight w:val="none"/>
                <w:lang w:eastAsia="zh-CN"/>
              </w:rPr>
            </w:pPr>
            <w:r>
              <w:rPr>
                <w:rFonts w:hint="eastAsia" w:ascii="宋体" w:hAnsi="宋体" w:eastAsia="宋体" w:cs="宋体"/>
                <w:color w:val="auto"/>
                <w:spacing w:val="-9"/>
                <w:sz w:val="18"/>
                <w:highlight w:val="none"/>
                <w:lang w:eastAsia="zh-CN"/>
              </w:rPr>
              <w:t>管网</w:t>
            </w:r>
          </w:p>
          <w:p w14:paraId="5A4C1917">
            <w:pPr>
              <w:spacing w:before="64"/>
              <w:ind w:left="57"/>
              <w:rPr>
                <w:rFonts w:hint="eastAsia" w:ascii="宋体" w:hAnsi="宋体" w:eastAsia="宋体" w:cs="宋体"/>
                <w:color w:val="auto"/>
                <w:sz w:val="18"/>
                <w:highlight w:val="none"/>
                <w:lang w:val="en-US" w:eastAsia="zh-CN"/>
              </w:rPr>
            </w:pPr>
            <w:r>
              <w:rPr>
                <w:rFonts w:hint="eastAsia" w:ascii="宋体" w:hAnsi="宋体" w:eastAsia="宋体" w:cs="宋体"/>
                <w:color w:val="auto"/>
                <w:spacing w:val="-9"/>
                <w:sz w:val="18"/>
                <w:highlight w:val="none"/>
                <w:lang w:eastAsia="zh-CN"/>
              </w:rPr>
              <w:t>设施</w:t>
            </w:r>
          </w:p>
        </w:tc>
        <w:tc>
          <w:tcPr>
            <w:tcW w:w="189" w:type="pct"/>
            <w:vMerge w:val="restart"/>
            <w:tcBorders>
              <w:top w:val="single" w:color="000000" w:sz="4" w:space="0"/>
              <w:left w:val="single" w:color="000000" w:sz="4" w:space="0"/>
              <w:bottom w:val="single" w:color="000000" w:sz="4" w:space="0"/>
              <w:right w:val="single" w:color="000000" w:sz="4" w:space="0"/>
            </w:tcBorders>
            <w:noWrap w:val="0"/>
            <w:vAlign w:val="top"/>
          </w:tcPr>
          <w:p w14:paraId="11F9460D">
            <w:pPr>
              <w:rPr>
                <w:rFonts w:hint="eastAsia" w:ascii="宋体" w:hAnsi="宋体" w:eastAsia="宋体" w:cs="宋体"/>
                <w:b/>
                <w:color w:val="auto"/>
                <w:sz w:val="18"/>
                <w:highlight w:val="none"/>
              </w:rPr>
            </w:pPr>
          </w:p>
          <w:p w14:paraId="2AE8278D">
            <w:pPr>
              <w:spacing w:before="9"/>
              <w:rPr>
                <w:rFonts w:hint="eastAsia" w:ascii="宋体" w:hAnsi="宋体" w:eastAsia="宋体" w:cs="宋体"/>
                <w:b/>
                <w:color w:val="auto"/>
                <w:sz w:val="14"/>
                <w:highlight w:val="none"/>
              </w:rPr>
            </w:pPr>
          </w:p>
          <w:p w14:paraId="0121DBFE">
            <w:pPr>
              <w:spacing w:line="242" w:lineRule="auto"/>
              <w:ind w:left="189" w:right="90" w:hanging="92"/>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控制项</w:t>
            </w:r>
          </w:p>
        </w:tc>
        <w:tc>
          <w:tcPr>
            <w:tcW w:w="201" w:type="pct"/>
            <w:tcBorders>
              <w:top w:val="single" w:color="000000" w:sz="4" w:space="0"/>
              <w:left w:val="single" w:color="000000" w:sz="4" w:space="0"/>
              <w:bottom w:val="single" w:color="000000" w:sz="4" w:space="0"/>
              <w:right w:val="single" w:color="000000" w:sz="4" w:space="0"/>
            </w:tcBorders>
            <w:noWrap w:val="0"/>
            <w:vAlign w:val="top"/>
          </w:tcPr>
          <w:p w14:paraId="0A4E6CA2">
            <w:pPr>
              <w:spacing w:before="62"/>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4.1.1</w:t>
            </w:r>
          </w:p>
        </w:tc>
        <w:tc>
          <w:tcPr>
            <w:tcW w:w="2753" w:type="pct"/>
            <w:gridSpan w:val="2"/>
            <w:tcBorders>
              <w:top w:val="single" w:color="000000" w:sz="4" w:space="0"/>
              <w:left w:val="single" w:color="000000" w:sz="4" w:space="0"/>
              <w:bottom w:val="single" w:color="000000" w:sz="4" w:space="0"/>
              <w:right w:val="single" w:color="000000" w:sz="4" w:space="0"/>
            </w:tcBorders>
            <w:noWrap w:val="0"/>
            <w:vAlign w:val="top"/>
          </w:tcPr>
          <w:p w14:paraId="1B97416B">
            <w:pPr>
              <w:spacing w:before="55"/>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污水输送正常</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78AE59FF">
            <w:pPr>
              <w:spacing w:before="55"/>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A2903FA">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5B446306">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3C8F6A53">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3745F337">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4A8E9715">
            <w:pPr>
              <w:rPr>
                <w:rFonts w:hint="eastAsia" w:ascii="宋体" w:hAnsi="宋体" w:eastAsia="宋体" w:cs="宋体"/>
                <w:color w:val="auto"/>
                <w:sz w:val="18"/>
                <w:highlight w:val="none"/>
              </w:rPr>
            </w:pPr>
          </w:p>
        </w:tc>
      </w:tr>
      <w:tr w14:paraId="3080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AC28D5">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C1BBD">
            <w:pPr>
              <w:autoSpaceDE/>
              <w:autoSpaceDN/>
              <w:rPr>
                <w:rFonts w:hint="eastAsia" w:ascii="宋体" w:hAnsi="宋体" w:eastAsia="宋体" w:cs="宋体"/>
                <w:color w:val="auto"/>
                <w:sz w:val="18"/>
                <w:highlight w:val="none"/>
              </w:rPr>
            </w:pPr>
          </w:p>
        </w:tc>
        <w:tc>
          <w:tcPr>
            <w:tcW w:w="201" w:type="pct"/>
            <w:tcBorders>
              <w:top w:val="single" w:color="000000" w:sz="4" w:space="0"/>
              <w:left w:val="single" w:color="000000" w:sz="4" w:space="0"/>
              <w:bottom w:val="single" w:color="000000" w:sz="4" w:space="0"/>
              <w:right w:val="single" w:color="000000" w:sz="4" w:space="0"/>
            </w:tcBorders>
            <w:noWrap w:val="0"/>
            <w:vAlign w:val="top"/>
          </w:tcPr>
          <w:p w14:paraId="496E1CFC">
            <w:pPr>
              <w:spacing w:before="62"/>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4.1.2</w:t>
            </w:r>
          </w:p>
        </w:tc>
        <w:tc>
          <w:tcPr>
            <w:tcW w:w="2753" w:type="pct"/>
            <w:gridSpan w:val="2"/>
            <w:tcBorders>
              <w:top w:val="single" w:color="000000" w:sz="4" w:space="0"/>
              <w:left w:val="single" w:color="000000" w:sz="4" w:space="0"/>
              <w:bottom w:val="single" w:color="000000" w:sz="4" w:space="0"/>
              <w:right w:val="single" w:color="000000" w:sz="4" w:space="0"/>
            </w:tcBorders>
            <w:noWrap w:val="0"/>
            <w:vAlign w:val="top"/>
          </w:tcPr>
          <w:p w14:paraId="077129F6">
            <w:pPr>
              <w:spacing w:before="52"/>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提升泵站运行正常</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7D3A7BF5">
            <w:pPr>
              <w:spacing w:before="52"/>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E9C6B56">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3168F26C">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3C9658BC">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3CC5BB3C">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1279DB2E">
            <w:pPr>
              <w:rPr>
                <w:rFonts w:hint="eastAsia" w:ascii="宋体" w:hAnsi="宋体" w:eastAsia="宋体" w:cs="宋体"/>
                <w:color w:val="auto"/>
                <w:sz w:val="18"/>
                <w:highlight w:val="none"/>
              </w:rPr>
            </w:pPr>
          </w:p>
        </w:tc>
      </w:tr>
      <w:tr w14:paraId="1C569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DCC12E">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E1FF4D">
            <w:pPr>
              <w:autoSpaceDE/>
              <w:autoSpaceDN/>
              <w:rPr>
                <w:rFonts w:hint="eastAsia" w:ascii="宋体" w:hAnsi="宋体" w:eastAsia="宋体" w:cs="宋体"/>
                <w:color w:val="auto"/>
                <w:sz w:val="18"/>
                <w:highlight w:val="none"/>
              </w:rPr>
            </w:pPr>
          </w:p>
        </w:tc>
        <w:tc>
          <w:tcPr>
            <w:tcW w:w="201" w:type="pct"/>
            <w:tcBorders>
              <w:top w:val="single" w:color="000000" w:sz="4" w:space="0"/>
              <w:left w:val="single" w:color="000000" w:sz="4" w:space="0"/>
              <w:bottom w:val="single" w:color="000000" w:sz="6" w:space="0"/>
              <w:right w:val="single" w:color="000000" w:sz="4" w:space="0"/>
            </w:tcBorders>
            <w:noWrap w:val="0"/>
            <w:vAlign w:val="top"/>
          </w:tcPr>
          <w:p w14:paraId="4C2BD37D">
            <w:pPr>
              <w:spacing w:before="62"/>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4.1.3</w:t>
            </w:r>
          </w:p>
        </w:tc>
        <w:tc>
          <w:tcPr>
            <w:tcW w:w="2753" w:type="pct"/>
            <w:gridSpan w:val="2"/>
            <w:tcBorders>
              <w:top w:val="single" w:color="000000" w:sz="4" w:space="0"/>
              <w:left w:val="single" w:color="000000" w:sz="4" w:space="0"/>
              <w:bottom w:val="single" w:color="000000" w:sz="6" w:space="0"/>
              <w:right w:val="single" w:color="000000" w:sz="4" w:space="0"/>
            </w:tcBorders>
            <w:noWrap w:val="0"/>
            <w:vAlign w:val="top"/>
          </w:tcPr>
          <w:p w14:paraId="215B54D4">
            <w:pPr>
              <w:spacing w:before="52"/>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配备疏通、冲洗、检查管网运维工具</w:t>
            </w:r>
          </w:p>
        </w:tc>
        <w:tc>
          <w:tcPr>
            <w:tcW w:w="308" w:type="pct"/>
            <w:tcBorders>
              <w:top w:val="single" w:color="000000" w:sz="4" w:space="0"/>
              <w:left w:val="single" w:color="000000" w:sz="4" w:space="0"/>
              <w:bottom w:val="single" w:color="000000" w:sz="6" w:space="0"/>
              <w:right w:val="single" w:color="000000" w:sz="4" w:space="0"/>
            </w:tcBorders>
            <w:noWrap w:val="0"/>
            <w:vAlign w:val="top"/>
          </w:tcPr>
          <w:p w14:paraId="5692B15B">
            <w:pPr>
              <w:spacing w:before="52"/>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6" w:space="0"/>
              <w:right w:val="single" w:color="000000" w:sz="4" w:space="0"/>
            </w:tcBorders>
            <w:noWrap w:val="0"/>
            <w:vAlign w:val="top"/>
          </w:tcPr>
          <w:p w14:paraId="104731D7">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6" w:space="0"/>
              <w:right w:val="single" w:color="000000" w:sz="4" w:space="0"/>
            </w:tcBorders>
            <w:noWrap w:val="0"/>
            <w:vAlign w:val="top"/>
          </w:tcPr>
          <w:p w14:paraId="4F1BEECB">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6" w:space="0"/>
              <w:right w:val="single" w:color="000000" w:sz="4" w:space="0"/>
            </w:tcBorders>
            <w:noWrap w:val="0"/>
            <w:vAlign w:val="top"/>
          </w:tcPr>
          <w:p w14:paraId="4C105FE4">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6" w:space="0"/>
              <w:right w:val="single" w:color="000000" w:sz="4" w:space="0"/>
            </w:tcBorders>
            <w:noWrap w:val="0"/>
            <w:vAlign w:val="top"/>
          </w:tcPr>
          <w:p w14:paraId="041838D1">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6" w:space="0"/>
              <w:right w:val="single" w:color="000000" w:sz="4" w:space="0"/>
            </w:tcBorders>
            <w:noWrap w:val="0"/>
            <w:vAlign w:val="top"/>
          </w:tcPr>
          <w:p w14:paraId="6CE32BD7">
            <w:pPr>
              <w:rPr>
                <w:rFonts w:hint="eastAsia" w:ascii="宋体" w:hAnsi="宋体" w:eastAsia="宋体" w:cs="宋体"/>
                <w:color w:val="auto"/>
                <w:sz w:val="18"/>
                <w:highlight w:val="none"/>
              </w:rPr>
            </w:pPr>
          </w:p>
        </w:tc>
      </w:tr>
      <w:tr w14:paraId="39201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E55228">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37631">
            <w:pPr>
              <w:autoSpaceDE/>
              <w:autoSpaceDN/>
              <w:rPr>
                <w:rFonts w:hint="eastAsia" w:ascii="宋体" w:hAnsi="宋体" w:eastAsia="宋体" w:cs="宋体"/>
                <w:color w:val="auto"/>
                <w:sz w:val="18"/>
                <w:highlight w:val="none"/>
              </w:rPr>
            </w:pPr>
          </w:p>
        </w:tc>
        <w:tc>
          <w:tcPr>
            <w:tcW w:w="201" w:type="pct"/>
            <w:tcBorders>
              <w:top w:val="single" w:color="000000" w:sz="6" w:space="0"/>
              <w:left w:val="single" w:color="000000" w:sz="4" w:space="0"/>
              <w:bottom w:val="single" w:color="000000" w:sz="4" w:space="0"/>
              <w:right w:val="single" w:color="000000" w:sz="4" w:space="0"/>
            </w:tcBorders>
            <w:noWrap w:val="0"/>
            <w:vAlign w:val="top"/>
          </w:tcPr>
          <w:p w14:paraId="1C029B38">
            <w:pPr>
              <w:spacing w:before="60"/>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4.1.4</w:t>
            </w:r>
          </w:p>
        </w:tc>
        <w:tc>
          <w:tcPr>
            <w:tcW w:w="2753" w:type="pct"/>
            <w:gridSpan w:val="2"/>
            <w:tcBorders>
              <w:top w:val="single" w:color="000000" w:sz="6" w:space="0"/>
              <w:left w:val="single" w:color="000000" w:sz="4" w:space="0"/>
              <w:bottom w:val="single" w:color="000000" w:sz="4" w:space="0"/>
              <w:right w:val="single" w:color="000000" w:sz="4" w:space="0"/>
            </w:tcBorders>
            <w:noWrap w:val="0"/>
            <w:vAlign w:val="top"/>
          </w:tcPr>
          <w:p w14:paraId="56587C41">
            <w:pPr>
              <w:spacing w:before="50"/>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定期巡查、养护、维修，并形成记录</w:t>
            </w:r>
          </w:p>
        </w:tc>
        <w:tc>
          <w:tcPr>
            <w:tcW w:w="308" w:type="pct"/>
            <w:tcBorders>
              <w:top w:val="single" w:color="000000" w:sz="6" w:space="0"/>
              <w:left w:val="single" w:color="000000" w:sz="4" w:space="0"/>
              <w:bottom w:val="single" w:color="000000" w:sz="4" w:space="0"/>
              <w:right w:val="single" w:color="000000" w:sz="4" w:space="0"/>
            </w:tcBorders>
            <w:noWrap w:val="0"/>
            <w:vAlign w:val="top"/>
          </w:tcPr>
          <w:p w14:paraId="2F0780F0">
            <w:pPr>
              <w:spacing w:before="50"/>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333" w:type="pct"/>
            <w:tcBorders>
              <w:top w:val="single" w:color="000000" w:sz="6" w:space="0"/>
              <w:left w:val="single" w:color="000000" w:sz="4" w:space="0"/>
              <w:bottom w:val="single" w:color="000000" w:sz="4" w:space="0"/>
              <w:right w:val="single" w:color="000000" w:sz="4" w:space="0"/>
            </w:tcBorders>
            <w:noWrap w:val="0"/>
            <w:vAlign w:val="top"/>
          </w:tcPr>
          <w:p w14:paraId="0432B5E4">
            <w:pPr>
              <w:rPr>
                <w:rFonts w:hint="eastAsia" w:ascii="宋体" w:hAnsi="宋体" w:eastAsia="宋体" w:cs="宋体"/>
                <w:color w:val="auto"/>
                <w:sz w:val="18"/>
                <w:highlight w:val="none"/>
              </w:rPr>
            </w:pPr>
          </w:p>
        </w:tc>
        <w:tc>
          <w:tcPr>
            <w:tcW w:w="288" w:type="pct"/>
            <w:tcBorders>
              <w:top w:val="single" w:color="000000" w:sz="6" w:space="0"/>
              <w:left w:val="single" w:color="000000" w:sz="4" w:space="0"/>
              <w:bottom w:val="single" w:color="000000" w:sz="4" w:space="0"/>
              <w:right w:val="single" w:color="000000" w:sz="4" w:space="0"/>
            </w:tcBorders>
            <w:noWrap w:val="0"/>
            <w:vAlign w:val="top"/>
          </w:tcPr>
          <w:p w14:paraId="0D202654">
            <w:pPr>
              <w:rPr>
                <w:rFonts w:hint="eastAsia" w:ascii="宋体" w:hAnsi="宋体" w:eastAsia="宋体" w:cs="宋体"/>
                <w:color w:val="auto"/>
                <w:sz w:val="18"/>
                <w:highlight w:val="none"/>
              </w:rPr>
            </w:pPr>
          </w:p>
        </w:tc>
        <w:tc>
          <w:tcPr>
            <w:tcW w:w="251" w:type="pct"/>
            <w:tcBorders>
              <w:top w:val="single" w:color="000000" w:sz="6" w:space="0"/>
              <w:left w:val="single" w:color="000000" w:sz="4" w:space="0"/>
              <w:bottom w:val="single" w:color="000000" w:sz="4" w:space="0"/>
              <w:right w:val="single" w:color="000000" w:sz="4" w:space="0"/>
            </w:tcBorders>
            <w:noWrap w:val="0"/>
            <w:vAlign w:val="top"/>
          </w:tcPr>
          <w:p w14:paraId="43778101">
            <w:pPr>
              <w:rPr>
                <w:rFonts w:hint="eastAsia" w:ascii="宋体" w:hAnsi="宋体" w:eastAsia="宋体" w:cs="宋体"/>
                <w:color w:val="auto"/>
                <w:sz w:val="18"/>
                <w:highlight w:val="none"/>
              </w:rPr>
            </w:pPr>
          </w:p>
        </w:tc>
        <w:tc>
          <w:tcPr>
            <w:tcW w:w="254" w:type="pct"/>
            <w:tcBorders>
              <w:top w:val="single" w:color="000000" w:sz="6" w:space="0"/>
              <w:left w:val="single" w:color="000000" w:sz="4" w:space="0"/>
              <w:bottom w:val="single" w:color="000000" w:sz="4" w:space="0"/>
              <w:right w:val="single" w:color="000000" w:sz="4" w:space="0"/>
            </w:tcBorders>
            <w:noWrap w:val="0"/>
            <w:vAlign w:val="top"/>
          </w:tcPr>
          <w:p w14:paraId="56629D78">
            <w:pPr>
              <w:rPr>
                <w:rFonts w:hint="eastAsia" w:ascii="宋体" w:hAnsi="宋体" w:eastAsia="宋体" w:cs="宋体"/>
                <w:color w:val="auto"/>
                <w:sz w:val="18"/>
                <w:highlight w:val="none"/>
              </w:rPr>
            </w:pPr>
          </w:p>
        </w:tc>
        <w:tc>
          <w:tcPr>
            <w:tcW w:w="264" w:type="pct"/>
            <w:tcBorders>
              <w:top w:val="single" w:color="000000" w:sz="6" w:space="0"/>
              <w:left w:val="single" w:color="000000" w:sz="4" w:space="0"/>
              <w:bottom w:val="single" w:color="000000" w:sz="4" w:space="0"/>
              <w:right w:val="single" w:color="000000" w:sz="4" w:space="0"/>
            </w:tcBorders>
            <w:noWrap w:val="0"/>
            <w:vAlign w:val="top"/>
          </w:tcPr>
          <w:p w14:paraId="5CC12CA8">
            <w:pPr>
              <w:rPr>
                <w:rFonts w:hint="eastAsia" w:ascii="宋体" w:hAnsi="宋体" w:eastAsia="宋体" w:cs="宋体"/>
                <w:color w:val="auto"/>
                <w:sz w:val="18"/>
                <w:highlight w:val="none"/>
              </w:rPr>
            </w:pPr>
          </w:p>
        </w:tc>
      </w:tr>
      <w:tr w14:paraId="2B7F8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FFC502">
            <w:pPr>
              <w:autoSpaceDE/>
              <w:autoSpaceDN/>
              <w:rPr>
                <w:rFonts w:hint="eastAsia" w:ascii="宋体" w:hAnsi="宋体" w:eastAsia="宋体" w:cs="宋体"/>
                <w:color w:val="auto"/>
                <w:sz w:val="18"/>
                <w:highlight w:val="none"/>
              </w:rPr>
            </w:pPr>
          </w:p>
        </w:tc>
        <w:tc>
          <w:tcPr>
            <w:tcW w:w="189" w:type="pct"/>
            <w:vMerge w:val="restart"/>
            <w:tcBorders>
              <w:top w:val="single" w:color="000000" w:sz="4" w:space="0"/>
              <w:left w:val="single" w:color="000000" w:sz="4" w:space="0"/>
              <w:bottom w:val="single" w:color="000000" w:sz="4" w:space="0"/>
              <w:right w:val="single" w:color="000000" w:sz="4" w:space="0"/>
            </w:tcBorders>
            <w:noWrap w:val="0"/>
            <w:vAlign w:val="top"/>
          </w:tcPr>
          <w:p w14:paraId="68909F83">
            <w:pPr>
              <w:rPr>
                <w:rFonts w:hint="eastAsia" w:ascii="宋体" w:hAnsi="宋体" w:eastAsia="宋体" w:cs="宋体"/>
                <w:b/>
                <w:color w:val="auto"/>
                <w:sz w:val="18"/>
                <w:highlight w:val="none"/>
              </w:rPr>
            </w:pPr>
          </w:p>
          <w:p w14:paraId="71AD7E79">
            <w:pPr>
              <w:rPr>
                <w:rFonts w:hint="eastAsia" w:ascii="宋体" w:hAnsi="宋体" w:eastAsia="宋体" w:cs="宋体"/>
                <w:b/>
                <w:color w:val="auto"/>
                <w:sz w:val="18"/>
                <w:highlight w:val="none"/>
              </w:rPr>
            </w:pPr>
          </w:p>
          <w:p w14:paraId="18A3975A">
            <w:pPr>
              <w:rPr>
                <w:rFonts w:hint="eastAsia" w:ascii="宋体" w:hAnsi="宋体" w:eastAsia="宋体" w:cs="宋体"/>
                <w:b/>
                <w:color w:val="auto"/>
                <w:sz w:val="18"/>
                <w:highlight w:val="none"/>
              </w:rPr>
            </w:pPr>
          </w:p>
          <w:p w14:paraId="68F53EC6">
            <w:pPr>
              <w:rPr>
                <w:rFonts w:hint="eastAsia" w:ascii="宋体" w:hAnsi="宋体" w:eastAsia="宋体" w:cs="宋体"/>
                <w:b/>
                <w:color w:val="auto"/>
                <w:sz w:val="18"/>
                <w:highlight w:val="none"/>
              </w:rPr>
            </w:pPr>
          </w:p>
          <w:p w14:paraId="015E0948">
            <w:pPr>
              <w:rPr>
                <w:rFonts w:hint="eastAsia" w:ascii="宋体" w:hAnsi="宋体" w:eastAsia="宋体" w:cs="宋体"/>
                <w:b/>
                <w:color w:val="auto"/>
                <w:sz w:val="18"/>
                <w:highlight w:val="none"/>
              </w:rPr>
            </w:pPr>
          </w:p>
          <w:p w14:paraId="06038265">
            <w:pPr>
              <w:rPr>
                <w:rFonts w:hint="eastAsia" w:ascii="宋体" w:hAnsi="宋体" w:eastAsia="宋体" w:cs="宋体"/>
                <w:b/>
                <w:color w:val="auto"/>
                <w:sz w:val="18"/>
                <w:highlight w:val="none"/>
              </w:rPr>
            </w:pPr>
          </w:p>
          <w:p w14:paraId="09425340">
            <w:pPr>
              <w:rPr>
                <w:rFonts w:hint="eastAsia" w:ascii="宋体" w:hAnsi="宋体" w:eastAsia="宋体" w:cs="宋体"/>
                <w:b/>
                <w:color w:val="auto"/>
                <w:sz w:val="18"/>
                <w:highlight w:val="none"/>
              </w:rPr>
            </w:pPr>
          </w:p>
          <w:p w14:paraId="42AA272E">
            <w:pPr>
              <w:rPr>
                <w:rFonts w:hint="eastAsia" w:ascii="宋体" w:hAnsi="宋体" w:eastAsia="宋体" w:cs="宋体"/>
                <w:b/>
                <w:color w:val="auto"/>
                <w:sz w:val="18"/>
                <w:highlight w:val="none"/>
              </w:rPr>
            </w:pPr>
          </w:p>
          <w:p w14:paraId="00DDBD8E">
            <w:pPr>
              <w:rPr>
                <w:rFonts w:hint="eastAsia" w:ascii="宋体" w:hAnsi="宋体" w:eastAsia="宋体" w:cs="宋体"/>
                <w:b/>
                <w:color w:val="auto"/>
                <w:sz w:val="18"/>
                <w:highlight w:val="none"/>
              </w:rPr>
            </w:pPr>
          </w:p>
          <w:p w14:paraId="3357766B">
            <w:pPr>
              <w:spacing w:before="4"/>
              <w:rPr>
                <w:rFonts w:hint="eastAsia" w:ascii="宋体" w:hAnsi="宋体" w:eastAsia="宋体" w:cs="宋体"/>
                <w:b/>
                <w:color w:val="auto"/>
                <w:sz w:val="19"/>
                <w:highlight w:val="none"/>
              </w:rPr>
            </w:pPr>
          </w:p>
          <w:p w14:paraId="5AA4C031">
            <w:pPr>
              <w:ind w:left="189" w:right="90" w:hanging="92"/>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评分项</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top"/>
          </w:tcPr>
          <w:p w14:paraId="0B5C34C1">
            <w:pPr>
              <w:rPr>
                <w:rFonts w:hint="eastAsia" w:ascii="宋体" w:hAnsi="宋体" w:eastAsia="宋体" w:cs="宋体"/>
                <w:b/>
                <w:color w:val="auto"/>
                <w:sz w:val="20"/>
                <w:highlight w:val="none"/>
              </w:rPr>
            </w:pPr>
          </w:p>
          <w:p w14:paraId="13D9D8A3">
            <w:pPr>
              <w:rPr>
                <w:rFonts w:hint="eastAsia" w:ascii="宋体" w:hAnsi="宋体" w:eastAsia="宋体" w:cs="宋体"/>
                <w:b/>
                <w:color w:val="auto"/>
                <w:sz w:val="20"/>
                <w:highlight w:val="none"/>
              </w:rPr>
            </w:pPr>
          </w:p>
          <w:p w14:paraId="0D2DC8A2">
            <w:pPr>
              <w:spacing w:before="171"/>
              <w:ind w:left="99"/>
              <w:rPr>
                <w:rFonts w:hint="eastAsia" w:ascii="宋体" w:hAnsi="宋体" w:eastAsia="宋体" w:cs="宋体"/>
                <w:color w:val="auto"/>
                <w:sz w:val="18"/>
                <w:highlight w:val="none"/>
              </w:rPr>
            </w:pPr>
            <w:r>
              <w:rPr>
                <w:rFonts w:hint="eastAsia" w:ascii="宋体" w:hAnsi="宋体" w:eastAsia="宋体" w:cs="宋体"/>
                <w:color w:val="auto"/>
                <w:sz w:val="18"/>
                <w:highlight w:val="none"/>
              </w:rPr>
              <w:t>4.2.1</w:t>
            </w:r>
          </w:p>
        </w:tc>
        <w:tc>
          <w:tcPr>
            <w:tcW w:w="410" w:type="pct"/>
            <w:vMerge w:val="restart"/>
            <w:tcBorders>
              <w:top w:val="single" w:color="000000" w:sz="4" w:space="0"/>
              <w:left w:val="single" w:color="000000" w:sz="4" w:space="0"/>
              <w:bottom w:val="single" w:color="000000" w:sz="4" w:space="0"/>
              <w:right w:val="single" w:color="000000" w:sz="4" w:space="0"/>
            </w:tcBorders>
            <w:noWrap w:val="0"/>
            <w:vAlign w:val="top"/>
          </w:tcPr>
          <w:p w14:paraId="623C83E6">
            <w:pPr>
              <w:spacing w:before="5"/>
              <w:rPr>
                <w:rFonts w:hint="eastAsia" w:ascii="宋体" w:hAnsi="宋体" w:eastAsia="宋体" w:cs="宋体"/>
                <w:b/>
                <w:color w:val="auto"/>
                <w:sz w:val="25"/>
                <w:highlight w:val="none"/>
              </w:rPr>
            </w:pPr>
          </w:p>
          <w:p w14:paraId="65B931D0">
            <w:pPr>
              <w:spacing w:before="1"/>
              <w:ind w:left="42" w:right="134" w:firstLine="14"/>
              <w:jc w:val="both"/>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rPr>
              <w:t>管网运维操作规范，且有效实施</w:t>
            </w: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5347286E">
            <w:pPr>
              <w:spacing w:before="64"/>
              <w:ind w:left="57"/>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要求通畅，无淤积、破损、堵塞；每发现一处满溢的扣 3 分、淤积扣 1分、破损扣 2 分、堵塞扣 2 分；</w:t>
            </w:r>
          </w:p>
          <w:p w14:paraId="1659784A">
            <w:pPr>
              <w:spacing w:before="64"/>
              <w:ind w:left="57"/>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2）须合理设置管网全线疏通计划；无计划的，扣3分；计划不合理的，扣2分；每月度管线疏通实际效果不符合要求或与计划不一致的，扣1分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19860C67">
            <w:pPr>
              <w:spacing w:before="52"/>
              <w:ind w:left="43" w:right="29"/>
              <w:jc w:val="center"/>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现场查勘</w:t>
            </w:r>
          </w:p>
          <w:p w14:paraId="6A15CA47">
            <w:pPr>
              <w:spacing w:before="52"/>
              <w:ind w:left="43" w:right="29"/>
              <w:jc w:val="center"/>
              <w:rPr>
                <w:rFonts w:hint="eastAsia" w:ascii="宋体" w:hAnsi="宋体" w:eastAsia="宋体" w:cs="宋体"/>
                <w:b w:val="0"/>
                <w:bCs w:val="0"/>
                <w:color w:val="auto"/>
                <w:highlight w:val="none"/>
              </w:rPr>
            </w:pPr>
            <w:r>
              <w:rPr>
                <w:rFonts w:hint="eastAsia" w:ascii="宋体" w:hAnsi="宋体" w:eastAsia="宋体" w:cs="宋体"/>
                <w:color w:val="auto"/>
                <w:sz w:val="18"/>
                <w:highlight w:val="none"/>
              </w:rPr>
              <w:t>查阅</w:t>
            </w:r>
            <w:r>
              <w:rPr>
                <w:rFonts w:hint="eastAsia" w:ascii="宋体" w:hAnsi="宋体" w:eastAsia="宋体" w:cs="宋体"/>
                <w:b w:val="0"/>
                <w:bCs w:val="0"/>
                <w:color w:val="auto"/>
                <w:sz w:val="18"/>
                <w:highlight w:val="none"/>
              </w:rPr>
              <w:t>资料</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85D0242">
            <w:pPr>
              <w:rPr>
                <w:rFonts w:hint="eastAsia" w:ascii="宋体" w:hAnsi="宋体" w:eastAsia="宋体" w:cs="宋体"/>
                <w:b w:val="0"/>
                <w:bCs w:val="0"/>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154F31A9">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0E6150A0">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74D24900">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12DC0511">
            <w:pPr>
              <w:rPr>
                <w:rFonts w:hint="eastAsia" w:ascii="宋体" w:hAnsi="宋体" w:eastAsia="宋体" w:cs="宋体"/>
                <w:color w:val="auto"/>
                <w:sz w:val="18"/>
                <w:highlight w:val="none"/>
                <w:lang w:eastAsia="zh-CN"/>
              </w:rPr>
            </w:pPr>
          </w:p>
        </w:tc>
      </w:tr>
      <w:tr w14:paraId="16C49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6301E6">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60BCB">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EE9B4">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FC13F">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57064B10">
            <w:pPr>
              <w:spacing w:before="64"/>
              <w:ind w:left="5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）回填面</w:t>
            </w:r>
            <w:r>
              <w:rPr>
                <w:rFonts w:hint="eastAsia" w:ascii="宋体" w:hAnsi="宋体" w:eastAsia="宋体" w:cs="宋体"/>
                <w:color w:val="auto"/>
                <w:sz w:val="18"/>
                <w:szCs w:val="18"/>
                <w:highlight w:val="none"/>
                <w:lang w:eastAsia="zh-CN"/>
              </w:rPr>
              <w:t>（管道、检查井区域）</w:t>
            </w:r>
            <w:r>
              <w:rPr>
                <w:rFonts w:hint="eastAsia" w:ascii="宋体" w:hAnsi="宋体" w:eastAsia="宋体" w:cs="宋体"/>
                <w:color w:val="auto"/>
                <w:sz w:val="18"/>
                <w:szCs w:val="18"/>
                <w:highlight w:val="none"/>
              </w:rPr>
              <w:t>无下陷</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每发现一处异常扣 </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 xml:space="preserve">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3AC912F8">
            <w:pPr>
              <w:spacing w:before="64"/>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19BD040">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6AFCDF67">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026D42E8">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54150712">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32EE90F8">
            <w:pPr>
              <w:rPr>
                <w:rFonts w:hint="eastAsia" w:ascii="宋体" w:hAnsi="宋体" w:eastAsia="宋体" w:cs="宋体"/>
                <w:color w:val="auto"/>
                <w:sz w:val="18"/>
                <w:highlight w:val="none"/>
              </w:rPr>
            </w:pPr>
          </w:p>
        </w:tc>
      </w:tr>
      <w:tr w14:paraId="0FDE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E6F125">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1D5A41">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7FBF14">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DF70A">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1F449148">
            <w:pPr>
              <w:spacing w:before="88"/>
              <w:ind w:left="57"/>
              <w:rPr>
                <w:rFonts w:hint="eastAsia" w:ascii="宋体" w:hAnsi="宋体" w:eastAsia="宋体" w:cs="宋体"/>
                <w:color w:val="auto"/>
                <w:sz w:val="18"/>
                <w:highlight w:val="none"/>
              </w:rPr>
            </w:pPr>
            <w:r>
              <w:rPr>
                <w:rFonts w:hint="eastAsia" w:ascii="宋体" w:hAnsi="宋体" w:eastAsia="宋体" w:cs="宋体"/>
                <w:color w:val="auto"/>
                <w:sz w:val="18"/>
                <w:highlight w:val="none"/>
                <w:lang w:val="en-US" w:eastAsia="zh-CN"/>
              </w:rPr>
              <w:t>4</w:t>
            </w:r>
            <w:r>
              <w:rPr>
                <w:rFonts w:hint="eastAsia" w:ascii="宋体" w:hAnsi="宋体" w:eastAsia="宋体" w:cs="宋体"/>
                <w:color w:val="auto"/>
                <w:sz w:val="18"/>
                <w:highlight w:val="none"/>
              </w:rPr>
              <w:t>）</w:t>
            </w:r>
            <w:r>
              <w:rPr>
                <w:rFonts w:hint="eastAsia" w:ascii="宋体" w:hAnsi="宋体" w:eastAsia="宋体" w:cs="宋体"/>
                <w:color w:val="auto"/>
                <w:sz w:val="18"/>
                <w:highlight w:val="none"/>
                <w:lang w:val="en-US" w:eastAsia="zh-CN"/>
              </w:rPr>
              <w:t>管道</w:t>
            </w:r>
            <w:r>
              <w:rPr>
                <w:rFonts w:hint="eastAsia" w:ascii="宋体" w:hAnsi="宋体" w:eastAsia="宋体" w:cs="宋体"/>
                <w:color w:val="auto"/>
                <w:sz w:val="18"/>
                <w:highlight w:val="none"/>
              </w:rPr>
              <w:t>无裸露、防护材料无缺失、破损</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 xml:space="preserve">每发现一处不符合要求的扣 </w:t>
            </w:r>
            <w:r>
              <w:rPr>
                <w:rFonts w:hint="eastAsia" w:ascii="宋体" w:hAnsi="宋体" w:eastAsia="宋体" w:cs="宋体"/>
                <w:color w:val="auto"/>
                <w:sz w:val="18"/>
                <w:highlight w:val="none"/>
                <w:lang w:val="en-US" w:eastAsia="zh-CN"/>
              </w:rPr>
              <w:t>3</w:t>
            </w:r>
            <w:r>
              <w:rPr>
                <w:rFonts w:hint="eastAsia" w:ascii="宋体" w:hAnsi="宋体" w:eastAsia="宋体" w:cs="宋体"/>
                <w:color w:val="auto"/>
                <w:sz w:val="18"/>
                <w:highlight w:val="none"/>
              </w:rPr>
              <w:t xml:space="preserve">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471E689D">
            <w:pPr>
              <w:ind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7679DA1">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0B2A6AA5">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5E085D0A">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5B114010">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49138BF2">
            <w:pPr>
              <w:rPr>
                <w:rFonts w:hint="eastAsia" w:ascii="宋体" w:hAnsi="宋体" w:eastAsia="宋体" w:cs="宋体"/>
                <w:color w:val="auto"/>
                <w:sz w:val="18"/>
                <w:highlight w:val="none"/>
              </w:rPr>
            </w:pPr>
          </w:p>
        </w:tc>
      </w:tr>
      <w:tr w14:paraId="7CC82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7EACA">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6FCA63">
            <w:pPr>
              <w:autoSpaceDE/>
              <w:autoSpaceDN/>
              <w:rPr>
                <w:rFonts w:hint="eastAsia" w:ascii="宋体" w:hAnsi="宋体" w:eastAsia="宋体" w:cs="宋体"/>
                <w:color w:val="auto"/>
                <w:sz w:val="18"/>
                <w:highlight w:val="none"/>
              </w:rPr>
            </w:pP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top"/>
          </w:tcPr>
          <w:p w14:paraId="10F71E2A">
            <w:pPr>
              <w:rPr>
                <w:rFonts w:hint="eastAsia" w:ascii="宋体" w:hAnsi="宋体" w:eastAsia="宋体" w:cs="宋体"/>
                <w:b/>
                <w:color w:val="auto"/>
                <w:sz w:val="20"/>
                <w:highlight w:val="none"/>
              </w:rPr>
            </w:pPr>
          </w:p>
          <w:p w14:paraId="2F3BA910">
            <w:pPr>
              <w:rPr>
                <w:rFonts w:hint="eastAsia" w:ascii="宋体" w:hAnsi="宋体" w:eastAsia="宋体" w:cs="宋体"/>
                <w:b/>
                <w:color w:val="auto"/>
                <w:sz w:val="20"/>
                <w:highlight w:val="none"/>
              </w:rPr>
            </w:pPr>
          </w:p>
          <w:p w14:paraId="089CB52E">
            <w:pPr>
              <w:spacing w:before="8"/>
              <w:rPr>
                <w:rFonts w:hint="eastAsia" w:ascii="宋体" w:hAnsi="宋体" w:eastAsia="宋体" w:cs="宋体"/>
                <w:b/>
                <w:color w:val="auto"/>
                <w:sz w:val="24"/>
                <w:highlight w:val="none"/>
              </w:rPr>
            </w:pPr>
          </w:p>
          <w:p w14:paraId="6FE4281A">
            <w:pPr>
              <w:ind w:left="99"/>
              <w:rPr>
                <w:rFonts w:hint="eastAsia" w:ascii="宋体" w:hAnsi="宋体" w:eastAsia="宋体" w:cs="宋体"/>
                <w:color w:val="auto"/>
                <w:sz w:val="18"/>
                <w:highlight w:val="none"/>
              </w:rPr>
            </w:pPr>
            <w:r>
              <w:rPr>
                <w:rFonts w:hint="eastAsia" w:ascii="宋体" w:hAnsi="宋体" w:eastAsia="宋体" w:cs="宋体"/>
                <w:color w:val="auto"/>
                <w:sz w:val="18"/>
                <w:highlight w:val="none"/>
              </w:rPr>
              <w:t>4.2.2</w:t>
            </w:r>
          </w:p>
        </w:tc>
        <w:tc>
          <w:tcPr>
            <w:tcW w:w="410" w:type="pct"/>
            <w:vMerge w:val="restart"/>
            <w:tcBorders>
              <w:top w:val="single" w:color="000000" w:sz="4" w:space="0"/>
              <w:left w:val="single" w:color="000000" w:sz="4" w:space="0"/>
              <w:bottom w:val="single" w:color="000000" w:sz="4" w:space="0"/>
              <w:right w:val="single" w:color="000000" w:sz="4" w:space="0"/>
            </w:tcBorders>
            <w:noWrap w:val="0"/>
            <w:vAlign w:val="top"/>
          </w:tcPr>
          <w:p w14:paraId="04D68915">
            <w:pPr>
              <w:rPr>
                <w:rFonts w:hint="eastAsia" w:ascii="宋体" w:hAnsi="宋体" w:eastAsia="宋体" w:cs="宋体"/>
                <w:b/>
                <w:color w:val="auto"/>
                <w:sz w:val="20"/>
                <w:highlight w:val="none"/>
              </w:rPr>
            </w:pPr>
          </w:p>
          <w:p w14:paraId="0C2A727F">
            <w:pPr>
              <w:ind w:left="42" w:right="134" w:firstLine="14"/>
              <w:jc w:val="both"/>
              <w:rPr>
                <w:rFonts w:hint="eastAsia" w:ascii="宋体" w:hAnsi="宋体" w:eastAsia="宋体" w:cs="宋体"/>
                <w:color w:val="auto"/>
                <w:sz w:val="18"/>
                <w:highlight w:val="none"/>
              </w:rPr>
            </w:pPr>
            <w:r>
              <w:rPr>
                <w:rFonts w:hint="eastAsia" w:ascii="宋体" w:hAnsi="宋体" w:eastAsia="宋体" w:cs="宋体"/>
                <w:color w:val="auto"/>
                <w:sz w:val="18"/>
                <w:highlight w:val="none"/>
              </w:rPr>
              <w:t>检查井运维操作规范，且有效实施，</w:t>
            </w:r>
            <w:r>
              <w:rPr>
                <w:rFonts w:hint="eastAsia" w:ascii="宋体" w:hAnsi="宋体" w:eastAsia="宋体" w:cs="宋体"/>
                <w:color w:val="auto"/>
                <w:sz w:val="18"/>
                <w:highlight w:val="none"/>
                <w:lang w:eastAsia="zh-CN"/>
              </w:rPr>
              <w:t>维修效果良好</w:t>
            </w: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1DF85DA3">
            <w:pPr>
              <w:spacing w:before="28"/>
              <w:ind w:left="57"/>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rPr>
              <w:t>1）井盖、井圈、井口无破损、倾斜、沉降、塌陷</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 xml:space="preserve">每发现一处异常扣 </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 xml:space="preserve">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4671981D">
            <w:pPr>
              <w:spacing w:before="146"/>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9F73F24">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0FFFF6CF">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40CE3EAF">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18F1A7A4">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3D3F3D22">
            <w:pPr>
              <w:rPr>
                <w:rFonts w:hint="eastAsia" w:ascii="宋体" w:hAnsi="宋体" w:eastAsia="宋体" w:cs="宋体"/>
                <w:color w:val="auto"/>
                <w:sz w:val="18"/>
                <w:highlight w:val="none"/>
              </w:rPr>
            </w:pPr>
          </w:p>
        </w:tc>
      </w:tr>
      <w:tr w14:paraId="3AEEC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E148C">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FB9AF7">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2C436">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B9E18">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62A1F3C3">
            <w:pPr>
              <w:spacing w:before="60"/>
              <w:ind w:left="57"/>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rPr>
              <w:t>2）井盖能正常打开</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 xml:space="preserve">每发现一处异常扣 </w:t>
            </w:r>
            <w:r>
              <w:rPr>
                <w:rFonts w:hint="eastAsia" w:ascii="宋体" w:hAnsi="宋体" w:eastAsia="宋体" w:cs="宋体"/>
                <w:color w:val="auto"/>
                <w:sz w:val="18"/>
                <w:highlight w:val="none"/>
                <w:lang w:val="en-US" w:eastAsia="zh-CN"/>
              </w:rPr>
              <w:t xml:space="preserve">2 </w:t>
            </w:r>
            <w:r>
              <w:rPr>
                <w:rFonts w:hint="eastAsia" w:ascii="宋体" w:hAnsi="宋体" w:eastAsia="宋体" w:cs="宋体"/>
                <w:color w:val="auto"/>
                <w:sz w:val="18"/>
                <w:highlight w:val="none"/>
              </w:rPr>
              <w:t>分</w:t>
            </w:r>
            <w:r>
              <w:rPr>
                <w:rFonts w:hint="eastAsia" w:ascii="宋体" w:hAnsi="宋体" w:eastAsia="宋体" w:cs="宋体"/>
                <w:color w:val="auto"/>
                <w:sz w:val="18"/>
                <w:highlight w:val="none"/>
                <w:lang w:eastAsia="zh-CN"/>
              </w:rPr>
              <w:t>；</w:t>
            </w:r>
            <w:r>
              <w:rPr>
                <w:rFonts w:hint="eastAsia" w:ascii="宋体" w:hAnsi="宋体" w:eastAsia="宋体" w:cs="宋体"/>
                <w:strike w:val="0"/>
                <w:dstrike w:val="0"/>
                <w:color w:val="auto"/>
                <w:sz w:val="18"/>
                <w:highlight w:val="none"/>
                <w:lang w:val="en-US" w:eastAsia="zh-CN"/>
              </w:rPr>
              <w:t>內井盖或防坠网淤积、有杂物的，</w:t>
            </w:r>
            <w:r>
              <w:rPr>
                <w:rFonts w:hint="eastAsia" w:ascii="宋体" w:hAnsi="宋体" w:eastAsia="宋体" w:cs="宋体"/>
                <w:strike w:val="0"/>
                <w:dstrike w:val="0"/>
                <w:color w:val="auto"/>
                <w:sz w:val="18"/>
                <w:highlight w:val="none"/>
                <w:lang w:eastAsia="zh-CN"/>
              </w:rPr>
              <w:t>每发现一处扣</w:t>
            </w:r>
            <w:r>
              <w:rPr>
                <w:rFonts w:hint="eastAsia" w:ascii="宋体" w:hAnsi="宋体" w:eastAsia="宋体" w:cs="宋体"/>
                <w:strike w:val="0"/>
                <w:dstrike w:val="0"/>
                <w:color w:val="auto"/>
                <w:sz w:val="18"/>
                <w:highlight w:val="none"/>
                <w:lang w:val="en-US" w:eastAsia="zh-CN"/>
              </w:rPr>
              <w:t xml:space="preserve"> 2 分；内井盖或防坠网未按规范安装的，</w:t>
            </w:r>
            <w:r>
              <w:rPr>
                <w:rFonts w:hint="eastAsia" w:ascii="宋体" w:hAnsi="宋体" w:eastAsia="宋体" w:cs="宋体"/>
                <w:strike w:val="0"/>
                <w:dstrike w:val="0"/>
                <w:color w:val="auto"/>
                <w:sz w:val="18"/>
                <w:highlight w:val="none"/>
                <w:lang w:eastAsia="zh-CN"/>
              </w:rPr>
              <w:t>每发现一处扣</w:t>
            </w:r>
            <w:r>
              <w:rPr>
                <w:rFonts w:hint="eastAsia" w:ascii="宋体" w:hAnsi="宋体" w:eastAsia="宋体" w:cs="宋体"/>
                <w:strike w:val="0"/>
                <w:dstrike w:val="0"/>
                <w:color w:val="auto"/>
                <w:sz w:val="18"/>
                <w:highlight w:val="none"/>
                <w:lang w:val="en-US" w:eastAsia="zh-CN"/>
              </w:rPr>
              <w:t xml:space="preserve"> 2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456D8EF8">
            <w:pPr>
              <w:spacing w:before="60"/>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91B48F0">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5D6907FB">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739B294B">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1437604D">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5FD6C50A">
            <w:pPr>
              <w:rPr>
                <w:rFonts w:hint="eastAsia" w:ascii="宋体" w:hAnsi="宋体" w:eastAsia="宋体" w:cs="宋体"/>
                <w:color w:val="auto"/>
                <w:sz w:val="18"/>
                <w:highlight w:val="none"/>
              </w:rPr>
            </w:pPr>
          </w:p>
        </w:tc>
      </w:tr>
      <w:tr w14:paraId="1076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95501">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79280A">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D2D89">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10CCC">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4E8B9D32">
            <w:pPr>
              <w:spacing w:before="60"/>
              <w:ind w:left="57"/>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rPr>
              <w:t xml:space="preserve">3）井内壁防渗层无破损、渗漏；每发现一处破损扣 </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 xml:space="preserve"> 分、渗漏扣 2 分</w:t>
            </w:r>
            <w:r>
              <w:rPr>
                <w:rFonts w:hint="eastAsia" w:ascii="宋体" w:hAnsi="宋体" w:eastAsia="宋体" w:cs="宋体"/>
                <w:color w:val="auto"/>
                <w:sz w:val="18"/>
                <w:highlight w:val="none"/>
                <w:lang w:eastAsia="zh-CN"/>
              </w:rPr>
              <w:t>；</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3E209795">
            <w:pPr>
              <w:spacing w:before="146"/>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6903D7B">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4F336010">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4808325D">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4057E275">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251AB76E">
            <w:pPr>
              <w:rPr>
                <w:rFonts w:hint="eastAsia" w:ascii="宋体" w:hAnsi="宋体" w:eastAsia="宋体" w:cs="宋体"/>
                <w:color w:val="auto"/>
                <w:sz w:val="18"/>
                <w:highlight w:val="none"/>
              </w:rPr>
            </w:pPr>
          </w:p>
        </w:tc>
      </w:tr>
      <w:tr w14:paraId="15AC8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FCD0E2">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9DF15F">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A4E57B">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926824">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57394841">
            <w:pPr>
              <w:spacing w:before="60"/>
              <w:ind w:left="57"/>
              <w:rPr>
                <w:rFonts w:hint="eastAsia" w:ascii="宋体" w:hAnsi="宋体" w:eastAsia="宋体" w:cs="宋体"/>
                <w:color w:val="auto"/>
                <w:sz w:val="18"/>
                <w:highlight w:val="none"/>
              </w:rPr>
            </w:pPr>
            <w:r>
              <w:rPr>
                <w:rFonts w:hint="eastAsia" w:ascii="宋体" w:hAnsi="宋体" w:eastAsia="宋体" w:cs="宋体"/>
                <w:color w:val="auto"/>
                <w:sz w:val="18"/>
                <w:highlight w:val="none"/>
              </w:rPr>
              <w:t xml:space="preserve">4）井内无堵塞、无杂物淤积造成通水不畅；每发现一处异常扣 </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 xml:space="preserve">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79B715E6">
            <w:pPr>
              <w:spacing w:before="143"/>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0FF520F">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71D7346E">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57383045">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73FC4E3C">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0F3C4414">
            <w:pPr>
              <w:rPr>
                <w:rFonts w:hint="eastAsia" w:ascii="宋体" w:hAnsi="宋体" w:eastAsia="宋体" w:cs="宋体"/>
                <w:color w:val="auto"/>
                <w:sz w:val="18"/>
                <w:highlight w:val="none"/>
              </w:rPr>
            </w:pPr>
          </w:p>
        </w:tc>
      </w:tr>
      <w:tr w14:paraId="6DC0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AFC609">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5E7050">
            <w:pPr>
              <w:autoSpaceDE/>
              <w:autoSpaceDN/>
              <w:rPr>
                <w:rFonts w:hint="eastAsia" w:ascii="宋体" w:hAnsi="宋体" w:eastAsia="宋体" w:cs="宋体"/>
                <w:color w:val="auto"/>
                <w:sz w:val="18"/>
                <w:highlight w:val="none"/>
              </w:rPr>
            </w:pP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top"/>
          </w:tcPr>
          <w:p w14:paraId="3A453F0F">
            <w:pPr>
              <w:rPr>
                <w:rFonts w:hint="eastAsia" w:ascii="宋体" w:hAnsi="宋体" w:eastAsia="宋体" w:cs="宋体"/>
                <w:b/>
                <w:color w:val="auto"/>
                <w:sz w:val="20"/>
                <w:highlight w:val="none"/>
              </w:rPr>
            </w:pPr>
          </w:p>
          <w:p w14:paraId="4E8724DC">
            <w:pPr>
              <w:rPr>
                <w:rFonts w:hint="eastAsia" w:ascii="宋体" w:hAnsi="宋体" w:eastAsia="宋体" w:cs="宋体"/>
                <w:b/>
                <w:color w:val="auto"/>
                <w:sz w:val="18"/>
                <w:highlight w:val="none"/>
              </w:rPr>
            </w:pPr>
          </w:p>
          <w:p w14:paraId="55454097">
            <w:pPr>
              <w:ind w:left="99"/>
              <w:rPr>
                <w:rFonts w:hint="eastAsia" w:ascii="宋体" w:hAnsi="宋体" w:eastAsia="宋体" w:cs="宋体"/>
                <w:color w:val="auto"/>
                <w:sz w:val="18"/>
                <w:highlight w:val="none"/>
              </w:rPr>
            </w:pPr>
            <w:r>
              <w:rPr>
                <w:rFonts w:hint="eastAsia" w:ascii="宋体" w:hAnsi="宋体" w:eastAsia="宋体" w:cs="宋体"/>
                <w:color w:val="auto"/>
                <w:sz w:val="18"/>
                <w:highlight w:val="none"/>
              </w:rPr>
              <w:t>4.2.3</w:t>
            </w:r>
          </w:p>
        </w:tc>
        <w:tc>
          <w:tcPr>
            <w:tcW w:w="410" w:type="pct"/>
            <w:vMerge w:val="restart"/>
            <w:tcBorders>
              <w:top w:val="single" w:color="000000" w:sz="4" w:space="0"/>
              <w:left w:val="single" w:color="000000" w:sz="4" w:space="0"/>
              <w:bottom w:val="single" w:color="000000" w:sz="4" w:space="0"/>
              <w:right w:val="single" w:color="000000" w:sz="4" w:space="0"/>
            </w:tcBorders>
            <w:noWrap w:val="0"/>
            <w:vAlign w:val="top"/>
          </w:tcPr>
          <w:p w14:paraId="3DF70B9F">
            <w:pPr>
              <w:spacing w:before="129"/>
              <w:ind w:left="42" w:right="134" w:firstLine="14"/>
              <w:jc w:val="both"/>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rPr>
              <w:t>提升泵站运维操作规范，且有效实施</w:t>
            </w: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7323B966">
            <w:pPr>
              <w:spacing w:before="60"/>
              <w:ind w:left="57"/>
              <w:rPr>
                <w:rFonts w:hint="eastAsia" w:ascii="宋体" w:hAnsi="宋体" w:eastAsia="宋体" w:cs="宋体"/>
                <w:color w:val="auto"/>
                <w:sz w:val="18"/>
                <w:highlight w:val="none"/>
              </w:rPr>
            </w:pPr>
            <w:r>
              <w:rPr>
                <w:rFonts w:hint="eastAsia" w:ascii="宋体" w:hAnsi="宋体" w:eastAsia="宋体" w:cs="宋体"/>
                <w:color w:val="auto"/>
                <w:sz w:val="18"/>
                <w:highlight w:val="none"/>
              </w:rPr>
              <w:t>1</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泵站格栅过水通畅；格栅缺失</w:t>
            </w:r>
            <w:r>
              <w:rPr>
                <w:rFonts w:hint="eastAsia" w:ascii="宋体" w:hAnsi="宋体" w:eastAsia="宋体" w:cs="宋体"/>
                <w:color w:val="auto"/>
                <w:sz w:val="18"/>
                <w:highlight w:val="none"/>
                <w:lang w:eastAsia="zh-CN"/>
              </w:rPr>
              <w:t>或破损</w:t>
            </w:r>
            <w:r>
              <w:rPr>
                <w:rFonts w:hint="eastAsia" w:ascii="宋体" w:hAnsi="宋体" w:eastAsia="宋体" w:cs="宋体"/>
                <w:color w:val="auto"/>
                <w:sz w:val="18"/>
                <w:highlight w:val="none"/>
              </w:rPr>
              <w:t xml:space="preserve">扣 </w:t>
            </w:r>
            <w:r>
              <w:rPr>
                <w:rFonts w:hint="eastAsia" w:ascii="宋体" w:hAnsi="宋体" w:eastAsia="宋体" w:cs="宋体"/>
                <w:color w:val="auto"/>
                <w:sz w:val="18"/>
                <w:highlight w:val="none"/>
                <w:lang w:val="en-US" w:eastAsia="zh-CN"/>
              </w:rPr>
              <w:t>3</w:t>
            </w:r>
            <w:r>
              <w:rPr>
                <w:rFonts w:hint="eastAsia" w:ascii="宋体" w:hAnsi="宋体" w:eastAsia="宋体" w:cs="宋体"/>
                <w:color w:val="auto"/>
                <w:sz w:val="18"/>
                <w:highlight w:val="none"/>
              </w:rPr>
              <w:t xml:space="preserve"> 分，堵水扣 </w:t>
            </w:r>
            <w:r>
              <w:rPr>
                <w:rFonts w:hint="eastAsia" w:ascii="宋体" w:hAnsi="宋体" w:eastAsia="宋体" w:cs="宋体"/>
                <w:color w:val="auto"/>
                <w:sz w:val="18"/>
                <w:highlight w:val="none"/>
                <w:lang w:val="en-US" w:eastAsia="zh-CN"/>
              </w:rPr>
              <w:t>2</w:t>
            </w:r>
            <w:r>
              <w:rPr>
                <w:rFonts w:hint="eastAsia" w:ascii="宋体" w:hAnsi="宋体" w:eastAsia="宋体" w:cs="宋体"/>
                <w:color w:val="auto"/>
                <w:sz w:val="18"/>
                <w:highlight w:val="none"/>
              </w:rPr>
              <w:t xml:space="preserve">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3FD08DD2">
            <w:pPr>
              <w:spacing w:before="28" w:line="213" w:lineRule="exact"/>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AEDA74C">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795C1FBE">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3089A044">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19641E46">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2FD6EBF4">
            <w:pPr>
              <w:rPr>
                <w:rFonts w:hint="eastAsia" w:ascii="宋体" w:hAnsi="宋体" w:eastAsia="宋体" w:cs="宋体"/>
                <w:color w:val="auto"/>
                <w:sz w:val="18"/>
                <w:highlight w:val="none"/>
              </w:rPr>
            </w:pPr>
          </w:p>
        </w:tc>
      </w:tr>
      <w:tr w14:paraId="49617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DFD32C">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9A6A0">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44AB9">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CE17D">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319B9C51">
            <w:pPr>
              <w:spacing w:before="60"/>
              <w:ind w:left="57"/>
              <w:rPr>
                <w:rFonts w:hint="eastAsia" w:ascii="宋体" w:hAnsi="宋体" w:eastAsia="宋体" w:cs="宋体"/>
                <w:color w:val="auto"/>
                <w:sz w:val="18"/>
                <w:highlight w:val="none"/>
              </w:rPr>
            </w:pPr>
            <w:r>
              <w:rPr>
                <w:rFonts w:hint="eastAsia" w:ascii="宋体" w:hAnsi="宋体" w:eastAsia="宋体" w:cs="宋体"/>
                <w:color w:val="auto"/>
                <w:sz w:val="18"/>
                <w:highlight w:val="none"/>
              </w:rPr>
              <w:t xml:space="preserve">2）电气及控制系统运行正常；有 1 组设备不能正常启动的扣 2分、有一处信号没有接入控制系统或信号不正常的扣 </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 xml:space="preserve"> 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2FA4D55B">
            <w:pPr>
              <w:spacing w:before="160"/>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5A963C5">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220461F0">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0FD10ED3">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7EC4202D">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39D01E3C">
            <w:pPr>
              <w:rPr>
                <w:rFonts w:hint="eastAsia" w:ascii="宋体" w:hAnsi="宋体" w:eastAsia="宋体" w:cs="宋体"/>
                <w:color w:val="auto"/>
                <w:sz w:val="18"/>
                <w:highlight w:val="none"/>
              </w:rPr>
            </w:pPr>
          </w:p>
        </w:tc>
      </w:tr>
      <w:tr w14:paraId="7512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9A8EFC">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DABE8">
            <w:pPr>
              <w:autoSpaceDE/>
              <w:autoSpaceDN/>
              <w:rPr>
                <w:rFonts w:hint="eastAsia" w:ascii="宋体" w:hAnsi="宋体" w:eastAsia="宋体" w:cs="宋体"/>
                <w:color w:val="auto"/>
                <w:sz w:val="18"/>
                <w:highlight w:val="none"/>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185AA5">
            <w:pPr>
              <w:autoSpaceDE/>
              <w:autoSpaceDN/>
              <w:rPr>
                <w:rFonts w:hint="eastAsia" w:ascii="宋体" w:hAnsi="宋体" w:eastAsia="宋体" w:cs="宋体"/>
                <w:color w:val="auto"/>
                <w:sz w:val="18"/>
                <w:highlight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8CE218">
            <w:pPr>
              <w:autoSpaceDE/>
              <w:autoSpaceDN/>
              <w:rPr>
                <w:rFonts w:hint="eastAsia" w:ascii="宋体" w:hAnsi="宋体" w:eastAsia="宋体" w:cs="宋体"/>
                <w:color w:val="auto"/>
                <w:sz w:val="18"/>
                <w:highlight w:val="none"/>
              </w:rPr>
            </w:pPr>
          </w:p>
        </w:tc>
        <w:tc>
          <w:tcPr>
            <w:tcW w:w="2342" w:type="pct"/>
            <w:tcBorders>
              <w:top w:val="single" w:color="000000" w:sz="4" w:space="0"/>
              <w:left w:val="single" w:color="000000" w:sz="4" w:space="0"/>
              <w:bottom w:val="single" w:color="000000" w:sz="4" w:space="0"/>
              <w:right w:val="single" w:color="000000" w:sz="4" w:space="0"/>
            </w:tcBorders>
            <w:noWrap w:val="0"/>
            <w:vAlign w:val="top"/>
          </w:tcPr>
          <w:p w14:paraId="5D7F2129">
            <w:pPr>
              <w:spacing w:before="60"/>
              <w:ind w:left="57"/>
              <w:rPr>
                <w:rFonts w:hint="eastAsia"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3）</w:t>
            </w:r>
            <w:r>
              <w:rPr>
                <w:rFonts w:hint="eastAsia" w:ascii="宋体" w:hAnsi="宋体" w:eastAsia="宋体" w:cs="宋体"/>
                <w:color w:val="auto"/>
                <w:sz w:val="18"/>
                <w:highlight w:val="none"/>
              </w:rPr>
              <w:t>泵站备品备件齐全</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每发现一处</w:t>
            </w:r>
            <w:r>
              <w:rPr>
                <w:rFonts w:hint="eastAsia" w:ascii="宋体" w:hAnsi="宋体" w:eastAsia="宋体" w:cs="宋体"/>
                <w:color w:val="auto"/>
                <w:sz w:val="18"/>
                <w:highlight w:val="none"/>
                <w:lang w:val="en-US" w:eastAsia="zh-CN"/>
              </w:rPr>
              <w:t>缺失</w:t>
            </w:r>
            <w:r>
              <w:rPr>
                <w:rFonts w:hint="eastAsia" w:ascii="宋体" w:hAnsi="宋体" w:eastAsia="宋体" w:cs="宋体"/>
                <w:color w:val="auto"/>
                <w:sz w:val="18"/>
                <w:highlight w:val="none"/>
              </w:rPr>
              <w:t xml:space="preserve">扣 </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 xml:space="preserve"> 分</w:t>
            </w:r>
            <w:r>
              <w:rPr>
                <w:rFonts w:hint="eastAsia" w:ascii="宋体" w:hAnsi="宋体" w:eastAsia="宋体" w:cs="宋体"/>
                <w:color w:val="auto"/>
                <w:sz w:val="18"/>
                <w:highlight w:val="none"/>
                <w:lang w:val="en-US" w:eastAsia="zh-CN"/>
              </w:rPr>
              <w:t xml:space="preserve">； </w:t>
            </w:r>
          </w:p>
          <w:p w14:paraId="391133D7">
            <w:pPr>
              <w:spacing w:before="60"/>
              <w:ind w:left="57"/>
              <w:rPr>
                <w:rFonts w:hint="eastAsia" w:ascii="宋体" w:hAnsi="宋体" w:eastAsia="宋体" w:cs="宋体"/>
                <w:color w:val="auto"/>
                <w:sz w:val="18"/>
                <w:highlight w:val="none"/>
                <w:lang w:eastAsia="zh-CN"/>
              </w:rPr>
            </w:pPr>
            <w:r>
              <w:rPr>
                <w:rFonts w:hint="eastAsia" w:ascii="宋体" w:hAnsi="宋体" w:cs="宋体"/>
                <w:color w:val="auto"/>
                <w:sz w:val="18"/>
                <w:highlight w:val="none"/>
                <w:lang w:val="en-US" w:eastAsia="zh-CN"/>
              </w:rPr>
              <w:t>4）</w:t>
            </w:r>
            <w:r>
              <w:rPr>
                <w:rFonts w:hint="eastAsia" w:ascii="宋体" w:hAnsi="宋体" w:eastAsia="宋体" w:cs="宋体"/>
                <w:color w:val="auto"/>
                <w:sz w:val="18"/>
                <w:highlight w:val="none"/>
                <w:lang w:val="en-US" w:eastAsia="zh-CN"/>
              </w:rPr>
              <w:t>围栏、公示牌等缺失、破损的，</w:t>
            </w:r>
            <w:r>
              <w:rPr>
                <w:rFonts w:hint="eastAsia" w:ascii="宋体" w:hAnsi="宋体" w:eastAsia="宋体" w:cs="宋体"/>
                <w:color w:val="auto"/>
                <w:sz w:val="18"/>
                <w:highlight w:val="none"/>
              </w:rPr>
              <w:t>每发现一处</w:t>
            </w:r>
            <w:r>
              <w:rPr>
                <w:rFonts w:hint="eastAsia" w:ascii="宋体" w:hAnsi="宋体" w:eastAsia="宋体" w:cs="宋体"/>
                <w:color w:val="auto"/>
                <w:sz w:val="18"/>
                <w:highlight w:val="none"/>
                <w:lang w:val="en-US" w:eastAsia="zh-CN"/>
              </w:rPr>
              <w:t>缺失</w:t>
            </w:r>
            <w:r>
              <w:rPr>
                <w:rFonts w:hint="eastAsia" w:ascii="宋体" w:hAnsi="宋体" w:eastAsia="宋体" w:cs="宋体"/>
                <w:color w:val="auto"/>
                <w:sz w:val="18"/>
                <w:highlight w:val="none"/>
              </w:rPr>
              <w:t xml:space="preserve">扣 </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 xml:space="preserve"> 分</w:t>
            </w:r>
            <w:r>
              <w:rPr>
                <w:rFonts w:hint="eastAsia" w:ascii="宋体" w:hAnsi="宋体" w:eastAsia="宋体" w:cs="宋体"/>
                <w:color w:val="auto"/>
                <w:sz w:val="18"/>
                <w:highlight w:val="none"/>
                <w:lang w:eastAsia="zh-CN"/>
              </w:rPr>
              <w:t>；</w:t>
            </w:r>
          </w:p>
          <w:p w14:paraId="15B1ACF6">
            <w:pPr>
              <w:spacing w:before="60"/>
              <w:ind w:left="57"/>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5）定期（一月一次）对提升井配电间、设备间内的灭火器材检查并如实做好记录，对过期的灭火器材及时进行更换。未定期记录的，每发现一处扣1分；过期灭火器材未及时更换的，每发现一处扣2分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0EEA7810">
            <w:pPr>
              <w:spacing w:before="74"/>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58F0C20">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766F99A1">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3D53D6EA">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31FE5993">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69C1426F">
            <w:pPr>
              <w:rPr>
                <w:rFonts w:hint="eastAsia" w:ascii="宋体" w:hAnsi="宋体" w:eastAsia="宋体" w:cs="宋体"/>
                <w:color w:val="auto"/>
                <w:sz w:val="18"/>
                <w:highlight w:val="none"/>
              </w:rPr>
            </w:pPr>
          </w:p>
        </w:tc>
      </w:tr>
      <w:tr w14:paraId="2833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A30F56">
            <w:pPr>
              <w:autoSpaceDE/>
              <w:autoSpaceDN/>
              <w:rPr>
                <w:rFonts w:hint="eastAsia" w:ascii="宋体" w:hAnsi="宋体" w:eastAsia="宋体" w:cs="宋体"/>
                <w:color w:val="auto"/>
                <w:sz w:val="18"/>
                <w:highlight w:val="none"/>
              </w:rPr>
            </w:pP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FF2B14">
            <w:pPr>
              <w:autoSpaceDE/>
              <w:autoSpaceDN/>
              <w:rPr>
                <w:rFonts w:hint="eastAsia" w:ascii="宋体" w:hAnsi="宋体" w:eastAsia="宋体" w:cs="宋体"/>
                <w:color w:val="auto"/>
                <w:sz w:val="18"/>
                <w:highlight w:val="none"/>
              </w:rPr>
            </w:pPr>
          </w:p>
        </w:tc>
        <w:tc>
          <w:tcPr>
            <w:tcW w:w="201" w:type="pct"/>
            <w:tcBorders>
              <w:top w:val="single" w:color="000000" w:sz="4" w:space="0"/>
              <w:left w:val="single" w:color="000000" w:sz="4" w:space="0"/>
              <w:bottom w:val="single" w:color="000000" w:sz="4" w:space="0"/>
              <w:right w:val="single" w:color="000000" w:sz="4" w:space="0"/>
            </w:tcBorders>
            <w:noWrap w:val="0"/>
            <w:vAlign w:val="top"/>
          </w:tcPr>
          <w:p w14:paraId="34FEF9F2">
            <w:pPr>
              <w:spacing w:before="154"/>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4.2.4</w:t>
            </w:r>
          </w:p>
        </w:tc>
        <w:tc>
          <w:tcPr>
            <w:tcW w:w="2753" w:type="pct"/>
            <w:gridSpan w:val="2"/>
            <w:tcBorders>
              <w:top w:val="single" w:color="000000" w:sz="4" w:space="0"/>
              <w:left w:val="single" w:color="000000" w:sz="4" w:space="0"/>
              <w:bottom w:val="single" w:color="000000" w:sz="4" w:space="0"/>
              <w:right w:val="single" w:color="000000" w:sz="4" w:space="0"/>
            </w:tcBorders>
            <w:noWrap w:val="0"/>
            <w:vAlign w:val="top"/>
          </w:tcPr>
          <w:p w14:paraId="44DE8D6C">
            <w:pPr>
              <w:spacing w:before="27"/>
              <w:ind w:left="56"/>
              <w:rPr>
                <w:rFonts w:hint="eastAsia" w:ascii="宋体" w:hAnsi="宋体" w:eastAsia="宋体" w:cs="宋体"/>
                <w:color w:val="auto"/>
                <w:sz w:val="18"/>
                <w:highlight w:val="none"/>
              </w:rPr>
            </w:pPr>
            <w:r>
              <w:rPr>
                <w:rFonts w:hint="eastAsia" w:ascii="宋体" w:hAnsi="宋体" w:eastAsia="宋体" w:cs="宋体"/>
                <w:color w:val="auto"/>
                <w:spacing w:val="-14"/>
                <w:sz w:val="18"/>
                <w:highlight w:val="none"/>
              </w:rPr>
              <w:t>运维废弃物妥善处理</w:t>
            </w:r>
            <w:r>
              <w:rPr>
                <w:rFonts w:hint="eastAsia" w:ascii="宋体" w:hAnsi="宋体" w:eastAsia="宋体" w:cs="宋体"/>
                <w:color w:val="auto"/>
                <w:spacing w:val="-12"/>
                <w:sz w:val="18"/>
                <w:highlight w:val="none"/>
                <w:lang w:eastAsia="zh-CN"/>
              </w:rPr>
              <w:t>，</w:t>
            </w:r>
            <w:r>
              <w:rPr>
                <w:rFonts w:hint="eastAsia" w:ascii="宋体" w:hAnsi="宋体" w:eastAsia="宋体" w:cs="宋体"/>
                <w:color w:val="auto"/>
                <w:spacing w:val="-12"/>
                <w:sz w:val="18"/>
                <w:highlight w:val="none"/>
                <w:lang w:val="en-US" w:eastAsia="zh-CN"/>
              </w:rPr>
              <w:t>须</w:t>
            </w:r>
            <w:r>
              <w:rPr>
                <w:rFonts w:hint="eastAsia" w:ascii="宋体" w:hAnsi="宋体" w:eastAsia="宋体" w:cs="宋体"/>
                <w:color w:val="auto"/>
                <w:spacing w:val="-12"/>
                <w:sz w:val="18"/>
                <w:highlight w:val="none"/>
              </w:rPr>
              <w:t>按县级运维管理部门规定方式、规定地点处理处置</w:t>
            </w:r>
            <w:r>
              <w:rPr>
                <w:rFonts w:hint="eastAsia" w:ascii="宋体" w:hAnsi="宋体" w:eastAsia="宋体" w:cs="宋体"/>
                <w:color w:val="auto"/>
                <w:spacing w:val="-14"/>
                <w:sz w:val="18"/>
                <w:highlight w:val="none"/>
                <w:lang w:eastAsia="zh-CN"/>
              </w:rPr>
              <w:t>（</w:t>
            </w:r>
            <w:r>
              <w:rPr>
                <w:rFonts w:hint="eastAsia" w:ascii="宋体" w:hAnsi="宋体" w:eastAsia="宋体" w:cs="宋体"/>
                <w:color w:val="auto"/>
                <w:spacing w:val="-14"/>
                <w:sz w:val="18"/>
                <w:highlight w:val="none"/>
                <w:lang w:val="en-US" w:eastAsia="zh-CN"/>
              </w:rPr>
              <w:t>包括但不限于</w:t>
            </w:r>
            <w:r>
              <w:rPr>
                <w:rFonts w:hint="eastAsia" w:ascii="宋体" w:hAnsi="宋体" w:eastAsia="宋体" w:cs="宋体"/>
                <w:color w:val="auto"/>
                <w:spacing w:val="-14"/>
                <w:sz w:val="18"/>
                <w:highlight w:val="none"/>
              </w:rPr>
              <w:t>清疏</w:t>
            </w:r>
            <w:r>
              <w:rPr>
                <w:rFonts w:hint="eastAsia" w:ascii="宋体" w:hAnsi="宋体" w:eastAsia="宋体" w:cs="宋体"/>
                <w:color w:val="auto"/>
                <w:spacing w:val="-14"/>
                <w:sz w:val="18"/>
                <w:highlight w:val="none"/>
                <w:lang w:val="en-US" w:eastAsia="zh-CN"/>
              </w:rPr>
              <w:t>出</w:t>
            </w:r>
            <w:r>
              <w:rPr>
                <w:rFonts w:hint="eastAsia" w:ascii="宋体" w:hAnsi="宋体" w:eastAsia="宋体" w:cs="宋体"/>
                <w:color w:val="auto"/>
                <w:spacing w:val="-14"/>
                <w:sz w:val="18"/>
                <w:highlight w:val="none"/>
              </w:rPr>
              <w:t>的垃圾</w:t>
            </w:r>
            <w:r>
              <w:rPr>
                <w:rFonts w:hint="eastAsia" w:ascii="宋体" w:hAnsi="宋体" w:eastAsia="宋体" w:cs="宋体"/>
                <w:color w:val="auto"/>
                <w:spacing w:val="-14"/>
                <w:sz w:val="18"/>
                <w:highlight w:val="none"/>
                <w:lang w:val="en-US" w:eastAsia="zh-CN"/>
              </w:rPr>
              <w:t>未</w:t>
            </w:r>
            <w:r>
              <w:rPr>
                <w:rFonts w:hint="eastAsia" w:ascii="宋体" w:hAnsi="宋体" w:eastAsia="宋体" w:cs="宋体"/>
                <w:color w:val="auto"/>
                <w:spacing w:val="-14"/>
                <w:sz w:val="18"/>
                <w:highlight w:val="none"/>
              </w:rPr>
              <w:t>按规定倾倒销纳，倒入河道、绿化带等</w:t>
            </w:r>
            <w:r>
              <w:rPr>
                <w:rFonts w:hint="eastAsia" w:ascii="宋体" w:hAnsi="宋体" w:eastAsia="宋体" w:cs="宋体"/>
                <w:color w:val="auto"/>
                <w:spacing w:val="-14"/>
                <w:sz w:val="18"/>
                <w:highlight w:val="none"/>
                <w:lang w:val="en-US" w:eastAsia="zh-CN"/>
              </w:rPr>
              <w:t>；污泥运输应及时，运输过程中有“漏、撒、掉”等影响环境卫生现象；运送不及时或影响周边道路卫生等）如有违反的，</w:t>
            </w:r>
            <w:r>
              <w:rPr>
                <w:rFonts w:hint="eastAsia" w:ascii="宋体" w:hAnsi="宋体" w:eastAsia="宋体" w:cs="宋体"/>
                <w:color w:val="auto"/>
                <w:spacing w:val="-14"/>
                <w:sz w:val="18"/>
                <w:highlight w:val="none"/>
              </w:rPr>
              <w:t>每</w:t>
            </w:r>
            <w:r>
              <w:rPr>
                <w:rFonts w:hint="eastAsia" w:ascii="宋体" w:hAnsi="宋体" w:eastAsia="宋体" w:cs="宋体"/>
                <w:color w:val="auto"/>
                <w:spacing w:val="-14"/>
                <w:sz w:val="18"/>
                <w:highlight w:val="none"/>
                <w:lang w:val="en-US" w:eastAsia="zh-CN"/>
              </w:rPr>
              <w:t>发现一</w:t>
            </w:r>
            <w:r>
              <w:rPr>
                <w:rFonts w:hint="eastAsia" w:ascii="宋体" w:hAnsi="宋体" w:eastAsia="宋体" w:cs="宋体"/>
                <w:color w:val="auto"/>
                <w:spacing w:val="-14"/>
                <w:sz w:val="18"/>
                <w:highlight w:val="none"/>
              </w:rPr>
              <w:t>次扣</w:t>
            </w:r>
            <w:r>
              <w:rPr>
                <w:rFonts w:hint="eastAsia" w:ascii="宋体" w:hAnsi="宋体" w:eastAsia="宋体" w:cs="宋体"/>
                <w:color w:val="auto"/>
                <w:spacing w:val="-14"/>
                <w:sz w:val="18"/>
                <w:highlight w:val="none"/>
                <w:lang w:val="en-US"/>
              </w:rPr>
              <w:t>5</w:t>
            </w:r>
            <w:r>
              <w:rPr>
                <w:rFonts w:hint="eastAsia" w:ascii="宋体" w:hAnsi="宋体" w:eastAsia="宋体" w:cs="宋体"/>
                <w:color w:val="auto"/>
                <w:spacing w:val="-14"/>
                <w:sz w:val="18"/>
                <w:highlight w:val="none"/>
              </w:rPr>
              <w:t>分</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18D65E33">
            <w:pPr>
              <w:spacing w:before="144"/>
              <w:ind w:left="43" w:right="2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1E2ED13">
            <w:pPr>
              <w:rPr>
                <w:rFonts w:hint="eastAsia" w:ascii="宋体" w:hAnsi="宋体" w:eastAsia="宋体" w:cs="宋体"/>
                <w:color w:val="auto"/>
                <w:sz w:val="18"/>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top"/>
          </w:tcPr>
          <w:p w14:paraId="54318FA6">
            <w:pPr>
              <w:rPr>
                <w:rFonts w:hint="eastAsia" w:ascii="宋体" w:hAnsi="宋体" w:eastAsia="宋体" w:cs="宋体"/>
                <w:color w:val="auto"/>
                <w:sz w:val="18"/>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top"/>
          </w:tcPr>
          <w:p w14:paraId="7B3B0EB6">
            <w:pPr>
              <w:rPr>
                <w:rFonts w:hint="eastAsia" w:ascii="宋体" w:hAnsi="宋体" w:eastAsia="宋体" w:cs="宋体"/>
                <w:color w:val="auto"/>
                <w:sz w:val="18"/>
                <w:highlight w:val="none"/>
              </w:rPr>
            </w:pPr>
          </w:p>
        </w:tc>
        <w:tc>
          <w:tcPr>
            <w:tcW w:w="254" w:type="pct"/>
            <w:tcBorders>
              <w:top w:val="single" w:color="000000" w:sz="4" w:space="0"/>
              <w:left w:val="single" w:color="000000" w:sz="4" w:space="0"/>
              <w:bottom w:val="single" w:color="000000" w:sz="4" w:space="0"/>
              <w:right w:val="single" w:color="000000" w:sz="4" w:space="0"/>
            </w:tcBorders>
            <w:noWrap w:val="0"/>
            <w:vAlign w:val="top"/>
          </w:tcPr>
          <w:p w14:paraId="498E3572">
            <w:pPr>
              <w:rPr>
                <w:rFonts w:hint="eastAsia" w:ascii="宋体" w:hAnsi="宋体" w:eastAsia="宋体" w:cs="宋体"/>
                <w:color w:val="auto"/>
                <w:sz w:val="18"/>
                <w:highlight w:val="none"/>
              </w:rPr>
            </w:pPr>
          </w:p>
        </w:tc>
        <w:tc>
          <w:tcPr>
            <w:tcW w:w="264" w:type="pct"/>
            <w:tcBorders>
              <w:top w:val="single" w:color="000000" w:sz="4" w:space="0"/>
              <w:left w:val="single" w:color="000000" w:sz="4" w:space="0"/>
              <w:bottom w:val="single" w:color="000000" w:sz="4" w:space="0"/>
              <w:right w:val="single" w:color="000000" w:sz="4" w:space="0"/>
            </w:tcBorders>
            <w:noWrap w:val="0"/>
            <w:vAlign w:val="top"/>
          </w:tcPr>
          <w:p w14:paraId="527558E6">
            <w:pPr>
              <w:rPr>
                <w:rFonts w:hint="eastAsia" w:ascii="宋体" w:hAnsi="宋体" w:eastAsia="宋体" w:cs="宋体"/>
                <w:color w:val="auto"/>
                <w:sz w:val="18"/>
                <w:highlight w:val="none"/>
              </w:rPr>
            </w:pPr>
          </w:p>
        </w:tc>
      </w:tr>
    </w:tbl>
    <w:p w14:paraId="48799A04">
      <w:pPr>
        <w:autoSpaceDE/>
        <w:autoSpaceDN/>
        <w:rPr>
          <w:rFonts w:hint="eastAsia" w:ascii="宋体" w:hAnsi="宋体" w:eastAsia="宋体" w:cs="宋体"/>
          <w:color w:val="auto"/>
          <w:sz w:val="18"/>
          <w:highlight w:val="none"/>
        </w:rPr>
        <w:sectPr>
          <w:pgSz w:w="16840" w:h="11910" w:orient="landscape"/>
          <w:pgMar w:top="850" w:right="1260" w:bottom="567" w:left="1280" w:header="0" w:footer="567" w:gutter="0"/>
          <w:pgNumType w:fmt="decimal"/>
          <w:cols w:space="720" w:num="1"/>
        </w:sectPr>
      </w:pPr>
    </w:p>
    <w:p w14:paraId="04634FA7">
      <w:pPr>
        <w:spacing w:before="64"/>
        <w:ind w:right="14"/>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续 表 A</w:t>
      </w:r>
    </w:p>
    <w:p w14:paraId="698FDBFB">
      <w:pPr>
        <w:spacing w:before="7" w:after="1"/>
        <w:rPr>
          <w:rFonts w:hint="eastAsia" w:ascii="宋体" w:hAnsi="宋体" w:eastAsia="宋体" w:cs="宋体"/>
          <w:b/>
          <w:color w:val="auto"/>
          <w:sz w:val="9"/>
          <w:szCs w:val="21"/>
          <w:highlight w:val="none"/>
        </w:rPr>
      </w:pP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3"/>
        <w:gridCol w:w="573"/>
        <w:gridCol w:w="584"/>
        <w:gridCol w:w="824"/>
        <w:gridCol w:w="922"/>
        <w:gridCol w:w="5906"/>
        <w:gridCol w:w="664"/>
        <w:gridCol w:w="1091"/>
        <w:gridCol w:w="767"/>
        <w:gridCol w:w="764"/>
        <w:gridCol w:w="767"/>
        <w:gridCol w:w="879"/>
      </w:tblGrid>
      <w:tr w14:paraId="6A50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97" w:type="pct"/>
            <w:vMerge w:val="restart"/>
            <w:tcBorders>
              <w:top w:val="single" w:color="000000" w:sz="4" w:space="0"/>
              <w:left w:val="single" w:color="000000" w:sz="4" w:space="0"/>
              <w:bottom w:val="single" w:color="000000" w:sz="4" w:space="0"/>
              <w:right w:val="single" w:color="000000" w:sz="4" w:space="0"/>
            </w:tcBorders>
            <w:noWrap w:val="0"/>
            <w:vAlign w:val="top"/>
          </w:tcPr>
          <w:p w14:paraId="1DBAD2EF">
            <w:pPr>
              <w:spacing w:before="143" w:line="242" w:lineRule="auto"/>
              <w:ind w:left="100" w:right="91"/>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评价指标</w:t>
            </w:r>
          </w:p>
        </w:tc>
        <w:tc>
          <w:tcPr>
            <w:tcW w:w="200" w:type="pct"/>
            <w:vMerge w:val="restart"/>
            <w:tcBorders>
              <w:top w:val="single" w:color="000000" w:sz="4" w:space="0"/>
              <w:left w:val="single" w:color="000000" w:sz="4" w:space="0"/>
              <w:bottom w:val="single" w:color="000000" w:sz="4" w:space="0"/>
              <w:right w:val="single" w:color="000000" w:sz="4" w:space="0"/>
            </w:tcBorders>
            <w:noWrap w:val="0"/>
            <w:vAlign w:val="top"/>
          </w:tcPr>
          <w:p w14:paraId="524232C9">
            <w:pPr>
              <w:spacing w:before="143" w:line="242" w:lineRule="auto"/>
              <w:ind w:left="98" w:right="90"/>
              <w:rPr>
                <w:rFonts w:hint="eastAsia" w:ascii="宋体" w:hAnsi="宋体" w:eastAsia="宋体" w:cs="宋体"/>
                <w:color w:val="auto"/>
                <w:sz w:val="18"/>
                <w:highlight w:val="none"/>
              </w:rPr>
            </w:pPr>
            <w:r>
              <w:rPr>
                <w:rFonts w:hint="eastAsia" w:ascii="宋体" w:hAnsi="宋体" w:eastAsia="宋体" w:cs="宋体"/>
                <w:color w:val="auto"/>
                <w:sz w:val="18"/>
                <w:highlight w:val="none"/>
              </w:rPr>
              <w:t>项目类型</w:t>
            </w:r>
          </w:p>
        </w:tc>
        <w:tc>
          <w:tcPr>
            <w:tcW w:w="204" w:type="pct"/>
            <w:vMerge w:val="restart"/>
            <w:tcBorders>
              <w:top w:val="single" w:color="000000" w:sz="4" w:space="0"/>
              <w:left w:val="single" w:color="000000" w:sz="4" w:space="0"/>
              <w:bottom w:val="single" w:color="000000" w:sz="4" w:space="0"/>
              <w:right w:val="single" w:color="000000" w:sz="4" w:space="0"/>
            </w:tcBorders>
            <w:noWrap w:val="0"/>
            <w:vAlign w:val="top"/>
          </w:tcPr>
          <w:p w14:paraId="3D8B2164">
            <w:pPr>
              <w:spacing w:before="143" w:line="242" w:lineRule="auto"/>
              <w:ind w:left="99" w:right="89"/>
              <w:rPr>
                <w:rFonts w:hint="eastAsia" w:ascii="宋体" w:hAnsi="宋体" w:eastAsia="宋体" w:cs="宋体"/>
                <w:color w:val="auto"/>
                <w:sz w:val="18"/>
                <w:highlight w:val="none"/>
              </w:rPr>
            </w:pPr>
            <w:r>
              <w:rPr>
                <w:rFonts w:hint="eastAsia" w:ascii="宋体" w:hAnsi="宋体" w:eastAsia="宋体" w:cs="宋体"/>
                <w:color w:val="auto"/>
                <w:sz w:val="18"/>
                <w:highlight w:val="none"/>
              </w:rPr>
              <w:t>章条编号</w:t>
            </w:r>
          </w:p>
        </w:tc>
        <w:tc>
          <w:tcPr>
            <w:tcW w:w="2673" w:type="pct"/>
            <w:gridSpan w:val="3"/>
            <w:vMerge w:val="restart"/>
            <w:tcBorders>
              <w:top w:val="single" w:color="000000" w:sz="4" w:space="0"/>
              <w:left w:val="single" w:color="000000" w:sz="4" w:space="0"/>
              <w:bottom w:val="nil"/>
              <w:right w:val="single" w:color="000000" w:sz="4" w:space="0"/>
            </w:tcBorders>
            <w:noWrap w:val="0"/>
            <w:vAlign w:val="top"/>
          </w:tcPr>
          <w:p w14:paraId="715D17FA">
            <w:pPr>
              <w:spacing w:before="5"/>
              <w:rPr>
                <w:rFonts w:hint="eastAsia" w:ascii="宋体" w:hAnsi="宋体" w:eastAsia="宋体" w:cs="宋体"/>
                <w:b/>
                <w:color w:val="auto"/>
                <w:sz w:val="21"/>
                <w:highlight w:val="none"/>
              </w:rPr>
            </w:pPr>
          </w:p>
          <w:p w14:paraId="7FD00652">
            <w:pPr>
              <w:ind w:left="3194" w:right="3308"/>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评价内容</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top"/>
          </w:tcPr>
          <w:p w14:paraId="58DDB5D9">
            <w:pPr>
              <w:bidi w:val="0"/>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评价</w:t>
            </w:r>
          </w:p>
          <w:p w14:paraId="7711230C">
            <w:pPr>
              <w:bidi w:val="0"/>
              <w:rPr>
                <w:rFonts w:hint="eastAsia"/>
                <w:color w:val="auto"/>
              </w:rPr>
            </w:pPr>
            <w:r>
              <w:rPr>
                <w:rFonts w:hint="eastAsia" w:ascii="宋体" w:hAnsi="宋体" w:eastAsia="宋体" w:cs="宋体"/>
                <w:strike w:val="0"/>
                <w:color w:val="auto"/>
                <w:sz w:val="18"/>
                <w:highlight w:val="none"/>
              </w:rPr>
              <w:t>方法</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top"/>
          </w:tcPr>
          <w:p w14:paraId="4ACD560A">
            <w:pPr>
              <w:spacing w:before="143" w:line="242" w:lineRule="auto"/>
              <w:ind w:left="99" w:right="89"/>
              <w:rPr>
                <w:rFonts w:hint="eastAsia"/>
                <w:color w:val="auto"/>
              </w:rPr>
            </w:pPr>
            <w:r>
              <w:rPr>
                <w:rFonts w:hint="eastAsia" w:ascii="宋体" w:hAnsi="宋体" w:eastAsia="宋体" w:cs="宋体"/>
                <w:color w:val="auto"/>
                <w:sz w:val="18"/>
                <w:highlight w:val="none"/>
              </w:rPr>
              <w:t>是否满 足（满足√）</w:t>
            </w:r>
          </w:p>
        </w:tc>
        <w:tc>
          <w:tcPr>
            <w:tcW w:w="803" w:type="pct"/>
            <w:gridSpan w:val="3"/>
            <w:tcBorders>
              <w:top w:val="single" w:color="000000" w:sz="4" w:space="0"/>
              <w:left w:val="single" w:color="000000" w:sz="4" w:space="0"/>
              <w:bottom w:val="single" w:color="000000" w:sz="4" w:space="0"/>
              <w:right w:val="single" w:color="000000" w:sz="4" w:space="0"/>
            </w:tcBorders>
            <w:noWrap w:val="0"/>
            <w:vAlign w:val="top"/>
          </w:tcPr>
          <w:p w14:paraId="5333E2C9">
            <w:pPr>
              <w:spacing w:before="52"/>
              <w:ind w:left="916" w:right="904"/>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lang w:val="en-US" w:eastAsia="zh-CN"/>
              </w:rPr>
              <w:t>扣</w:t>
            </w:r>
            <w:r>
              <w:rPr>
                <w:rFonts w:hint="eastAsia" w:ascii="宋体" w:hAnsi="宋体" w:eastAsia="宋体" w:cs="宋体"/>
                <w:color w:val="auto"/>
                <w:sz w:val="18"/>
                <w:highlight w:val="none"/>
              </w:rPr>
              <w:t>分</w:t>
            </w:r>
          </w:p>
        </w:tc>
        <w:tc>
          <w:tcPr>
            <w:tcW w:w="307" w:type="pct"/>
            <w:vMerge w:val="restart"/>
            <w:tcBorders>
              <w:top w:val="single" w:color="000000" w:sz="4" w:space="0"/>
              <w:left w:val="single" w:color="000000" w:sz="4" w:space="0"/>
              <w:bottom w:val="single" w:color="000000" w:sz="4" w:space="0"/>
              <w:right w:val="single" w:color="000000" w:sz="4" w:space="0"/>
            </w:tcBorders>
            <w:noWrap w:val="0"/>
            <w:vAlign w:val="top"/>
          </w:tcPr>
          <w:p w14:paraId="1A83D837">
            <w:pPr>
              <w:spacing w:before="143" w:line="242" w:lineRule="auto"/>
              <w:ind w:left="99" w:right="80"/>
              <w:rPr>
                <w:rFonts w:hint="eastAsia" w:ascii="宋体" w:hAnsi="宋体" w:eastAsia="宋体" w:cs="宋体"/>
                <w:color w:val="auto"/>
                <w:sz w:val="18"/>
                <w:highlight w:val="none"/>
              </w:rPr>
            </w:pPr>
            <w:r>
              <w:rPr>
                <w:rFonts w:hint="eastAsia" w:ascii="宋体" w:hAnsi="宋体" w:eastAsia="宋体" w:cs="宋体"/>
                <w:color w:val="auto"/>
                <w:sz w:val="18"/>
                <w:highlight w:val="none"/>
              </w:rPr>
              <w:t>说明扣分原因</w:t>
            </w:r>
          </w:p>
        </w:tc>
      </w:tr>
      <w:tr w14:paraId="5F95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3A3D3">
            <w:pPr>
              <w:autoSpaceDE/>
              <w:autoSpaceDN/>
              <w:rPr>
                <w:rFonts w:hint="eastAsia" w:ascii="宋体" w:hAnsi="宋体" w:eastAsia="宋体" w:cs="宋体"/>
                <w:color w:val="auto"/>
                <w:sz w:val="18"/>
                <w:highlight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57D76F">
            <w:pPr>
              <w:autoSpaceDE/>
              <w:autoSpaceDN/>
              <w:rPr>
                <w:rFonts w:hint="eastAsia" w:ascii="宋体" w:hAnsi="宋体" w:eastAsia="宋体" w:cs="宋体"/>
                <w:color w:val="auto"/>
                <w:sz w:val="18"/>
                <w:highlight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CB48E2">
            <w:pPr>
              <w:autoSpaceDE/>
              <w:autoSpaceDN/>
              <w:rPr>
                <w:rFonts w:hint="eastAsia" w:ascii="宋体" w:hAnsi="宋体" w:eastAsia="宋体" w:cs="宋体"/>
                <w:color w:val="auto"/>
                <w:sz w:val="18"/>
                <w:highlight w:val="none"/>
              </w:rPr>
            </w:pPr>
          </w:p>
        </w:tc>
        <w:tc>
          <w:tcPr>
            <w:tcW w:w="2673" w:type="pct"/>
            <w:gridSpan w:val="3"/>
            <w:vMerge w:val="continue"/>
            <w:tcBorders>
              <w:top w:val="single" w:color="000000" w:sz="4" w:space="0"/>
              <w:left w:val="single" w:color="000000" w:sz="4" w:space="0"/>
              <w:bottom w:val="nil"/>
              <w:right w:val="single" w:color="000000" w:sz="4" w:space="0"/>
            </w:tcBorders>
            <w:noWrap w:val="0"/>
            <w:vAlign w:val="center"/>
          </w:tcPr>
          <w:p w14:paraId="3476768C">
            <w:pPr>
              <w:autoSpaceDE/>
              <w:autoSpaceDN/>
              <w:rPr>
                <w:rFonts w:hint="eastAsia" w:ascii="宋体" w:hAnsi="宋体" w:eastAsia="宋体" w:cs="宋体"/>
                <w:color w:val="auto"/>
                <w:sz w:val="18"/>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7377A">
            <w:pPr>
              <w:autoSpaceDE/>
              <w:autoSpaceDN/>
              <w:rPr>
                <w:rFonts w:hint="eastAsia" w:ascii="宋体" w:hAnsi="宋体" w:eastAsia="宋体" w:cs="宋体"/>
                <w:color w:val="auto"/>
                <w:sz w:val="18"/>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7B0FB">
            <w:pPr>
              <w:autoSpaceDE/>
              <w:autoSpaceDN/>
              <w:rPr>
                <w:rFonts w:hint="eastAsia" w:ascii="宋体" w:hAnsi="宋体" w:eastAsia="宋体" w:cs="宋体"/>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53C16758">
            <w:pPr>
              <w:spacing w:before="100"/>
              <w:ind w:left="37"/>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1</w:t>
            </w: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5DE413A6">
            <w:pPr>
              <w:spacing w:before="100"/>
              <w:ind w:left="30"/>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2</w:t>
            </w: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14A6BBA6">
            <w:pPr>
              <w:spacing w:before="100"/>
              <w:ind w:left="42"/>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3</w:t>
            </w:r>
          </w:p>
        </w:tc>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8BCB5E">
            <w:pPr>
              <w:autoSpaceDE/>
              <w:autoSpaceDN/>
              <w:rPr>
                <w:rFonts w:hint="eastAsia" w:ascii="宋体" w:hAnsi="宋体" w:eastAsia="宋体" w:cs="宋体"/>
                <w:color w:val="auto"/>
                <w:sz w:val="18"/>
                <w:highlight w:val="none"/>
              </w:rPr>
            </w:pPr>
          </w:p>
        </w:tc>
      </w:tr>
      <w:tr w14:paraId="0BFCE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97" w:type="pct"/>
            <w:vMerge w:val="restart"/>
            <w:tcBorders>
              <w:top w:val="single" w:color="000000" w:sz="4" w:space="0"/>
              <w:left w:val="single" w:color="000000" w:sz="4" w:space="0"/>
              <w:bottom w:val="single" w:color="000000" w:sz="4" w:space="0"/>
              <w:right w:val="single" w:color="000000" w:sz="4" w:space="0"/>
            </w:tcBorders>
            <w:noWrap w:val="0"/>
            <w:vAlign w:val="top"/>
          </w:tcPr>
          <w:p w14:paraId="22AD0DEF">
            <w:pPr>
              <w:rPr>
                <w:rFonts w:hint="eastAsia" w:ascii="宋体" w:hAnsi="宋体" w:eastAsia="宋体" w:cs="宋体"/>
                <w:b/>
                <w:strike w:val="0"/>
                <w:dstrike w:val="0"/>
                <w:color w:val="auto"/>
                <w:sz w:val="18"/>
                <w:highlight w:val="none"/>
                <w:u w:val="none"/>
              </w:rPr>
            </w:pPr>
          </w:p>
          <w:p w14:paraId="3BDF457C">
            <w:pPr>
              <w:rPr>
                <w:rFonts w:hint="eastAsia" w:ascii="宋体" w:hAnsi="宋体" w:eastAsia="宋体" w:cs="宋体"/>
                <w:b/>
                <w:strike w:val="0"/>
                <w:dstrike w:val="0"/>
                <w:color w:val="auto"/>
                <w:sz w:val="18"/>
                <w:highlight w:val="none"/>
                <w:u w:val="none"/>
              </w:rPr>
            </w:pPr>
          </w:p>
          <w:p w14:paraId="77F151D6">
            <w:pPr>
              <w:rPr>
                <w:rFonts w:hint="eastAsia" w:ascii="宋体" w:hAnsi="宋体" w:eastAsia="宋体" w:cs="宋体"/>
                <w:b/>
                <w:strike w:val="0"/>
                <w:dstrike w:val="0"/>
                <w:color w:val="auto"/>
                <w:sz w:val="18"/>
                <w:highlight w:val="none"/>
                <w:u w:val="none"/>
              </w:rPr>
            </w:pPr>
          </w:p>
          <w:p w14:paraId="5FCBB256">
            <w:pPr>
              <w:rPr>
                <w:rFonts w:hint="eastAsia" w:ascii="宋体" w:hAnsi="宋体" w:eastAsia="宋体" w:cs="宋体"/>
                <w:b/>
                <w:strike w:val="0"/>
                <w:dstrike w:val="0"/>
                <w:color w:val="auto"/>
                <w:sz w:val="18"/>
                <w:highlight w:val="none"/>
                <w:u w:val="none"/>
              </w:rPr>
            </w:pPr>
          </w:p>
          <w:p w14:paraId="3F5517A7">
            <w:pPr>
              <w:rPr>
                <w:rFonts w:hint="eastAsia" w:ascii="宋体" w:hAnsi="宋体" w:eastAsia="宋体" w:cs="宋体"/>
                <w:b/>
                <w:strike w:val="0"/>
                <w:dstrike w:val="0"/>
                <w:color w:val="auto"/>
                <w:sz w:val="18"/>
                <w:highlight w:val="none"/>
                <w:u w:val="none"/>
              </w:rPr>
            </w:pPr>
          </w:p>
          <w:p w14:paraId="533BCB16">
            <w:pPr>
              <w:rPr>
                <w:rFonts w:hint="eastAsia" w:ascii="宋体" w:hAnsi="宋体" w:eastAsia="宋体" w:cs="宋体"/>
                <w:b/>
                <w:strike w:val="0"/>
                <w:dstrike w:val="0"/>
                <w:color w:val="auto"/>
                <w:sz w:val="18"/>
                <w:highlight w:val="none"/>
                <w:u w:val="none"/>
              </w:rPr>
            </w:pPr>
          </w:p>
          <w:p w14:paraId="07922615">
            <w:pPr>
              <w:rPr>
                <w:rFonts w:hint="eastAsia" w:ascii="宋体" w:hAnsi="宋体" w:eastAsia="宋体" w:cs="宋体"/>
                <w:b/>
                <w:strike w:val="0"/>
                <w:dstrike w:val="0"/>
                <w:color w:val="auto"/>
                <w:sz w:val="18"/>
                <w:highlight w:val="none"/>
                <w:u w:val="none"/>
              </w:rPr>
            </w:pPr>
          </w:p>
          <w:p w14:paraId="1C423594">
            <w:pPr>
              <w:rPr>
                <w:rFonts w:hint="eastAsia" w:ascii="宋体" w:hAnsi="宋体" w:eastAsia="宋体" w:cs="宋体"/>
                <w:b/>
                <w:strike w:val="0"/>
                <w:dstrike w:val="0"/>
                <w:color w:val="auto"/>
                <w:sz w:val="18"/>
                <w:highlight w:val="none"/>
                <w:u w:val="none"/>
              </w:rPr>
            </w:pPr>
          </w:p>
          <w:p w14:paraId="1ACDC49D">
            <w:pPr>
              <w:rPr>
                <w:rFonts w:hint="eastAsia" w:ascii="宋体" w:hAnsi="宋体" w:eastAsia="宋体" w:cs="宋体"/>
                <w:b/>
                <w:strike w:val="0"/>
                <w:dstrike w:val="0"/>
                <w:color w:val="auto"/>
                <w:sz w:val="18"/>
                <w:highlight w:val="none"/>
                <w:u w:val="none"/>
              </w:rPr>
            </w:pPr>
          </w:p>
          <w:p w14:paraId="1E44ECB4">
            <w:pPr>
              <w:rPr>
                <w:rFonts w:hint="eastAsia" w:ascii="宋体" w:hAnsi="宋体" w:eastAsia="宋体" w:cs="宋体"/>
                <w:b/>
                <w:strike w:val="0"/>
                <w:dstrike w:val="0"/>
                <w:color w:val="auto"/>
                <w:sz w:val="18"/>
                <w:highlight w:val="none"/>
                <w:u w:val="none"/>
              </w:rPr>
            </w:pPr>
          </w:p>
          <w:p w14:paraId="2589F4E6">
            <w:pPr>
              <w:rPr>
                <w:rFonts w:hint="eastAsia" w:ascii="宋体" w:hAnsi="宋体" w:eastAsia="宋体" w:cs="宋体"/>
                <w:b/>
                <w:strike w:val="0"/>
                <w:dstrike w:val="0"/>
                <w:color w:val="auto"/>
                <w:sz w:val="18"/>
                <w:highlight w:val="none"/>
                <w:u w:val="none"/>
              </w:rPr>
            </w:pPr>
          </w:p>
          <w:p w14:paraId="784C66BC">
            <w:pPr>
              <w:rPr>
                <w:rFonts w:hint="eastAsia" w:ascii="宋体" w:hAnsi="宋体" w:eastAsia="宋体" w:cs="宋体"/>
                <w:b/>
                <w:strike w:val="0"/>
                <w:dstrike w:val="0"/>
                <w:color w:val="auto"/>
                <w:sz w:val="18"/>
                <w:highlight w:val="none"/>
                <w:u w:val="none"/>
              </w:rPr>
            </w:pPr>
          </w:p>
          <w:p w14:paraId="455248B4">
            <w:pPr>
              <w:rPr>
                <w:rFonts w:hint="eastAsia" w:ascii="宋体" w:hAnsi="宋体" w:eastAsia="宋体" w:cs="宋体"/>
                <w:b/>
                <w:strike w:val="0"/>
                <w:dstrike w:val="0"/>
                <w:color w:val="auto"/>
                <w:sz w:val="18"/>
                <w:highlight w:val="none"/>
                <w:u w:val="none"/>
              </w:rPr>
            </w:pPr>
          </w:p>
          <w:p w14:paraId="3C1D7953">
            <w:pPr>
              <w:rPr>
                <w:rFonts w:hint="eastAsia" w:ascii="宋体" w:hAnsi="宋体" w:eastAsia="宋体" w:cs="宋体"/>
                <w:b/>
                <w:strike w:val="0"/>
                <w:dstrike w:val="0"/>
                <w:color w:val="auto"/>
                <w:sz w:val="18"/>
                <w:highlight w:val="none"/>
                <w:u w:val="none"/>
              </w:rPr>
            </w:pPr>
          </w:p>
          <w:p w14:paraId="4D0D219F">
            <w:pPr>
              <w:spacing w:before="118"/>
              <w:ind w:left="100" w:right="91"/>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pacing w:val="-9"/>
                <w:sz w:val="18"/>
                <w:highlight w:val="none"/>
                <w:u w:val="none"/>
              </w:rPr>
              <w:t>运维单位</w:t>
            </w:r>
          </w:p>
          <w:p w14:paraId="52F68CA4">
            <w:pPr>
              <w:ind w:left="100" w:right="88"/>
              <w:rPr>
                <w:rFonts w:hint="eastAsia" w:ascii="宋体" w:hAnsi="宋体" w:eastAsia="宋体" w:cs="宋体"/>
                <w:strike w:val="0"/>
                <w:dstrike w:val="0"/>
                <w:color w:val="auto"/>
                <w:sz w:val="18"/>
                <w:highlight w:val="none"/>
                <w:u w:val="none"/>
                <w:lang w:eastAsia="zh-CN"/>
              </w:rPr>
            </w:pPr>
          </w:p>
        </w:tc>
        <w:tc>
          <w:tcPr>
            <w:tcW w:w="200" w:type="pct"/>
            <w:tcBorders>
              <w:top w:val="single" w:color="000000" w:sz="4" w:space="0"/>
              <w:left w:val="single" w:color="000000" w:sz="4" w:space="0"/>
              <w:bottom w:val="single" w:color="000000" w:sz="4" w:space="0"/>
              <w:right w:val="single" w:color="000000" w:sz="4" w:space="0"/>
            </w:tcBorders>
            <w:noWrap w:val="0"/>
            <w:vAlign w:val="top"/>
          </w:tcPr>
          <w:p w14:paraId="3180CBC4">
            <w:pPr>
              <w:spacing w:before="26" w:line="230" w:lineRule="atLeast"/>
              <w:ind w:left="189" w:right="90" w:hanging="92"/>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控制项</w:t>
            </w:r>
          </w:p>
        </w:tc>
        <w:tc>
          <w:tcPr>
            <w:tcW w:w="204" w:type="pct"/>
            <w:tcBorders>
              <w:top w:val="single" w:color="000000" w:sz="4" w:space="0"/>
              <w:left w:val="single" w:color="000000" w:sz="4" w:space="0"/>
              <w:bottom w:val="single" w:color="000000" w:sz="4" w:space="0"/>
              <w:right w:val="single" w:color="000000" w:sz="4" w:space="0"/>
            </w:tcBorders>
            <w:noWrap w:val="0"/>
            <w:vAlign w:val="top"/>
          </w:tcPr>
          <w:p w14:paraId="01E46806">
            <w:pPr>
              <w:spacing w:before="153"/>
              <w:ind w:left="99"/>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6.1.1</w:t>
            </w:r>
          </w:p>
        </w:tc>
        <w:tc>
          <w:tcPr>
            <w:tcW w:w="2673" w:type="pct"/>
            <w:gridSpan w:val="3"/>
            <w:tcBorders>
              <w:top w:val="single" w:color="000000" w:sz="4" w:space="0"/>
              <w:left w:val="single" w:color="000000" w:sz="4" w:space="0"/>
              <w:bottom w:val="single" w:color="000000" w:sz="4" w:space="0"/>
              <w:right w:val="single" w:color="000000" w:sz="4" w:space="0"/>
            </w:tcBorders>
            <w:noWrap w:val="0"/>
            <w:vAlign w:val="top"/>
          </w:tcPr>
          <w:p w14:paraId="37CC407D">
            <w:pPr>
              <w:spacing w:before="26" w:line="230" w:lineRule="atLeast"/>
              <w:ind w:left="42" w:right="197" w:firstLine="16"/>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运维单位承接运行维护业务应符合相应的基本条件，并在运行维护期间保持相应的条件</w:t>
            </w:r>
          </w:p>
        </w:tc>
        <w:tc>
          <w:tcPr>
            <w:tcW w:w="232" w:type="pct"/>
            <w:tcBorders>
              <w:top w:val="single" w:color="000000" w:sz="4" w:space="0"/>
              <w:left w:val="single" w:color="000000" w:sz="4" w:space="0"/>
              <w:bottom w:val="single" w:color="000000" w:sz="4" w:space="0"/>
              <w:right w:val="single" w:color="000000" w:sz="4" w:space="0"/>
            </w:tcBorders>
            <w:noWrap w:val="0"/>
            <w:vAlign w:val="top"/>
          </w:tcPr>
          <w:p w14:paraId="588E8A9A">
            <w:pPr>
              <w:spacing w:before="26" w:line="230" w:lineRule="atLeast"/>
              <w:ind w:left="66" w:right="48"/>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查阅资料现场查勘</w:t>
            </w: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40D8FFCA">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079572BE">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5E0501EA">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35E6BD2A">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1161CF5A">
            <w:pPr>
              <w:rPr>
                <w:rFonts w:hint="eastAsia" w:ascii="宋体" w:hAnsi="宋体" w:eastAsia="宋体" w:cs="宋体"/>
                <w:strike w:val="0"/>
                <w:color w:val="auto"/>
                <w:sz w:val="18"/>
                <w:highlight w:val="none"/>
              </w:rPr>
            </w:pPr>
          </w:p>
        </w:tc>
      </w:tr>
      <w:tr w14:paraId="190FE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31AB88">
            <w:pPr>
              <w:autoSpaceDE/>
              <w:autoSpaceDN/>
              <w:rPr>
                <w:rFonts w:hint="eastAsia" w:ascii="宋体" w:hAnsi="宋体" w:eastAsia="宋体" w:cs="宋体"/>
                <w:strike w:val="0"/>
                <w:dstrike w:val="0"/>
                <w:color w:val="auto"/>
                <w:sz w:val="18"/>
                <w:highlight w:val="none"/>
                <w:u w:val="none"/>
              </w:rPr>
            </w:pPr>
          </w:p>
        </w:tc>
        <w:tc>
          <w:tcPr>
            <w:tcW w:w="200" w:type="pct"/>
            <w:vMerge w:val="restart"/>
            <w:tcBorders>
              <w:top w:val="single" w:color="000000" w:sz="4" w:space="0"/>
              <w:left w:val="single" w:color="000000" w:sz="4" w:space="0"/>
              <w:bottom w:val="single" w:color="000000" w:sz="4" w:space="0"/>
              <w:right w:val="single" w:color="000000" w:sz="4" w:space="0"/>
            </w:tcBorders>
            <w:noWrap w:val="0"/>
            <w:vAlign w:val="top"/>
          </w:tcPr>
          <w:p w14:paraId="28922CCA">
            <w:pPr>
              <w:rPr>
                <w:rFonts w:hint="eastAsia" w:ascii="宋体" w:hAnsi="宋体" w:eastAsia="宋体" w:cs="宋体"/>
                <w:b/>
                <w:strike w:val="0"/>
                <w:dstrike w:val="0"/>
                <w:color w:val="auto"/>
                <w:sz w:val="18"/>
                <w:highlight w:val="none"/>
                <w:u w:val="none"/>
              </w:rPr>
            </w:pPr>
          </w:p>
          <w:p w14:paraId="5D640EA3">
            <w:pPr>
              <w:rPr>
                <w:rFonts w:hint="eastAsia" w:ascii="宋体" w:hAnsi="宋体" w:eastAsia="宋体" w:cs="宋体"/>
                <w:b/>
                <w:strike w:val="0"/>
                <w:dstrike w:val="0"/>
                <w:color w:val="auto"/>
                <w:sz w:val="18"/>
                <w:highlight w:val="none"/>
                <w:u w:val="none"/>
              </w:rPr>
            </w:pPr>
          </w:p>
          <w:p w14:paraId="62BBAABE">
            <w:pPr>
              <w:rPr>
                <w:rFonts w:hint="eastAsia" w:ascii="宋体" w:hAnsi="宋体" w:eastAsia="宋体" w:cs="宋体"/>
                <w:b/>
                <w:strike w:val="0"/>
                <w:dstrike w:val="0"/>
                <w:color w:val="auto"/>
                <w:sz w:val="18"/>
                <w:highlight w:val="none"/>
                <w:u w:val="none"/>
              </w:rPr>
            </w:pPr>
          </w:p>
          <w:p w14:paraId="370F80F7">
            <w:pPr>
              <w:rPr>
                <w:rFonts w:hint="eastAsia" w:ascii="宋体" w:hAnsi="宋体" w:eastAsia="宋体" w:cs="宋体"/>
                <w:b/>
                <w:strike w:val="0"/>
                <w:dstrike w:val="0"/>
                <w:color w:val="auto"/>
                <w:sz w:val="18"/>
                <w:highlight w:val="none"/>
                <w:u w:val="none"/>
              </w:rPr>
            </w:pPr>
          </w:p>
          <w:p w14:paraId="1DE08A56">
            <w:pPr>
              <w:rPr>
                <w:rFonts w:hint="eastAsia" w:ascii="宋体" w:hAnsi="宋体" w:eastAsia="宋体" w:cs="宋体"/>
                <w:b/>
                <w:strike w:val="0"/>
                <w:dstrike w:val="0"/>
                <w:color w:val="auto"/>
                <w:sz w:val="18"/>
                <w:highlight w:val="none"/>
                <w:u w:val="none"/>
              </w:rPr>
            </w:pPr>
          </w:p>
          <w:p w14:paraId="793AD830">
            <w:pPr>
              <w:rPr>
                <w:rFonts w:hint="eastAsia" w:ascii="宋体" w:hAnsi="宋体" w:eastAsia="宋体" w:cs="宋体"/>
                <w:b/>
                <w:strike w:val="0"/>
                <w:dstrike w:val="0"/>
                <w:color w:val="auto"/>
                <w:sz w:val="18"/>
                <w:highlight w:val="none"/>
                <w:u w:val="none"/>
              </w:rPr>
            </w:pPr>
          </w:p>
          <w:p w14:paraId="3032DC18">
            <w:pPr>
              <w:rPr>
                <w:rFonts w:hint="eastAsia" w:ascii="宋体" w:hAnsi="宋体" w:eastAsia="宋体" w:cs="宋体"/>
                <w:b/>
                <w:strike w:val="0"/>
                <w:dstrike w:val="0"/>
                <w:color w:val="auto"/>
                <w:sz w:val="18"/>
                <w:highlight w:val="none"/>
                <w:u w:val="none"/>
              </w:rPr>
            </w:pPr>
          </w:p>
          <w:p w14:paraId="32DA0C3B">
            <w:pPr>
              <w:rPr>
                <w:rFonts w:hint="eastAsia" w:ascii="宋体" w:hAnsi="宋体" w:eastAsia="宋体" w:cs="宋体"/>
                <w:b/>
                <w:strike w:val="0"/>
                <w:dstrike w:val="0"/>
                <w:color w:val="auto"/>
                <w:sz w:val="18"/>
                <w:highlight w:val="none"/>
                <w:u w:val="none"/>
              </w:rPr>
            </w:pPr>
          </w:p>
          <w:p w14:paraId="770DDB52">
            <w:pPr>
              <w:rPr>
                <w:rFonts w:hint="eastAsia" w:ascii="宋体" w:hAnsi="宋体" w:eastAsia="宋体" w:cs="宋体"/>
                <w:b/>
                <w:strike w:val="0"/>
                <w:dstrike w:val="0"/>
                <w:color w:val="auto"/>
                <w:sz w:val="18"/>
                <w:highlight w:val="none"/>
                <w:u w:val="none"/>
              </w:rPr>
            </w:pPr>
          </w:p>
          <w:p w14:paraId="621F3D78">
            <w:pPr>
              <w:rPr>
                <w:rFonts w:hint="eastAsia" w:ascii="宋体" w:hAnsi="宋体" w:eastAsia="宋体" w:cs="宋体"/>
                <w:b/>
                <w:strike w:val="0"/>
                <w:dstrike w:val="0"/>
                <w:color w:val="auto"/>
                <w:sz w:val="18"/>
                <w:highlight w:val="none"/>
                <w:u w:val="none"/>
              </w:rPr>
            </w:pPr>
          </w:p>
          <w:p w14:paraId="2854714B">
            <w:pPr>
              <w:rPr>
                <w:rFonts w:hint="eastAsia" w:ascii="宋体" w:hAnsi="宋体" w:eastAsia="宋体" w:cs="宋体"/>
                <w:b/>
                <w:strike w:val="0"/>
                <w:dstrike w:val="0"/>
                <w:color w:val="auto"/>
                <w:sz w:val="18"/>
                <w:highlight w:val="none"/>
                <w:u w:val="none"/>
              </w:rPr>
            </w:pPr>
          </w:p>
          <w:p w14:paraId="2A491ED2">
            <w:pPr>
              <w:rPr>
                <w:rFonts w:hint="eastAsia" w:ascii="宋体" w:hAnsi="宋体" w:eastAsia="宋体" w:cs="宋体"/>
                <w:b/>
                <w:strike w:val="0"/>
                <w:dstrike w:val="0"/>
                <w:color w:val="auto"/>
                <w:sz w:val="18"/>
                <w:highlight w:val="none"/>
                <w:u w:val="none"/>
              </w:rPr>
            </w:pPr>
          </w:p>
          <w:p w14:paraId="25E523C6">
            <w:pPr>
              <w:spacing w:before="126"/>
              <w:ind w:left="189" w:right="90" w:hanging="92"/>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评分项</w:t>
            </w:r>
          </w:p>
        </w:tc>
        <w:tc>
          <w:tcPr>
            <w:tcW w:w="204" w:type="pct"/>
            <w:vMerge w:val="restart"/>
            <w:tcBorders>
              <w:top w:val="single" w:color="000000" w:sz="4" w:space="0"/>
              <w:left w:val="single" w:color="000000" w:sz="4" w:space="0"/>
              <w:bottom w:val="single" w:color="000000" w:sz="4" w:space="0"/>
              <w:right w:val="single" w:color="000000" w:sz="4" w:space="0"/>
            </w:tcBorders>
            <w:noWrap w:val="0"/>
            <w:vAlign w:val="top"/>
          </w:tcPr>
          <w:p w14:paraId="1148DC16">
            <w:pPr>
              <w:rPr>
                <w:rFonts w:hint="eastAsia" w:ascii="宋体" w:hAnsi="宋体" w:eastAsia="宋体" w:cs="宋体"/>
                <w:b/>
                <w:strike w:val="0"/>
                <w:dstrike w:val="0"/>
                <w:color w:val="auto"/>
                <w:sz w:val="20"/>
                <w:highlight w:val="none"/>
                <w:u w:val="none"/>
              </w:rPr>
            </w:pPr>
          </w:p>
          <w:p w14:paraId="611BFEA9">
            <w:pPr>
              <w:rPr>
                <w:rFonts w:hint="eastAsia" w:ascii="宋体" w:hAnsi="宋体" w:eastAsia="宋体" w:cs="宋体"/>
                <w:b/>
                <w:strike w:val="0"/>
                <w:dstrike w:val="0"/>
                <w:color w:val="auto"/>
                <w:sz w:val="20"/>
                <w:highlight w:val="none"/>
                <w:u w:val="none"/>
              </w:rPr>
            </w:pPr>
          </w:p>
          <w:p w14:paraId="48B04835">
            <w:pPr>
              <w:rPr>
                <w:rFonts w:hint="eastAsia" w:ascii="宋体" w:hAnsi="宋体" w:eastAsia="宋体" w:cs="宋体"/>
                <w:b/>
                <w:strike w:val="0"/>
                <w:dstrike w:val="0"/>
                <w:color w:val="auto"/>
                <w:sz w:val="20"/>
                <w:highlight w:val="none"/>
                <w:u w:val="none"/>
              </w:rPr>
            </w:pPr>
          </w:p>
          <w:p w14:paraId="7A90B110">
            <w:pPr>
              <w:rPr>
                <w:rFonts w:hint="eastAsia" w:ascii="宋体" w:hAnsi="宋体" w:eastAsia="宋体" w:cs="宋体"/>
                <w:b/>
                <w:strike w:val="0"/>
                <w:dstrike w:val="0"/>
                <w:color w:val="auto"/>
                <w:sz w:val="20"/>
                <w:highlight w:val="none"/>
                <w:u w:val="none"/>
              </w:rPr>
            </w:pPr>
          </w:p>
          <w:p w14:paraId="4ACC2238">
            <w:pPr>
              <w:rPr>
                <w:rFonts w:hint="eastAsia" w:ascii="宋体" w:hAnsi="宋体" w:eastAsia="宋体" w:cs="宋体"/>
                <w:b/>
                <w:strike w:val="0"/>
                <w:dstrike w:val="0"/>
                <w:color w:val="auto"/>
                <w:sz w:val="20"/>
                <w:highlight w:val="none"/>
                <w:u w:val="none"/>
              </w:rPr>
            </w:pPr>
          </w:p>
          <w:p w14:paraId="63A785DA">
            <w:pPr>
              <w:rPr>
                <w:rFonts w:hint="eastAsia" w:ascii="宋体" w:hAnsi="宋体" w:eastAsia="宋体" w:cs="宋体"/>
                <w:b/>
                <w:strike w:val="0"/>
                <w:dstrike w:val="0"/>
                <w:color w:val="auto"/>
                <w:sz w:val="20"/>
                <w:highlight w:val="none"/>
                <w:u w:val="none"/>
              </w:rPr>
            </w:pPr>
          </w:p>
          <w:p w14:paraId="42F777C9">
            <w:pPr>
              <w:rPr>
                <w:rFonts w:hint="eastAsia" w:ascii="宋体" w:hAnsi="宋体" w:eastAsia="宋体" w:cs="宋体"/>
                <w:b/>
                <w:strike w:val="0"/>
                <w:dstrike w:val="0"/>
                <w:color w:val="auto"/>
                <w:sz w:val="20"/>
                <w:highlight w:val="none"/>
                <w:u w:val="none"/>
              </w:rPr>
            </w:pPr>
          </w:p>
          <w:p w14:paraId="3B9B31E5">
            <w:pPr>
              <w:rPr>
                <w:rFonts w:hint="eastAsia" w:ascii="宋体" w:hAnsi="宋体" w:eastAsia="宋体" w:cs="宋体"/>
                <w:b/>
                <w:strike w:val="0"/>
                <w:dstrike w:val="0"/>
                <w:color w:val="auto"/>
                <w:sz w:val="20"/>
                <w:highlight w:val="none"/>
                <w:u w:val="none"/>
              </w:rPr>
            </w:pPr>
          </w:p>
          <w:p w14:paraId="3907C73D">
            <w:pPr>
              <w:rPr>
                <w:rFonts w:hint="eastAsia" w:ascii="宋体" w:hAnsi="宋体" w:eastAsia="宋体" w:cs="宋体"/>
                <w:b/>
                <w:strike w:val="0"/>
                <w:dstrike w:val="0"/>
                <w:color w:val="auto"/>
                <w:sz w:val="20"/>
                <w:highlight w:val="none"/>
                <w:u w:val="none"/>
              </w:rPr>
            </w:pPr>
          </w:p>
          <w:p w14:paraId="55B9E6ED">
            <w:pPr>
              <w:rPr>
                <w:rFonts w:hint="eastAsia" w:ascii="宋体" w:hAnsi="宋体" w:eastAsia="宋体" w:cs="宋体"/>
                <w:b/>
                <w:strike w:val="0"/>
                <w:dstrike w:val="0"/>
                <w:color w:val="auto"/>
                <w:sz w:val="20"/>
                <w:highlight w:val="none"/>
                <w:u w:val="none"/>
              </w:rPr>
            </w:pPr>
          </w:p>
          <w:p w14:paraId="0DE2276B">
            <w:pPr>
              <w:rPr>
                <w:rFonts w:hint="eastAsia" w:ascii="宋体" w:hAnsi="宋体" w:eastAsia="宋体" w:cs="宋体"/>
                <w:b/>
                <w:strike w:val="0"/>
                <w:dstrike w:val="0"/>
                <w:color w:val="auto"/>
                <w:sz w:val="20"/>
                <w:highlight w:val="none"/>
                <w:u w:val="none"/>
              </w:rPr>
            </w:pPr>
          </w:p>
          <w:p w14:paraId="2D3BCA33">
            <w:pPr>
              <w:rPr>
                <w:rFonts w:hint="eastAsia" w:ascii="宋体" w:hAnsi="宋体" w:eastAsia="宋体" w:cs="宋体"/>
                <w:b/>
                <w:strike w:val="0"/>
                <w:dstrike w:val="0"/>
                <w:color w:val="auto"/>
                <w:sz w:val="20"/>
                <w:highlight w:val="none"/>
                <w:u w:val="none"/>
              </w:rPr>
            </w:pPr>
          </w:p>
          <w:p w14:paraId="0D927B42">
            <w:pPr>
              <w:rPr>
                <w:rFonts w:hint="eastAsia" w:ascii="宋体" w:hAnsi="宋体" w:eastAsia="宋体" w:cs="宋体"/>
                <w:b/>
                <w:strike w:val="0"/>
                <w:dstrike w:val="0"/>
                <w:color w:val="auto"/>
                <w:sz w:val="20"/>
                <w:highlight w:val="none"/>
                <w:u w:val="none"/>
              </w:rPr>
            </w:pPr>
          </w:p>
          <w:p w14:paraId="37952517">
            <w:pPr>
              <w:spacing w:before="10"/>
              <w:rPr>
                <w:rFonts w:hint="eastAsia" w:ascii="宋体" w:hAnsi="宋体" w:eastAsia="宋体" w:cs="宋体"/>
                <w:b/>
                <w:strike w:val="0"/>
                <w:dstrike w:val="0"/>
                <w:color w:val="auto"/>
                <w:sz w:val="18"/>
                <w:highlight w:val="none"/>
                <w:u w:val="none"/>
              </w:rPr>
            </w:pPr>
          </w:p>
          <w:p w14:paraId="6465C6AA">
            <w:pPr>
              <w:ind w:left="99"/>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6.2.1</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top"/>
          </w:tcPr>
          <w:p w14:paraId="3B5E16E4">
            <w:pPr>
              <w:rPr>
                <w:rFonts w:hint="eastAsia" w:ascii="宋体" w:hAnsi="宋体" w:eastAsia="宋体" w:cs="宋体"/>
                <w:b/>
                <w:strike w:val="0"/>
                <w:dstrike w:val="0"/>
                <w:color w:val="auto"/>
                <w:sz w:val="18"/>
                <w:highlight w:val="none"/>
                <w:u w:val="none"/>
              </w:rPr>
            </w:pPr>
          </w:p>
          <w:p w14:paraId="7DB25C84">
            <w:pPr>
              <w:rPr>
                <w:rFonts w:hint="eastAsia" w:ascii="宋体" w:hAnsi="宋体" w:eastAsia="宋体" w:cs="宋体"/>
                <w:b/>
                <w:strike w:val="0"/>
                <w:dstrike w:val="0"/>
                <w:color w:val="auto"/>
                <w:sz w:val="18"/>
                <w:highlight w:val="none"/>
                <w:u w:val="none"/>
              </w:rPr>
            </w:pPr>
          </w:p>
          <w:p w14:paraId="29D5DB67">
            <w:pPr>
              <w:rPr>
                <w:rFonts w:hint="eastAsia" w:ascii="宋体" w:hAnsi="宋体" w:eastAsia="宋体" w:cs="宋体"/>
                <w:b/>
                <w:strike w:val="0"/>
                <w:dstrike w:val="0"/>
                <w:color w:val="auto"/>
                <w:sz w:val="18"/>
                <w:highlight w:val="none"/>
                <w:u w:val="none"/>
              </w:rPr>
            </w:pPr>
          </w:p>
          <w:p w14:paraId="50B5835F">
            <w:pPr>
              <w:rPr>
                <w:rFonts w:hint="eastAsia" w:ascii="宋体" w:hAnsi="宋体" w:eastAsia="宋体" w:cs="宋体"/>
                <w:b/>
                <w:strike w:val="0"/>
                <w:dstrike w:val="0"/>
                <w:color w:val="auto"/>
                <w:sz w:val="18"/>
                <w:highlight w:val="none"/>
                <w:u w:val="none"/>
              </w:rPr>
            </w:pPr>
          </w:p>
          <w:p w14:paraId="3B593879">
            <w:pPr>
              <w:rPr>
                <w:rFonts w:hint="eastAsia" w:ascii="宋体" w:hAnsi="宋体" w:eastAsia="宋体" w:cs="宋体"/>
                <w:b/>
                <w:strike w:val="0"/>
                <w:dstrike w:val="0"/>
                <w:color w:val="auto"/>
                <w:sz w:val="18"/>
                <w:highlight w:val="none"/>
                <w:u w:val="none"/>
              </w:rPr>
            </w:pPr>
          </w:p>
          <w:p w14:paraId="106CEC75">
            <w:pPr>
              <w:rPr>
                <w:rFonts w:hint="eastAsia" w:ascii="宋体" w:hAnsi="宋体" w:eastAsia="宋体" w:cs="宋体"/>
                <w:b/>
                <w:strike w:val="0"/>
                <w:dstrike w:val="0"/>
                <w:color w:val="auto"/>
                <w:sz w:val="18"/>
                <w:highlight w:val="none"/>
                <w:u w:val="none"/>
              </w:rPr>
            </w:pPr>
          </w:p>
          <w:p w14:paraId="2671A536">
            <w:pPr>
              <w:rPr>
                <w:rFonts w:hint="eastAsia" w:ascii="宋体" w:hAnsi="宋体" w:eastAsia="宋体" w:cs="宋体"/>
                <w:b/>
                <w:strike w:val="0"/>
                <w:dstrike w:val="0"/>
                <w:color w:val="auto"/>
                <w:sz w:val="18"/>
                <w:highlight w:val="none"/>
                <w:u w:val="none"/>
              </w:rPr>
            </w:pPr>
          </w:p>
          <w:p w14:paraId="298D1EAE">
            <w:pPr>
              <w:rPr>
                <w:rFonts w:hint="eastAsia" w:ascii="宋体" w:hAnsi="宋体" w:eastAsia="宋体" w:cs="宋体"/>
                <w:b/>
                <w:strike w:val="0"/>
                <w:dstrike w:val="0"/>
                <w:color w:val="auto"/>
                <w:sz w:val="18"/>
                <w:highlight w:val="none"/>
                <w:u w:val="none"/>
              </w:rPr>
            </w:pPr>
          </w:p>
          <w:p w14:paraId="6D2A7433">
            <w:pPr>
              <w:rPr>
                <w:rFonts w:hint="eastAsia" w:ascii="宋体" w:hAnsi="宋体" w:eastAsia="宋体" w:cs="宋体"/>
                <w:b/>
                <w:strike w:val="0"/>
                <w:dstrike w:val="0"/>
                <w:color w:val="auto"/>
                <w:sz w:val="18"/>
                <w:highlight w:val="none"/>
                <w:u w:val="none"/>
              </w:rPr>
            </w:pPr>
          </w:p>
          <w:p w14:paraId="522D7EB1">
            <w:pPr>
              <w:rPr>
                <w:rFonts w:hint="eastAsia" w:ascii="宋体" w:hAnsi="宋体" w:eastAsia="宋体" w:cs="宋体"/>
                <w:b/>
                <w:strike w:val="0"/>
                <w:dstrike w:val="0"/>
                <w:color w:val="auto"/>
                <w:sz w:val="18"/>
                <w:highlight w:val="none"/>
                <w:u w:val="none"/>
              </w:rPr>
            </w:pPr>
          </w:p>
          <w:p w14:paraId="2497242D">
            <w:pPr>
              <w:rPr>
                <w:rFonts w:hint="eastAsia" w:ascii="宋体" w:hAnsi="宋体" w:eastAsia="宋体" w:cs="宋体"/>
                <w:b/>
                <w:strike w:val="0"/>
                <w:dstrike w:val="0"/>
                <w:color w:val="auto"/>
                <w:sz w:val="18"/>
                <w:highlight w:val="none"/>
                <w:u w:val="none"/>
              </w:rPr>
            </w:pPr>
          </w:p>
          <w:p w14:paraId="732A43DC">
            <w:pPr>
              <w:spacing w:before="161"/>
              <w:ind w:left="42" w:right="153" w:firstLine="14"/>
              <w:jc w:val="both"/>
              <w:rPr>
                <w:rFonts w:hint="eastAsia" w:ascii="宋体" w:hAnsi="宋体" w:eastAsia="宋体" w:cs="宋体"/>
                <w:strike w:val="0"/>
                <w:dstrike w:val="0"/>
                <w:color w:val="auto"/>
                <w:sz w:val="18"/>
                <w:highlight w:val="none"/>
                <w:u w:val="none"/>
                <w:lang w:eastAsia="zh-CN"/>
              </w:rPr>
            </w:pPr>
            <w:r>
              <w:rPr>
                <w:rFonts w:hint="eastAsia" w:ascii="宋体" w:hAnsi="宋体" w:eastAsia="宋体" w:cs="宋体"/>
                <w:strike w:val="0"/>
                <w:dstrike w:val="0"/>
                <w:color w:val="auto"/>
                <w:sz w:val="18"/>
                <w:highlight w:val="none"/>
                <w:u w:val="none"/>
              </w:rPr>
              <w:t>内部管理体系符合以下 要求</w:t>
            </w:r>
          </w:p>
        </w:tc>
        <w:tc>
          <w:tcPr>
            <w:tcW w:w="2385" w:type="pct"/>
            <w:gridSpan w:val="2"/>
            <w:tcBorders>
              <w:top w:val="single" w:color="000000" w:sz="4" w:space="0"/>
              <w:left w:val="single" w:color="000000" w:sz="4" w:space="0"/>
              <w:bottom w:val="single" w:color="000000" w:sz="4" w:space="0"/>
              <w:right w:val="single" w:color="000000" w:sz="4" w:space="0"/>
            </w:tcBorders>
            <w:noWrap w:val="0"/>
            <w:vAlign w:val="top"/>
          </w:tcPr>
          <w:p w14:paraId="64D71F4B">
            <w:pPr>
              <w:spacing w:before="110"/>
              <w:ind w:left="60"/>
              <w:jc w:val="both"/>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1、内部制度齐全、有效</w:t>
            </w:r>
            <w:r>
              <w:rPr>
                <w:rFonts w:hint="eastAsia" w:ascii="宋体" w:hAnsi="宋体" w:eastAsia="宋体" w:cs="宋体"/>
                <w:strike w:val="0"/>
                <w:dstrike w:val="0"/>
                <w:color w:val="auto"/>
                <w:spacing w:val="-5"/>
                <w:sz w:val="18"/>
                <w:highlight w:val="none"/>
                <w:u w:val="none"/>
              </w:rPr>
              <w:t>内容包括运维中心管理制度、运维人员管理制度、档案资料管理制度、现场管理</w:t>
            </w:r>
            <w:r>
              <w:rPr>
                <w:rFonts w:hint="eastAsia" w:ascii="宋体" w:hAnsi="宋体" w:eastAsia="宋体" w:cs="宋体"/>
                <w:strike w:val="0"/>
                <w:dstrike w:val="0"/>
                <w:color w:val="auto"/>
                <w:spacing w:val="-8"/>
                <w:sz w:val="18"/>
                <w:highlight w:val="none"/>
                <w:u w:val="none"/>
              </w:rPr>
              <w:t>制度、岗位操作规程、应急预案、车辆管理制度、仓库管理制</w:t>
            </w:r>
            <w:r>
              <w:rPr>
                <w:rFonts w:hint="eastAsia" w:ascii="宋体" w:hAnsi="宋体" w:eastAsia="宋体" w:cs="宋体"/>
                <w:strike w:val="0"/>
                <w:dstrike w:val="0"/>
                <w:color w:val="auto"/>
                <w:spacing w:val="-2"/>
                <w:sz w:val="18"/>
                <w:highlight w:val="none"/>
                <w:u w:val="none"/>
              </w:rPr>
              <w:t xml:space="preserve">度、内部考核管理制度、异常情况信息上报制度；每缺一项扣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tcBorders>
              <w:top w:val="single" w:color="000000" w:sz="4" w:space="0"/>
              <w:left w:val="single" w:color="000000" w:sz="4" w:space="0"/>
              <w:bottom w:val="single" w:color="000000" w:sz="4" w:space="0"/>
              <w:right w:val="single" w:color="000000" w:sz="4" w:space="0"/>
            </w:tcBorders>
            <w:noWrap w:val="0"/>
            <w:vAlign w:val="top"/>
          </w:tcPr>
          <w:p w14:paraId="238646EB">
            <w:pPr>
              <w:ind w:left="66"/>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查阅资料</w:t>
            </w: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0D8A2042">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2786672B">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60B6732C">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0AE9DCD2">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257BB92A">
            <w:pPr>
              <w:rPr>
                <w:rFonts w:hint="eastAsia" w:ascii="宋体" w:hAnsi="宋体" w:eastAsia="宋体" w:cs="宋体"/>
                <w:strike w:val="0"/>
                <w:color w:val="auto"/>
                <w:sz w:val="18"/>
                <w:highlight w:val="none"/>
              </w:rPr>
            </w:pPr>
          </w:p>
        </w:tc>
      </w:tr>
      <w:tr w14:paraId="46413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8994E">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99CC5">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31B55">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ADCB1E">
            <w:pPr>
              <w:autoSpaceDE/>
              <w:autoSpaceDN/>
              <w:rPr>
                <w:rFonts w:hint="eastAsia" w:ascii="宋体" w:hAnsi="宋体" w:eastAsia="宋体" w:cs="宋体"/>
                <w:strike w:val="0"/>
                <w:dstrike w:val="0"/>
                <w:color w:val="auto"/>
                <w:sz w:val="18"/>
                <w:highlight w:val="none"/>
                <w:u w:val="none"/>
              </w:rPr>
            </w:pPr>
          </w:p>
        </w:tc>
        <w:tc>
          <w:tcPr>
            <w:tcW w:w="322" w:type="pct"/>
            <w:vMerge w:val="restart"/>
            <w:tcBorders>
              <w:top w:val="single" w:color="000000" w:sz="4" w:space="0"/>
              <w:left w:val="single" w:color="000000" w:sz="4" w:space="0"/>
              <w:bottom w:val="single" w:color="000000" w:sz="4" w:space="0"/>
              <w:right w:val="single" w:color="000000" w:sz="4" w:space="0"/>
            </w:tcBorders>
            <w:noWrap w:val="0"/>
            <w:vAlign w:val="top"/>
          </w:tcPr>
          <w:p w14:paraId="3FD79C5F">
            <w:pPr>
              <w:rPr>
                <w:rFonts w:hint="eastAsia" w:ascii="宋体" w:hAnsi="宋体" w:eastAsia="宋体" w:cs="宋体"/>
                <w:b/>
                <w:strike w:val="0"/>
                <w:dstrike w:val="0"/>
                <w:color w:val="auto"/>
                <w:sz w:val="20"/>
                <w:highlight w:val="none"/>
                <w:u w:val="none"/>
              </w:rPr>
            </w:pPr>
          </w:p>
          <w:p w14:paraId="418B7619">
            <w:pPr>
              <w:rPr>
                <w:rFonts w:hint="eastAsia" w:ascii="宋体" w:hAnsi="宋体" w:eastAsia="宋体" w:cs="宋体"/>
                <w:b/>
                <w:strike w:val="0"/>
                <w:dstrike w:val="0"/>
                <w:color w:val="auto"/>
                <w:sz w:val="20"/>
                <w:highlight w:val="none"/>
                <w:u w:val="none"/>
              </w:rPr>
            </w:pPr>
          </w:p>
          <w:p w14:paraId="216EF830">
            <w:pPr>
              <w:rPr>
                <w:rFonts w:hint="eastAsia" w:ascii="宋体" w:hAnsi="宋体" w:eastAsia="宋体" w:cs="宋体"/>
                <w:b/>
                <w:strike w:val="0"/>
                <w:dstrike w:val="0"/>
                <w:color w:val="auto"/>
                <w:sz w:val="20"/>
                <w:highlight w:val="none"/>
                <w:u w:val="none"/>
              </w:rPr>
            </w:pPr>
          </w:p>
          <w:p w14:paraId="56EFAB1A">
            <w:pPr>
              <w:rPr>
                <w:rFonts w:hint="eastAsia" w:ascii="宋体" w:hAnsi="宋体" w:eastAsia="宋体" w:cs="宋体"/>
                <w:b/>
                <w:strike w:val="0"/>
                <w:dstrike w:val="0"/>
                <w:color w:val="auto"/>
                <w:sz w:val="20"/>
                <w:highlight w:val="none"/>
                <w:u w:val="none"/>
              </w:rPr>
            </w:pPr>
          </w:p>
          <w:p w14:paraId="630B090D">
            <w:pPr>
              <w:rPr>
                <w:rFonts w:hint="eastAsia" w:ascii="宋体" w:hAnsi="宋体" w:eastAsia="宋体" w:cs="宋体"/>
                <w:b/>
                <w:strike w:val="0"/>
                <w:dstrike w:val="0"/>
                <w:color w:val="auto"/>
                <w:sz w:val="20"/>
                <w:highlight w:val="none"/>
                <w:u w:val="none"/>
              </w:rPr>
            </w:pPr>
          </w:p>
          <w:p w14:paraId="6BCEB4E4">
            <w:pPr>
              <w:rPr>
                <w:rFonts w:hint="eastAsia" w:ascii="宋体" w:hAnsi="宋体" w:eastAsia="宋体" w:cs="宋体"/>
                <w:b/>
                <w:strike w:val="0"/>
                <w:dstrike w:val="0"/>
                <w:color w:val="auto"/>
                <w:sz w:val="20"/>
                <w:highlight w:val="none"/>
                <w:u w:val="none"/>
              </w:rPr>
            </w:pPr>
          </w:p>
          <w:p w14:paraId="35943F06">
            <w:pPr>
              <w:rPr>
                <w:rFonts w:hint="eastAsia" w:ascii="宋体" w:hAnsi="宋体" w:eastAsia="宋体" w:cs="宋体"/>
                <w:b/>
                <w:strike w:val="0"/>
                <w:dstrike w:val="0"/>
                <w:color w:val="auto"/>
                <w:sz w:val="20"/>
                <w:highlight w:val="none"/>
                <w:u w:val="none"/>
              </w:rPr>
            </w:pPr>
          </w:p>
          <w:p w14:paraId="7198B76E">
            <w:pPr>
              <w:rPr>
                <w:rFonts w:hint="eastAsia" w:ascii="宋体" w:hAnsi="宋体" w:eastAsia="宋体" w:cs="宋体"/>
                <w:b/>
                <w:strike w:val="0"/>
                <w:dstrike w:val="0"/>
                <w:color w:val="auto"/>
                <w:sz w:val="20"/>
                <w:highlight w:val="none"/>
                <w:u w:val="none"/>
              </w:rPr>
            </w:pPr>
          </w:p>
          <w:p w14:paraId="685A4B8F">
            <w:pPr>
              <w:rPr>
                <w:rFonts w:hint="eastAsia" w:ascii="宋体" w:hAnsi="宋体" w:eastAsia="宋体" w:cs="宋体"/>
                <w:b/>
                <w:strike w:val="0"/>
                <w:dstrike w:val="0"/>
                <w:color w:val="auto"/>
                <w:sz w:val="20"/>
                <w:highlight w:val="none"/>
                <w:u w:val="none"/>
              </w:rPr>
            </w:pPr>
          </w:p>
          <w:p w14:paraId="49970BE3">
            <w:pPr>
              <w:spacing w:before="162"/>
              <w:ind w:left="45" w:right="155" w:firstLine="14"/>
              <w:jc w:val="both"/>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2</w:t>
            </w:r>
            <w:r>
              <w:rPr>
                <w:rFonts w:hint="eastAsia" w:ascii="宋体" w:hAnsi="宋体" w:eastAsia="宋体" w:cs="宋体"/>
                <w:strike w:val="0"/>
                <w:dstrike w:val="0"/>
                <w:color w:val="auto"/>
                <w:spacing w:val="-14"/>
                <w:sz w:val="18"/>
                <w:highlight w:val="none"/>
                <w:u w:val="none"/>
              </w:rPr>
              <w:t>、单项制</w:t>
            </w:r>
            <w:r>
              <w:rPr>
                <w:rFonts w:hint="eastAsia" w:ascii="宋体" w:hAnsi="宋体" w:eastAsia="宋体" w:cs="宋体"/>
                <w:strike w:val="0"/>
                <w:dstrike w:val="0"/>
                <w:color w:val="auto"/>
                <w:spacing w:val="12"/>
                <w:sz w:val="18"/>
                <w:highlight w:val="none"/>
                <w:u w:val="none"/>
              </w:rPr>
              <w:t>度内容完整、具有针对性</w:t>
            </w: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2B8B384D">
            <w:pPr>
              <w:spacing w:before="33"/>
              <w:ind w:left="44" w:right="169" w:firstLine="14"/>
              <w:jc w:val="both"/>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pacing w:val="-17"/>
                <w:sz w:val="18"/>
                <w:highlight w:val="none"/>
                <w:u w:val="none"/>
              </w:rPr>
              <w:t>1）</w:t>
            </w:r>
            <w:r>
              <w:rPr>
                <w:rFonts w:hint="eastAsia" w:ascii="宋体" w:hAnsi="宋体" w:eastAsia="宋体" w:cs="宋体"/>
                <w:strike w:val="0"/>
                <w:dstrike w:val="0"/>
                <w:color w:val="auto"/>
                <w:spacing w:val="-4"/>
                <w:sz w:val="18"/>
                <w:highlight w:val="none"/>
                <w:u w:val="none"/>
              </w:rPr>
              <w:t>运维中心管理制度包括监控中心职责及管理构架、监控中心人员</w:t>
            </w:r>
            <w:r>
              <w:rPr>
                <w:rFonts w:hint="eastAsia" w:ascii="宋体" w:hAnsi="宋体" w:eastAsia="宋体" w:cs="宋体"/>
                <w:strike w:val="0"/>
                <w:dstrike w:val="0"/>
                <w:color w:val="auto"/>
                <w:spacing w:val="-1"/>
                <w:sz w:val="18"/>
                <w:highlight w:val="none"/>
                <w:u w:val="none"/>
              </w:rPr>
              <w:t>职责规范、值班管理、值班日志记录规范、卫生管理规范、监控中心设备管理、网络运行管理、硬件故障处理、现场异常情况处理、</w:t>
            </w:r>
          </w:p>
          <w:p w14:paraId="05CD5981">
            <w:pPr>
              <w:spacing w:before="2" w:line="217" w:lineRule="exact"/>
              <w:ind w:left="44"/>
              <w:jc w:val="both"/>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 xml:space="preserve">监管情况汇报内容；如有不完整，扣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top"/>
          </w:tcPr>
          <w:p w14:paraId="4F0DAE70">
            <w:pPr>
              <w:rPr>
                <w:rFonts w:hint="eastAsia" w:ascii="宋体" w:hAnsi="宋体" w:eastAsia="宋体" w:cs="宋体"/>
                <w:b/>
                <w:strike w:val="0"/>
                <w:color w:val="auto"/>
                <w:sz w:val="18"/>
                <w:highlight w:val="none"/>
              </w:rPr>
            </w:pPr>
          </w:p>
          <w:p w14:paraId="4A052C26">
            <w:pPr>
              <w:rPr>
                <w:rFonts w:hint="eastAsia" w:ascii="宋体" w:hAnsi="宋体" w:eastAsia="宋体" w:cs="宋体"/>
                <w:b/>
                <w:strike w:val="0"/>
                <w:color w:val="auto"/>
                <w:sz w:val="18"/>
                <w:highlight w:val="none"/>
              </w:rPr>
            </w:pPr>
          </w:p>
          <w:p w14:paraId="7B5458F1">
            <w:pPr>
              <w:rPr>
                <w:rFonts w:hint="eastAsia" w:ascii="宋体" w:hAnsi="宋体" w:eastAsia="宋体" w:cs="宋体"/>
                <w:b/>
                <w:strike w:val="0"/>
                <w:color w:val="auto"/>
                <w:sz w:val="18"/>
                <w:highlight w:val="none"/>
              </w:rPr>
            </w:pPr>
          </w:p>
          <w:p w14:paraId="314745AC">
            <w:pPr>
              <w:rPr>
                <w:rFonts w:hint="eastAsia" w:ascii="宋体" w:hAnsi="宋体" w:eastAsia="宋体" w:cs="宋体"/>
                <w:b/>
                <w:strike w:val="0"/>
                <w:color w:val="auto"/>
                <w:sz w:val="18"/>
                <w:highlight w:val="none"/>
              </w:rPr>
            </w:pPr>
          </w:p>
          <w:p w14:paraId="35A174BC">
            <w:pPr>
              <w:rPr>
                <w:rFonts w:hint="eastAsia" w:ascii="宋体" w:hAnsi="宋体" w:eastAsia="宋体" w:cs="宋体"/>
                <w:b/>
                <w:strike w:val="0"/>
                <w:color w:val="auto"/>
                <w:sz w:val="18"/>
                <w:highlight w:val="none"/>
              </w:rPr>
            </w:pPr>
          </w:p>
          <w:p w14:paraId="18650813">
            <w:pPr>
              <w:rPr>
                <w:rFonts w:hint="eastAsia" w:ascii="宋体" w:hAnsi="宋体" w:eastAsia="宋体" w:cs="宋体"/>
                <w:b/>
                <w:strike w:val="0"/>
                <w:color w:val="auto"/>
                <w:sz w:val="18"/>
                <w:highlight w:val="none"/>
              </w:rPr>
            </w:pPr>
          </w:p>
          <w:p w14:paraId="785B512E">
            <w:pPr>
              <w:rPr>
                <w:rFonts w:hint="eastAsia" w:ascii="宋体" w:hAnsi="宋体" w:eastAsia="宋体" w:cs="宋体"/>
                <w:b/>
                <w:strike w:val="0"/>
                <w:color w:val="auto"/>
                <w:sz w:val="18"/>
                <w:highlight w:val="none"/>
              </w:rPr>
            </w:pPr>
          </w:p>
          <w:p w14:paraId="0AB09146">
            <w:pPr>
              <w:rPr>
                <w:rFonts w:hint="eastAsia" w:ascii="宋体" w:hAnsi="宋体" w:eastAsia="宋体" w:cs="宋体"/>
                <w:b/>
                <w:strike w:val="0"/>
                <w:color w:val="auto"/>
                <w:sz w:val="18"/>
                <w:highlight w:val="none"/>
              </w:rPr>
            </w:pPr>
          </w:p>
          <w:p w14:paraId="0B0EF845">
            <w:pPr>
              <w:rPr>
                <w:rFonts w:hint="eastAsia" w:ascii="宋体" w:hAnsi="宋体" w:eastAsia="宋体" w:cs="宋体"/>
                <w:b/>
                <w:strike w:val="0"/>
                <w:color w:val="auto"/>
                <w:sz w:val="18"/>
                <w:highlight w:val="none"/>
              </w:rPr>
            </w:pPr>
          </w:p>
          <w:p w14:paraId="2173F7F9">
            <w:pPr>
              <w:rPr>
                <w:rFonts w:hint="eastAsia" w:ascii="宋体" w:hAnsi="宋体" w:eastAsia="宋体" w:cs="宋体"/>
                <w:b/>
                <w:strike w:val="0"/>
                <w:color w:val="auto"/>
                <w:sz w:val="18"/>
                <w:highlight w:val="none"/>
              </w:rPr>
            </w:pPr>
          </w:p>
          <w:p w14:paraId="01510FD5">
            <w:pPr>
              <w:spacing w:before="10"/>
              <w:rPr>
                <w:rFonts w:hint="eastAsia" w:ascii="宋体" w:hAnsi="宋体" w:eastAsia="宋体" w:cs="宋体"/>
                <w:b/>
                <w:strike w:val="0"/>
                <w:color w:val="auto"/>
                <w:sz w:val="25"/>
                <w:highlight w:val="none"/>
              </w:rPr>
            </w:pPr>
          </w:p>
          <w:p w14:paraId="1C9B9E3A">
            <w:pPr>
              <w:ind w:left="66"/>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查阅资料</w:t>
            </w: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5BB39718">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191D29EE">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7916BC06">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725A7ED4">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1A0E9BCE">
            <w:pPr>
              <w:rPr>
                <w:rFonts w:hint="eastAsia" w:ascii="宋体" w:hAnsi="宋体" w:eastAsia="宋体" w:cs="宋体"/>
                <w:strike w:val="0"/>
                <w:color w:val="auto"/>
                <w:sz w:val="18"/>
                <w:highlight w:val="none"/>
              </w:rPr>
            </w:pPr>
          </w:p>
        </w:tc>
      </w:tr>
      <w:tr w14:paraId="4461C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2657E">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B9AB8">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5D617">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125E48">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52266F">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10D046FD">
            <w:pPr>
              <w:spacing w:before="28" w:line="230" w:lineRule="atLeast"/>
              <w:ind w:left="44" w:right="96" w:firstLine="14"/>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 xml:space="preserve">2）运维人员管理制度包括运维人员招聘、管理、协议签订、福利待遇内容；如有不完整，扣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122AAA">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518BD7A9">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5C8273D6">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206455EE">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49253F79">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6DB6EBC3">
            <w:pPr>
              <w:rPr>
                <w:rFonts w:hint="eastAsia" w:ascii="宋体" w:hAnsi="宋体" w:eastAsia="宋体" w:cs="宋体"/>
                <w:strike w:val="0"/>
                <w:color w:val="auto"/>
                <w:sz w:val="18"/>
                <w:highlight w:val="none"/>
              </w:rPr>
            </w:pPr>
          </w:p>
        </w:tc>
      </w:tr>
      <w:tr w14:paraId="5AEA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16212">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A5E35A">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0229F">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13BBFB">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7C2403">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7559596B">
            <w:pPr>
              <w:spacing w:before="67"/>
              <w:ind w:left="44" w:right="97" w:firstLine="14"/>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 xml:space="preserve">3）档案资料管理制度包括档案管理机构职责、档案资料的保存、借阅内容；如有不完整，扣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53DA0">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014ACCC1">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214471EB">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3A1E9830">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6C4C60E7">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519DCA17">
            <w:pPr>
              <w:rPr>
                <w:rFonts w:hint="eastAsia" w:ascii="宋体" w:hAnsi="宋体" w:eastAsia="宋体" w:cs="宋体"/>
                <w:strike w:val="0"/>
                <w:color w:val="auto"/>
                <w:sz w:val="18"/>
                <w:highlight w:val="none"/>
              </w:rPr>
            </w:pPr>
          </w:p>
        </w:tc>
      </w:tr>
      <w:tr w14:paraId="218B3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FBC4E">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C9160">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5F0B4A">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4BBE9">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8693F">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719D2D10">
            <w:pPr>
              <w:spacing w:before="50"/>
              <w:ind w:left="59"/>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pacing w:val="-26"/>
                <w:sz w:val="18"/>
                <w:highlight w:val="none"/>
                <w:u w:val="none"/>
              </w:rPr>
              <w:t>4）</w:t>
            </w:r>
            <w:r>
              <w:rPr>
                <w:rFonts w:hint="eastAsia" w:ascii="宋体" w:hAnsi="宋体" w:eastAsia="宋体" w:cs="宋体"/>
                <w:strike w:val="0"/>
                <w:dstrike w:val="0"/>
                <w:color w:val="auto"/>
                <w:spacing w:val="-8"/>
                <w:sz w:val="18"/>
                <w:highlight w:val="none"/>
                <w:u w:val="none"/>
              </w:rPr>
              <w:t>现场管理制度包括现场考勤、现场文明施工、现场临时用电内容，</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 xml:space="preserve">分；岗位操作规程包括巡检养护人员、水电维修人员岗位的操作规范；如有不完整，扣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5AE80">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0DC81A29">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09829B06">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51B457C7">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4E6E0CEB">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374C7E99">
            <w:pPr>
              <w:rPr>
                <w:rFonts w:hint="eastAsia" w:ascii="宋体" w:hAnsi="宋体" w:eastAsia="宋体" w:cs="宋体"/>
                <w:strike w:val="0"/>
                <w:color w:val="auto"/>
                <w:sz w:val="18"/>
                <w:highlight w:val="none"/>
              </w:rPr>
            </w:pPr>
          </w:p>
        </w:tc>
      </w:tr>
      <w:tr w14:paraId="5A59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3"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7AAA1B">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ED41EA">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9A4B33">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B25EE">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9F9AA">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45DE8D7E">
            <w:pPr>
              <w:spacing w:before="28" w:line="230" w:lineRule="atLeast"/>
              <w:ind w:left="44" w:right="97" w:firstLine="14"/>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rPr>
              <w:t xml:space="preserve">5）应急管理制度包括恶劣天气、进出水水质、水量异常情况的应急处理制度；如有不完整，扣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BA5EA">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5A85882C">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091DF15C">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3DFA2669">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4857B596">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2F50D88A">
            <w:pPr>
              <w:rPr>
                <w:rFonts w:hint="eastAsia" w:ascii="宋体" w:hAnsi="宋体" w:eastAsia="宋体" w:cs="宋体"/>
                <w:strike w:val="0"/>
                <w:color w:val="auto"/>
                <w:sz w:val="18"/>
                <w:highlight w:val="none"/>
              </w:rPr>
            </w:pPr>
          </w:p>
        </w:tc>
      </w:tr>
      <w:tr w14:paraId="6DDB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840FF5">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A6157">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FE9E92">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9FC7C">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D4DDD8">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4B6FDD52">
            <w:pPr>
              <w:spacing w:before="96"/>
              <w:ind w:left="44" w:right="169" w:firstLine="14"/>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pacing w:val="-7"/>
                <w:sz w:val="18"/>
                <w:highlight w:val="none"/>
                <w:u w:val="none"/>
              </w:rPr>
              <w:t>6）</w:t>
            </w:r>
            <w:r>
              <w:rPr>
                <w:rFonts w:hint="eastAsia" w:ascii="宋体" w:hAnsi="宋体" w:eastAsia="宋体" w:cs="宋体"/>
                <w:strike w:val="0"/>
                <w:dstrike w:val="0"/>
                <w:color w:val="auto"/>
                <w:spacing w:val="-6"/>
                <w:sz w:val="18"/>
                <w:highlight w:val="none"/>
                <w:u w:val="none"/>
              </w:rPr>
              <w:t>车辆管理制度包括车辆外借、使用，维修保养，车辆保险，违章</w:t>
            </w:r>
            <w:r>
              <w:rPr>
                <w:rFonts w:hint="eastAsia" w:ascii="宋体" w:hAnsi="宋体" w:eastAsia="宋体" w:cs="宋体"/>
                <w:strike w:val="0"/>
                <w:dstrike w:val="0"/>
                <w:color w:val="auto"/>
                <w:spacing w:val="-3"/>
                <w:sz w:val="18"/>
                <w:highlight w:val="none"/>
                <w:u w:val="none"/>
              </w:rPr>
              <w:t xml:space="preserve">与事故处理内容；如有不完整，扣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CDC4D">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68B55D8F">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0DA470D5">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050C6D81">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46FD62AF">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34842290">
            <w:pPr>
              <w:rPr>
                <w:rFonts w:hint="eastAsia" w:ascii="宋体" w:hAnsi="宋体" w:eastAsia="宋体" w:cs="宋体"/>
                <w:strike w:val="0"/>
                <w:color w:val="auto"/>
                <w:sz w:val="18"/>
                <w:highlight w:val="none"/>
              </w:rPr>
            </w:pPr>
          </w:p>
        </w:tc>
      </w:tr>
      <w:tr w14:paraId="2CDED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8289E">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AB7790">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F90E4D">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2EBA56">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79CC21">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6593CE25">
            <w:pPr>
              <w:spacing w:before="28" w:line="230" w:lineRule="atLeast"/>
              <w:ind w:left="44" w:right="96" w:firstLine="14"/>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z w:val="18"/>
                <w:highlight w:val="none"/>
                <w:u w:val="none"/>
                <w:lang w:val="en-US" w:eastAsia="zh-CN"/>
              </w:rPr>
              <w:t>7</w:t>
            </w:r>
            <w:r>
              <w:rPr>
                <w:rFonts w:hint="eastAsia" w:ascii="宋体" w:hAnsi="宋体" w:eastAsia="宋体" w:cs="宋体"/>
                <w:strike w:val="0"/>
                <w:dstrike w:val="0"/>
                <w:color w:val="auto"/>
                <w:sz w:val="18"/>
                <w:highlight w:val="none"/>
                <w:u w:val="none"/>
              </w:rPr>
              <w:t xml:space="preserve">）仓库管理制度包括仓库管理人员工作职责、入库及出库作业规定及安全作业内容；如有不完整，扣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2B718A">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2DFBDCAA">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0674101E">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7EEB54B4">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24EF77C4">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5DBFC0E7">
            <w:pPr>
              <w:rPr>
                <w:rFonts w:hint="eastAsia" w:ascii="宋体" w:hAnsi="宋体" w:eastAsia="宋体" w:cs="宋体"/>
                <w:strike w:val="0"/>
                <w:color w:val="auto"/>
                <w:sz w:val="18"/>
                <w:highlight w:val="none"/>
              </w:rPr>
            </w:pPr>
          </w:p>
        </w:tc>
      </w:tr>
      <w:tr w14:paraId="1B309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7954A">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3BF2F">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69BB4">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625D8E">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181AB">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01A6D628">
            <w:pPr>
              <w:spacing w:before="26" w:line="230" w:lineRule="atLeast"/>
              <w:ind w:left="44" w:right="77" w:firstLine="14"/>
              <w:rPr>
                <w:rFonts w:hint="eastAsia" w:ascii="宋体" w:hAnsi="宋体" w:eastAsia="宋体" w:cs="宋体"/>
                <w:strike w:val="0"/>
                <w:dstrike w:val="0"/>
                <w:color w:val="auto"/>
                <w:sz w:val="18"/>
                <w:highlight w:val="none"/>
                <w:u w:val="none"/>
              </w:rPr>
            </w:pPr>
            <w:r>
              <w:rPr>
                <w:rFonts w:hint="eastAsia" w:ascii="宋体" w:hAnsi="宋体" w:eastAsia="宋体" w:cs="宋体"/>
                <w:strike w:val="0"/>
                <w:dstrike w:val="0"/>
                <w:color w:val="auto"/>
                <w:spacing w:val="-26"/>
                <w:sz w:val="18"/>
                <w:highlight w:val="none"/>
                <w:u w:val="none"/>
                <w:lang w:val="en-US" w:eastAsia="zh-CN"/>
              </w:rPr>
              <w:t>8</w:t>
            </w:r>
            <w:r>
              <w:rPr>
                <w:rFonts w:hint="eastAsia" w:ascii="宋体" w:hAnsi="宋体" w:eastAsia="宋体" w:cs="宋体"/>
                <w:strike w:val="0"/>
                <w:dstrike w:val="0"/>
                <w:color w:val="auto"/>
                <w:spacing w:val="-26"/>
                <w:sz w:val="18"/>
                <w:highlight w:val="none"/>
                <w:u w:val="none"/>
              </w:rPr>
              <w:t>）</w:t>
            </w:r>
            <w:r>
              <w:rPr>
                <w:rFonts w:hint="eastAsia" w:ascii="宋体" w:hAnsi="宋体" w:eastAsia="宋体" w:cs="宋体"/>
                <w:strike w:val="0"/>
                <w:dstrike w:val="0"/>
                <w:color w:val="auto"/>
                <w:spacing w:val="-7"/>
                <w:sz w:val="18"/>
                <w:highlight w:val="none"/>
                <w:u w:val="none"/>
              </w:rPr>
              <w:t xml:space="preserve">内部考核管理制度包括具体考核的方法、内容、程序及评分标准； </w:t>
            </w:r>
            <w:r>
              <w:rPr>
                <w:rFonts w:hint="eastAsia" w:ascii="宋体" w:hAnsi="宋体" w:eastAsia="宋体" w:cs="宋体"/>
                <w:strike w:val="0"/>
                <w:dstrike w:val="0"/>
                <w:color w:val="auto"/>
                <w:spacing w:val="-6"/>
                <w:sz w:val="18"/>
                <w:highlight w:val="none"/>
                <w:u w:val="none"/>
              </w:rPr>
              <w:t xml:space="preserve">如有不完整，扣 </w:t>
            </w:r>
            <w:r>
              <w:rPr>
                <w:rFonts w:hint="eastAsia" w:ascii="宋体" w:hAnsi="宋体" w:eastAsia="宋体" w:cs="宋体"/>
                <w:strike w:val="0"/>
                <w:dstrike w:val="0"/>
                <w:color w:val="auto"/>
                <w:sz w:val="18"/>
                <w:highlight w:val="none"/>
                <w:u w:val="none"/>
                <w:lang w:eastAsia="zh-CN"/>
              </w:rPr>
              <w:t>0.5</w:t>
            </w:r>
            <w:r>
              <w:rPr>
                <w:rFonts w:hint="eastAsia" w:ascii="宋体" w:hAnsi="宋体" w:eastAsia="宋体" w:cs="宋体"/>
                <w:strike w:val="0"/>
                <w:dstrike w:val="0"/>
                <w:color w:val="auto"/>
                <w:sz w:val="18"/>
                <w:highlight w:val="none"/>
                <w:u w:val="none"/>
              </w:rPr>
              <w:t>分</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top"/>
          </w:tcPr>
          <w:p w14:paraId="4E63E386">
            <w:pPr>
              <w:spacing w:before="4"/>
              <w:rPr>
                <w:rFonts w:hint="eastAsia" w:ascii="宋体" w:hAnsi="宋体" w:eastAsia="宋体" w:cs="宋体"/>
                <w:b/>
                <w:strike w:val="0"/>
                <w:color w:val="auto"/>
                <w:sz w:val="25"/>
                <w:highlight w:val="none"/>
              </w:rPr>
            </w:pPr>
          </w:p>
          <w:p w14:paraId="1AAEFE7F">
            <w:pPr>
              <w:ind w:left="66"/>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查阅资料</w:t>
            </w: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42F06480">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11CC69FB">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485B9D86">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2FFA08EE">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687D8319">
            <w:pPr>
              <w:rPr>
                <w:rFonts w:hint="eastAsia" w:ascii="宋体" w:hAnsi="宋体" w:eastAsia="宋体" w:cs="宋体"/>
                <w:strike w:val="0"/>
                <w:color w:val="auto"/>
                <w:sz w:val="18"/>
                <w:highlight w:val="none"/>
              </w:rPr>
            </w:pPr>
          </w:p>
        </w:tc>
      </w:tr>
      <w:tr w14:paraId="1440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F0E416">
            <w:pPr>
              <w:autoSpaceDE/>
              <w:autoSpaceDN/>
              <w:rPr>
                <w:rFonts w:hint="eastAsia" w:ascii="宋体" w:hAnsi="宋体" w:eastAsia="宋体" w:cs="宋体"/>
                <w:strike w:val="0"/>
                <w:dstrike w:val="0"/>
                <w:color w:val="auto"/>
                <w:sz w:val="18"/>
                <w:highlight w:val="none"/>
                <w:u w:val="none"/>
              </w:rPr>
            </w:pPr>
          </w:p>
        </w:tc>
        <w:tc>
          <w:tcPr>
            <w:tcW w:w="2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16202">
            <w:pPr>
              <w:autoSpaceDE/>
              <w:autoSpaceDN/>
              <w:rPr>
                <w:rFonts w:hint="eastAsia" w:ascii="宋体" w:hAnsi="宋体" w:eastAsia="宋体" w:cs="宋体"/>
                <w:strike w:val="0"/>
                <w:dstrike w:val="0"/>
                <w:color w:val="auto"/>
                <w:sz w:val="18"/>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6F8F9">
            <w:pPr>
              <w:autoSpaceDE/>
              <w:autoSpaceDN/>
              <w:rPr>
                <w:rFonts w:hint="eastAsia" w:ascii="宋体" w:hAnsi="宋体" w:eastAsia="宋体" w:cs="宋体"/>
                <w:strike w:val="0"/>
                <w:dstrike w:val="0"/>
                <w:color w:val="auto"/>
                <w:sz w:val="18"/>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BB5AB9">
            <w:pPr>
              <w:autoSpaceDE/>
              <w:autoSpaceDN/>
              <w:rPr>
                <w:rFonts w:hint="eastAsia" w:ascii="宋体" w:hAnsi="宋体" w:eastAsia="宋体" w:cs="宋体"/>
                <w:strike w:val="0"/>
                <w:dstrike w:val="0"/>
                <w:color w:val="auto"/>
                <w:sz w:val="18"/>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1E8DA">
            <w:pPr>
              <w:autoSpaceDE/>
              <w:autoSpaceDN/>
              <w:rPr>
                <w:rFonts w:hint="eastAsia" w:ascii="宋体" w:hAnsi="宋体" w:eastAsia="宋体" w:cs="宋体"/>
                <w:strike w:val="0"/>
                <w:dstrike w:val="0"/>
                <w:color w:val="auto"/>
                <w:sz w:val="18"/>
                <w:highlight w:val="none"/>
                <w:u w:val="none"/>
              </w:rPr>
            </w:pPr>
          </w:p>
        </w:tc>
        <w:tc>
          <w:tcPr>
            <w:tcW w:w="2063" w:type="pct"/>
            <w:tcBorders>
              <w:top w:val="single" w:color="000000" w:sz="4" w:space="0"/>
              <w:left w:val="single" w:color="000000" w:sz="4" w:space="0"/>
              <w:bottom w:val="single" w:color="000000" w:sz="4" w:space="0"/>
              <w:right w:val="single" w:color="000000" w:sz="4" w:space="0"/>
            </w:tcBorders>
            <w:noWrap w:val="0"/>
            <w:vAlign w:val="top"/>
          </w:tcPr>
          <w:p w14:paraId="4AF2A31E">
            <w:pPr>
              <w:spacing w:before="57"/>
              <w:ind w:left="59"/>
              <w:rPr>
                <w:rFonts w:hint="eastAsia" w:ascii="宋体" w:hAnsi="宋体" w:eastAsia="宋体" w:cs="宋体"/>
                <w:strike w:val="0"/>
                <w:dstrike w:val="0"/>
                <w:color w:val="auto"/>
                <w:sz w:val="18"/>
                <w:highlight w:val="none"/>
                <w:u w:val="none"/>
                <w:lang w:val="en-US" w:eastAsia="zh-CN"/>
              </w:rPr>
            </w:pPr>
            <w:r>
              <w:rPr>
                <w:rFonts w:hint="eastAsia" w:ascii="宋体" w:hAnsi="宋体" w:eastAsia="宋体" w:cs="宋体"/>
                <w:strike w:val="0"/>
                <w:dstrike w:val="0"/>
                <w:color w:val="auto"/>
                <w:sz w:val="18"/>
                <w:highlight w:val="none"/>
                <w:u w:val="none"/>
                <w:lang w:val="en-US" w:eastAsia="zh-CN"/>
              </w:rPr>
              <w:t>9</w:t>
            </w:r>
            <w:r>
              <w:rPr>
                <w:rFonts w:hint="eastAsia" w:ascii="宋体" w:hAnsi="宋体" w:eastAsia="宋体" w:cs="宋体"/>
                <w:strike w:val="0"/>
                <w:dstrike w:val="0"/>
                <w:color w:val="auto"/>
                <w:sz w:val="18"/>
                <w:highlight w:val="none"/>
                <w:u w:val="none"/>
              </w:rPr>
              <w:t>）异常情况信息上报制度包括异常情况发生时间、发生地点、</w:t>
            </w:r>
            <w:r>
              <w:rPr>
                <w:rFonts w:hint="eastAsia" w:ascii="宋体" w:hAnsi="宋体" w:eastAsia="宋体" w:cs="宋体"/>
                <w:strike w:val="0"/>
                <w:dstrike w:val="0"/>
                <w:color w:val="auto"/>
                <w:sz w:val="18"/>
                <w:highlight w:val="none"/>
                <w:u w:val="none"/>
                <w:lang w:val="en-US" w:eastAsia="zh-CN"/>
              </w:rPr>
              <w:t>异常内容及原因等异常情况说明、原因分析、解决方案、处理结果；如有不完整，扣2分。</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C129AE">
            <w:pPr>
              <w:autoSpaceDE/>
              <w:autoSpaceDN/>
              <w:rPr>
                <w:rFonts w:hint="eastAsia" w:ascii="宋体" w:hAnsi="宋体" w:eastAsia="宋体" w:cs="宋体"/>
                <w:strike w:val="0"/>
                <w:color w:val="auto"/>
                <w:sz w:val="18"/>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top"/>
          </w:tcPr>
          <w:p w14:paraId="5AEB5B21">
            <w:pPr>
              <w:rPr>
                <w:rFonts w:hint="eastAsia" w:ascii="宋体" w:hAnsi="宋体" w:eastAsia="宋体" w:cs="宋体"/>
                <w:strike w:val="0"/>
                <w:color w:val="auto"/>
                <w:sz w:val="18"/>
                <w:highlight w:val="none"/>
              </w:rPr>
            </w:pPr>
          </w:p>
        </w:tc>
        <w:tc>
          <w:tcPr>
            <w:tcW w:w="268" w:type="pct"/>
            <w:tcBorders>
              <w:top w:val="single" w:color="000000" w:sz="4" w:space="0"/>
              <w:left w:val="single" w:color="000000" w:sz="4" w:space="0"/>
              <w:bottom w:val="single" w:color="000000" w:sz="4" w:space="0"/>
              <w:right w:val="single" w:color="000000" w:sz="4" w:space="0"/>
            </w:tcBorders>
            <w:noWrap w:val="0"/>
            <w:vAlign w:val="top"/>
          </w:tcPr>
          <w:p w14:paraId="50E143F9">
            <w:pPr>
              <w:rPr>
                <w:rFonts w:hint="eastAsia" w:ascii="宋体" w:hAnsi="宋体" w:eastAsia="宋体" w:cs="宋体"/>
                <w:strike w:val="0"/>
                <w:color w:val="auto"/>
                <w:sz w:val="18"/>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top"/>
          </w:tcPr>
          <w:p w14:paraId="231807A0">
            <w:pPr>
              <w:rPr>
                <w:rFonts w:hint="eastAsia" w:ascii="宋体" w:hAnsi="宋体" w:eastAsia="宋体" w:cs="宋体"/>
                <w:strike w:val="0"/>
                <w:color w:val="auto"/>
                <w:sz w:val="18"/>
                <w:highlight w:val="none"/>
              </w:rPr>
            </w:pPr>
          </w:p>
        </w:tc>
        <w:tc>
          <w:tcPr>
            <w:tcW w:w="266" w:type="pct"/>
            <w:tcBorders>
              <w:top w:val="single" w:color="000000" w:sz="4" w:space="0"/>
              <w:left w:val="single" w:color="000000" w:sz="4" w:space="0"/>
              <w:bottom w:val="single" w:color="000000" w:sz="4" w:space="0"/>
              <w:right w:val="single" w:color="000000" w:sz="4" w:space="0"/>
            </w:tcBorders>
            <w:noWrap w:val="0"/>
            <w:vAlign w:val="top"/>
          </w:tcPr>
          <w:p w14:paraId="651A5233">
            <w:pPr>
              <w:rPr>
                <w:rFonts w:hint="eastAsia" w:ascii="宋体" w:hAnsi="宋体" w:eastAsia="宋体" w:cs="宋体"/>
                <w:strike w:val="0"/>
                <w:color w:val="auto"/>
                <w:sz w:val="18"/>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top"/>
          </w:tcPr>
          <w:p w14:paraId="5D30C3D2">
            <w:pPr>
              <w:rPr>
                <w:rFonts w:hint="eastAsia" w:ascii="宋体" w:hAnsi="宋体" w:eastAsia="宋体" w:cs="宋体"/>
                <w:strike w:val="0"/>
                <w:color w:val="auto"/>
                <w:sz w:val="18"/>
                <w:highlight w:val="none"/>
              </w:rPr>
            </w:pPr>
          </w:p>
        </w:tc>
      </w:tr>
    </w:tbl>
    <w:p w14:paraId="607CB88C">
      <w:pPr>
        <w:autoSpaceDE/>
        <w:autoSpaceDN/>
        <w:rPr>
          <w:rFonts w:hint="eastAsia" w:ascii="宋体" w:hAnsi="宋体" w:eastAsia="宋体" w:cs="宋体"/>
          <w:strike w:val="0"/>
          <w:color w:val="auto"/>
          <w:sz w:val="18"/>
          <w:highlight w:val="none"/>
          <w:lang w:val="en-US" w:eastAsia="zh-CN"/>
        </w:rPr>
        <w:sectPr>
          <w:pgSz w:w="16840" w:h="11910" w:orient="landscape"/>
          <w:pgMar w:top="1000" w:right="1260" w:bottom="850" w:left="1280" w:header="0" w:footer="680" w:gutter="0"/>
          <w:pgNumType w:fmt="decimal"/>
          <w:cols w:space="720" w:num="1"/>
        </w:sectPr>
      </w:pPr>
    </w:p>
    <w:p w14:paraId="56AC02CF">
      <w:pPr>
        <w:spacing w:before="64"/>
        <w:ind w:right="14"/>
        <w:jc w:val="center"/>
        <w:rPr>
          <w:rFonts w:hint="eastAsia" w:ascii="宋体" w:hAnsi="宋体" w:eastAsia="宋体" w:cs="宋体"/>
          <w:b/>
          <w:strike w:val="0"/>
          <w:color w:val="auto"/>
          <w:sz w:val="18"/>
          <w:highlight w:val="none"/>
        </w:rPr>
      </w:pPr>
      <w:r>
        <w:rPr>
          <w:rFonts w:hint="eastAsia" w:ascii="宋体" w:hAnsi="宋体" w:eastAsia="宋体" w:cs="宋体"/>
          <w:b/>
          <w:strike w:val="0"/>
          <w:color w:val="auto"/>
          <w:sz w:val="18"/>
          <w:highlight w:val="none"/>
        </w:rPr>
        <w:t>续 表 A</w:t>
      </w:r>
    </w:p>
    <w:p w14:paraId="106F7C10">
      <w:pPr>
        <w:spacing w:before="7" w:after="1"/>
        <w:rPr>
          <w:rFonts w:hint="eastAsia" w:ascii="宋体" w:hAnsi="宋体" w:eastAsia="宋体" w:cs="宋体"/>
          <w:b/>
          <w:strike w:val="0"/>
          <w:color w:val="auto"/>
          <w:sz w:val="9"/>
          <w:szCs w:val="21"/>
          <w:highlight w:val="none"/>
        </w:rPr>
      </w:pPr>
    </w:p>
    <w:tbl>
      <w:tblPr>
        <w:tblStyle w:val="24"/>
        <w:tblW w:w="1443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599"/>
        <w:gridCol w:w="599"/>
        <w:gridCol w:w="517"/>
        <w:gridCol w:w="795"/>
        <w:gridCol w:w="6468"/>
        <w:gridCol w:w="905"/>
        <w:gridCol w:w="780"/>
        <w:gridCol w:w="800"/>
        <w:gridCol w:w="782"/>
        <w:gridCol w:w="807"/>
        <w:gridCol w:w="782"/>
      </w:tblGrid>
      <w:tr w14:paraId="36299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02" w:type="dxa"/>
            <w:vMerge w:val="restart"/>
            <w:tcBorders>
              <w:top w:val="single" w:color="auto" w:sz="4" w:space="0"/>
              <w:left w:val="single" w:color="auto" w:sz="4" w:space="0"/>
              <w:bottom w:val="single" w:color="auto" w:sz="4" w:space="0"/>
              <w:right w:val="single" w:color="auto" w:sz="4" w:space="0"/>
            </w:tcBorders>
            <w:noWrap w:val="0"/>
            <w:vAlign w:val="top"/>
          </w:tcPr>
          <w:p w14:paraId="77542416">
            <w:pPr>
              <w:spacing w:before="143" w:line="242" w:lineRule="auto"/>
              <w:ind w:left="100" w:right="91"/>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评价指标</w:t>
            </w:r>
          </w:p>
        </w:tc>
        <w:tc>
          <w:tcPr>
            <w:tcW w:w="599" w:type="dxa"/>
            <w:vMerge w:val="restart"/>
            <w:tcBorders>
              <w:top w:val="single" w:color="auto" w:sz="4" w:space="0"/>
              <w:left w:val="single" w:color="auto" w:sz="4" w:space="0"/>
              <w:bottom w:val="single" w:color="auto" w:sz="4" w:space="0"/>
              <w:right w:val="single" w:color="auto" w:sz="4" w:space="0"/>
            </w:tcBorders>
            <w:noWrap w:val="0"/>
            <w:vAlign w:val="top"/>
          </w:tcPr>
          <w:p w14:paraId="63957D25">
            <w:pPr>
              <w:spacing w:before="143" w:line="242" w:lineRule="auto"/>
              <w:ind w:left="98" w:right="90"/>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项目类型</w:t>
            </w:r>
          </w:p>
        </w:tc>
        <w:tc>
          <w:tcPr>
            <w:tcW w:w="599" w:type="dxa"/>
            <w:vMerge w:val="restart"/>
            <w:tcBorders>
              <w:top w:val="single" w:color="auto" w:sz="4" w:space="0"/>
              <w:left w:val="single" w:color="auto" w:sz="4" w:space="0"/>
              <w:bottom w:val="single" w:color="auto" w:sz="4" w:space="0"/>
              <w:right w:val="single" w:color="auto" w:sz="4" w:space="0"/>
            </w:tcBorders>
            <w:noWrap w:val="0"/>
            <w:vAlign w:val="top"/>
          </w:tcPr>
          <w:p w14:paraId="2C843A00">
            <w:pPr>
              <w:spacing w:before="143" w:line="242" w:lineRule="auto"/>
              <w:ind w:left="99" w:right="89"/>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章条编号</w:t>
            </w:r>
          </w:p>
        </w:tc>
        <w:tc>
          <w:tcPr>
            <w:tcW w:w="7780"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100C2292">
            <w:pPr>
              <w:spacing w:before="5"/>
              <w:rPr>
                <w:rFonts w:hint="eastAsia" w:ascii="宋体" w:hAnsi="宋体" w:eastAsia="宋体" w:cs="宋体"/>
                <w:b/>
                <w:strike w:val="0"/>
                <w:color w:val="auto"/>
                <w:sz w:val="21"/>
                <w:highlight w:val="none"/>
              </w:rPr>
            </w:pPr>
          </w:p>
          <w:p w14:paraId="18AC9B4C">
            <w:pPr>
              <w:ind w:left="3194" w:right="3308"/>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评价内容</w:t>
            </w:r>
          </w:p>
        </w:tc>
        <w:tc>
          <w:tcPr>
            <w:tcW w:w="905" w:type="dxa"/>
            <w:vMerge w:val="restart"/>
            <w:tcBorders>
              <w:top w:val="single" w:color="auto" w:sz="4" w:space="0"/>
              <w:left w:val="single" w:color="auto" w:sz="4" w:space="0"/>
              <w:bottom w:val="single" w:color="auto" w:sz="4" w:space="0"/>
              <w:right w:val="single" w:color="auto" w:sz="4" w:space="0"/>
            </w:tcBorders>
            <w:noWrap w:val="0"/>
            <w:vAlign w:val="top"/>
          </w:tcPr>
          <w:p w14:paraId="5F27F858">
            <w:pPr>
              <w:spacing w:before="5"/>
              <w:rPr>
                <w:rFonts w:hint="eastAsia" w:ascii="宋体" w:hAnsi="宋体" w:eastAsia="宋体" w:cs="宋体"/>
                <w:b/>
                <w:strike w:val="0"/>
                <w:color w:val="auto"/>
                <w:sz w:val="21"/>
                <w:highlight w:val="none"/>
              </w:rPr>
            </w:pPr>
          </w:p>
          <w:p w14:paraId="0B0241C8">
            <w:pPr>
              <w:ind w:left="66"/>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评价方法</w:t>
            </w:r>
          </w:p>
        </w:tc>
        <w:tc>
          <w:tcPr>
            <w:tcW w:w="780" w:type="dxa"/>
            <w:vMerge w:val="restart"/>
            <w:tcBorders>
              <w:top w:val="single" w:color="auto" w:sz="4" w:space="0"/>
              <w:left w:val="single" w:color="auto" w:sz="4" w:space="0"/>
              <w:bottom w:val="single" w:color="auto" w:sz="4" w:space="0"/>
              <w:right w:val="single" w:color="auto" w:sz="4" w:space="0"/>
            </w:tcBorders>
            <w:noWrap w:val="0"/>
            <w:vAlign w:val="top"/>
          </w:tcPr>
          <w:p w14:paraId="4ECE3794">
            <w:pPr>
              <w:spacing w:before="28"/>
              <w:ind w:left="32" w:right="13" w:hanging="3"/>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 xml:space="preserve">是否满 </w:t>
            </w:r>
            <w:r>
              <w:rPr>
                <w:rFonts w:hint="eastAsia" w:ascii="宋体" w:hAnsi="宋体" w:eastAsia="宋体" w:cs="宋体"/>
                <w:strike w:val="0"/>
                <w:color w:val="auto"/>
                <w:spacing w:val="-49"/>
                <w:sz w:val="18"/>
                <w:highlight w:val="none"/>
              </w:rPr>
              <w:t>足</w:t>
            </w:r>
            <w:r>
              <w:rPr>
                <w:rFonts w:hint="eastAsia" w:ascii="宋体" w:hAnsi="宋体" w:eastAsia="宋体" w:cs="宋体"/>
                <w:strike w:val="0"/>
                <w:color w:val="auto"/>
                <w:sz w:val="18"/>
                <w:highlight w:val="none"/>
              </w:rPr>
              <w:t>（</w:t>
            </w:r>
            <w:r>
              <w:rPr>
                <w:rFonts w:hint="eastAsia" w:ascii="宋体" w:hAnsi="宋体" w:eastAsia="宋体" w:cs="宋体"/>
                <w:strike w:val="0"/>
                <w:color w:val="auto"/>
                <w:spacing w:val="-8"/>
                <w:sz w:val="18"/>
                <w:highlight w:val="none"/>
              </w:rPr>
              <w:t>满足</w:t>
            </w:r>
          </w:p>
          <w:p w14:paraId="6A9E4246">
            <w:pPr>
              <w:spacing w:line="212" w:lineRule="exact"/>
              <w:ind w:left="208" w:right="190"/>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w:t>
            </w:r>
          </w:p>
        </w:tc>
        <w:tc>
          <w:tcPr>
            <w:tcW w:w="2389" w:type="dxa"/>
            <w:gridSpan w:val="3"/>
            <w:tcBorders>
              <w:top w:val="single" w:color="auto" w:sz="4" w:space="0"/>
              <w:left w:val="single" w:color="auto" w:sz="4" w:space="0"/>
              <w:bottom w:val="single" w:color="auto" w:sz="4" w:space="0"/>
              <w:right w:val="single" w:color="auto" w:sz="4" w:space="0"/>
            </w:tcBorders>
            <w:noWrap w:val="0"/>
            <w:vAlign w:val="top"/>
          </w:tcPr>
          <w:p w14:paraId="430ED99C">
            <w:pPr>
              <w:spacing w:before="52"/>
              <w:ind w:left="916" w:right="904"/>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lang w:val="en-US" w:eastAsia="zh-CN"/>
              </w:rPr>
              <w:t>扣</w:t>
            </w:r>
            <w:r>
              <w:rPr>
                <w:rFonts w:hint="eastAsia" w:ascii="宋体" w:hAnsi="宋体" w:eastAsia="宋体" w:cs="宋体"/>
                <w:strike w:val="0"/>
                <w:color w:val="auto"/>
                <w:sz w:val="18"/>
                <w:highlight w:val="none"/>
              </w:rPr>
              <w:t>分</w:t>
            </w:r>
          </w:p>
        </w:tc>
        <w:tc>
          <w:tcPr>
            <w:tcW w:w="782" w:type="dxa"/>
            <w:vMerge w:val="restart"/>
            <w:tcBorders>
              <w:top w:val="single" w:color="auto" w:sz="4" w:space="0"/>
              <w:left w:val="single" w:color="auto" w:sz="4" w:space="0"/>
              <w:bottom w:val="single" w:color="auto" w:sz="4" w:space="0"/>
              <w:right w:val="single" w:color="auto" w:sz="4" w:space="0"/>
            </w:tcBorders>
            <w:noWrap w:val="0"/>
            <w:vAlign w:val="top"/>
          </w:tcPr>
          <w:p w14:paraId="3EC730EF">
            <w:pPr>
              <w:spacing w:before="143" w:line="242" w:lineRule="auto"/>
              <w:ind w:left="99" w:right="80"/>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说明扣分原因</w:t>
            </w:r>
          </w:p>
        </w:tc>
      </w:tr>
      <w:tr w14:paraId="6887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02" w:type="dxa"/>
            <w:vMerge w:val="continue"/>
            <w:tcBorders>
              <w:top w:val="single" w:color="auto" w:sz="4" w:space="0"/>
              <w:left w:val="single" w:color="auto" w:sz="4" w:space="0"/>
              <w:bottom w:val="single" w:color="auto" w:sz="4" w:space="0"/>
              <w:right w:val="single" w:color="auto" w:sz="4" w:space="0"/>
            </w:tcBorders>
            <w:noWrap w:val="0"/>
            <w:vAlign w:val="center"/>
          </w:tcPr>
          <w:p w14:paraId="0FA7A304">
            <w:pPr>
              <w:autoSpaceDE/>
              <w:autoSpaceDN/>
              <w:rPr>
                <w:rFonts w:hint="eastAsia" w:ascii="宋体" w:hAnsi="宋体" w:eastAsia="宋体" w:cs="宋体"/>
                <w: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6C288EBE">
            <w:pPr>
              <w:autoSpaceDE/>
              <w:autoSpaceDN/>
              <w:rPr>
                <w:rFonts w:hint="eastAsia" w:ascii="宋体" w:hAnsi="宋体" w:eastAsia="宋体" w:cs="宋体"/>
                <w: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4C3B1DDE">
            <w:pPr>
              <w:autoSpaceDE/>
              <w:autoSpaceDN/>
              <w:rPr>
                <w:rFonts w:hint="eastAsia" w:ascii="宋体" w:hAnsi="宋体" w:eastAsia="宋体" w:cs="宋体"/>
                <w:strike w:val="0"/>
                <w:color w:val="auto"/>
                <w:sz w:val="18"/>
                <w:highlight w:val="none"/>
              </w:rPr>
            </w:pPr>
          </w:p>
        </w:tc>
        <w:tc>
          <w:tcPr>
            <w:tcW w:w="778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B69B81E">
            <w:pPr>
              <w:autoSpaceDE/>
              <w:autoSpaceDN/>
              <w:rPr>
                <w:rFonts w:hint="eastAsia" w:ascii="宋体" w:hAnsi="宋体" w:eastAsia="宋体" w:cs="宋体"/>
                <w:strike w:val="0"/>
                <w:color w:val="auto"/>
                <w:sz w:val="18"/>
                <w:highlight w:val="none"/>
              </w:rPr>
            </w:pP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0C005973">
            <w:pPr>
              <w:autoSpaceDE/>
              <w:autoSpaceDN/>
              <w:rPr>
                <w:rFonts w:hint="eastAsia" w:ascii="宋体" w:hAnsi="宋体" w:eastAsia="宋体" w:cs="宋体"/>
                <w:strike w:val="0"/>
                <w:color w:val="auto"/>
                <w:sz w:val="18"/>
                <w:highlight w:val="no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3004BB1E">
            <w:pPr>
              <w:autoSpaceDE/>
              <w:autoSpaceDN/>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22C38DB0">
            <w:pPr>
              <w:spacing w:before="100"/>
              <w:ind w:left="37"/>
              <w:rPr>
                <w:rFonts w:hint="eastAsia" w:ascii="宋体" w:hAnsi="宋体" w:eastAsia="宋体" w:cs="宋体"/>
                <w:strike w:val="0"/>
                <w:color w:val="auto"/>
                <w:sz w:val="18"/>
                <w:highlight w:val="none"/>
              </w:rPr>
            </w:pPr>
            <w:r>
              <w:rPr>
                <w:rFonts w:hint="eastAsia" w:ascii="宋体" w:hAnsi="宋体" w:eastAsia="宋体" w:cs="宋体"/>
                <w:strike w:val="0"/>
                <w:color w:val="auto"/>
                <w:spacing w:val="-12"/>
                <w:sz w:val="18"/>
                <w:highlight w:val="none"/>
              </w:rPr>
              <w:t xml:space="preserve">评分人 </w:t>
            </w:r>
            <w:r>
              <w:rPr>
                <w:rFonts w:hint="eastAsia" w:ascii="宋体" w:hAnsi="宋体" w:eastAsia="宋体" w:cs="宋体"/>
                <w:strike w:val="0"/>
                <w:color w:val="auto"/>
                <w:sz w:val="18"/>
                <w:highlight w:val="none"/>
              </w:rPr>
              <w:t>1</w:t>
            </w:r>
          </w:p>
        </w:tc>
        <w:tc>
          <w:tcPr>
            <w:tcW w:w="782" w:type="dxa"/>
            <w:tcBorders>
              <w:top w:val="single" w:color="auto" w:sz="4" w:space="0"/>
              <w:left w:val="single" w:color="auto" w:sz="4" w:space="0"/>
              <w:bottom w:val="single" w:color="auto" w:sz="4" w:space="0"/>
              <w:right w:val="single" w:color="auto" w:sz="4" w:space="0"/>
            </w:tcBorders>
            <w:noWrap w:val="0"/>
            <w:vAlign w:val="top"/>
          </w:tcPr>
          <w:p w14:paraId="5B71424F">
            <w:pPr>
              <w:spacing w:before="100"/>
              <w:ind w:left="30"/>
              <w:rPr>
                <w:rFonts w:hint="eastAsia" w:ascii="宋体" w:hAnsi="宋体" w:eastAsia="宋体" w:cs="宋体"/>
                <w:strike w:val="0"/>
                <w:color w:val="auto"/>
                <w:sz w:val="18"/>
                <w:highlight w:val="none"/>
              </w:rPr>
            </w:pPr>
            <w:r>
              <w:rPr>
                <w:rFonts w:hint="eastAsia" w:ascii="宋体" w:hAnsi="宋体" w:eastAsia="宋体" w:cs="宋体"/>
                <w:strike w:val="0"/>
                <w:color w:val="auto"/>
                <w:spacing w:val="-12"/>
                <w:sz w:val="18"/>
                <w:highlight w:val="none"/>
              </w:rPr>
              <w:t xml:space="preserve">评分人 </w:t>
            </w:r>
            <w:r>
              <w:rPr>
                <w:rFonts w:hint="eastAsia" w:ascii="宋体" w:hAnsi="宋体" w:eastAsia="宋体" w:cs="宋体"/>
                <w:strike w:val="0"/>
                <w:color w:val="auto"/>
                <w:sz w:val="18"/>
                <w:highlight w:val="none"/>
              </w:rPr>
              <w:t>2</w:t>
            </w:r>
          </w:p>
        </w:tc>
        <w:tc>
          <w:tcPr>
            <w:tcW w:w="807" w:type="dxa"/>
            <w:tcBorders>
              <w:top w:val="single" w:color="auto" w:sz="4" w:space="0"/>
              <w:left w:val="single" w:color="auto" w:sz="4" w:space="0"/>
              <w:bottom w:val="single" w:color="auto" w:sz="4" w:space="0"/>
              <w:right w:val="single" w:color="auto" w:sz="4" w:space="0"/>
            </w:tcBorders>
            <w:noWrap w:val="0"/>
            <w:vAlign w:val="top"/>
          </w:tcPr>
          <w:p w14:paraId="5DD53A24">
            <w:pPr>
              <w:spacing w:before="100"/>
              <w:ind w:left="42"/>
              <w:rPr>
                <w:rFonts w:hint="eastAsia" w:ascii="宋体" w:hAnsi="宋体" w:eastAsia="宋体" w:cs="宋体"/>
                <w:strike w:val="0"/>
                <w:color w:val="auto"/>
                <w:sz w:val="18"/>
                <w:highlight w:val="none"/>
              </w:rPr>
            </w:pPr>
            <w:r>
              <w:rPr>
                <w:rFonts w:hint="eastAsia" w:ascii="宋体" w:hAnsi="宋体" w:eastAsia="宋体" w:cs="宋体"/>
                <w:strike w:val="0"/>
                <w:color w:val="auto"/>
                <w:spacing w:val="-12"/>
                <w:sz w:val="18"/>
                <w:highlight w:val="none"/>
              </w:rPr>
              <w:t xml:space="preserve">评分人 </w:t>
            </w:r>
            <w:r>
              <w:rPr>
                <w:rFonts w:hint="eastAsia" w:ascii="宋体" w:hAnsi="宋体" w:eastAsia="宋体" w:cs="宋体"/>
                <w:strike w:val="0"/>
                <w:color w:val="auto"/>
                <w:sz w:val="18"/>
                <w:highlight w:val="none"/>
              </w:rPr>
              <w:t>3</w:t>
            </w:r>
          </w:p>
        </w:tc>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1566A4B6">
            <w:pPr>
              <w:autoSpaceDE/>
              <w:autoSpaceDN/>
              <w:rPr>
                <w:rFonts w:hint="eastAsia" w:ascii="宋体" w:hAnsi="宋体" w:eastAsia="宋体" w:cs="宋体"/>
                <w:strike w:val="0"/>
                <w:color w:val="auto"/>
                <w:sz w:val="18"/>
                <w:highlight w:val="none"/>
              </w:rPr>
            </w:pPr>
          </w:p>
        </w:tc>
      </w:tr>
      <w:tr w14:paraId="43717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602" w:type="dxa"/>
            <w:vMerge w:val="restart"/>
            <w:tcBorders>
              <w:top w:val="single" w:color="auto" w:sz="4" w:space="0"/>
              <w:left w:val="single" w:color="auto" w:sz="4" w:space="0"/>
              <w:right w:val="single" w:color="auto" w:sz="4" w:space="0"/>
            </w:tcBorders>
            <w:noWrap w:val="0"/>
            <w:vAlign w:val="center"/>
          </w:tcPr>
          <w:p w14:paraId="3CBA5DEB">
            <w:pPr>
              <w:spacing w:line="360" w:lineRule="auto"/>
              <w:ind w:left="100"/>
              <w:jc w:val="center"/>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运维</w:t>
            </w:r>
          </w:p>
          <w:p w14:paraId="4A4B9BF7">
            <w:pPr>
              <w:spacing w:before="2" w:line="360" w:lineRule="auto"/>
              <w:ind w:left="100"/>
              <w:jc w:val="center"/>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单位</w:t>
            </w:r>
          </w:p>
          <w:p w14:paraId="6F4949BF">
            <w:pPr>
              <w:spacing w:before="1"/>
              <w:ind w:left="191"/>
              <w:jc w:val="center"/>
              <w:rPr>
                <w:rFonts w:hint="eastAsia" w:ascii="宋体" w:hAnsi="宋体" w:eastAsia="宋体" w:cs="宋体"/>
                <w:strike w:val="0"/>
                <w:dstrike w:val="0"/>
                <w:color w:val="auto"/>
                <w:sz w:val="18"/>
                <w:highlight w:val="none"/>
              </w:rPr>
            </w:pPr>
          </w:p>
        </w:tc>
        <w:tc>
          <w:tcPr>
            <w:tcW w:w="599" w:type="dxa"/>
            <w:vMerge w:val="restart"/>
            <w:tcBorders>
              <w:top w:val="single" w:color="auto" w:sz="4" w:space="0"/>
              <w:left w:val="single" w:color="auto" w:sz="4" w:space="0"/>
              <w:right w:val="single" w:color="auto" w:sz="4" w:space="0"/>
            </w:tcBorders>
            <w:noWrap w:val="0"/>
            <w:vAlign w:val="center"/>
          </w:tcPr>
          <w:p w14:paraId="739520AF">
            <w:pPr>
              <w:jc w:val="center"/>
              <w:rPr>
                <w:rFonts w:hint="eastAsia" w:ascii="宋体" w:hAnsi="宋体" w:eastAsia="宋体" w:cs="宋体"/>
                <w:b/>
                <w:strike w:val="0"/>
                <w:dstrike w:val="0"/>
                <w:color w:val="auto"/>
                <w:sz w:val="18"/>
                <w:highlight w:val="none"/>
              </w:rPr>
            </w:pPr>
          </w:p>
          <w:p w14:paraId="51D13CE6">
            <w:pPr>
              <w:spacing w:before="1"/>
              <w:jc w:val="center"/>
              <w:rPr>
                <w:rFonts w:hint="eastAsia" w:ascii="宋体" w:hAnsi="宋体" w:eastAsia="宋体" w:cs="宋体"/>
                <w:b/>
                <w:strike w:val="0"/>
                <w:dstrike w:val="0"/>
                <w:color w:val="auto"/>
                <w:sz w:val="20"/>
                <w:highlight w:val="none"/>
              </w:rPr>
            </w:pPr>
          </w:p>
          <w:p w14:paraId="4A103F18">
            <w:pPr>
              <w:spacing w:line="242" w:lineRule="auto"/>
              <w:ind w:left="189" w:right="90" w:hanging="92"/>
              <w:jc w:val="center"/>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评分项</w:t>
            </w:r>
          </w:p>
        </w:tc>
        <w:tc>
          <w:tcPr>
            <w:tcW w:w="599" w:type="dxa"/>
            <w:vMerge w:val="restart"/>
            <w:tcBorders>
              <w:top w:val="single" w:color="auto" w:sz="4" w:space="0"/>
              <w:left w:val="single" w:color="auto" w:sz="4" w:space="0"/>
              <w:bottom w:val="single" w:color="auto" w:sz="4" w:space="0"/>
              <w:right w:val="single" w:color="auto" w:sz="4" w:space="0"/>
            </w:tcBorders>
            <w:noWrap w:val="0"/>
            <w:vAlign w:val="top"/>
          </w:tcPr>
          <w:p w14:paraId="185FDD5F">
            <w:pPr>
              <w:rPr>
                <w:rFonts w:hint="eastAsia" w:ascii="宋体" w:hAnsi="宋体" w:eastAsia="宋体" w:cs="宋体"/>
                <w:b/>
                <w:strike w:val="0"/>
                <w:dstrike w:val="0"/>
                <w:color w:val="auto"/>
                <w:sz w:val="20"/>
                <w:highlight w:val="none"/>
              </w:rPr>
            </w:pPr>
          </w:p>
          <w:p w14:paraId="5AA3674C">
            <w:pPr>
              <w:rPr>
                <w:rFonts w:hint="eastAsia" w:ascii="宋体" w:hAnsi="宋体" w:eastAsia="宋体" w:cs="宋体"/>
                <w:b/>
                <w:strike w:val="0"/>
                <w:dstrike w:val="0"/>
                <w:color w:val="auto"/>
                <w:sz w:val="20"/>
                <w:highlight w:val="none"/>
              </w:rPr>
            </w:pPr>
          </w:p>
          <w:p w14:paraId="2058FD98">
            <w:pPr>
              <w:rPr>
                <w:rFonts w:hint="eastAsia" w:ascii="宋体" w:hAnsi="宋体" w:eastAsia="宋体" w:cs="宋体"/>
                <w:b/>
                <w:strike w:val="0"/>
                <w:dstrike w:val="0"/>
                <w:color w:val="auto"/>
                <w:sz w:val="20"/>
                <w:highlight w:val="none"/>
              </w:rPr>
            </w:pPr>
          </w:p>
          <w:p w14:paraId="2DD3A4F5">
            <w:pPr>
              <w:rPr>
                <w:rFonts w:hint="eastAsia" w:ascii="宋体" w:hAnsi="宋体" w:eastAsia="宋体" w:cs="宋体"/>
                <w:b/>
                <w:strike w:val="0"/>
                <w:dstrike w:val="0"/>
                <w:color w:val="auto"/>
                <w:sz w:val="20"/>
                <w:highlight w:val="none"/>
              </w:rPr>
            </w:pPr>
          </w:p>
          <w:p w14:paraId="1E9058EE">
            <w:pPr>
              <w:rPr>
                <w:rFonts w:hint="eastAsia" w:ascii="宋体" w:hAnsi="宋体" w:eastAsia="宋体" w:cs="宋体"/>
                <w:b/>
                <w:strike w:val="0"/>
                <w:dstrike w:val="0"/>
                <w:color w:val="auto"/>
                <w:sz w:val="20"/>
                <w:highlight w:val="none"/>
              </w:rPr>
            </w:pPr>
          </w:p>
          <w:p w14:paraId="0095C967">
            <w:pPr>
              <w:rPr>
                <w:rFonts w:hint="eastAsia" w:ascii="宋体" w:hAnsi="宋体" w:eastAsia="宋体" w:cs="宋体"/>
                <w:b/>
                <w:strike w:val="0"/>
                <w:dstrike w:val="0"/>
                <w:color w:val="auto"/>
                <w:sz w:val="20"/>
                <w:highlight w:val="none"/>
              </w:rPr>
            </w:pPr>
          </w:p>
          <w:p w14:paraId="42AC859B">
            <w:pPr>
              <w:rPr>
                <w:rFonts w:hint="eastAsia" w:ascii="宋体" w:hAnsi="宋体" w:eastAsia="宋体" w:cs="宋体"/>
                <w:b/>
                <w:strike w:val="0"/>
                <w:dstrike w:val="0"/>
                <w:color w:val="auto"/>
                <w:sz w:val="20"/>
                <w:highlight w:val="none"/>
              </w:rPr>
            </w:pPr>
          </w:p>
          <w:p w14:paraId="46454493">
            <w:pPr>
              <w:rPr>
                <w:rFonts w:hint="eastAsia" w:ascii="宋体" w:hAnsi="宋体" w:eastAsia="宋体" w:cs="宋体"/>
                <w:b/>
                <w:strike w:val="0"/>
                <w:dstrike w:val="0"/>
                <w:color w:val="auto"/>
                <w:sz w:val="20"/>
                <w:highlight w:val="none"/>
              </w:rPr>
            </w:pPr>
          </w:p>
          <w:p w14:paraId="5504102F">
            <w:pPr>
              <w:rPr>
                <w:rFonts w:hint="eastAsia" w:ascii="宋体" w:hAnsi="宋体" w:eastAsia="宋体" w:cs="宋体"/>
                <w:b/>
                <w:strike w:val="0"/>
                <w:dstrike w:val="0"/>
                <w:color w:val="auto"/>
                <w:sz w:val="20"/>
                <w:highlight w:val="none"/>
              </w:rPr>
            </w:pPr>
          </w:p>
          <w:p w14:paraId="20976144">
            <w:pPr>
              <w:rPr>
                <w:rFonts w:hint="eastAsia" w:ascii="宋体" w:hAnsi="宋体" w:eastAsia="宋体" w:cs="宋体"/>
                <w:b/>
                <w:strike w:val="0"/>
                <w:dstrike w:val="0"/>
                <w:color w:val="auto"/>
                <w:sz w:val="20"/>
                <w:highlight w:val="none"/>
              </w:rPr>
            </w:pPr>
          </w:p>
          <w:p w14:paraId="25CD4CDB">
            <w:pPr>
              <w:rPr>
                <w:rFonts w:hint="eastAsia" w:ascii="宋体" w:hAnsi="宋体" w:eastAsia="宋体" w:cs="宋体"/>
                <w:b/>
                <w:strike w:val="0"/>
                <w:dstrike w:val="0"/>
                <w:color w:val="auto"/>
                <w:sz w:val="20"/>
                <w:highlight w:val="none"/>
              </w:rPr>
            </w:pPr>
          </w:p>
          <w:p w14:paraId="79A38B22">
            <w:pPr>
              <w:rPr>
                <w:rFonts w:hint="eastAsia" w:ascii="宋体" w:hAnsi="宋体" w:eastAsia="宋体" w:cs="宋体"/>
                <w:b/>
                <w:strike w:val="0"/>
                <w:dstrike w:val="0"/>
                <w:color w:val="auto"/>
                <w:sz w:val="20"/>
                <w:highlight w:val="none"/>
              </w:rPr>
            </w:pPr>
          </w:p>
          <w:p w14:paraId="3AADBEF9">
            <w:pPr>
              <w:rPr>
                <w:rFonts w:hint="eastAsia" w:ascii="宋体" w:hAnsi="宋体" w:eastAsia="宋体" w:cs="宋体"/>
                <w:b/>
                <w:strike w:val="0"/>
                <w:dstrike w:val="0"/>
                <w:color w:val="auto"/>
                <w:sz w:val="20"/>
                <w:highlight w:val="none"/>
              </w:rPr>
            </w:pPr>
          </w:p>
          <w:p w14:paraId="5842AC22">
            <w:pPr>
              <w:spacing w:before="160"/>
              <w:ind w:left="9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6.2.2</w:t>
            </w:r>
          </w:p>
        </w:tc>
        <w:tc>
          <w:tcPr>
            <w:tcW w:w="517" w:type="dxa"/>
            <w:vMerge w:val="restart"/>
            <w:tcBorders>
              <w:top w:val="single" w:color="auto" w:sz="4" w:space="0"/>
              <w:left w:val="single" w:color="auto" w:sz="4" w:space="0"/>
              <w:bottom w:val="single" w:color="auto" w:sz="4" w:space="0"/>
              <w:right w:val="single" w:color="auto" w:sz="4" w:space="0"/>
            </w:tcBorders>
            <w:noWrap w:val="0"/>
            <w:vAlign w:val="top"/>
          </w:tcPr>
          <w:p w14:paraId="3BFF83BE">
            <w:pPr>
              <w:rPr>
                <w:rFonts w:hint="eastAsia" w:ascii="宋体" w:hAnsi="宋体" w:eastAsia="宋体" w:cs="宋体"/>
                <w:b/>
                <w:strike w:val="0"/>
                <w:dstrike w:val="0"/>
                <w:color w:val="auto"/>
                <w:sz w:val="18"/>
                <w:highlight w:val="none"/>
              </w:rPr>
            </w:pPr>
          </w:p>
          <w:p w14:paraId="230D0ACD">
            <w:pPr>
              <w:rPr>
                <w:rFonts w:hint="eastAsia" w:ascii="宋体" w:hAnsi="宋体" w:eastAsia="宋体" w:cs="宋体"/>
                <w:b/>
                <w:strike w:val="0"/>
                <w:dstrike w:val="0"/>
                <w:color w:val="auto"/>
                <w:sz w:val="18"/>
                <w:highlight w:val="none"/>
              </w:rPr>
            </w:pPr>
          </w:p>
          <w:p w14:paraId="0F684337">
            <w:pPr>
              <w:rPr>
                <w:rFonts w:hint="eastAsia" w:ascii="宋体" w:hAnsi="宋体" w:eastAsia="宋体" w:cs="宋体"/>
                <w:b/>
                <w:strike w:val="0"/>
                <w:dstrike w:val="0"/>
                <w:color w:val="auto"/>
                <w:sz w:val="18"/>
                <w:highlight w:val="none"/>
              </w:rPr>
            </w:pPr>
          </w:p>
          <w:p w14:paraId="30144F85">
            <w:pPr>
              <w:rPr>
                <w:rFonts w:hint="eastAsia" w:ascii="宋体" w:hAnsi="宋体" w:eastAsia="宋体" w:cs="宋体"/>
                <w:b/>
                <w:strike w:val="0"/>
                <w:dstrike w:val="0"/>
                <w:color w:val="auto"/>
                <w:sz w:val="18"/>
                <w:highlight w:val="none"/>
              </w:rPr>
            </w:pPr>
          </w:p>
          <w:p w14:paraId="27C41FD1">
            <w:pPr>
              <w:rPr>
                <w:rFonts w:hint="eastAsia" w:ascii="宋体" w:hAnsi="宋体" w:eastAsia="宋体" w:cs="宋体"/>
                <w:b/>
                <w:strike w:val="0"/>
                <w:dstrike w:val="0"/>
                <w:color w:val="auto"/>
                <w:sz w:val="18"/>
                <w:highlight w:val="none"/>
              </w:rPr>
            </w:pPr>
          </w:p>
          <w:p w14:paraId="286960BD">
            <w:pPr>
              <w:rPr>
                <w:rFonts w:hint="eastAsia" w:ascii="宋体" w:hAnsi="宋体" w:eastAsia="宋体" w:cs="宋体"/>
                <w:b/>
                <w:strike w:val="0"/>
                <w:dstrike w:val="0"/>
                <w:color w:val="auto"/>
                <w:sz w:val="18"/>
                <w:highlight w:val="none"/>
              </w:rPr>
            </w:pPr>
          </w:p>
          <w:p w14:paraId="5647D214">
            <w:pPr>
              <w:rPr>
                <w:rFonts w:hint="eastAsia" w:ascii="宋体" w:hAnsi="宋体" w:eastAsia="宋体" w:cs="宋体"/>
                <w:b/>
                <w:strike w:val="0"/>
                <w:dstrike w:val="0"/>
                <w:color w:val="auto"/>
                <w:sz w:val="18"/>
                <w:highlight w:val="none"/>
              </w:rPr>
            </w:pPr>
          </w:p>
          <w:p w14:paraId="16AB03BB">
            <w:pPr>
              <w:rPr>
                <w:rFonts w:hint="eastAsia" w:ascii="宋体" w:hAnsi="宋体" w:eastAsia="宋体" w:cs="宋体"/>
                <w:b/>
                <w:strike w:val="0"/>
                <w:dstrike w:val="0"/>
                <w:color w:val="auto"/>
                <w:sz w:val="18"/>
                <w:highlight w:val="none"/>
              </w:rPr>
            </w:pPr>
          </w:p>
          <w:p w14:paraId="1A81BB60">
            <w:pPr>
              <w:rPr>
                <w:rFonts w:hint="eastAsia" w:ascii="宋体" w:hAnsi="宋体" w:eastAsia="宋体" w:cs="宋体"/>
                <w:b/>
                <w:strike w:val="0"/>
                <w:dstrike w:val="0"/>
                <w:color w:val="auto"/>
                <w:sz w:val="18"/>
                <w:highlight w:val="none"/>
              </w:rPr>
            </w:pPr>
          </w:p>
          <w:p w14:paraId="69D8BCE1">
            <w:pPr>
              <w:rPr>
                <w:rFonts w:hint="eastAsia" w:ascii="宋体" w:hAnsi="宋体" w:eastAsia="宋体" w:cs="宋体"/>
                <w:b/>
                <w:strike w:val="0"/>
                <w:dstrike w:val="0"/>
                <w:color w:val="auto"/>
                <w:sz w:val="18"/>
                <w:highlight w:val="none"/>
              </w:rPr>
            </w:pPr>
          </w:p>
          <w:p w14:paraId="615E8C8A">
            <w:pPr>
              <w:spacing w:before="5"/>
              <w:rPr>
                <w:rFonts w:hint="eastAsia" w:ascii="宋体" w:hAnsi="宋体" w:eastAsia="宋体" w:cs="宋体"/>
                <w:b/>
                <w:strike w:val="0"/>
                <w:dstrike w:val="0"/>
                <w:color w:val="auto"/>
                <w:sz w:val="25"/>
                <w:highlight w:val="none"/>
              </w:rPr>
            </w:pPr>
          </w:p>
          <w:p w14:paraId="4CD23D8E">
            <w:pPr>
              <w:spacing w:before="1"/>
              <w:ind w:left="42" w:right="153" w:firstLine="14"/>
              <w:jc w:val="both"/>
              <w:rPr>
                <w:rFonts w:hint="eastAsia" w:ascii="宋体" w:hAnsi="宋体" w:eastAsia="宋体" w:cs="宋体"/>
                <w:strike w:val="0"/>
                <w:dstrike w:val="0"/>
                <w:color w:val="auto"/>
                <w:sz w:val="18"/>
                <w:highlight w:val="none"/>
                <w:lang w:eastAsia="zh-CN"/>
              </w:rPr>
            </w:pPr>
            <w:r>
              <w:rPr>
                <w:rFonts w:hint="eastAsia" w:ascii="宋体" w:hAnsi="宋体" w:eastAsia="宋体" w:cs="宋体"/>
                <w:strike w:val="0"/>
                <w:dstrike w:val="0"/>
                <w:color w:val="auto"/>
                <w:sz w:val="18"/>
                <w:highlight w:val="none"/>
              </w:rPr>
              <w:t>运维管理平台符合以下 要求</w:t>
            </w:r>
          </w:p>
        </w:tc>
        <w:tc>
          <w:tcPr>
            <w:tcW w:w="7263" w:type="dxa"/>
            <w:gridSpan w:val="2"/>
            <w:tcBorders>
              <w:top w:val="single" w:color="auto" w:sz="4" w:space="0"/>
              <w:left w:val="single" w:color="auto" w:sz="4" w:space="0"/>
              <w:bottom w:val="single" w:color="auto" w:sz="4" w:space="0"/>
              <w:right w:val="single" w:color="auto" w:sz="4" w:space="0"/>
            </w:tcBorders>
            <w:noWrap w:val="0"/>
            <w:vAlign w:val="top"/>
          </w:tcPr>
          <w:p w14:paraId="307AA1C0">
            <w:pPr>
              <w:spacing w:before="28"/>
              <w:ind w:left="60"/>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1 由专人负责管理，并按照相关规定对数据库与电子台账进行维护；无落实专人负责的，扣 1.5 分</w:t>
            </w:r>
          </w:p>
        </w:tc>
        <w:tc>
          <w:tcPr>
            <w:tcW w:w="905" w:type="dxa"/>
            <w:vMerge w:val="restart"/>
            <w:tcBorders>
              <w:top w:val="single" w:color="auto" w:sz="4" w:space="0"/>
              <w:left w:val="single" w:color="auto" w:sz="4" w:space="0"/>
              <w:bottom w:val="single" w:color="auto" w:sz="4" w:space="0"/>
              <w:right w:val="single" w:color="auto" w:sz="4" w:space="0"/>
            </w:tcBorders>
            <w:noWrap w:val="0"/>
            <w:vAlign w:val="top"/>
          </w:tcPr>
          <w:p w14:paraId="22C9DAA4">
            <w:pPr>
              <w:rPr>
                <w:rFonts w:hint="eastAsia" w:ascii="宋体" w:hAnsi="宋体" w:eastAsia="宋体" w:cs="宋体"/>
                <w:b/>
                <w:strike w:val="0"/>
                <w:color w:val="auto"/>
                <w:sz w:val="18"/>
                <w:highlight w:val="none"/>
              </w:rPr>
            </w:pPr>
          </w:p>
          <w:p w14:paraId="7F635DCC">
            <w:pPr>
              <w:rPr>
                <w:rFonts w:hint="eastAsia" w:ascii="宋体" w:hAnsi="宋体" w:eastAsia="宋体" w:cs="宋体"/>
                <w:b/>
                <w:strike w:val="0"/>
                <w:color w:val="auto"/>
                <w:sz w:val="18"/>
                <w:highlight w:val="none"/>
              </w:rPr>
            </w:pPr>
          </w:p>
          <w:p w14:paraId="44A398B6">
            <w:pPr>
              <w:rPr>
                <w:rFonts w:hint="eastAsia" w:ascii="宋体" w:hAnsi="宋体" w:eastAsia="宋体" w:cs="宋体"/>
                <w:b/>
                <w:strike w:val="0"/>
                <w:color w:val="auto"/>
                <w:sz w:val="18"/>
                <w:highlight w:val="none"/>
              </w:rPr>
            </w:pPr>
          </w:p>
          <w:p w14:paraId="5A477350">
            <w:pPr>
              <w:rPr>
                <w:rFonts w:hint="eastAsia" w:ascii="宋体" w:hAnsi="宋体" w:eastAsia="宋体" w:cs="宋体"/>
                <w:b/>
                <w:strike w:val="0"/>
                <w:color w:val="auto"/>
                <w:sz w:val="18"/>
                <w:highlight w:val="none"/>
              </w:rPr>
            </w:pPr>
          </w:p>
          <w:p w14:paraId="2912F51D">
            <w:pPr>
              <w:rPr>
                <w:rFonts w:hint="eastAsia" w:ascii="宋体" w:hAnsi="宋体" w:eastAsia="宋体" w:cs="宋体"/>
                <w:b/>
                <w:strike w:val="0"/>
                <w:color w:val="auto"/>
                <w:sz w:val="18"/>
                <w:highlight w:val="none"/>
              </w:rPr>
            </w:pPr>
          </w:p>
          <w:p w14:paraId="480871A6">
            <w:pPr>
              <w:rPr>
                <w:rFonts w:hint="eastAsia" w:ascii="宋体" w:hAnsi="宋体" w:eastAsia="宋体" w:cs="宋体"/>
                <w:b/>
                <w:strike w:val="0"/>
                <w:color w:val="auto"/>
                <w:sz w:val="18"/>
                <w:highlight w:val="none"/>
              </w:rPr>
            </w:pPr>
          </w:p>
          <w:p w14:paraId="31505937">
            <w:pPr>
              <w:rPr>
                <w:rFonts w:hint="eastAsia" w:ascii="宋体" w:hAnsi="宋体" w:eastAsia="宋体" w:cs="宋体"/>
                <w:b/>
                <w:strike w:val="0"/>
                <w:color w:val="auto"/>
                <w:sz w:val="18"/>
                <w:highlight w:val="none"/>
              </w:rPr>
            </w:pPr>
          </w:p>
          <w:p w14:paraId="721A1B38">
            <w:pPr>
              <w:rPr>
                <w:rFonts w:hint="eastAsia" w:ascii="宋体" w:hAnsi="宋体" w:eastAsia="宋体" w:cs="宋体"/>
                <w:b/>
                <w:strike w:val="0"/>
                <w:color w:val="auto"/>
                <w:sz w:val="18"/>
                <w:highlight w:val="none"/>
              </w:rPr>
            </w:pPr>
          </w:p>
          <w:p w14:paraId="45066F32">
            <w:pPr>
              <w:rPr>
                <w:rFonts w:hint="eastAsia" w:ascii="宋体" w:hAnsi="宋体" w:eastAsia="宋体" w:cs="宋体"/>
                <w:b/>
                <w:strike w:val="0"/>
                <w:color w:val="auto"/>
                <w:sz w:val="18"/>
                <w:highlight w:val="none"/>
              </w:rPr>
            </w:pPr>
          </w:p>
          <w:p w14:paraId="6C0E1D42">
            <w:pPr>
              <w:rPr>
                <w:rFonts w:hint="eastAsia" w:ascii="宋体" w:hAnsi="宋体" w:eastAsia="宋体" w:cs="宋体"/>
                <w:b/>
                <w:strike w:val="0"/>
                <w:color w:val="auto"/>
                <w:sz w:val="18"/>
                <w:highlight w:val="none"/>
              </w:rPr>
            </w:pPr>
          </w:p>
          <w:p w14:paraId="766A393C">
            <w:pPr>
              <w:rPr>
                <w:rFonts w:hint="eastAsia" w:ascii="宋体" w:hAnsi="宋体" w:eastAsia="宋体" w:cs="宋体"/>
                <w:b/>
                <w:strike w:val="0"/>
                <w:color w:val="auto"/>
                <w:sz w:val="18"/>
                <w:highlight w:val="none"/>
              </w:rPr>
            </w:pPr>
          </w:p>
          <w:p w14:paraId="4E0F6E72">
            <w:pPr>
              <w:rPr>
                <w:rFonts w:hint="eastAsia" w:ascii="宋体" w:hAnsi="宋体" w:eastAsia="宋体" w:cs="宋体"/>
                <w:b/>
                <w:strike w:val="0"/>
                <w:color w:val="auto"/>
                <w:sz w:val="18"/>
                <w:highlight w:val="none"/>
              </w:rPr>
            </w:pPr>
          </w:p>
          <w:p w14:paraId="569264D6">
            <w:pPr>
              <w:rPr>
                <w:rFonts w:hint="eastAsia" w:ascii="宋体" w:hAnsi="宋体" w:eastAsia="宋体" w:cs="宋体"/>
                <w:b/>
                <w:strike w:val="0"/>
                <w:color w:val="auto"/>
                <w:sz w:val="18"/>
                <w:highlight w:val="none"/>
              </w:rPr>
            </w:pPr>
          </w:p>
          <w:p w14:paraId="66ED9775">
            <w:pPr>
              <w:rPr>
                <w:rFonts w:hint="eastAsia" w:ascii="宋体" w:hAnsi="宋体" w:eastAsia="宋体" w:cs="宋体"/>
                <w:b/>
                <w:strike w:val="0"/>
                <w:color w:val="auto"/>
                <w:sz w:val="18"/>
                <w:highlight w:val="none"/>
              </w:rPr>
            </w:pPr>
          </w:p>
          <w:p w14:paraId="2BAF8152">
            <w:pPr>
              <w:spacing w:before="4"/>
              <w:rPr>
                <w:rFonts w:hint="eastAsia" w:ascii="宋体" w:hAnsi="宋体" w:eastAsia="宋体" w:cs="宋体"/>
                <w:b/>
                <w:strike w:val="0"/>
                <w:color w:val="auto"/>
                <w:sz w:val="20"/>
                <w:highlight w:val="none"/>
              </w:rPr>
            </w:pPr>
          </w:p>
          <w:p w14:paraId="1EDE2EF8">
            <w:pPr>
              <w:ind w:left="66"/>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查看平台</w:t>
            </w:r>
          </w:p>
        </w:tc>
        <w:tc>
          <w:tcPr>
            <w:tcW w:w="780" w:type="dxa"/>
            <w:tcBorders>
              <w:top w:val="single" w:color="auto" w:sz="4" w:space="0"/>
              <w:left w:val="single" w:color="auto" w:sz="4" w:space="0"/>
              <w:bottom w:val="single" w:color="auto" w:sz="4" w:space="0"/>
              <w:right w:val="single" w:color="auto" w:sz="4" w:space="0"/>
            </w:tcBorders>
            <w:noWrap w:val="0"/>
            <w:vAlign w:val="top"/>
          </w:tcPr>
          <w:p w14:paraId="2645F7EE">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661A0DD9">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F9258DD">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0598781D">
            <w:pPr>
              <w:rPr>
                <w:rFonts w:hint="eastAsia" w:ascii="宋体" w:hAnsi="宋体" w:eastAsia="宋体" w:cs="宋体"/>
                <w:strike w:val="0"/>
                <w:color w:val="auto"/>
                <w:sz w:val="18"/>
                <w:highlight w:val="none"/>
              </w:rPr>
            </w:pPr>
          </w:p>
        </w:tc>
        <w:tc>
          <w:tcPr>
            <w:tcW w:w="782" w:type="dxa"/>
            <w:vMerge w:val="restart"/>
            <w:tcBorders>
              <w:top w:val="single" w:color="auto" w:sz="4" w:space="0"/>
              <w:left w:val="single" w:color="auto" w:sz="4" w:space="0"/>
              <w:bottom w:val="single" w:color="auto" w:sz="4" w:space="0"/>
              <w:right w:val="single" w:color="auto" w:sz="4" w:space="0"/>
            </w:tcBorders>
            <w:noWrap w:val="0"/>
            <w:vAlign w:val="top"/>
          </w:tcPr>
          <w:p w14:paraId="31611E14">
            <w:pPr>
              <w:rPr>
                <w:rFonts w:hint="eastAsia" w:ascii="宋体" w:hAnsi="宋体" w:eastAsia="宋体" w:cs="宋体"/>
                <w:strike w:val="0"/>
                <w:color w:val="auto"/>
                <w:sz w:val="18"/>
                <w:highlight w:val="none"/>
              </w:rPr>
            </w:pPr>
          </w:p>
        </w:tc>
      </w:tr>
      <w:tr w14:paraId="5644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2" w:type="dxa"/>
            <w:vMerge w:val="continue"/>
            <w:tcBorders>
              <w:left w:val="single" w:color="auto" w:sz="4" w:space="0"/>
              <w:right w:val="single" w:color="auto" w:sz="4" w:space="0"/>
            </w:tcBorders>
            <w:noWrap w:val="0"/>
            <w:vAlign w:val="top"/>
          </w:tcPr>
          <w:p w14:paraId="580B73C6">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1C52BA6A">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2D2D3859">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595014EC">
            <w:pPr>
              <w:autoSpaceDE/>
              <w:autoSpaceDN/>
              <w:rPr>
                <w:rFonts w:hint="eastAsia" w:ascii="宋体" w:hAnsi="宋体" w:eastAsia="宋体" w:cs="宋体"/>
                <w:strike w:val="0"/>
                <w:dstrike w:val="0"/>
                <w:color w:val="auto"/>
                <w:sz w:val="18"/>
                <w:highlight w:val="none"/>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top"/>
          </w:tcPr>
          <w:p w14:paraId="314655B3">
            <w:pPr>
              <w:rPr>
                <w:rFonts w:hint="eastAsia" w:ascii="宋体" w:hAnsi="宋体" w:eastAsia="宋体" w:cs="宋体"/>
                <w:b/>
                <w:strike w:val="0"/>
                <w:dstrike w:val="0"/>
                <w:color w:val="auto"/>
                <w:sz w:val="18"/>
                <w:highlight w:val="none"/>
              </w:rPr>
            </w:pPr>
          </w:p>
          <w:p w14:paraId="28E92189">
            <w:pPr>
              <w:rPr>
                <w:rFonts w:hint="eastAsia" w:ascii="宋体" w:hAnsi="宋体" w:eastAsia="宋体" w:cs="宋体"/>
                <w:b/>
                <w:strike w:val="0"/>
                <w:dstrike w:val="0"/>
                <w:color w:val="auto"/>
                <w:sz w:val="18"/>
                <w:highlight w:val="none"/>
              </w:rPr>
            </w:pPr>
          </w:p>
          <w:p w14:paraId="1781D4CD">
            <w:pPr>
              <w:rPr>
                <w:rFonts w:hint="eastAsia" w:ascii="宋体" w:hAnsi="宋体" w:eastAsia="宋体" w:cs="宋体"/>
                <w:b/>
                <w:strike w:val="0"/>
                <w:dstrike w:val="0"/>
                <w:color w:val="auto"/>
                <w:sz w:val="18"/>
                <w:highlight w:val="none"/>
              </w:rPr>
            </w:pPr>
          </w:p>
          <w:p w14:paraId="2B5AA32C">
            <w:pPr>
              <w:rPr>
                <w:rFonts w:hint="eastAsia" w:ascii="宋体" w:hAnsi="宋体" w:eastAsia="宋体" w:cs="宋体"/>
                <w:b/>
                <w:strike w:val="0"/>
                <w:dstrike w:val="0"/>
                <w:color w:val="auto"/>
                <w:sz w:val="18"/>
                <w:highlight w:val="none"/>
              </w:rPr>
            </w:pPr>
          </w:p>
          <w:p w14:paraId="5E3763C0">
            <w:pPr>
              <w:rPr>
                <w:rFonts w:hint="eastAsia" w:ascii="宋体" w:hAnsi="宋体" w:eastAsia="宋体" w:cs="宋体"/>
                <w:b/>
                <w:strike w:val="0"/>
                <w:dstrike w:val="0"/>
                <w:color w:val="auto"/>
                <w:sz w:val="18"/>
                <w:highlight w:val="none"/>
              </w:rPr>
            </w:pPr>
          </w:p>
          <w:p w14:paraId="0924DF54">
            <w:pPr>
              <w:rPr>
                <w:rFonts w:hint="eastAsia" w:ascii="宋体" w:hAnsi="宋体" w:eastAsia="宋体" w:cs="宋体"/>
                <w:b/>
                <w:strike w:val="0"/>
                <w:dstrike w:val="0"/>
                <w:color w:val="auto"/>
                <w:sz w:val="18"/>
                <w:highlight w:val="none"/>
              </w:rPr>
            </w:pPr>
          </w:p>
          <w:p w14:paraId="6A6B2FB5">
            <w:pPr>
              <w:spacing w:before="11"/>
              <w:rPr>
                <w:rFonts w:hint="eastAsia" w:ascii="宋体" w:hAnsi="宋体" w:eastAsia="宋体" w:cs="宋体"/>
                <w:b/>
                <w:strike w:val="0"/>
                <w:dstrike w:val="0"/>
                <w:color w:val="auto"/>
                <w:sz w:val="26"/>
                <w:highlight w:val="none"/>
              </w:rPr>
            </w:pPr>
          </w:p>
          <w:p w14:paraId="7E961A03">
            <w:pPr>
              <w:spacing w:before="6"/>
              <w:ind w:left="45"/>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2 功能齐全，具备基础信息库、人员管理、内部规范、权限管理、设施信息管理、运维工作管理、政策导则、政府对接、报表管理功能</w:t>
            </w:r>
          </w:p>
        </w:tc>
        <w:tc>
          <w:tcPr>
            <w:tcW w:w="6468" w:type="dxa"/>
            <w:tcBorders>
              <w:top w:val="single" w:color="auto" w:sz="4" w:space="0"/>
              <w:left w:val="single" w:color="auto" w:sz="4" w:space="0"/>
              <w:bottom w:val="single" w:color="auto" w:sz="4" w:space="0"/>
              <w:right w:val="single" w:color="auto" w:sz="4" w:space="0"/>
            </w:tcBorders>
            <w:noWrap w:val="0"/>
            <w:vAlign w:val="top"/>
          </w:tcPr>
          <w:p w14:paraId="664DC956">
            <w:pPr>
              <w:spacing w:before="28" w:line="230" w:lineRule="atLeast"/>
              <w:ind w:left="44" w:right="96"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1）基础信息库包括农村基本信息库、设施信息库、运维单位基本信息库、管理监督人员信息库；如有不完整，扣 0.4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0DE13718">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A9DA27B">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11AAEF00">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158CFED7">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0BC680C1">
            <w:pPr>
              <w:rPr>
                <w:rFonts w:hint="eastAsia" w:ascii="宋体" w:hAnsi="宋体" w:eastAsia="宋体" w:cs="宋体"/>
                <w:strike w:val="0"/>
                <w:color w:val="auto"/>
                <w:sz w:val="18"/>
                <w:highlight w:val="none"/>
              </w:rPr>
            </w:pPr>
          </w:p>
        </w:tc>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5C7A9A4A">
            <w:pPr>
              <w:autoSpaceDE/>
              <w:autoSpaceDN/>
              <w:rPr>
                <w:rFonts w:hint="eastAsia" w:ascii="宋体" w:hAnsi="宋体" w:eastAsia="宋体" w:cs="宋体"/>
                <w:strike w:val="0"/>
                <w:color w:val="auto"/>
                <w:sz w:val="18"/>
                <w:highlight w:val="none"/>
              </w:rPr>
            </w:pPr>
          </w:p>
        </w:tc>
      </w:tr>
      <w:tr w14:paraId="1FF33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02" w:type="dxa"/>
            <w:vMerge w:val="continue"/>
            <w:tcBorders>
              <w:left w:val="single" w:color="auto" w:sz="4" w:space="0"/>
              <w:right w:val="single" w:color="auto" w:sz="4" w:space="0"/>
            </w:tcBorders>
            <w:noWrap w:val="0"/>
            <w:vAlign w:val="top"/>
          </w:tcPr>
          <w:p w14:paraId="773EB8B1">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32626BFB">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2CA8F030">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455C257D">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644246E0">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59F8987E">
            <w:pPr>
              <w:spacing w:before="27"/>
              <w:ind w:left="44"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2）人员管理功能包含用户根据职能类型、工种类型的信息不同分类</w:t>
            </w:r>
          </w:p>
          <w:p w14:paraId="0314EF42">
            <w:pPr>
              <w:spacing w:before="4" w:line="230" w:lineRule="atLeast"/>
              <w:ind w:left="44" w:right="170"/>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管理，包括编号、人员照片、联系方式、账号密码、所属公司、所任角色、所在地信息；如有不完整，扣 0.4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61FF1E42">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671C982">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47D5FF99">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4C980E3C">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7D49EEB6">
            <w:pPr>
              <w:rPr>
                <w:rFonts w:hint="eastAsia" w:ascii="宋体" w:hAnsi="宋体" w:eastAsia="宋体" w:cs="宋体"/>
                <w:strike w:val="0"/>
                <w:color w:val="auto"/>
                <w:sz w:val="18"/>
                <w:highlight w:val="none"/>
              </w:rPr>
            </w:pPr>
          </w:p>
        </w:tc>
        <w:tc>
          <w:tcPr>
            <w:tcW w:w="782" w:type="dxa"/>
            <w:vMerge w:val="continue"/>
            <w:tcBorders>
              <w:top w:val="single" w:color="auto" w:sz="4" w:space="0"/>
              <w:left w:val="single" w:color="auto" w:sz="4" w:space="0"/>
              <w:bottom w:val="single" w:color="auto" w:sz="4" w:space="0"/>
              <w:right w:val="single" w:color="auto" w:sz="4" w:space="0"/>
            </w:tcBorders>
            <w:noWrap w:val="0"/>
            <w:vAlign w:val="center"/>
          </w:tcPr>
          <w:p w14:paraId="171DD265">
            <w:pPr>
              <w:autoSpaceDE/>
              <w:autoSpaceDN/>
              <w:rPr>
                <w:rFonts w:hint="eastAsia" w:ascii="宋体" w:hAnsi="宋体" w:eastAsia="宋体" w:cs="宋体"/>
                <w:strike w:val="0"/>
                <w:color w:val="auto"/>
                <w:sz w:val="18"/>
                <w:highlight w:val="none"/>
              </w:rPr>
            </w:pPr>
          </w:p>
        </w:tc>
      </w:tr>
      <w:tr w14:paraId="67EB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02" w:type="dxa"/>
            <w:vMerge w:val="continue"/>
            <w:tcBorders>
              <w:left w:val="single" w:color="auto" w:sz="4" w:space="0"/>
              <w:right w:val="single" w:color="auto" w:sz="4" w:space="0"/>
            </w:tcBorders>
            <w:noWrap w:val="0"/>
            <w:vAlign w:val="top"/>
          </w:tcPr>
          <w:p w14:paraId="7124CB33">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3EA50CAF">
            <w:pPr>
              <w:spacing w:line="242" w:lineRule="auto"/>
              <w:ind w:left="189" w:right="90" w:hanging="92"/>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47D8A00F">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58A773ED">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1BE9F619">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25B325BE">
            <w:pPr>
              <w:spacing w:before="88" w:line="242" w:lineRule="auto"/>
              <w:ind w:left="44" w:right="96"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3）内部规范功能包含运维单位对员工的要求规范、运维单位对运维工作的要求规范内容；如有不完整，扣 0.2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3BAA79F6">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4F0652E">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2D5BB847">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848441C">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4A48DC0B">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211B646">
            <w:pPr>
              <w:rPr>
                <w:rFonts w:hint="eastAsia" w:ascii="宋体" w:hAnsi="宋体" w:eastAsia="宋体" w:cs="宋体"/>
                <w:strike w:val="0"/>
                <w:color w:val="auto"/>
                <w:sz w:val="18"/>
                <w:highlight w:val="none"/>
              </w:rPr>
            </w:pPr>
          </w:p>
        </w:tc>
      </w:tr>
      <w:tr w14:paraId="5F1E9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02" w:type="dxa"/>
            <w:vMerge w:val="continue"/>
            <w:tcBorders>
              <w:left w:val="single" w:color="auto" w:sz="4" w:space="0"/>
              <w:right w:val="single" w:color="auto" w:sz="4" w:space="0"/>
            </w:tcBorders>
            <w:noWrap w:val="0"/>
            <w:vAlign w:val="top"/>
          </w:tcPr>
          <w:p w14:paraId="7E4E1ABF">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center"/>
          </w:tcPr>
          <w:p w14:paraId="6D5A7853">
            <w:pPr>
              <w:autoSpaceDE/>
              <w:autoSpaceDN/>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7B457CC5">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5B71D54E">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5A4CE916">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236C4AE5">
            <w:pPr>
              <w:spacing w:before="40" w:line="230" w:lineRule="atLeast"/>
              <w:ind w:left="44" w:right="96"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4）权限管理功能包含根据不同用户分配管理数据的查看权限与功能的使用权限；如有不完整，扣 0.3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1C83C7D7">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1AE4DB6">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3321997A">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5B8E84C3">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0FE359B8">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4CF96C07">
            <w:pPr>
              <w:rPr>
                <w:rFonts w:hint="eastAsia" w:ascii="宋体" w:hAnsi="宋体" w:eastAsia="宋体" w:cs="宋体"/>
                <w:strike w:val="0"/>
                <w:color w:val="auto"/>
                <w:sz w:val="18"/>
                <w:highlight w:val="none"/>
              </w:rPr>
            </w:pPr>
          </w:p>
        </w:tc>
      </w:tr>
      <w:tr w14:paraId="237E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02" w:type="dxa"/>
            <w:vMerge w:val="continue"/>
            <w:tcBorders>
              <w:left w:val="single" w:color="auto" w:sz="4" w:space="0"/>
              <w:right w:val="single" w:color="auto" w:sz="4" w:space="0"/>
            </w:tcBorders>
            <w:noWrap w:val="0"/>
            <w:vAlign w:val="top"/>
          </w:tcPr>
          <w:p w14:paraId="3EE56E22">
            <w:pPr>
              <w:spacing w:before="1"/>
              <w:ind w:left="191"/>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061465AA">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644A06B3">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026D0BF8">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559EE76B">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782D7ECD">
            <w:pPr>
              <w:spacing w:before="33"/>
              <w:ind w:left="44" w:right="99"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5）设施信息管理功能包含设施介绍、设施位置、名称、运行状态、设备信息、设施水质、图像、流量上传数据信息查看，以及对不同运维区域数据单独管理，所有运行区域分布分级管理功能；如有不</w:t>
            </w:r>
          </w:p>
          <w:p w14:paraId="189D713D">
            <w:pPr>
              <w:spacing w:before="3" w:line="217" w:lineRule="exact"/>
              <w:ind w:left="4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完整，扣 0.3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347BCA0C">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18AA2AD">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3BB21C5F">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42062C81">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503EA7A7">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713EC66">
            <w:pPr>
              <w:rPr>
                <w:rFonts w:hint="eastAsia" w:ascii="宋体" w:hAnsi="宋体" w:eastAsia="宋体" w:cs="宋体"/>
                <w:strike w:val="0"/>
                <w:color w:val="auto"/>
                <w:sz w:val="18"/>
                <w:highlight w:val="none"/>
              </w:rPr>
            </w:pPr>
          </w:p>
        </w:tc>
      </w:tr>
      <w:tr w14:paraId="44399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02" w:type="dxa"/>
            <w:vMerge w:val="continue"/>
            <w:tcBorders>
              <w:left w:val="single" w:color="auto" w:sz="4" w:space="0"/>
              <w:right w:val="single" w:color="auto" w:sz="4" w:space="0"/>
            </w:tcBorders>
            <w:noWrap w:val="0"/>
            <w:vAlign w:val="center"/>
          </w:tcPr>
          <w:p w14:paraId="1FA7C878">
            <w:pPr>
              <w:autoSpaceDE/>
              <w:autoSpaceDN/>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715C14D4">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3A8D2B86">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3D63A1FB">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43244DA7">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00415FE5">
            <w:pPr>
              <w:spacing w:before="35" w:line="230" w:lineRule="atLeast"/>
              <w:ind w:left="44" w:right="98"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6）运维工作管理功能包含告警管理、工单管理及巡检管理功能；如有不完整，扣 0.2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6442C367">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B6209B3">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7D52B91C">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FEE9F27">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5BB51B73">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72A204BE">
            <w:pPr>
              <w:rPr>
                <w:rFonts w:hint="eastAsia" w:ascii="宋体" w:hAnsi="宋体" w:eastAsia="宋体" w:cs="宋体"/>
                <w:strike w:val="0"/>
                <w:color w:val="auto"/>
                <w:sz w:val="18"/>
                <w:highlight w:val="none"/>
              </w:rPr>
            </w:pPr>
          </w:p>
        </w:tc>
      </w:tr>
      <w:tr w14:paraId="2B7E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602" w:type="dxa"/>
            <w:vMerge w:val="continue"/>
            <w:tcBorders>
              <w:left w:val="single" w:color="auto" w:sz="4" w:space="0"/>
              <w:right w:val="single" w:color="auto" w:sz="4" w:space="0"/>
            </w:tcBorders>
            <w:noWrap w:val="0"/>
            <w:vAlign w:val="top"/>
          </w:tcPr>
          <w:p w14:paraId="525C1BC6">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22A5E0F0">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4B548C56">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37AC7F2D">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6BB803A5">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63C7AD22">
            <w:pPr>
              <w:spacing w:before="36" w:line="230" w:lineRule="atLeast"/>
              <w:ind w:left="44" w:right="96"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7）政策导则功能包含农村生活污水治理设施运维工作相关导则的上传、浏览、下载功能；如有不完整，扣 0.2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5C4DD901">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EC9D307">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707B8B59">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6431F658">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1FE4CA04">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5663A2F6">
            <w:pPr>
              <w:rPr>
                <w:rFonts w:hint="eastAsia" w:ascii="宋体" w:hAnsi="宋体" w:eastAsia="宋体" w:cs="宋体"/>
                <w:strike w:val="0"/>
                <w:color w:val="auto"/>
                <w:sz w:val="18"/>
                <w:highlight w:val="none"/>
              </w:rPr>
            </w:pPr>
          </w:p>
        </w:tc>
      </w:tr>
      <w:tr w14:paraId="3964C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02" w:type="dxa"/>
            <w:vMerge w:val="continue"/>
            <w:tcBorders>
              <w:left w:val="single" w:color="auto" w:sz="4" w:space="0"/>
              <w:right w:val="single" w:color="auto" w:sz="4" w:space="0"/>
            </w:tcBorders>
            <w:noWrap w:val="0"/>
            <w:vAlign w:val="top"/>
          </w:tcPr>
          <w:p w14:paraId="6D9239D8">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20D8EEF4">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5D6DF4EB">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0F5065C9">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32195B21">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4D328EFF">
            <w:pPr>
              <w:spacing w:before="28" w:line="230" w:lineRule="atLeast"/>
              <w:ind w:left="44" w:right="78"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pacing w:val="1"/>
                <w:sz w:val="18"/>
                <w:highlight w:val="none"/>
              </w:rPr>
              <w:t>8</w:t>
            </w:r>
            <w:r>
              <w:rPr>
                <w:rFonts w:hint="eastAsia" w:ascii="宋体" w:hAnsi="宋体" w:eastAsia="宋体" w:cs="宋体"/>
                <w:strike w:val="0"/>
                <w:dstrike w:val="0"/>
                <w:color w:val="auto"/>
                <w:spacing w:val="-80"/>
                <w:sz w:val="18"/>
                <w:highlight w:val="none"/>
              </w:rPr>
              <w:t>）</w:t>
            </w:r>
            <w:r>
              <w:rPr>
                <w:rFonts w:hint="eastAsia" w:ascii="宋体" w:hAnsi="宋体" w:eastAsia="宋体" w:cs="宋体"/>
                <w:strike w:val="0"/>
                <w:dstrike w:val="0"/>
                <w:color w:val="auto"/>
                <w:spacing w:val="-6"/>
                <w:sz w:val="18"/>
                <w:highlight w:val="none"/>
              </w:rPr>
              <w:t>政务对接功能包含与上级政府管理平台、政府门户网站数据对接，</w:t>
            </w:r>
            <w:r>
              <w:rPr>
                <w:rFonts w:hint="eastAsia" w:ascii="宋体" w:hAnsi="宋体" w:eastAsia="宋体" w:cs="宋体"/>
                <w:strike w:val="0"/>
                <w:dstrike w:val="0"/>
                <w:color w:val="auto"/>
                <w:sz w:val="18"/>
                <w:highlight w:val="none"/>
              </w:rPr>
              <w:t>上传运维管理数据、报表数据，接收上级文件、指令要求；如有不</w:t>
            </w:r>
            <w:r>
              <w:rPr>
                <w:rFonts w:hint="eastAsia" w:ascii="宋体" w:hAnsi="宋体" w:eastAsia="宋体" w:cs="宋体"/>
                <w:strike w:val="0"/>
                <w:dstrike w:val="0"/>
                <w:color w:val="auto"/>
                <w:spacing w:val="-10"/>
                <w:sz w:val="18"/>
                <w:highlight w:val="none"/>
              </w:rPr>
              <w:t xml:space="preserve">完整，扣 </w:t>
            </w:r>
            <w:r>
              <w:rPr>
                <w:rFonts w:hint="eastAsia" w:ascii="宋体" w:hAnsi="宋体" w:eastAsia="宋体" w:cs="宋体"/>
                <w:strike w:val="0"/>
                <w:dstrike w:val="0"/>
                <w:color w:val="auto"/>
                <w:sz w:val="18"/>
                <w:highlight w:val="none"/>
              </w:rPr>
              <w:t>0.2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2AEF8699">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7CCBACE">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7860FFEE">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13A17544">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39C8D254">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21FACC4E">
            <w:pPr>
              <w:rPr>
                <w:rFonts w:hint="eastAsia" w:ascii="宋体" w:hAnsi="宋体" w:eastAsia="宋体" w:cs="宋体"/>
                <w:strike w:val="0"/>
                <w:color w:val="auto"/>
                <w:sz w:val="18"/>
                <w:highlight w:val="none"/>
              </w:rPr>
            </w:pPr>
          </w:p>
        </w:tc>
      </w:tr>
      <w:tr w14:paraId="6D65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02" w:type="dxa"/>
            <w:vMerge w:val="continue"/>
            <w:tcBorders>
              <w:left w:val="single" w:color="auto" w:sz="4" w:space="0"/>
              <w:right w:val="single" w:color="auto" w:sz="4" w:space="0"/>
            </w:tcBorders>
            <w:noWrap w:val="0"/>
            <w:vAlign w:val="top"/>
          </w:tcPr>
          <w:p w14:paraId="106150DA">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6D3C6DC8">
            <w:pPr>
              <w:rPr>
                <w:rFonts w:hint="eastAsia" w:ascii="宋体" w:hAnsi="宋体" w:eastAsia="宋体" w:cs="宋体"/>
                <w:strike w:val="0"/>
                <w:dstrike w:val="0"/>
                <w:color w:val="auto"/>
                <w:sz w:val="1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0"/>
            <w:vAlign w:val="center"/>
          </w:tcPr>
          <w:p w14:paraId="57EE70DD">
            <w:pPr>
              <w:autoSpaceDE/>
              <w:autoSpaceDN/>
              <w:rPr>
                <w:rFonts w:hint="eastAsia" w:ascii="宋体" w:hAnsi="宋体" w:eastAsia="宋体" w:cs="宋体"/>
                <w:strike w:val="0"/>
                <w:dstrike w:val="0"/>
                <w:color w:val="auto"/>
                <w:sz w:val="18"/>
                <w:highlight w:val="none"/>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14:paraId="0380EE2F">
            <w:pPr>
              <w:autoSpaceDE/>
              <w:autoSpaceDN/>
              <w:rPr>
                <w:rFonts w:hint="eastAsia" w:ascii="宋体" w:hAnsi="宋体" w:eastAsia="宋体" w:cs="宋体"/>
                <w:strike w:val="0"/>
                <w:dstrike w:val="0"/>
                <w:color w:val="auto"/>
                <w:sz w:val="18"/>
                <w:highlight w:val="none"/>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7850E28C">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15158052">
            <w:pPr>
              <w:spacing w:before="28"/>
              <w:ind w:left="44" w:right="169" w:firstLine="14"/>
              <w:jc w:val="both"/>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pacing w:val="-34"/>
                <w:sz w:val="18"/>
                <w:highlight w:val="none"/>
              </w:rPr>
              <w:t>9）</w:t>
            </w:r>
            <w:r>
              <w:rPr>
                <w:rFonts w:hint="eastAsia" w:ascii="宋体" w:hAnsi="宋体" w:eastAsia="宋体" w:cs="宋体"/>
                <w:strike w:val="0"/>
                <w:dstrike w:val="0"/>
                <w:color w:val="auto"/>
                <w:spacing w:val="-2"/>
                <w:sz w:val="18"/>
                <w:highlight w:val="none"/>
              </w:rPr>
              <w:t>报表管理功能包含对所有区域和单独不同区域的设施生成设施运</w:t>
            </w:r>
            <w:r>
              <w:rPr>
                <w:rFonts w:hint="eastAsia" w:ascii="宋体" w:hAnsi="宋体" w:eastAsia="宋体" w:cs="宋体"/>
                <w:strike w:val="0"/>
                <w:dstrike w:val="0"/>
                <w:color w:val="auto"/>
                <w:spacing w:val="-1"/>
                <w:sz w:val="18"/>
                <w:highlight w:val="none"/>
              </w:rPr>
              <w:t>行情况、进出水水质情况、养护情况、维修情况、设施设备工作情况报表；报表呈现形式、内容按照有关部门要求制作，所有报表均可上传至指定上级管理平台、政务网站或主管部门邮箱，并具有批</w:t>
            </w:r>
          </w:p>
          <w:p w14:paraId="07388AC5">
            <w:pPr>
              <w:spacing w:before="3" w:line="215" w:lineRule="exact"/>
              <w:ind w:left="44"/>
              <w:jc w:val="both"/>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量下载能力；如有不完整，扣 0.3 分</w:t>
            </w:r>
          </w:p>
        </w:tc>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14:paraId="72ADBE7F">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E90B651">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53193FB8">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1063ACEA">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299C82E1">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57EEAD8E">
            <w:pPr>
              <w:rPr>
                <w:rFonts w:hint="eastAsia" w:ascii="宋体" w:hAnsi="宋体" w:eastAsia="宋体" w:cs="宋体"/>
                <w:strike w:val="0"/>
                <w:color w:val="auto"/>
                <w:sz w:val="18"/>
                <w:highlight w:val="none"/>
              </w:rPr>
            </w:pPr>
          </w:p>
        </w:tc>
      </w:tr>
      <w:tr w14:paraId="63F15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02" w:type="dxa"/>
            <w:vMerge w:val="continue"/>
            <w:tcBorders>
              <w:left w:val="single" w:color="auto" w:sz="4" w:space="0"/>
              <w:right w:val="single" w:color="auto" w:sz="4" w:space="0"/>
            </w:tcBorders>
            <w:noWrap w:val="0"/>
            <w:vAlign w:val="top"/>
          </w:tcPr>
          <w:p w14:paraId="2B6E11C8">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2880C445">
            <w:pPr>
              <w:rPr>
                <w:rFonts w:hint="eastAsia" w:ascii="宋体" w:hAnsi="宋体" w:eastAsia="宋体" w:cs="宋体"/>
                <w:strike w:val="0"/>
                <w:dstrike w:val="0"/>
                <w:color w:val="auto"/>
                <w:sz w:val="18"/>
                <w:highlight w:val="none"/>
              </w:rPr>
            </w:pPr>
          </w:p>
        </w:tc>
        <w:tc>
          <w:tcPr>
            <w:tcW w:w="599" w:type="dxa"/>
            <w:vMerge w:val="restart"/>
            <w:tcBorders>
              <w:top w:val="single" w:color="auto" w:sz="4" w:space="0"/>
              <w:left w:val="single" w:color="auto" w:sz="4" w:space="0"/>
              <w:right w:val="single" w:color="auto" w:sz="4" w:space="0"/>
            </w:tcBorders>
            <w:noWrap w:val="0"/>
            <w:vAlign w:val="top"/>
          </w:tcPr>
          <w:p w14:paraId="3AAED45C">
            <w:pPr>
              <w:rPr>
                <w:rFonts w:hint="eastAsia" w:ascii="宋体" w:hAnsi="宋体" w:eastAsia="宋体" w:cs="宋体"/>
                <w:b/>
                <w:strike w:val="0"/>
                <w:dstrike w:val="0"/>
                <w:color w:val="auto"/>
                <w:sz w:val="20"/>
                <w:highlight w:val="none"/>
              </w:rPr>
            </w:pPr>
          </w:p>
          <w:p w14:paraId="54E359F4">
            <w:pPr>
              <w:ind w:left="9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6.2.3</w:t>
            </w:r>
          </w:p>
        </w:tc>
        <w:tc>
          <w:tcPr>
            <w:tcW w:w="1312" w:type="dxa"/>
            <w:gridSpan w:val="2"/>
            <w:vMerge w:val="restart"/>
            <w:tcBorders>
              <w:top w:val="single" w:color="auto" w:sz="4" w:space="0"/>
              <w:left w:val="single" w:color="auto" w:sz="4" w:space="0"/>
              <w:right w:val="single" w:color="auto" w:sz="4" w:space="0"/>
            </w:tcBorders>
            <w:noWrap w:val="0"/>
            <w:vAlign w:val="top"/>
          </w:tcPr>
          <w:p w14:paraId="74C21591">
            <w:pPr>
              <w:spacing w:before="120"/>
              <w:ind w:left="42" w:right="103" w:firstLine="14"/>
              <w:jc w:val="center"/>
              <w:rPr>
                <w:rFonts w:hint="eastAsia" w:ascii="宋体" w:hAnsi="宋体" w:eastAsia="宋体" w:cs="宋体"/>
                <w:strike w:val="0"/>
                <w:dstrike w:val="0"/>
                <w:color w:val="auto"/>
                <w:sz w:val="18"/>
                <w:highlight w:val="none"/>
                <w:lang w:eastAsia="zh-CN"/>
              </w:rPr>
            </w:pPr>
            <w:r>
              <w:rPr>
                <w:rFonts w:hint="eastAsia" w:ascii="宋体" w:hAnsi="宋体" w:eastAsia="宋体" w:cs="宋体"/>
                <w:strike w:val="0"/>
                <w:dstrike w:val="0"/>
                <w:color w:val="auto"/>
                <w:sz w:val="18"/>
                <w:highlight w:val="none"/>
              </w:rPr>
              <w:t>运维队伍符合以下要求</w:t>
            </w:r>
          </w:p>
        </w:tc>
        <w:tc>
          <w:tcPr>
            <w:tcW w:w="6468" w:type="dxa"/>
            <w:tcBorders>
              <w:top w:val="single" w:color="auto" w:sz="4" w:space="0"/>
              <w:left w:val="single" w:color="auto" w:sz="4" w:space="0"/>
              <w:bottom w:val="single" w:color="auto" w:sz="4" w:space="0"/>
              <w:right w:val="single" w:color="auto" w:sz="4" w:space="0"/>
            </w:tcBorders>
            <w:noWrap w:val="0"/>
            <w:vAlign w:val="top"/>
          </w:tcPr>
          <w:p w14:paraId="66043B21">
            <w:pPr>
              <w:spacing w:before="74"/>
              <w:ind w:left="5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1 在合同项目所在区域设立运维服务站</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lang w:val="en-US" w:eastAsia="zh-CN"/>
              </w:rPr>
              <w:t>不符合的扣10</w:t>
            </w:r>
            <w:r>
              <w:rPr>
                <w:rFonts w:hint="eastAsia" w:ascii="宋体" w:hAnsi="宋体" w:eastAsia="宋体" w:cs="宋体"/>
                <w:strike w:val="0"/>
                <w:dstrike w:val="0"/>
                <w:color w:val="auto"/>
                <w:sz w:val="18"/>
                <w:highlight w:val="none"/>
              </w:rPr>
              <w:t>分</w:t>
            </w:r>
          </w:p>
        </w:tc>
        <w:tc>
          <w:tcPr>
            <w:tcW w:w="905" w:type="dxa"/>
            <w:vMerge w:val="restart"/>
            <w:tcBorders>
              <w:top w:val="single" w:color="auto" w:sz="4" w:space="0"/>
              <w:left w:val="single" w:color="auto" w:sz="4" w:space="0"/>
              <w:right w:val="single" w:color="auto" w:sz="4" w:space="0"/>
            </w:tcBorders>
            <w:noWrap w:val="0"/>
            <w:vAlign w:val="center"/>
          </w:tcPr>
          <w:p w14:paraId="67FA8267">
            <w:pPr>
              <w:spacing w:before="120"/>
              <w:ind w:left="66" w:right="48"/>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现场查勘查阅资料</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DB5DCD0">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14B970A1">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6957C94F">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1A85B7A0">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09DF4392">
            <w:pPr>
              <w:rPr>
                <w:rFonts w:hint="eastAsia" w:ascii="宋体" w:hAnsi="宋体" w:eastAsia="宋体" w:cs="宋体"/>
                <w:strike w:val="0"/>
                <w:color w:val="auto"/>
                <w:sz w:val="18"/>
                <w:highlight w:val="none"/>
              </w:rPr>
            </w:pPr>
          </w:p>
        </w:tc>
      </w:tr>
      <w:tr w14:paraId="6EB0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02" w:type="dxa"/>
            <w:vMerge w:val="continue"/>
            <w:tcBorders>
              <w:left w:val="single" w:color="auto" w:sz="4" w:space="0"/>
              <w:right w:val="single" w:color="auto" w:sz="4" w:space="0"/>
            </w:tcBorders>
            <w:noWrap w:val="0"/>
            <w:vAlign w:val="top"/>
          </w:tcPr>
          <w:p w14:paraId="0F6D802F">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top"/>
          </w:tcPr>
          <w:p w14:paraId="2192237B">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right w:val="single" w:color="auto" w:sz="4" w:space="0"/>
            </w:tcBorders>
            <w:noWrap w:val="0"/>
            <w:vAlign w:val="center"/>
          </w:tcPr>
          <w:p w14:paraId="279254B0">
            <w:pPr>
              <w:autoSpaceDE/>
              <w:autoSpaceDN/>
              <w:rPr>
                <w:rFonts w:hint="eastAsia" w:ascii="宋体" w:hAnsi="宋体" w:eastAsia="宋体" w:cs="宋体"/>
                <w:strike w:val="0"/>
                <w:dstrike w:val="0"/>
                <w:color w:val="auto"/>
                <w:sz w:val="18"/>
                <w:highlight w:val="none"/>
              </w:rPr>
            </w:pPr>
          </w:p>
        </w:tc>
        <w:tc>
          <w:tcPr>
            <w:tcW w:w="1312" w:type="dxa"/>
            <w:gridSpan w:val="2"/>
            <w:vMerge w:val="continue"/>
            <w:tcBorders>
              <w:left w:val="single" w:color="auto" w:sz="4" w:space="0"/>
              <w:right w:val="single" w:color="auto" w:sz="4" w:space="0"/>
            </w:tcBorders>
            <w:noWrap w:val="0"/>
            <w:vAlign w:val="center"/>
          </w:tcPr>
          <w:p w14:paraId="59BA3ED3">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4EF2409F">
            <w:pPr>
              <w:spacing w:before="52"/>
              <w:ind w:left="5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2 按照半小时服务圈原则合理组建运维小组</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lang w:val="en-US" w:eastAsia="zh-CN"/>
              </w:rPr>
              <w:t>不符合的扣10</w:t>
            </w:r>
            <w:r>
              <w:rPr>
                <w:rFonts w:hint="eastAsia" w:ascii="宋体" w:hAnsi="宋体" w:eastAsia="宋体" w:cs="宋体"/>
                <w:strike w:val="0"/>
                <w:dstrike w:val="0"/>
                <w:color w:val="auto"/>
                <w:sz w:val="18"/>
                <w:highlight w:val="none"/>
              </w:rPr>
              <w:t>分</w:t>
            </w:r>
          </w:p>
        </w:tc>
        <w:tc>
          <w:tcPr>
            <w:tcW w:w="905" w:type="dxa"/>
            <w:vMerge w:val="continue"/>
            <w:tcBorders>
              <w:left w:val="single" w:color="auto" w:sz="4" w:space="0"/>
              <w:right w:val="single" w:color="auto" w:sz="4" w:space="0"/>
            </w:tcBorders>
            <w:noWrap w:val="0"/>
            <w:vAlign w:val="center"/>
          </w:tcPr>
          <w:p w14:paraId="057D785B">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9E3E8C1">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5DD5536A">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652E42A">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7839EB89">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11E83784">
            <w:pPr>
              <w:rPr>
                <w:rFonts w:hint="eastAsia" w:ascii="宋体" w:hAnsi="宋体" w:eastAsia="宋体" w:cs="宋体"/>
                <w:strike w:val="0"/>
                <w:color w:val="auto"/>
                <w:sz w:val="18"/>
                <w:highlight w:val="none"/>
              </w:rPr>
            </w:pPr>
          </w:p>
        </w:tc>
      </w:tr>
      <w:tr w14:paraId="4C450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2" w:type="dxa"/>
            <w:vMerge w:val="continue"/>
            <w:tcBorders>
              <w:left w:val="single" w:color="auto" w:sz="4" w:space="0"/>
              <w:bottom w:val="single" w:color="auto" w:sz="4" w:space="0"/>
              <w:right w:val="single" w:color="auto" w:sz="4" w:space="0"/>
            </w:tcBorders>
            <w:noWrap w:val="0"/>
            <w:vAlign w:val="top"/>
          </w:tcPr>
          <w:p w14:paraId="0841D53C">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bottom w:val="single" w:color="auto" w:sz="4" w:space="0"/>
              <w:right w:val="single" w:color="auto" w:sz="4" w:space="0"/>
            </w:tcBorders>
            <w:noWrap w:val="0"/>
            <w:vAlign w:val="top"/>
          </w:tcPr>
          <w:p w14:paraId="0F90B49D">
            <w:pPr>
              <w:rPr>
                <w:rFonts w:hint="eastAsia" w:ascii="宋体" w:hAnsi="宋体" w:eastAsia="宋体" w:cs="宋体"/>
                <w:strike w:val="0"/>
                <w:dstrike w:val="0"/>
                <w:color w:val="auto"/>
                <w:sz w:val="18"/>
                <w:highlight w:val="none"/>
              </w:rPr>
            </w:pPr>
          </w:p>
        </w:tc>
        <w:tc>
          <w:tcPr>
            <w:tcW w:w="599" w:type="dxa"/>
            <w:vMerge w:val="continue"/>
            <w:tcBorders>
              <w:left w:val="single" w:color="auto" w:sz="4" w:space="0"/>
              <w:bottom w:val="single" w:color="auto" w:sz="4" w:space="0"/>
              <w:right w:val="single" w:color="auto" w:sz="4" w:space="0"/>
            </w:tcBorders>
            <w:noWrap w:val="0"/>
            <w:vAlign w:val="center"/>
          </w:tcPr>
          <w:p w14:paraId="1050C0C8">
            <w:pPr>
              <w:autoSpaceDE/>
              <w:autoSpaceDN/>
              <w:rPr>
                <w:rFonts w:hint="eastAsia" w:ascii="宋体" w:hAnsi="宋体" w:eastAsia="宋体" w:cs="宋体"/>
                <w:strike w:val="0"/>
                <w:dstrike w:val="0"/>
                <w:color w:val="auto"/>
                <w:sz w:val="18"/>
                <w:highlight w:val="none"/>
              </w:rPr>
            </w:pPr>
          </w:p>
        </w:tc>
        <w:tc>
          <w:tcPr>
            <w:tcW w:w="1312" w:type="dxa"/>
            <w:gridSpan w:val="2"/>
            <w:vMerge w:val="continue"/>
            <w:tcBorders>
              <w:left w:val="single" w:color="auto" w:sz="4" w:space="0"/>
              <w:bottom w:val="single" w:color="auto" w:sz="4" w:space="0"/>
              <w:right w:val="single" w:color="auto" w:sz="4" w:space="0"/>
            </w:tcBorders>
            <w:noWrap w:val="0"/>
            <w:vAlign w:val="center"/>
          </w:tcPr>
          <w:p w14:paraId="6D9BEB01">
            <w:pPr>
              <w:autoSpaceDE/>
              <w:autoSpaceDN/>
              <w:rPr>
                <w:rFonts w:hint="eastAsia" w:ascii="宋体" w:hAnsi="宋体" w:eastAsia="宋体" w:cs="宋体"/>
                <w:strike w:val="0"/>
                <w:dstrike w:val="0"/>
                <w:color w:val="auto"/>
                <w:sz w:val="1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top"/>
          </w:tcPr>
          <w:p w14:paraId="793696F6">
            <w:pPr>
              <w:spacing w:before="28"/>
              <w:ind w:left="44"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3</w:t>
            </w:r>
            <w:r>
              <w:rPr>
                <w:rFonts w:hint="eastAsia" w:ascii="宋体" w:hAnsi="宋体" w:eastAsia="宋体" w:cs="宋体"/>
                <w:strike w:val="0"/>
                <w:dstrike w:val="0"/>
                <w:color w:val="auto"/>
                <w:spacing w:val="8"/>
                <w:sz w:val="18"/>
                <w:highlight w:val="none"/>
              </w:rPr>
              <w:t xml:space="preserve"> </w:t>
            </w:r>
            <w:r>
              <w:rPr>
                <w:rFonts w:hint="eastAsia" w:ascii="宋体" w:hAnsi="宋体" w:eastAsia="宋体" w:cs="宋体"/>
                <w:strike w:val="0"/>
                <w:dstrike w:val="0"/>
                <w:color w:val="auto"/>
                <w:sz w:val="18"/>
                <w:highlight w:val="none"/>
              </w:rPr>
              <w:t>运维服务站配备一定数量的运维管理人员和技术人员，并按照运</w:t>
            </w:r>
            <w:r>
              <w:rPr>
                <w:rFonts w:hint="eastAsia" w:ascii="宋体" w:hAnsi="宋体" w:eastAsia="宋体" w:cs="宋体"/>
                <w:strike w:val="0"/>
                <w:dstrike w:val="0"/>
                <w:color w:val="auto"/>
                <w:spacing w:val="-3"/>
                <w:sz w:val="18"/>
                <w:highlight w:val="none"/>
              </w:rPr>
              <w:t>维小组进行人员分组</w:t>
            </w:r>
            <w:r>
              <w:rPr>
                <w:rFonts w:hint="eastAsia" w:ascii="宋体" w:hAnsi="宋体" w:eastAsia="宋体" w:cs="宋体"/>
                <w:strike w:val="0"/>
                <w:dstrike w:val="0"/>
                <w:color w:val="auto"/>
                <w:sz w:val="18"/>
                <w:highlight w:val="none"/>
              </w:rPr>
              <w:t>；运维管理人员、运维技术人员和分组情况，发现一项不符合要求，扣</w:t>
            </w:r>
            <w:r>
              <w:rPr>
                <w:rFonts w:hint="eastAsia" w:ascii="宋体" w:hAnsi="宋体" w:eastAsia="宋体" w:cs="宋体"/>
                <w:strike w:val="0"/>
                <w:dstrike w:val="0"/>
                <w:color w:val="auto"/>
                <w:sz w:val="18"/>
                <w:highlight w:val="none"/>
                <w:lang w:val="en-US" w:eastAsia="zh-CN"/>
              </w:rPr>
              <w:t>1</w:t>
            </w:r>
            <w:r>
              <w:rPr>
                <w:rFonts w:hint="eastAsia" w:ascii="宋体" w:hAnsi="宋体" w:eastAsia="宋体" w:cs="宋体"/>
                <w:strike w:val="0"/>
                <w:dstrike w:val="0"/>
                <w:color w:val="auto"/>
                <w:sz w:val="18"/>
                <w:highlight w:val="none"/>
              </w:rPr>
              <w:t>分</w:t>
            </w:r>
          </w:p>
        </w:tc>
        <w:tc>
          <w:tcPr>
            <w:tcW w:w="905" w:type="dxa"/>
            <w:vMerge w:val="continue"/>
            <w:tcBorders>
              <w:left w:val="single" w:color="auto" w:sz="4" w:space="0"/>
              <w:bottom w:val="single" w:color="auto" w:sz="4" w:space="0"/>
              <w:right w:val="single" w:color="auto" w:sz="4" w:space="0"/>
            </w:tcBorders>
            <w:noWrap w:val="0"/>
            <w:vAlign w:val="center"/>
          </w:tcPr>
          <w:p w14:paraId="68A2754A">
            <w:pPr>
              <w:autoSpaceDE/>
              <w:autoSpaceDN/>
              <w:rPr>
                <w:rFonts w:hint="eastAsia" w:ascii="宋体" w:hAnsi="宋体" w:eastAsia="宋体" w:cs="宋体"/>
                <w:strike w:val="0"/>
                <w:color w:val="auto"/>
                <w:sz w:val="1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4CD2F25">
            <w:pPr>
              <w:rPr>
                <w:rFonts w:hint="eastAsia" w:ascii="宋体" w:hAnsi="宋体" w:eastAsia="宋体" w:cs="宋体"/>
                <w:strike w:val="0"/>
                <w:color w:val="auto"/>
                <w:sz w:val="18"/>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top"/>
          </w:tcPr>
          <w:p w14:paraId="4FE43174">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1391E21">
            <w:pPr>
              <w:rPr>
                <w:rFonts w:hint="eastAsia" w:ascii="宋体" w:hAnsi="宋体" w:eastAsia="宋体" w:cs="宋体"/>
                <w:strike w:val="0"/>
                <w:color w:val="auto"/>
                <w:sz w:val="18"/>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top"/>
          </w:tcPr>
          <w:p w14:paraId="5779C7D0">
            <w:pPr>
              <w:rPr>
                <w:rFonts w:hint="eastAsia" w:ascii="宋体" w:hAnsi="宋体" w:eastAsia="宋体" w:cs="宋体"/>
                <w:strike w:val="0"/>
                <w:color w:val="auto"/>
                <w:sz w:val="18"/>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7B7D726C">
            <w:pPr>
              <w:rPr>
                <w:rFonts w:hint="eastAsia" w:ascii="宋体" w:hAnsi="宋体" w:eastAsia="宋体" w:cs="宋体"/>
                <w:strike w:val="0"/>
                <w:color w:val="auto"/>
                <w:sz w:val="18"/>
                <w:highlight w:val="none"/>
              </w:rPr>
            </w:pPr>
          </w:p>
        </w:tc>
      </w:tr>
    </w:tbl>
    <w:p w14:paraId="0F14AF6E">
      <w:pPr>
        <w:spacing w:before="64"/>
        <w:ind w:right="14"/>
        <w:jc w:val="center"/>
        <w:rPr>
          <w:rFonts w:hint="eastAsia" w:ascii="宋体" w:hAnsi="宋体" w:eastAsia="宋体" w:cs="宋体"/>
          <w:b/>
          <w:strike w:val="0"/>
          <w:color w:val="auto"/>
          <w:sz w:val="18"/>
          <w:highlight w:val="none"/>
        </w:rPr>
      </w:pPr>
    </w:p>
    <w:p w14:paraId="7249541B">
      <w:pPr>
        <w:spacing w:before="64"/>
        <w:ind w:right="14"/>
        <w:jc w:val="center"/>
        <w:rPr>
          <w:rFonts w:hint="eastAsia" w:ascii="宋体" w:hAnsi="宋体" w:eastAsia="宋体" w:cs="宋体"/>
          <w:b/>
          <w:strike w:val="0"/>
          <w:color w:val="auto"/>
          <w:sz w:val="18"/>
          <w:highlight w:val="none"/>
        </w:rPr>
      </w:pPr>
      <w:r>
        <w:rPr>
          <w:rFonts w:hint="eastAsia" w:ascii="宋体" w:hAnsi="宋体" w:eastAsia="宋体" w:cs="宋体"/>
          <w:b/>
          <w:strike w:val="0"/>
          <w:color w:val="auto"/>
          <w:sz w:val="18"/>
          <w:highlight w:val="none"/>
        </w:rPr>
        <w:t>续 表 A</w:t>
      </w:r>
    </w:p>
    <w:p w14:paraId="05E2AE82">
      <w:pPr>
        <w:spacing w:before="7" w:after="1"/>
        <w:rPr>
          <w:rFonts w:hint="eastAsia" w:ascii="宋体" w:hAnsi="宋体" w:eastAsia="宋体" w:cs="宋体"/>
          <w:b/>
          <w:strike w:val="0"/>
          <w:color w:val="auto"/>
          <w:sz w:val="9"/>
          <w:szCs w:val="21"/>
          <w:highlight w:val="none"/>
        </w:rPr>
      </w:pPr>
    </w:p>
    <w:tbl>
      <w:tblPr>
        <w:tblStyle w:val="24"/>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735"/>
        <w:gridCol w:w="570"/>
        <w:gridCol w:w="870"/>
        <w:gridCol w:w="450"/>
        <w:gridCol w:w="6585"/>
        <w:gridCol w:w="1065"/>
        <w:gridCol w:w="600"/>
        <w:gridCol w:w="720"/>
        <w:gridCol w:w="735"/>
        <w:gridCol w:w="672"/>
        <w:gridCol w:w="778"/>
      </w:tblGrid>
      <w:tr w14:paraId="3A01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restart"/>
            <w:tcBorders>
              <w:top w:val="single" w:color="000000" w:sz="4" w:space="0"/>
              <w:left w:val="single" w:color="000000" w:sz="4" w:space="0"/>
              <w:bottom w:val="single" w:color="000000" w:sz="4" w:space="0"/>
              <w:right w:val="single" w:color="000000" w:sz="4" w:space="0"/>
            </w:tcBorders>
            <w:noWrap w:val="0"/>
            <w:vAlign w:val="top"/>
          </w:tcPr>
          <w:p w14:paraId="0B3046DD">
            <w:pPr>
              <w:spacing w:before="143" w:line="242" w:lineRule="auto"/>
              <w:ind w:left="100" w:right="91"/>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评价指标</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4AB8D46C">
            <w:pPr>
              <w:spacing w:before="143" w:line="242" w:lineRule="auto"/>
              <w:ind w:left="98" w:right="90"/>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项目类型</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top"/>
          </w:tcPr>
          <w:p w14:paraId="4924793A">
            <w:pPr>
              <w:spacing w:before="143" w:line="242" w:lineRule="auto"/>
              <w:ind w:left="99" w:right="8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章条编号</w:t>
            </w:r>
          </w:p>
        </w:tc>
        <w:tc>
          <w:tcPr>
            <w:tcW w:w="7905" w:type="dxa"/>
            <w:gridSpan w:val="3"/>
            <w:vMerge w:val="restart"/>
            <w:tcBorders>
              <w:top w:val="single" w:color="000000" w:sz="4" w:space="0"/>
              <w:left w:val="single" w:color="000000" w:sz="4" w:space="0"/>
              <w:bottom w:val="nil"/>
              <w:right w:val="single" w:color="000000" w:sz="4" w:space="0"/>
            </w:tcBorders>
            <w:noWrap w:val="0"/>
            <w:vAlign w:val="top"/>
          </w:tcPr>
          <w:p w14:paraId="706D0E95">
            <w:pPr>
              <w:spacing w:before="5"/>
              <w:rPr>
                <w:rFonts w:hint="eastAsia" w:ascii="宋体" w:hAnsi="宋体" w:eastAsia="宋体" w:cs="宋体"/>
                <w:b/>
                <w:strike w:val="0"/>
                <w:dstrike w:val="0"/>
                <w:color w:val="auto"/>
                <w:sz w:val="21"/>
                <w:highlight w:val="none"/>
              </w:rPr>
            </w:pPr>
          </w:p>
          <w:p w14:paraId="520DE6A2">
            <w:pPr>
              <w:ind w:left="3194" w:right="3308"/>
              <w:jc w:val="center"/>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评价内容</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top"/>
          </w:tcPr>
          <w:p w14:paraId="096D1DC0">
            <w:pPr>
              <w:spacing w:before="5"/>
              <w:rPr>
                <w:rFonts w:hint="eastAsia" w:ascii="宋体" w:hAnsi="宋体" w:eastAsia="宋体" w:cs="宋体"/>
                <w:b/>
                <w:strike w:val="0"/>
                <w:color w:val="auto"/>
                <w:sz w:val="21"/>
                <w:highlight w:val="none"/>
              </w:rPr>
            </w:pPr>
          </w:p>
          <w:p w14:paraId="5853C884">
            <w:pPr>
              <w:ind w:left="66"/>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评价方法</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top"/>
          </w:tcPr>
          <w:p w14:paraId="2E1D21F3">
            <w:pPr>
              <w:spacing w:before="28"/>
              <w:ind w:left="32" w:right="13" w:hanging="3"/>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是否满</w:t>
            </w:r>
            <w:r>
              <w:rPr>
                <w:rFonts w:hint="eastAsia" w:ascii="宋体" w:hAnsi="宋体" w:eastAsia="宋体" w:cs="宋体"/>
                <w:strike w:val="0"/>
                <w:color w:val="auto"/>
                <w:spacing w:val="-49"/>
                <w:sz w:val="18"/>
                <w:highlight w:val="none"/>
              </w:rPr>
              <w:t>足</w:t>
            </w:r>
            <w:r>
              <w:rPr>
                <w:rFonts w:hint="eastAsia" w:ascii="宋体" w:hAnsi="宋体" w:eastAsia="宋体" w:cs="宋体"/>
                <w:strike w:val="0"/>
                <w:color w:val="auto"/>
                <w:sz w:val="18"/>
                <w:highlight w:val="none"/>
              </w:rPr>
              <w:t>（</w:t>
            </w:r>
            <w:r>
              <w:rPr>
                <w:rFonts w:hint="eastAsia" w:ascii="宋体" w:hAnsi="宋体" w:eastAsia="宋体" w:cs="宋体"/>
                <w:strike w:val="0"/>
                <w:color w:val="auto"/>
                <w:spacing w:val="-8"/>
                <w:sz w:val="18"/>
                <w:highlight w:val="none"/>
              </w:rPr>
              <w:t>满足</w:t>
            </w:r>
            <w:r>
              <w:rPr>
                <w:rFonts w:hint="eastAsia" w:ascii="宋体" w:hAnsi="宋体" w:eastAsia="宋体" w:cs="宋体"/>
                <w:strike w:val="0"/>
                <w:color w:val="auto"/>
                <w:sz w:val="18"/>
                <w:highlight w:val="none"/>
              </w:rPr>
              <w:t>√）</w:t>
            </w:r>
          </w:p>
        </w:tc>
        <w:tc>
          <w:tcPr>
            <w:tcW w:w="2127" w:type="dxa"/>
            <w:gridSpan w:val="3"/>
            <w:tcBorders>
              <w:top w:val="single" w:color="000000" w:sz="4" w:space="0"/>
              <w:left w:val="single" w:color="000000" w:sz="4" w:space="0"/>
              <w:bottom w:val="single" w:color="000000" w:sz="4" w:space="0"/>
              <w:right w:val="single" w:color="000000" w:sz="4" w:space="0"/>
            </w:tcBorders>
            <w:noWrap w:val="0"/>
            <w:vAlign w:val="top"/>
          </w:tcPr>
          <w:p w14:paraId="6C54DAC9">
            <w:pPr>
              <w:spacing w:before="52"/>
              <w:ind w:left="916" w:right="904"/>
              <w:jc w:val="center"/>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lang w:val="en-US" w:eastAsia="zh-CN"/>
              </w:rPr>
              <w:t>扣</w:t>
            </w:r>
            <w:r>
              <w:rPr>
                <w:rFonts w:hint="eastAsia" w:ascii="宋体" w:hAnsi="宋体" w:eastAsia="宋体" w:cs="宋体"/>
                <w:strike w:val="0"/>
                <w:color w:val="auto"/>
                <w:sz w:val="18"/>
                <w:highlight w:val="none"/>
              </w:rPr>
              <w:t>分</w:t>
            </w:r>
          </w:p>
        </w:tc>
        <w:tc>
          <w:tcPr>
            <w:tcW w:w="778" w:type="dxa"/>
            <w:vMerge w:val="restart"/>
            <w:tcBorders>
              <w:top w:val="single" w:color="000000" w:sz="4" w:space="0"/>
              <w:left w:val="single" w:color="000000" w:sz="4" w:space="0"/>
              <w:bottom w:val="single" w:color="000000" w:sz="4" w:space="0"/>
              <w:right w:val="single" w:color="000000" w:sz="4" w:space="0"/>
            </w:tcBorders>
            <w:noWrap w:val="0"/>
            <w:vAlign w:val="top"/>
          </w:tcPr>
          <w:p w14:paraId="5868C77C">
            <w:pPr>
              <w:spacing w:before="143" w:line="242" w:lineRule="auto"/>
              <w:ind w:left="99" w:right="80"/>
              <w:rPr>
                <w:rFonts w:hint="eastAsia" w:ascii="宋体" w:hAnsi="宋体" w:eastAsia="宋体" w:cs="宋体"/>
                <w:strike w:val="0"/>
                <w:color w:val="auto"/>
                <w:sz w:val="18"/>
                <w:highlight w:val="none"/>
              </w:rPr>
            </w:pPr>
            <w:r>
              <w:rPr>
                <w:rFonts w:hint="eastAsia" w:ascii="宋体" w:hAnsi="宋体" w:eastAsia="宋体" w:cs="宋体"/>
                <w:strike w:val="0"/>
                <w:color w:val="auto"/>
                <w:sz w:val="18"/>
                <w:highlight w:val="none"/>
              </w:rPr>
              <w:t>说明扣分原因</w:t>
            </w:r>
          </w:p>
        </w:tc>
      </w:tr>
      <w:tr w14:paraId="37F6A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auto" w:sz="4" w:space="0"/>
              <w:right w:val="single" w:color="000000" w:sz="4" w:space="0"/>
            </w:tcBorders>
            <w:noWrap w:val="0"/>
            <w:vAlign w:val="center"/>
          </w:tcPr>
          <w:p w14:paraId="02D97962">
            <w:pPr>
              <w:autoSpaceDE/>
              <w:autoSpaceDN/>
              <w:rPr>
                <w:rFonts w:hint="eastAsia" w:ascii="宋体" w:hAnsi="宋体" w:eastAsia="宋体" w:cs="宋体"/>
                <w:strike w:val="0"/>
                <w:dstrike w:val="0"/>
                <w:color w:val="auto"/>
                <w:sz w:val="18"/>
                <w:highlight w:val="none"/>
              </w:rPr>
            </w:pPr>
          </w:p>
        </w:tc>
        <w:tc>
          <w:tcPr>
            <w:tcW w:w="735" w:type="dxa"/>
            <w:vMerge w:val="continue"/>
            <w:tcBorders>
              <w:top w:val="single" w:color="000000" w:sz="4" w:space="0"/>
              <w:left w:val="single" w:color="000000" w:sz="4" w:space="0"/>
              <w:bottom w:val="single" w:color="auto" w:sz="4" w:space="0"/>
              <w:right w:val="single" w:color="000000" w:sz="4" w:space="0"/>
            </w:tcBorders>
            <w:noWrap w:val="0"/>
            <w:vAlign w:val="center"/>
          </w:tcPr>
          <w:p w14:paraId="59F40E29">
            <w:pPr>
              <w:autoSpaceDE/>
              <w:autoSpaceDN/>
              <w:rPr>
                <w:rFonts w:hint="eastAsia" w:ascii="宋体" w:hAnsi="宋体" w:eastAsia="宋体" w:cs="宋体"/>
                <w:strike w:val="0"/>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CC008">
            <w:pPr>
              <w:autoSpaceDE/>
              <w:autoSpaceDN/>
              <w:rPr>
                <w:rFonts w:hint="eastAsia" w:ascii="宋体" w:hAnsi="宋体" w:eastAsia="宋体" w:cs="宋体"/>
                <w:strike w:val="0"/>
                <w:dstrike w:val="0"/>
                <w:color w:val="auto"/>
                <w:sz w:val="18"/>
                <w:highlight w:val="none"/>
              </w:rPr>
            </w:pPr>
          </w:p>
        </w:tc>
        <w:tc>
          <w:tcPr>
            <w:tcW w:w="7905" w:type="dxa"/>
            <w:gridSpan w:val="3"/>
            <w:vMerge w:val="continue"/>
            <w:tcBorders>
              <w:top w:val="single" w:color="000000" w:sz="4" w:space="0"/>
              <w:left w:val="single" w:color="000000" w:sz="4" w:space="0"/>
              <w:bottom w:val="nil"/>
              <w:right w:val="single" w:color="000000" w:sz="4" w:space="0"/>
            </w:tcBorders>
            <w:noWrap w:val="0"/>
            <w:vAlign w:val="center"/>
          </w:tcPr>
          <w:p w14:paraId="63C1C4CD">
            <w:pPr>
              <w:autoSpaceDE/>
              <w:autoSpaceDN/>
              <w:rPr>
                <w:rFonts w:hint="eastAsia" w:ascii="宋体" w:hAnsi="宋体" w:eastAsia="宋体" w:cs="宋体"/>
                <w:strike w:val="0"/>
                <w:dstrike w:val="0"/>
                <w:color w:val="auto"/>
                <w:sz w:val="18"/>
                <w:highlight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82F16">
            <w:pPr>
              <w:autoSpaceDE/>
              <w:autoSpaceDN/>
              <w:rPr>
                <w:rFonts w:hint="eastAsia" w:ascii="宋体" w:hAnsi="宋体" w:eastAsia="宋体" w:cs="宋体"/>
                <w:strike w:val="0"/>
                <w:color w:val="auto"/>
                <w:sz w:val="18"/>
                <w:highlight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48D82">
            <w:pPr>
              <w:autoSpaceDE/>
              <w:autoSpaceDN/>
              <w:rPr>
                <w:rFonts w:hint="eastAsia" w:ascii="宋体" w:hAnsi="宋体" w:eastAsia="宋体" w:cs="宋体"/>
                <w:strike w:val="0"/>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30B73CF">
            <w:pPr>
              <w:spacing w:before="100"/>
              <w:ind w:left="37"/>
              <w:rPr>
                <w:rFonts w:hint="eastAsia" w:ascii="宋体" w:hAnsi="宋体" w:eastAsia="宋体" w:cs="宋体"/>
                <w:strike w:val="0"/>
                <w:color w:val="auto"/>
                <w:sz w:val="18"/>
                <w:highlight w:val="none"/>
              </w:rPr>
            </w:pPr>
            <w:r>
              <w:rPr>
                <w:rFonts w:hint="eastAsia" w:ascii="宋体" w:hAnsi="宋体" w:eastAsia="宋体" w:cs="宋体"/>
                <w:strike w:val="0"/>
                <w:color w:val="auto"/>
                <w:spacing w:val="-12"/>
                <w:sz w:val="18"/>
                <w:highlight w:val="none"/>
              </w:rPr>
              <w:t xml:space="preserve">评分人 </w:t>
            </w:r>
            <w:r>
              <w:rPr>
                <w:rFonts w:hint="eastAsia" w:ascii="宋体" w:hAnsi="宋体" w:eastAsia="宋体" w:cs="宋体"/>
                <w:strike w:val="0"/>
                <w:color w:val="auto"/>
                <w:sz w:val="18"/>
                <w:highlight w:val="none"/>
              </w:rPr>
              <w:t>1</w:t>
            </w: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A6D1939">
            <w:pPr>
              <w:spacing w:before="100"/>
              <w:ind w:left="30"/>
              <w:rPr>
                <w:rFonts w:hint="eastAsia" w:ascii="宋体" w:hAnsi="宋体" w:eastAsia="宋体" w:cs="宋体"/>
                <w:strike w:val="0"/>
                <w:color w:val="auto"/>
                <w:sz w:val="18"/>
                <w:highlight w:val="none"/>
              </w:rPr>
            </w:pPr>
            <w:r>
              <w:rPr>
                <w:rFonts w:hint="eastAsia" w:ascii="宋体" w:hAnsi="宋体" w:eastAsia="宋体" w:cs="宋体"/>
                <w:strike w:val="0"/>
                <w:color w:val="auto"/>
                <w:spacing w:val="-12"/>
                <w:sz w:val="18"/>
                <w:highlight w:val="none"/>
              </w:rPr>
              <w:t xml:space="preserve">评分人 </w:t>
            </w:r>
            <w:r>
              <w:rPr>
                <w:rFonts w:hint="eastAsia" w:ascii="宋体" w:hAnsi="宋体" w:eastAsia="宋体" w:cs="宋体"/>
                <w:strike w:val="0"/>
                <w:color w:val="auto"/>
                <w:sz w:val="18"/>
                <w:highlight w:val="none"/>
              </w:rPr>
              <w:t>2</w:t>
            </w: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41A145E5">
            <w:pPr>
              <w:spacing w:before="100"/>
              <w:ind w:left="42"/>
              <w:rPr>
                <w:rFonts w:hint="eastAsia" w:ascii="宋体" w:hAnsi="宋体" w:eastAsia="宋体" w:cs="宋体"/>
                <w:strike w:val="0"/>
                <w:color w:val="auto"/>
                <w:sz w:val="18"/>
                <w:highlight w:val="none"/>
              </w:rPr>
            </w:pPr>
            <w:r>
              <w:rPr>
                <w:rFonts w:hint="eastAsia" w:ascii="宋体" w:hAnsi="宋体" w:eastAsia="宋体" w:cs="宋体"/>
                <w:strike w:val="0"/>
                <w:color w:val="auto"/>
                <w:spacing w:val="-12"/>
                <w:sz w:val="18"/>
                <w:highlight w:val="none"/>
              </w:rPr>
              <w:t>评分人</w:t>
            </w:r>
            <w:r>
              <w:rPr>
                <w:rFonts w:hint="eastAsia" w:ascii="宋体" w:hAnsi="宋体" w:eastAsia="宋体" w:cs="宋体"/>
                <w:strike w:val="0"/>
                <w:color w:val="auto"/>
                <w:sz w:val="18"/>
                <w:highlight w:val="none"/>
              </w:rPr>
              <w:t>3</w:t>
            </w:r>
          </w:p>
        </w:tc>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12046">
            <w:pPr>
              <w:autoSpaceDE/>
              <w:autoSpaceDN/>
              <w:rPr>
                <w:rFonts w:hint="eastAsia" w:ascii="宋体" w:hAnsi="宋体" w:eastAsia="宋体" w:cs="宋体"/>
                <w:strike w:val="0"/>
                <w:color w:val="auto"/>
                <w:sz w:val="18"/>
                <w:highlight w:val="none"/>
              </w:rPr>
            </w:pPr>
          </w:p>
        </w:tc>
      </w:tr>
      <w:tr w14:paraId="769FD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577" w:type="dxa"/>
            <w:vMerge w:val="restart"/>
            <w:tcBorders>
              <w:top w:val="single" w:color="auto" w:sz="4" w:space="0"/>
              <w:left w:val="single" w:color="000000" w:sz="4" w:space="0"/>
              <w:right w:val="single" w:color="000000" w:sz="4" w:space="0"/>
            </w:tcBorders>
            <w:noWrap w:val="0"/>
            <w:vAlign w:val="center"/>
          </w:tcPr>
          <w:p w14:paraId="24B730A1">
            <w:pPr>
              <w:autoSpaceDE/>
              <w:autoSpaceDN/>
              <w:rPr>
                <w:rFonts w:hint="eastAsia" w:ascii="宋体" w:hAnsi="宋体" w:eastAsia="宋体" w:cs="宋体"/>
                <w:strike/>
                <w:dstrike w:val="0"/>
                <w:color w:val="auto"/>
                <w:sz w:val="18"/>
                <w:highlight w:val="none"/>
              </w:rPr>
            </w:pPr>
          </w:p>
        </w:tc>
        <w:tc>
          <w:tcPr>
            <w:tcW w:w="735" w:type="dxa"/>
            <w:vMerge w:val="restart"/>
            <w:tcBorders>
              <w:top w:val="single" w:color="auto" w:sz="4" w:space="0"/>
              <w:left w:val="single" w:color="000000" w:sz="4" w:space="0"/>
              <w:right w:val="single" w:color="000000" w:sz="4" w:space="0"/>
            </w:tcBorders>
            <w:noWrap w:val="0"/>
            <w:vAlign w:val="center"/>
          </w:tcPr>
          <w:p w14:paraId="5E5DB7FA">
            <w:pPr>
              <w:autoSpaceDE/>
              <w:autoSpaceDN/>
              <w:rPr>
                <w:rFonts w:hint="eastAsia" w:ascii="宋体" w:hAnsi="宋体" w:eastAsia="宋体" w:cs="宋体"/>
                <w:strike/>
                <w:dstrike w:val="0"/>
                <w:color w:val="auto"/>
                <w:sz w:val="18"/>
                <w:highlight w:val="none"/>
              </w:rPr>
            </w:pPr>
          </w:p>
        </w:tc>
        <w:tc>
          <w:tcPr>
            <w:tcW w:w="570" w:type="dxa"/>
            <w:vMerge w:val="restart"/>
            <w:tcBorders>
              <w:top w:val="single" w:color="000000" w:sz="4" w:space="0"/>
              <w:left w:val="single" w:color="000000" w:sz="4" w:space="0"/>
              <w:right w:val="single" w:color="000000" w:sz="4" w:space="0"/>
            </w:tcBorders>
            <w:noWrap w:val="0"/>
            <w:vAlign w:val="center"/>
          </w:tcPr>
          <w:p w14:paraId="258F66BE">
            <w:pPr>
              <w:spacing w:before="2"/>
              <w:jc w:val="center"/>
              <w:rPr>
                <w:rFonts w:hint="eastAsia" w:ascii="宋体" w:hAnsi="宋体" w:eastAsia="宋体" w:cs="宋体"/>
                <w:b/>
                <w:strike/>
                <w:dstrike w:val="0"/>
                <w:color w:val="auto"/>
                <w:highlight w:val="none"/>
              </w:rPr>
            </w:pPr>
          </w:p>
          <w:p w14:paraId="16C47CBA">
            <w:pPr>
              <w:ind w:left="99"/>
              <w:jc w:val="center"/>
              <w:rPr>
                <w:rFonts w:hint="eastAsia" w:ascii="宋体" w:hAnsi="宋体" w:eastAsia="宋体" w:cs="宋体"/>
                <w:strike/>
                <w:dstrike w:val="0"/>
                <w:color w:val="auto"/>
                <w:sz w:val="18"/>
                <w:highlight w:val="none"/>
              </w:rPr>
            </w:pPr>
            <w:r>
              <w:rPr>
                <w:rFonts w:hint="eastAsia" w:ascii="宋体" w:hAnsi="宋体" w:eastAsia="宋体" w:cs="宋体"/>
                <w:strike w:val="0"/>
                <w:dstrike w:val="0"/>
                <w:color w:val="auto"/>
                <w:sz w:val="18"/>
                <w:highlight w:val="none"/>
              </w:rPr>
              <w:t>6.2.4</w:t>
            </w:r>
          </w:p>
        </w:tc>
        <w:tc>
          <w:tcPr>
            <w:tcW w:w="870" w:type="dxa"/>
            <w:vMerge w:val="restart"/>
            <w:tcBorders>
              <w:top w:val="single" w:color="000000" w:sz="4" w:space="0"/>
              <w:left w:val="single" w:color="000000" w:sz="4" w:space="0"/>
              <w:right w:val="single" w:color="000000" w:sz="4" w:space="0"/>
            </w:tcBorders>
            <w:noWrap w:val="0"/>
            <w:vAlign w:val="center"/>
          </w:tcPr>
          <w:p w14:paraId="714A71CC">
            <w:pPr>
              <w:spacing w:before="28" w:line="230" w:lineRule="atLeast"/>
              <w:ind w:left="42" w:right="168" w:firstLine="14"/>
              <w:jc w:val="center"/>
              <w:rPr>
                <w:rFonts w:hint="eastAsia" w:ascii="宋体" w:hAnsi="宋体" w:eastAsia="宋体" w:cs="宋体"/>
                <w:strike/>
                <w:dstrike w:val="0"/>
                <w:color w:val="auto"/>
                <w:sz w:val="18"/>
                <w:highlight w:val="none"/>
                <w:lang w:eastAsia="zh-CN"/>
              </w:rPr>
            </w:pPr>
            <w:r>
              <w:rPr>
                <w:rFonts w:hint="eastAsia" w:ascii="宋体" w:hAnsi="宋体" w:eastAsia="宋体" w:cs="宋体"/>
                <w:strike w:val="0"/>
                <w:dstrike w:val="0"/>
                <w:color w:val="auto"/>
                <w:spacing w:val="11"/>
                <w:sz w:val="18"/>
                <w:highlight w:val="none"/>
              </w:rPr>
              <w:t>运维车辆和工具符</w:t>
            </w:r>
            <w:r>
              <w:rPr>
                <w:rFonts w:hint="eastAsia" w:ascii="宋体" w:hAnsi="宋体" w:eastAsia="宋体" w:cs="宋体"/>
                <w:strike w:val="0"/>
                <w:dstrike w:val="0"/>
                <w:color w:val="auto"/>
                <w:spacing w:val="-9"/>
                <w:sz w:val="18"/>
                <w:highlight w:val="none"/>
              </w:rPr>
              <w:t>合以下要求</w:t>
            </w:r>
          </w:p>
        </w:tc>
        <w:tc>
          <w:tcPr>
            <w:tcW w:w="7035" w:type="dxa"/>
            <w:gridSpan w:val="2"/>
            <w:tcBorders>
              <w:top w:val="single" w:color="000000" w:sz="4" w:space="0"/>
              <w:left w:val="single" w:color="000000" w:sz="4" w:space="0"/>
              <w:bottom w:val="single" w:color="000000" w:sz="4" w:space="0"/>
              <w:right w:val="single" w:color="000000" w:sz="4" w:space="0"/>
            </w:tcBorders>
            <w:noWrap w:val="0"/>
            <w:vAlign w:val="top"/>
          </w:tcPr>
          <w:p w14:paraId="089EE082">
            <w:pPr>
              <w:spacing w:before="26" w:line="215" w:lineRule="exact"/>
              <w:ind w:left="57"/>
              <w:rPr>
                <w:rFonts w:hint="eastAsia" w:ascii="宋体" w:hAnsi="宋体" w:eastAsia="宋体" w:cs="宋体"/>
                <w:strike w:val="0"/>
                <w:dstrike w:val="0"/>
                <w:color w:val="auto"/>
                <w:sz w:val="18"/>
                <w:highlight w:val="none"/>
                <w:lang w:eastAsia="zh-CN"/>
              </w:rPr>
            </w:pPr>
            <w:r>
              <w:rPr>
                <w:rFonts w:hint="eastAsia" w:ascii="宋体" w:hAnsi="宋体" w:eastAsia="宋体" w:cs="宋体"/>
                <w:strike w:val="0"/>
                <w:dstrike w:val="0"/>
                <w:color w:val="auto"/>
                <w:sz w:val="18"/>
                <w:highlight w:val="none"/>
              </w:rPr>
              <w:t>1）</w:t>
            </w:r>
            <w:r>
              <w:rPr>
                <w:rFonts w:hint="eastAsia" w:ascii="宋体" w:hAnsi="宋体" w:eastAsia="宋体" w:cs="宋体"/>
                <w:strike w:val="0"/>
                <w:dstrike w:val="0"/>
                <w:color w:val="auto"/>
                <w:sz w:val="18"/>
                <w:highlight w:val="none"/>
                <w:lang w:val="en-US" w:eastAsia="zh-CN"/>
              </w:rPr>
              <w:t>须</w:t>
            </w:r>
            <w:r>
              <w:rPr>
                <w:rFonts w:hint="eastAsia" w:ascii="宋体" w:hAnsi="宋体" w:eastAsia="宋体" w:cs="宋体"/>
                <w:strike w:val="0"/>
                <w:dstrike w:val="0"/>
                <w:color w:val="auto"/>
                <w:sz w:val="18"/>
                <w:highlight w:val="none"/>
              </w:rPr>
              <w:t>满足半小时服务圈要求</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lang w:val="en-US" w:eastAsia="zh-CN"/>
              </w:rPr>
              <w:t>接到井盖丢失或破损反馈，或因排水不畅引起的路面积水事件，必须在半小时内达到现场，1小时内做好安全围护，6小时内完成修复；未按时围护或修复的，每次扣5分；</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AA12A">
            <w:pPr>
              <w:spacing w:before="146"/>
              <w:ind w:left="66" w:right="48"/>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查阅资料现场查勘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FF7DE6">
            <w:pPr>
              <w:jc w:val="cente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98E1430">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775DA3AD">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3847B154">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6B5F064C">
            <w:pPr>
              <w:rPr>
                <w:rFonts w:hint="eastAsia" w:ascii="宋体" w:hAnsi="宋体" w:eastAsia="宋体" w:cs="宋体"/>
                <w:color w:val="auto"/>
                <w:sz w:val="18"/>
                <w:highlight w:val="none"/>
              </w:rPr>
            </w:pPr>
          </w:p>
        </w:tc>
      </w:tr>
      <w:tr w14:paraId="782E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left w:val="single" w:color="000000" w:sz="4" w:space="0"/>
              <w:right w:val="single" w:color="000000" w:sz="4" w:space="0"/>
            </w:tcBorders>
            <w:noWrap w:val="0"/>
            <w:vAlign w:val="center"/>
          </w:tcPr>
          <w:p w14:paraId="4E2136D0">
            <w:pPr>
              <w:autoSpaceDE/>
              <w:autoSpaceDN/>
              <w:rPr>
                <w:rFonts w:hint="eastAsia" w:ascii="宋体" w:hAnsi="宋体" w:eastAsia="宋体" w:cs="宋体"/>
                <w:strike/>
                <w:dstrike w:val="0"/>
                <w:color w:val="auto"/>
                <w:sz w:val="18"/>
                <w:highlight w:val="none"/>
              </w:rPr>
            </w:pPr>
          </w:p>
        </w:tc>
        <w:tc>
          <w:tcPr>
            <w:tcW w:w="735" w:type="dxa"/>
            <w:vMerge w:val="continue"/>
            <w:tcBorders>
              <w:left w:val="single" w:color="000000" w:sz="4" w:space="0"/>
              <w:right w:val="single" w:color="000000" w:sz="4" w:space="0"/>
            </w:tcBorders>
            <w:noWrap w:val="0"/>
            <w:vAlign w:val="center"/>
          </w:tcPr>
          <w:p w14:paraId="3B903D57">
            <w:pPr>
              <w:autoSpaceDE/>
              <w:autoSpaceDN/>
              <w:rPr>
                <w:rFonts w:hint="eastAsia" w:ascii="宋体" w:hAnsi="宋体" w:eastAsia="宋体" w:cs="宋体"/>
                <w:strike/>
                <w:dstrike w:val="0"/>
                <w:color w:val="auto"/>
                <w:sz w:val="18"/>
                <w:highlight w:val="none"/>
              </w:rPr>
            </w:pPr>
          </w:p>
        </w:tc>
        <w:tc>
          <w:tcPr>
            <w:tcW w:w="570" w:type="dxa"/>
            <w:vMerge w:val="continue"/>
            <w:tcBorders>
              <w:left w:val="single" w:color="000000" w:sz="4" w:space="0"/>
              <w:right w:val="single" w:color="000000" w:sz="4" w:space="0"/>
            </w:tcBorders>
            <w:noWrap w:val="0"/>
            <w:vAlign w:val="center"/>
          </w:tcPr>
          <w:p w14:paraId="77CAACCD">
            <w:pPr>
              <w:autoSpaceDE/>
              <w:autoSpaceDN/>
              <w:rPr>
                <w:rFonts w:hint="eastAsia" w:ascii="宋体" w:hAnsi="宋体" w:eastAsia="宋体" w:cs="宋体"/>
                <w:strike/>
                <w:dstrike w:val="0"/>
                <w:color w:val="auto"/>
                <w:sz w:val="18"/>
                <w:highlight w:val="none"/>
              </w:rPr>
            </w:pPr>
          </w:p>
        </w:tc>
        <w:tc>
          <w:tcPr>
            <w:tcW w:w="870" w:type="dxa"/>
            <w:vMerge w:val="continue"/>
            <w:tcBorders>
              <w:left w:val="single" w:color="000000" w:sz="4" w:space="0"/>
              <w:right w:val="single" w:color="000000" w:sz="4" w:space="0"/>
            </w:tcBorders>
            <w:noWrap w:val="0"/>
            <w:vAlign w:val="center"/>
          </w:tcPr>
          <w:p w14:paraId="01E183B3">
            <w:pPr>
              <w:autoSpaceDE/>
              <w:autoSpaceDN/>
              <w:rPr>
                <w:rFonts w:hint="eastAsia" w:ascii="宋体" w:hAnsi="宋体" w:eastAsia="宋体" w:cs="宋体"/>
                <w:strike/>
                <w:dstrike w:val="0"/>
                <w:color w:val="auto"/>
                <w:sz w:val="18"/>
                <w:highlight w:val="none"/>
              </w:rPr>
            </w:pPr>
          </w:p>
        </w:tc>
        <w:tc>
          <w:tcPr>
            <w:tcW w:w="7035" w:type="dxa"/>
            <w:gridSpan w:val="2"/>
            <w:tcBorders>
              <w:top w:val="single" w:color="000000" w:sz="4" w:space="0"/>
              <w:left w:val="single" w:color="000000" w:sz="4" w:space="0"/>
              <w:bottom w:val="single" w:color="000000" w:sz="4" w:space="0"/>
              <w:right w:val="single" w:color="000000" w:sz="4" w:space="0"/>
            </w:tcBorders>
            <w:noWrap w:val="0"/>
            <w:vAlign w:val="top"/>
          </w:tcPr>
          <w:p w14:paraId="52ED803E">
            <w:pPr>
              <w:spacing w:before="26" w:line="215" w:lineRule="exact"/>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2）</w:t>
            </w:r>
            <w:r>
              <w:rPr>
                <w:rFonts w:hint="eastAsia" w:ascii="宋体" w:hAnsi="宋体" w:eastAsia="宋体" w:cs="宋体"/>
                <w:strike w:val="0"/>
                <w:dstrike w:val="0"/>
                <w:color w:val="auto"/>
                <w:sz w:val="18"/>
                <w:highlight w:val="none"/>
                <w:lang w:val="en-US" w:eastAsia="zh-CN"/>
              </w:rPr>
              <w:t>其他接到群众反馈须及时处理的情形，发现到场时间超过半小时不足一小时的，每次扣2分，到场时间超一小时的，每次扣5分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C2827">
            <w:pPr>
              <w:autoSpaceDE/>
              <w:autoSpaceDN/>
              <w:jc w:val="center"/>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EB9DA6">
            <w:pPr>
              <w:jc w:val="cente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B013BB0">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D12A5A7">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5C33256D">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4C515686">
            <w:pPr>
              <w:rPr>
                <w:rFonts w:hint="eastAsia" w:ascii="宋体" w:hAnsi="宋体" w:eastAsia="宋体" w:cs="宋体"/>
                <w:color w:val="auto"/>
                <w:sz w:val="18"/>
                <w:highlight w:val="none"/>
              </w:rPr>
            </w:pPr>
          </w:p>
        </w:tc>
      </w:tr>
      <w:tr w14:paraId="5021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577" w:type="dxa"/>
            <w:vMerge w:val="continue"/>
            <w:tcBorders>
              <w:left w:val="single" w:color="000000" w:sz="4" w:space="0"/>
              <w:bottom w:val="single" w:color="000000" w:sz="4" w:space="0"/>
              <w:right w:val="single" w:color="000000" w:sz="4" w:space="0"/>
            </w:tcBorders>
            <w:noWrap w:val="0"/>
            <w:vAlign w:val="center"/>
          </w:tcPr>
          <w:p w14:paraId="55D7F445">
            <w:pPr>
              <w:autoSpaceDE/>
              <w:autoSpaceDN/>
              <w:rPr>
                <w:rFonts w:hint="eastAsia" w:ascii="宋体" w:hAnsi="宋体" w:eastAsia="宋体" w:cs="宋体"/>
                <w:strike/>
                <w:dstrike w:val="0"/>
                <w:color w:val="auto"/>
                <w:sz w:val="18"/>
                <w:highlight w:val="none"/>
              </w:rPr>
            </w:pPr>
          </w:p>
        </w:tc>
        <w:tc>
          <w:tcPr>
            <w:tcW w:w="735" w:type="dxa"/>
            <w:vMerge w:val="continue"/>
            <w:tcBorders>
              <w:left w:val="single" w:color="000000" w:sz="4" w:space="0"/>
              <w:bottom w:val="single" w:color="000000" w:sz="4" w:space="0"/>
              <w:right w:val="single" w:color="000000" w:sz="4" w:space="0"/>
            </w:tcBorders>
            <w:noWrap w:val="0"/>
            <w:vAlign w:val="center"/>
          </w:tcPr>
          <w:p w14:paraId="183EC23C">
            <w:pPr>
              <w:autoSpaceDE/>
              <w:autoSpaceDN/>
              <w:rPr>
                <w:rFonts w:hint="eastAsia" w:ascii="宋体" w:hAnsi="宋体" w:eastAsia="宋体" w:cs="宋体"/>
                <w:strike/>
                <w:dstrike w:val="0"/>
                <w:color w:val="auto"/>
                <w:sz w:val="18"/>
                <w:highlight w:val="none"/>
              </w:rPr>
            </w:pPr>
          </w:p>
        </w:tc>
        <w:tc>
          <w:tcPr>
            <w:tcW w:w="570" w:type="dxa"/>
            <w:vMerge w:val="continue"/>
            <w:tcBorders>
              <w:left w:val="single" w:color="000000" w:sz="4" w:space="0"/>
              <w:bottom w:val="single" w:color="000000" w:sz="4" w:space="0"/>
              <w:right w:val="single" w:color="000000" w:sz="4" w:space="0"/>
            </w:tcBorders>
            <w:noWrap w:val="0"/>
            <w:vAlign w:val="center"/>
          </w:tcPr>
          <w:p w14:paraId="0BF964E2">
            <w:pPr>
              <w:autoSpaceDE/>
              <w:autoSpaceDN/>
              <w:rPr>
                <w:rFonts w:hint="eastAsia" w:ascii="宋体" w:hAnsi="宋体" w:eastAsia="宋体" w:cs="宋体"/>
                <w:strike/>
                <w:dstrike w:val="0"/>
                <w:color w:val="auto"/>
                <w:sz w:val="18"/>
                <w:highlight w:val="none"/>
              </w:rPr>
            </w:pPr>
          </w:p>
        </w:tc>
        <w:tc>
          <w:tcPr>
            <w:tcW w:w="870" w:type="dxa"/>
            <w:vMerge w:val="continue"/>
            <w:tcBorders>
              <w:left w:val="single" w:color="000000" w:sz="4" w:space="0"/>
              <w:bottom w:val="single" w:color="000000" w:sz="4" w:space="0"/>
              <w:right w:val="single" w:color="000000" w:sz="4" w:space="0"/>
            </w:tcBorders>
            <w:noWrap w:val="0"/>
            <w:vAlign w:val="center"/>
          </w:tcPr>
          <w:p w14:paraId="506FA89B">
            <w:pPr>
              <w:autoSpaceDE/>
              <w:autoSpaceDN/>
              <w:rPr>
                <w:rFonts w:hint="eastAsia" w:ascii="宋体" w:hAnsi="宋体" w:eastAsia="宋体" w:cs="宋体"/>
                <w:strike/>
                <w:dstrike w:val="0"/>
                <w:color w:val="auto"/>
                <w:sz w:val="18"/>
                <w:highlight w:val="none"/>
              </w:rPr>
            </w:pPr>
          </w:p>
        </w:tc>
        <w:tc>
          <w:tcPr>
            <w:tcW w:w="7035" w:type="dxa"/>
            <w:gridSpan w:val="2"/>
            <w:tcBorders>
              <w:top w:val="single" w:color="000000" w:sz="4" w:space="0"/>
              <w:left w:val="single" w:color="000000" w:sz="4" w:space="0"/>
              <w:bottom w:val="single" w:color="000000" w:sz="4" w:space="0"/>
              <w:right w:val="single" w:color="000000" w:sz="4" w:space="0"/>
            </w:tcBorders>
            <w:noWrap w:val="0"/>
            <w:vAlign w:val="top"/>
          </w:tcPr>
          <w:p w14:paraId="23344D67">
            <w:pPr>
              <w:spacing w:before="26" w:line="215" w:lineRule="exact"/>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lang w:val="en-US" w:eastAsia="zh-CN"/>
              </w:rPr>
              <w:t>3）</w:t>
            </w:r>
            <w:r>
              <w:rPr>
                <w:rFonts w:hint="eastAsia" w:ascii="宋体" w:hAnsi="宋体" w:eastAsia="宋体" w:cs="宋体"/>
                <w:strike w:val="0"/>
                <w:dstrike w:val="0"/>
                <w:color w:val="auto"/>
                <w:sz w:val="18"/>
                <w:highlight w:val="none"/>
              </w:rPr>
              <w:t>满足日常运维和突发事件应急需要，须确定专人负责处置应急事件</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rPr>
              <w:t>如井盖缺损、污水外冒等</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rPr>
              <w:t>，确保24小时电话畅通；未设专人的扣5分，联系不到专人的，每次扣4分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D1071C1">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2F3BDE33">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8CE881D">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24492AAE">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42CD4C4">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1EAA3F88">
            <w:pPr>
              <w:rPr>
                <w:rFonts w:hint="eastAsia" w:ascii="宋体" w:hAnsi="宋体" w:eastAsia="宋体" w:cs="宋体"/>
                <w:color w:val="auto"/>
                <w:sz w:val="18"/>
                <w:highlight w:val="none"/>
              </w:rPr>
            </w:pPr>
          </w:p>
        </w:tc>
      </w:tr>
      <w:tr w14:paraId="4587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14:paraId="6156F07D">
            <w:pPr>
              <w:autoSpaceDE/>
              <w:autoSpaceDN/>
              <w:rPr>
                <w:rFonts w:hint="eastAsia" w:ascii="宋体" w:hAnsi="宋体" w:eastAsia="宋体" w:cs="宋体"/>
                <w:strike/>
                <w:dstrike w:val="0"/>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5571D4">
            <w:pPr>
              <w:autoSpaceDE/>
              <w:autoSpaceDN/>
              <w:rPr>
                <w:rFonts w:hint="eastAsia" w:ascii="宋体" w:hAnsi="宋体" w:eastAsia="宋体" w:cs="宋体"/>
                <w:strike/>
                <w:dstrike w:val="0"/>
                <w:color w:val="auto"/>
                <w:sz w:val="18"/>
                <w:highlight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63B10FA">
            <w:pPr>
              <w:autoSpaceDE/>
              <w:autoSpaceDN/>
              <w:jc w:val="center"/>
              <w:rPr>
                <w:rFonts w:hint="eastAsia" w:ascii="宋体" w:hAnsi="宋体" w:eastAsia="宋体" w:cs="宋体"/>
                <w:strike/>
                <w:dstrike w:val="0"/>
                <w:color w:val="auto"/>
                <w:sz w:val="18"/>
                <w:highlight w:val="none"/>
                <w:lang w:val="en-US" w:eastAsia="zh-CN"/>
              </w:rPr>
            </w:pPr>
            <w:r>
              <w:rPr>
                <w:rFonts w:hint="eastAsia" w:ascii="宋体" w:hAnsi="宋体" w:eastAsia="宋体" w:cs="宋体"/>
                <w:strike w:val="0"/>
                <w:dstrike w:val="0"/>
                <w:color w:val="auto"/>
                <w:sz w:val="18"/>
                <w:highlight w:val="none"/>
                <w:lang w:val="en-US" w:eastAsia="zh-CN"/>
              </w:rPr>
              <w:t>6.2.5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893AE4">
            <w:pPr>
              <w:autoSpaceDE/>
              <w:autoSpaceDN/>
              <w:rPr>
                <w:rFonts w:hint="eastAsia" w:ascii="宋体" w:hAnsi="宋体" w:eastAsia="宋体" w:cs="宋体"/>
                <w:strike/>
                <w:dstrike w:val="0"/>
                <w:color w:val="auto"/>
                <w:sz w:val="18"/>
                <w:highlight w:val="none"/>
                <w:lang w:val="en-US" w:eastAsia="zh-CN"/>
              </w:rPr>
            </w:pPr>
            <w:r>
              <w:rPr>
                <w:rFonts w:hint="eastAsia" w:ascii="宋体" w:hAnsi="宋体" w:eastAsia="宋体" w:cs="宋体"/>
                <w:strike w:val="0"/>
                <w:dstrike w:val="0"/>
                <w:color w:val="auto"/>
                <w:sz w:val="18"/>
                <w:szCs w:val="22"/>
                <w:highlight w:val="none"/>
                <w:lang w:val="en-US" w:eastAsia="zh-CN" w:bidi="ar-SA"/>
              </w:rPr>
              <w:t>应急处理配合度</w:t>
            </w:r>
          </w:p>
        </w:tc>
        <w:tc>
          <w:tcPr>
            <w:tcW w:w="7035" w:type="dxa"/>
            <w:gridSpan w:val="2"/>
            <w:tcBorders>
              <w:top w:val="single" w:color="000000" w:sz="4" w:space="0"/>
              <w:left w:val="single" w:color="000000" w:sz="4" w:space="0"/>
              <w:bottom w:val="single" w:color="000000" w:sz="4" w:space="0"/>
              <w:right w:val="single" w:color="000000" w:sz="4" w:space="0"/>
            </w:tcBorders>
            <w:noWrap w:val="0"/>
            <w:vAlign w:val="top"/>
          </w:tcPr>
          <w:p w14:paraId="6F4E1B80">
            <w:pPr>
              <w:spacing w:before="26" w:line="215" w:lineRule="exact"/>
              <w:ind w:left="57"/>
              <w:rPr>
                <w:rFonts w:hint="default" w:ascii="宋体" w:hAnsi="宋体" w:eastAsia="宋体" w:cs="宋体"/>
                <w:strike w:val="0"/>
                <w:dstrike w:val="0"/>
                <w:color w:val="auto"/>
                <w:sz w:val="18"/>
                <w:highlight w:val="none"/>
                <w:lang w:val="en-US"/>
              </w:rPr>
            </w:pPr>
            <w:r>
              <w:rPr>
                <w:rFonts w:hint="eastAsia" w:ascii="宋体" w:hAnsi="宋体" w:eastAsia="宋体" w:cs="宋体"/>
                <w:strike w:val="0"/>
                <w:dstrike w:val="0"/>
                <w:color w:val="auto"/>
                <w:sz w:val="18"/>
                <w:highlight w:val="none"/>
                <w:lang w:val="en-US" w:eastAsia="zh-CN"/>
              </w:rPr>
              <w:t>防汛抗台或接受临时性工作任务的；接到“防汛警报”后不能及时安排值班人员值班的，每次扣5分；接警后不能闻警而动的，每次扣5分；接受临时任务不能按质按时完成的，酌情扣3-5分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1A33E02">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1917FECD">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B319319">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569CFCB">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2E467ADE">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2B9A18A3">
            <w:pPr>
              <w:rPr>
                <w:rFonts w:hint="eastAsia" w:ascii="宋体" w:hAnsi="宋体" w:eastAsia="宋体" w:cs="宋体"/>
                <w:color w:val="auto"/>
                <w:sz w:val="18"/>
                <w:highlight w:val="none"/>
              </w:rPr>
            </w:pPr>
          </w:p>
        </w:tc>
      </w:tr>
      <w:tr w14:paraId="5140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restart"/>
            <w:tcBorders>
              <w:top w:val="single" w:color="000000" w:sz="4" w:space="0"/>
              <w:left w:val="single" w:color="000000" w:sz="4" w:space="0"/>
              <w:bottom w:val="single" w:color="000000" w:sz="4" w:space="0"/>
              <w:right w:val="single" w:color="000000" w:sz="4" w:space="0"/>
            </w:tcBorders>
            <w:noWrap w:val="0"/>
            <w:vAlign w:val="top"/>
          </w:tcPr>
          <w:p w14:paraId="40600CE2">
            <w:pPr>
              <w:rPr>
                <w:rFonts w:hint="eastAsia" w:ascii="宋体" w:hAnsi="宋体" w:eastAsia="宋体" w:cs="宋体"/>
                <w:b/>
                <w:strike/>
                <w:dstrike w:val="0"/>
                <w:color w:val="auto"/>
                <w:sz w:val="18"/>
                <w:highlight w:val="none"/>
              </w:rPr>
            </w:pPr>
          </w:p>
          <w:p w14:paraId="39985D28">
            <w:pPr>
              <w:rPr>
                <w:rFonts w:hint="eastAsia" w:ascii="宋体" w:hAnsi="宋体" w:eastAsia="宋体" w:cs="宋体"/>
                <w:b/>
                <w:strike/>
                <w:dstrike w:val="0"/>
                <w:color w:val="auto"/>
                <w:sz w:val="18"/>
                <w:highlight w:val="none"/>
              </w:rPr>
            </w:pPr>
          </w:p>
          <w:p w14:paraId="38183428">
            <w:pPr>
              <w:rPr>
                <w:rFonts w:hint="eastAsia" w:ascii="宋体" w:hAnsi="宋体" w:eastAsia="宋体" w:cs="宋体"/>
                <w:b/>
                <w:strike/>
                <w:dstrike w:val="0"/>
                <w:color w:val="auto"/>
                <w:sz w:val="18"/>
                <w:highlight w:val="none"/>
              </w:rPr>
            </w:pPr>
          </w:p>
          <w:p w14:paraId="2C5D4551">
            <w:pPr>
              <w:rPr>
                <w:rFonts w:hint="eastAsia" w:ascii="宋体" w:hAnsi="宋体" w:eastAsia="宋体" w:cs="宋体"/>
                <w:b/>
                <w:strike/>
                <w:dstrike w:val="0"/>
                <w:color w:val="auto"/>
                <w:sz w:val="18"/>
                <w:highlight w:val="none"/>
              </w:rPr>
            </w:pPr>
          </w:p>
          <w:p w14:paraId="3A751612">
            <w:pPr>
              <w:rPr>
                <w:rFonts w:hint="eastAsia" w:ascii="宋体" w:hAnsi="宋体" w:eastAsia="宋体" w:cs="宋体"/>
                <w:b/>
                <w:strike/>
                <w:dstrike w:val="0"/>
                <w:color w:val="auto"/>
                <w:sz w:val="18"/>
                <w:highlight w:val="none"/>
              </w:rPr>
            </w:pPr>
          </w:p>
          <w:p w14:paraId="1664C860">
            <w:pPr>
              <w:rPr>
                <w:rFonts w:hint="eastAsia" w:ascii="宋体" w:hAnsi="宋体" w:eastAsia="宋体" w:cs="宋体"/>
                <w:b/>
                <w:strike/>
                <w:dstrike w:val="0"/>
                <w:color w:val="auto"/>
                <w:sz w:val="18"/>
                <w:highlight w:val="none"/>
              </w:rPr>
            </w:pPr>
          </w:p>
          <w:p w14:paraId="2A8AB6C8">
            <w:pPr>
              <w:rPr>
                <w:rFonts w:hint="eastAsia" w:ascii="宋体" w:hAnsi="宋体" w:eastAsia="宋体" w:cs="宋体"/>
                <w:b/>
                <w:strike/>
                <w:dstrike w:val="0"/>
                <w:color w:val="auto"/>
                <w:sz w:val="18"/>
                <w:highlight w:val="none"/>
              </w:rPr>
            </w:pPr>
          </w:p>
          <w:p w14:paraId="2FBD8CD4">
            <w:pPr>
              <w:rPr>
                <w:rFonts w:hint="eastAsia" w:ascii="宋体" w:hAnsi="宋体" w:eastAsia="宋体" w:cs="宋体"/>
                <w:b/>
                <w:strike/>
                <w:dstrike w:val="0"/>
                <w:color w:val="auto"/>
                <w:sz w:val="18"/>
                <w:highlight w:val="none"/>
              </w:rPr>
            </w:pPr>
          </w:p>
          <w:p w14:paraId="22738518">
            <w:pPr>
              <w:rPr>
                <w:rFonts w:hint="eastAsia" w:ascii="宋体" w:hAnsi="宋体" w:eastAsia="宋体" w:cs="宋体"/>
                <w:b/>
                <w:strike w:val="0"/>
                <w:dstrike w:val="0"/>
                <w:color w:val="auto"/>
                <w:sz w:val="17"/>
                <w:highlight w:val="none"/>
              </w:rPr>
            </w:pPr>
          </w:p>
          <w:p w14:paraId="5D4C132E">
            <w:pPr>
              <w:ind w:left="100" w:right="91"/>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pacing w:val="-9"/>
                <w:sz w:val="18"/>
                <w:highlight w:val="none"/>
              </w:rPr>
              <w:t>运维人员</w:t>
            </w:r>
          </w:p>
          <w:p w14:paraId="46353428">
            <w:pPr>
              <w:spacing w:before="3"/>
              <w:ind w:left="100" w:right="88"/>
              <w:rPr>
                <w:rFonts w:hint="eastAsia" w:ascii="宋体" w:hAnsi="宋体" w:eastAsia="宋体" w:cs="宋体"/>
                <w:strike/>
                <w:dstrike w:val="0"/>
                <w:color w:val="auto"/>
                <w:sz w:val="18"/>
                <w:highlight w:val="none"/>
              </w:rPr>
            </w:pP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6DDDBE21">
            <w:pPr>
              <w:spacing w:before="3"/>
              <w:rPr>
                <w:rFonts w:hint="eastAsia" w:ascii="宋体" w:hAnsi="宋体" w:eastAsia="宋体" w:cs="宋体"/>
                <w:b/>
                <w:strike w:val="0"/>
                <w:dstrike w:val="0"/>
                <w:color w:val="auto"/>
                <w:sz w:val="21"/>
                <w:highlight w:val="none"/>
              </w:rPr>
            </w:pPr>
          </w:p>
          <w:p w14:paraId="602B1ECF">
            <w:pPr>
              <w:ind w:left="189" w:right="90" w:hanging="92"/>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控制项</w:t>
            </w: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178C6B98">
            <w:pPr>
              <w:spacing w:before="62"/>
              <w:ind w:right="89"/>
              <w:jc w:val="right"/>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7.1.1</w:t>
            </w:r>
          </w:p>
        </w:tc>
        <w:tc>
          <w:tcPr>
            <w:tcW w:w="7905" w:type="dxa"/>
            <w:gridSpan w:val="3"/>
            <w:tcBorders>
              <w:top w:val="single" w:color="000000" w:sz="4" w:space="0"/>
              <w:left w:val="single" w:color="000000" w:sz="4" w:space="0"/>
              <w:bottom w:val="single" w:color="000000" w:sz="4" w:space="0"/>
              <w:right w:val="single" w:color="000000" w:sz="4" w:space="0"/>
            </w:tcBorders>
            <w:noWrap w:val="0"/>
            <w:vAlign w:val="top"/>
          </w:tcPr>
          <w:p w14:paraId="34C03E65">
            <w:pPr>
              <w:spacing w:before="53"/>
              <w:ind w:left="56"/>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特殊作业人员持证上岗</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66A57BE0">
            <w:pPr>
              <w:spacing w:before="53"/>
              <w:ind w:left="45" w:right="3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7C530357">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423202F">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5EB16C46">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12425FBB">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60B866A5">
            <w:pPr>
              <w:rPr>
                <w:rFonts w:hint="eastAsia" w:ascii="宋体" w:hAnsi="宋体" w:eastAsia="宋体" w:cs="宋体"/>
                <w:color w:val="auto"/>
                <w:sz w:val="18"/>
                <w:highlight w:val="none"/>
              </w:rPr>
            </w:pPr>
          </w:p>
        </w:tc>
      </w:tr>
      <w:tr w14:paraId="14B2A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C4132">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9C280">
            <w:pPr>
              <w:autoSpaceDE/>
              <w:autoSpaceDN/>
              <w:rPr>
                <w:rFonts w:hint="eastAsia" w:ascii="宋体" w:hAnsi="宋体" w:eastAsia="宋体" w:cs="宋体"/>
                <w:strike w:val="0"/>
                <w:dstrike w:val="0"/>
                <w:color w:val="auto"/>
                <w:sz w:val="18"/>
                <w:highlight w:val="none"/>
              </w:rPr>
            </w:pP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4BA86CAC">
            <w:pPr>
              <w:spacing w:before="62"/>
              <w:ind w:right="89"/>
              <w:jc w:val="right"/>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7.1.2</w:t>
            </w:r>
          </w:p>
        </w:tc>
        <w:tc>
          <w:tcPr>
            <w:tcW w:w="7905" w:type="dxa"/>
            <w:gridSpan w:val="3"/>
            <w:tcBorders>
              <w:top w:val="single" w:color="000000" w:sz="4" w:space="0"/>
              <w:left w:val="single" w:color="000000" w:sz="4" w:space="0"/>
              <w:bottom w:val="single" w:color="000000" w:sz="4" w:space="0"/>
              <w:right w:val="single" w:color="000000" w:sz="4" w:space="0"/>
            </w:tcBorders>
            <w:noWrap w:val="0"/>
            <w:vAlign w:val="top"/>
          </w:tcPr>
          <w:p w14:paraId="47F9B859">
            <w:pPr>
              <w:spacing w:before="52"/>
              <w:ind w:left="56"/>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严格执行本岗位安全操作规程</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3D09D726">
            <w:pPr>
              <w:spacing w:before="52"/>
              <w:ind w:left="45" w:right="3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人员征询</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18678053">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9437382">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65BAA85C">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3A1E869C">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644BBDE9">
            <w:pPr>
              <w:rPr>
                <w:rFonts w:hint="eastAsia" w:ascii="宋体" w:hAnsi="宋体" w:eastAsia="宋体" w:cs="宋体"/>
                <w:color w:val="auto"/>
                <w:sz w:val="18"/>
                <w:highlight w:val="none"/>
              </w:rPr>
            </w:pPr>
          </w:p>
        </w:tc>
      </w:tr>
      <w:tr w14:paraId="2AC1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70BBA">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44161">
            <w:pPr>
              <w:autoSpaceDE/>
              <w:autoSpaceDN/>
              <w:rPr>
                <w:rFonts w:hint="eastAsia" w:ascii="宋体" w:hAnsi="宋体" w:eastAsia="宋体" w:cs="宋体"/>
                <w:strike w:val="0"/>
                <w:dstrike w:val="0"/>
                <w:color w:val="auto"/>
                <w:sz w:val="18"/>
                <w:highlight w:val="none"/>
              </w:rPr>
            </w:pP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309D7B54">
            <w:pPr>
              <w:spacing w:before="62"/>
              <w:ind w:right="89"/>
              <w:jc w:val="right"/>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7.1.3</w:t>
            </w:r>
          </w:p>
        </w:tc>
        <w:tc>
          <w:tcPr>
            <w:tcW w:w="7905" w:type="dxa"/>
            <w:gridSpan w:val="3"/>
            <w:tcBorders>
              <w:top w:val="single" w:color="000000" w:sz="4" w:space="0"/>
              <w:left w:val="single" w:color="000000" w:sz="4" w:space="0"/>
              <w:bottom w:val="single" w:color="000000" w:sz="4" w:space="0"/>
              <w:right w:val="single" w:color="000000" w:sz="4" w:space="0"/>
            </w:tcBorders>
            <w:noWrap w:val="0"/>
            <w:vAlign w:val="top"/>
          </w:tcPr>
          <w:p w14:paraId="35072DF1">
            <w:pPr>
              <w:spacing w:before="52"/>
              <w:ind w:left="56"/>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突发问题及时上报和处理，同时做好问题跟踪记录与反馈</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36527AB0">
            <w:pPr>
              <w:spacing w:before="52"/>
              <w:ind w:left="45" w:right="3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0E84DACB">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DAB6147">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45D7CEC9">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70B4A71">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5E695F96">
            <w:pPr>
              <w:rPr>
                <w:rFonts w:hint="eastAsia" w:ascii="宋体" w:hAnsi="宋体" w:eastAsia="宋体" w:cs="宋体"/>
                <w:color w:val="auto"/>
                <w:sz w:val="18"/>
                <w:highlight w:val="none"/>
              </w:rPr>
            </w:pPr>
          </w:p>
        </w:tc>
      </w:tr>
      <w:tr w14:paraId="16C4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1BA4F">
            <w:pPr>
              <w:autoSpaceDE/>
              <w:autoSpaceDN/>
              <w:rPr>
                <w:rFonts w:hint="eastAsia" w:ascii="宋体" w:hAnsi="宋体" w:eastAsia="宋体" w:cs="宋体"/>
                <w:strike/>
                <w:dstrike w:val="0"/>
                <w:color w:val="auto"/>
                <w:sz w:val="18"/>
                <w:highlight w:val="none"/>
              </w:rPr>
            </w:pP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4887479F">
            <w:pPr>
              <w:rPr>
                <w:rFonts w:hint="eastAsia" w:ascii="宋体" w:hAnsi="宋体" w:eastAsia="宋体" w:cs="宋体"/>
                <w:b/>
                <w:strike w:val="0"/>
                <w:dstrike w:val="0"/>
                <w:color w:val="auto"/>
                <w:sz w:val="18"/>
                <w:highlight w:val="none"/>
              </w:rPr>
            </w:pPr>
          </w:p>
          <w:p w14:paraId="154EFCA0">
            <w:pPr>
              <w:rPr>
                <w:rFonts w:hint="eastAsia" w:ascii="宋体" w:hAnsi="宋体" w:eastAsia="宋体" w:cs="宋体"/>
                <w:b/>
                <w:strike w:val="0"/>
                <w:dstrike w:val="0"/>
                <w:color w:val="auto"/>
                <w:sz w:val="18"/>
                <w:highlight w:val="none"/>
              </w:rPr>
            </w:pPr>
          </w:p>
          <w:p w14:paraId="36C35E53">
            <w:pPr>
              <w:rPr>
                <w:rFonts w:hint="eastAsia" w:ascii="宋体" w:hAnsi="宋体" w:eastAsia="宋体" w:cs="宋体"/>
                <w:b/>
                <w:strike w:val="0"/>
                <w:dstrike w:val="0"/>
                <w:color w:val="auto"/>
                <w:sz w:val="18"/>
                <w:highlight w:val="none"/>
              </w:rPr>
            </w:pPr>
          </w:p>
          <w:p w14:paraId="6F83D87F">
            <w:pPr>
              <w:rPr>
                <w:rFonts w:hint="eastAsia" w:ascii="宋体" w:hAnsi="宋体" w:eastAsia="宋体" w:cs="宋体"/>
                <w:b/>
                <w:strike w:val="0"/>
                <w:dstrike w:val="0"/>
                <w:color w:val="auto"/>
                <w:sz w:val="18"/>
                <w:highlight w:val="none"/>
              </w:rPr>
            </w:pPr>
          </w:p>
          <w:p w14:paraId="02EEC31E">
            <w:pPr>
              <w:rPr>
                <w:rFonts w:hint="eastAsia" w:ascii="宋体" w:hAnsi="宋体" w:eastAsia="宋体" w:cs="宋体"/>
                <w:b/>
                <w:strike w:val="0"/>
                <w:dstrike w:val="0"/>
                <w:color w:val="auto"/>
                <w:sz w:val="18"/>
                <w:highlight w:val="none"/>
              </w:rPr>
            </w:pPr>
          </w:p>
          <w:p w14:paraId="7D56F36A">
            <w:pPr>
              <w:rPr>
                <w:rFonts w:hint="eastAsia" w:ascii="宋体" w:hAnsi="宋体" w:eastAsia="宋体" w:cs="宋体"/>
                <w:b/>
                <w:strike w:val="0"/>
                <w:dstrike w:val="0"/>
                <w:color w:val="auto"/>
                <w:sz w:val="18"/>
                <w:highlight w:val="none"/>
              </w:rPr>
            </w:pPr>
          </w:p>
          <w:p w14:paraId="5698240D">
            <w:pPr>
              <w:rPr>
                <w:rFonts w:hint="eastAsia" w:ascii="宋体" w:hAnsi="宋体" w:eastAsia="宋体" w:cs="宋体"/>
                <w:b/>
                <w:strike w:val="0"/>
                <w:dstrike w:val="0"/>
                <w:color w:val="auto"/>
                <w:sz w:val="20"/>
                <w:highlight w:val="none"/>
              </w:rPr>
            </w:pPr>
          </w:p>
          <w:p w14:paraId="05DEEC06">
            <w:pPr>
              <w:ind w:left="189" w:right="90" w:hanging="92"/>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评分项</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top"/>
          </w:tcPr>
          <w:p w14:paraId="34CFEAAE">
            <w:pPr>
              <w:rPr>
                <w:rFonts w:hint="eastAsia" w:ascii="宋体" w:hAnsi="宋体" w:eastAsia="宋体" w:cs="宋体"/>
                <w:b/>
                <w:strike w:val="0"/>
                <w:dstrike w:val="0"/>
                <w:color w:val="auto"/>
                <w:sz w:val="20"/>
                <w:highlight w:val="none"/>
              </w:rPr>
            </w:pPr>
          </w:p>
          <w:p w14:paraId="142CD073">
            <w:pPr>
              <w:rPr>
                <w:rFonts w:hint="eastAsia" w:ascii="宋体" w:hAnsi="宋体" w:eastAsia="宋体" w:cs="宋体"/>
                <w:b/>
                <w:strike w:val="0"/>
                <w:dstrike w:val="0"/>
                <w:color w:val="auto"/>
                <w:sz w:val="20"/>
                <w:highlight w:val="none"/>
              </w:rPr>
            </w:pPr>
          </w:p>
          <w:p w14:paraId="26FFE91C">
            <w:pPr>
              <w:rPr>
                <w:rFonts w:hint="eastAsia" w:ascii="宋体" w:hAnsi="宋体" w:eastAsia="宋体" w:cs="宋体"/>
                <w:b/>
                <w:strike w:val="0"/>
                <w:dstrike w:val="0"/>
                <w:color w:val="auto"/>
                <w:sz w:val="20"/>
                <w:highlight w:val="none"/>
              </w:rPr>
            </w:pPr>
          </w:p>
          <w:p w14:paraId="2C6B7711">
            <w:pPr>
              <w:spacing w:before="3"/>
              <w:rPr>
                <w:rFonts w:hint="eastAsia" w:ascii="宋体" w:hAnsi="宋体" w:eastAsia="宋体" w:cs="宋体"/>
                <w:b/>
                <w:strike w:val="0"/>
                <w:dstrike w:val="0"/>
                <w:color w:val="auto"/>
                <w:sz w:val="16"/>
                <w:highlight w:val="none"/>
              </w:rPr>
            </w:pPr>
          </w:p>
          <w:p w14:paraId="7D992549">
            <w:pPr>
              <w:ind w:left="9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7.2.1</w:t>
            </w:r>
          </w:p>
        </w:tc>
        <w:tc>
          <w:tcPr>
            <w:tcW w:w="1320"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03B29FBA">
            <w:pPr>
              <w:rPr>
                <w:rFonts w:hint="eastAsia" w:ascii="宋体" w:hAnsi="宋体" w:eastAsia="宋体" w:cs="宋体"/>
                <w:b/>
                <w:strike w:val="0"/>
                <w:dstrike w:val="0"/>
                <w:color w:val="auto"/>
                <w:sz w:val="20"/>
                <w:highlight w:val="none"/>
              </w:rPr>
            </w:pPr>
          </w:p>
          <w:p w14:paraId="614DDD17">
            <w:pPr>
              <w:spacing w:before="11"/>
              <w:rPr>
                <w:rFonts w:hint="eastAsia" w:ascii="宋体" w:hAnsi="宋体" w:eastAsia="宋体" w:cs="宋体"/>
                <w:b/>
                <w:strike w:val="0"/>
                <w:dstrike w:val="0"/>
                <w:color w:val="auto"/>
                <w:sz w:val="27"/>
                <w:highlight w:val="none"/>
              </w:rPr>
            </w:pPr>
          </w:p>
          <w:p w14:paraId="0E4DDA27">
            <w:pPr>
              <w:ind w:left="42" w:right="170" w:firstLine="14"/>
              <w:jc w:val="both"/>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运维人员具有相应的工作能力</w:t>
            </w: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0D5486DB">
            <w:pPr>
              <w:spacing w:before="28"/>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1）熟悉自己的岗位职责和工作内容；有不熟悉的，每人扣</w:t>
            </w:r>
            <w:r>
              <w:rPr>
                <w:rFonts w:hint="eastAsia" w:ascii="宋体" w:hAnsi="宋体" w:eastAsia="宋体" w:cs="宋体"/>
                <w:strike w:val="0"/>
                <w:dstrike w:val="0"/>
                <w:color w:val="auto"/>
                <w:sz w:val="18"/>
                <w:highlight w:val="none"/>
                <w:lang w:val="en-US" w:eastAsia="zh-CN"/>
              </w:rPr>
              <w:t>1</w:t>
            </w:r>
            <w:r>
              <w:rPr>
                <w:rFonts w:hint="eastAsia" w:ascii="宋体" w:hAnsi="宋体" w:eastAsia="宋体" w:cs="宋体"/>
                <w:strike w:val="0"/>
                <w:dstrike w:val="0"/>
                <w:color w:val="auto"/>
                <w:sz w:val="18"/>
                <w:highlight w:val="none"/>
              </w:rPr>
              <w:t>分</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top"/>
          </w:tcPr>
          <w:p w14:paraId="6E33C9A9">
            <w:pPr>
              <w:rPr>
                <w:rFonts w:hint="eastAsia" w:ascii="宋体" w:hAnsi="宋体" w:eastAsia="宋体" w:cs="宋体"/>
                <w:b/>
                <w:color w:val="auto"/>
                <w:sz w:val="18"/>
                <w:highlight w:val="none"/>
              </w:rPr>
            </w:pPr>
          </w:p>
          <w:p w14:paraId="57487424">
            <w:pPr>
              <w:rPr>
                <w:rFonts w:hint="eastAsia" w:ascii="宋体" w:hAnsi="宋体" w:eastAsia="宋体" w:cs="宋体"/>
                <w:b/>
                <w:color w:val="auto"/>
                <w:sz w:val="18"/>
                <w:highlight w:val="none"/>
              </w:rPr>
            </w:pPr>
          </w:p>
          <w:p w14:paraId="1949AA65">
            <w:pPr>
              <w:rPr>
                <w:rFonts w:hint="eastAsia" w:ascii="宋体" w:hAnsi="宋体" w:eastAsia="宋体" w:cs="宋体"/>
                <w:b/>
                <w:color w:val="auto"/>
                <w:sz w:val="18"/>
                <w:highlight w:val="none"/>
              </w:rPr>
            </w:pPr>
          </w:p>
          <w:p w14:paraId="050E2697">
            <w:pPr>
              <w:spacing w:before="147"/>
              <w:ind w:left="66" w:right="48"/>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查阅资料人员征询</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0EAC4A63">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998950E">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1C31344">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4CD7A1F5">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77F77ADA">
            <w:pPr>
              <w:rPr>
                <w:rFonts w:hint="eastAsia" w:ascii="宋体" w:hAnsi="宋体" w:eastAsia="宋体" w:cs="宋体"/>
                <w:color w:val="auto"/>
                <w:sz w:val="18"/>
                <w:highlight w:val="none"/>
              </w:rPr>
            </w:pPr>
          </w:p>
        </w:tc>
      </w:tr>
      <w:tr w14:paraId="77529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CE0CC">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BA34F">
            <w:pPr>
              <w:autoSpaceDE/>
              <w:autoSpaceDN/>
              <w:rPr>
                <w:rFonts w:hint="eastAsia" w:ascii="宋体" w:hAnsi="宋体" w:eastAsia="宋体" w:cs="宋体"/>
                <w:strike w:val="0"/>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3993B">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FD99B5">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7C293379">
            <w:pPr>
              <w:spacing w:before="26" w:line="215" w:lineRule="exact"/>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2）掌握基本的操作规范；操作不规范的，每人</w:t>
            </w:r>
            <w:r>
              <w:rPr>
                <w:rFonts w:hint="eastAsia" w:ascii="宋体" w:hAnsi="宋体" w:eastAsia="宋体" w:cs="宋体"/>
                <w:strike w:val="0"/>
                <w:dstrike w:val="0"/>
                <w:color w:val="auto"/>
                <w:sz w:val="18"/>
                <w:highlight w:val="none"/>
                <w:lang w:val="en-US" w:eastAsia="zh-CN"/>
              </w:rPr>
              <w:t>次</w:t>
            </w:r>
            <w:r>
              <w:rPr>
                <w:rFonts w:hint="eastAsia" w:ascii="宋体" w:hAnsi="宋体" w:eastAsia="宋体" w:cs="宋体"/>
                <w:strike w:val="0"/>
                <w:dstrike w:val="0"/>
                <w:color w:val="auto"/>
                <w:sz w:val="18"/>
                <w:highlight w:val="none"/>
              </w:rPr>
              <w:t xml:space="preserve">扣 </w:t>
            </w:r>
            <w:r>
              <w:rPr>
                <w:rFonts w:hint="eastAsia" w:ascii="宋体" w:hAnsi="宋体" w:eastAsia="宋体" w:cs="宋体"/>
                <w:strike w:val="0"/>
                <w:dstrike w:val="0"/>
                <w:color w:val="auto"/>
                <w:sz w:val="18"/>
                <w:highlight w:val="none"/>
                <w:lang w:val="en-US" w:eastAsia="zh-CN"/>
              </w:rPr>
              <w:t>1</w:t>
            </w:r>
            <w:r>
              <w:rPr>
                <w:rFonts w:hint="eastAsia" w:ascii="宋体" w:hAnsi="宋体" w:eastAsia="宋体" w:cs="宋体"/>
                <w:strike w:val="0"/>
                <w:dstrike w:val="0"/>
                <w:color w:val="auto"/>
                <w:sz w:val="18"/>
                <w:highlight w:val="none"/>
              </w:rPr>
              <w:t>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E9F20">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77320AEA">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AE30B7A">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2FAA287C">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339169D2">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6F4677E2">
            <w:pPr>
              <w:rPr>
                <w:rFonts w:hint="eastAsia" w:ascii="宋体" w:hAnsi="宋体" w:eastAsia="宋体" w:cs="宋体"/>
                <w:color w:val="auto"/>
                <w:sz w:val="18"/>
                <w:highlight w:val="none"/>
              </w:rPr>
            </w:pPr>
          </w:p>
        </w:tc>
      </w:tr>
      <w:tr w14:paraId="209C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37232">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1CEF5">
            <w:pPr>
              <w:autoSpaceDE/>
              <w:autoSpaceDN/>
              <w:rPr>
                <w:rFonts w:hint="eastAsia" w:ascii="宋体" w:hAnsi="宋体" w:eastAsia="宋体" w:cs="宋体"/>
                <w:strike w:val="0"/>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0A885">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76D11E">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662A38F3">
            <w:pPr>
              <w:spacing w:before="28" w:line="213" w:lineRule="exact"/>
              <w:ind w:left="57"/>
              <w:rPr>
                <w:rFonts w:hint="eastAsia" w:ascii="宋体" w:hAnsi="宋体" w:eastAsia="宋体" w:cs="宋体"/>
                <w:strike w:val="0"/>
                <w:dstrike w:val="0"/>
                <w:color w:val="auto"/>
                <w:sz w:val="18"/>
                <w:highlight w:val="none"/>
                <w:lang w:eastAsia="zh-CN"/>
              </w:rPr>
            </w:pPr>
            <w:r>
              <w:rPr>
                <w:rFonts w:hint="eastAsia" w:ascii="宋体" w:hAnsi="宋体" w:eastAsia="宋体" w:cs="宋体"/>
                <w:strike w:val="0"/>
                <w:dstrike w:val="0"/>
                <w:color w:val="auto"/>
                <w:sz w:val="18"/>
                <w:highlight w:val="none"/>
              </w:rPr>
              <w:t>3）具有应对各类突发事件的处理能力</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lang w:val="en-US" w:eastAsia="zh-CN"/>
              </w:rPr>
              <w:t>不具备的，</w:t>
            </w:r>
            <w:r>
              <w:rPr>
                <w:rFonts w:hint="eastAsia" w:ascii="宋体" w:hAnsi="宋体" w:eastAsia="宋体" w:cs="宋体"/>
                <w:strike w:val="0"/>
                <w:dstrike w:val="0"/>
                <w:color w:val="auto"/>
                <w:sz w:val="18"/>
                <w:highlight w:val="none"/>
              </w:rPr>
              <w:t>扣</w:t>
            </w:r>
            <w:r>
              <w:rPr>
                <w:rFonts w:hint="eastAsia" w:ascii="宋体" w:hAnsi="宋体" w:eastAsia="宋体" w:cs="宋体"/>
                <w:strike w:val="0"/>
                <w:dstrike w:val="0"/>
                <w:color w:val="auto"/>
                <w:sz w:val="18"/>
                <w:highlight w:val="none"/>
                <w:lang w:val="en-US" w:eastAsia="zh-CN"/>
              </w:rPr>
              <w:t>2</w:t>
            </w:r>
            <w:r>
              <w:rPr>
                <w:rFonts w:hint="eastAsia" w:ascii="宋体" w:hAnsi="宋体" w:eastAsia="宋体" w:cs="宋体"/>
                <w:strike w:val="0"/>
                <w:dstrike w:val="0"/>
                <w:color w:val="auto"/>
                <w:sz w:val="18"/>
                <w:highlight w:val="none"/>
              </w:rPr>
              <w:t>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D79E7">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625ED79B">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C7E731F">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23E6C134">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27D335B">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7CF376A4">
            <w:pPr>
              <w:rPr>
                <w:rFonts w:hint="eastAsia" w:ascii="宋体" w:hAnsi="宋体" w:eastAsia="宋体" w:cs="宋体"/>
                <w:color w:val="auto"/>
                <w:sz w:val="18"/>
                <w:highlight w:val="none"/>
              </w:rPr>
            </w:pPr>
          </w:p>
        </w:tc>
      </w:tr>
      <w:tr w14:paraId="7FDBE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3E7C1">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6D31F">
            <w:pPr>
              <w:autoSpaceDE/>
              <w:autoSpaceDN/>
              <w:rPr>
                <w:rFonts w:hint="eastAsia" w:ascii="宋体" w:hAnsi="宋体" w:eastAsia="宋体" w:cs="宋体"/>
                <w:strike w:val="0"/>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4E88A">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1BFAA7">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64F5BE05">
            <w:pPr>
              <w:spacing w:before="28" w:line="213" w:lineRule="exact"/>
              <w:ind w:left="57"/>
              <w:rPr>
                <w:rFonts w:hint="eastAsia" w:ascii="宋体" w:hAnsi="宋体" w:eastAsia="宋体" w:cs="宋体"/>
                <w:strike w:val="0"/>
                <w:dstrike w:val="0"/>
                <w:color w:val="auto"/>
                <w:sz w:val="18"/>
                <w:highlight w:val="none"/>
                <w:lang w:eastAsia="zh-CN"/>
              </w:rPr>
            </w:pPr>
            <w:r>
              <w:rPr>
                <w:rFonts w:hint="eastAsia" w:ascii="宋体" w:hAnsi="宋体" w:eastAsia="宋体" w:cs="宋体"/>
                <w:strike w:val="0"/>
                <w:dstrike w:val="0"/>
                <w:color w:val="auto"/>
                <w:sz w:val="18"/>
                <w:highlight w:val="none"/>
              </w:rPr>
              <w:t>4）具有一定的沟通协调能力</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lang w:val="en-US" w:eastAsia="zh-CN"/>
              </w:rPr>
              <w:t>与服务对象发生冲突的，每次</w:t>
            </w:r>
            <w:r>
              <w:rPr>
                <w:rFonts w:hint="eastAsia" w:ascii="宋体" w:hAnsi="宋体" w:eastAsia="宋体" w:cs="宋体"/>
                <w:strike w:val="0"/>
                <w:dstrike w:val="0"/>
                <w:color w:val="auto"/>
                <w:sz w:val="18"/>
                <w:highlight w:val="none"/>
              </w:rPr>
              <w:t xml:space="preserve">扣 </w:t>
            </w:r>
            <w:r>
              <w:rPr>
                <w:rFonts w:hint="eastAsia" w:ascii="宋体" w:hAnsi="宋体" w:eastAsia="宋体" w:cs="宋体"/>
                <w:strike w:val="0"/>
                <w:dstrike w:val="0"/>
                <w:color w:val="auto"/>
                <w:sz w:val="18"/>
                <w:highlight w:val="none"/>
                <w:lang w:val="en-US" w:eastAsia="zh-CN"/>
              </w:rPr>
              <w:t>2</w:t>
            </w:r>
            <w:r>
              <w:rPr>
                <w:rFonts w:hint="eastAsia" w:ascii="宋体" w:hAnsi="宋体" w:eastAsia="宋体" w:cs="宋体"/>
                <w:strike w:val="0"/>
                <w:dstrike w:val="0"/>
                <w:color w:val="auto"/>
                <w:sz w:val="18"/>
                <w:highlight w:val="none"/>
              </w:rPr>
              <w:t xml:space="preserve"> 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2E9F1">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5D321B45">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E921E96">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498C43E9">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486D7AA">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3057D2A1">
            <w:pPr>
              <w:rPr>
                <w:rFonts w:hint="eastAsia" w:ascii="宋体" w:hAnsi="宋体" w:eastAsia="宋体" w:cs="宋体"/>
                <w:color w:val="auto"/>
                <w:sz w:val="18"/>
                <w:highlight w:val="none"/>
              </w:rPr>
            </w:pPr>
          </w:p>
        </w:tc>
      </w:tr>
      <w:tr w14:paraId="1E5FF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A7CB3">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EA962">
            <w:pPr>
              <w:autoSpaceDE/>
              <w:autoSpaceDN/>
              <w:rPr>
                <w:rFonts w:hint="eastAsia" w:ascii="宋体" w:hAnsi="宋体" w:eastAsia="宋体" w:cs="宋体"/>
                <w:strike w:val="0"/>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7CBED">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AC0395">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2DA63220">
            <w:pPr>
              <w:spacing w:before="28"/>
              <w:ind w:left="42" w:right="112" w:firstLine="14"/>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5）参加相关部门组织的各类继续教育；没有按规定及时参加省市县运维主管部门或其委托单位组织的各类继续教育的，每人扣</w:t>
            </w:r>
            <w:r>
              <w:rPr>
                <w:rFonts w:hint="eastAsia" w:ascii="宋体" w:hAnsi="宋体" w:eastAsia="宋体" w:cs="宋体"/>
                <w:strike w:val="0"/>
                <w:dstrike w:val="0"/>
                <w:color w:val="auto"/>
                <w:sz w:val="18"/>
                <w:highlight w:val="none"/>
                <w:lang w:val="en-US" w:eastAsia="zh-CN"/>
              </w:rPr>
              <w:t>1</w:t>
            </w:r>
            <w:r>
              <w:rPr>
                <w:rFonts w:hint="eastAsia" w:ascii="宋体" w:hAnsi="宋体" w:eastAsia="宋体" w:cs="宋体"/>
                <w:strike w:val="0"/>
                <w:dstrike w:val="0"/>
                <w:color w:val="auto"/>
                <w:sz w:val="18"/>
                <w:highlight w:val="none"/>
              </w:rPr>
              <w:t>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0A156">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71D81E81">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82087F5">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6C66AC81">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040B4177">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2EFB2592">
            <w:pPr>
              <w:rPr>
                <w:rFonts w:hint="eastAsia" w:ascii="宋体" w:hAnsi="宋体" w:eastAsia="宋体" w:cs="宋体"/>
                <w:color w:val="auto"/>
                <w:sz w:val="18"/>
                <w:highlight w:val="none"/>
              </w:rPr>
            </w:pPr>
          </w:p>
        </w:tc>
      </w:tr>
      <w:tr w14:paraId="35AF0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7C17A">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BFAB3">
            <w:pPr>
              <w:autoSpaceDE/>
              <w:autoSpaceDN/>
              <w:rPr>
                <w:rFonts w:hint="eastAsia" w:ascii="宋体" w:hAnsi="宋体" w:eastAsia="宋体" w:cs="宋体"/>
                <w:strike w:val="0"/>
                <w:dstrike w:val="0"/>
                <w:color w:val="auto"/>
                <w:sz w:val="18"/>
                <w:highlight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6CA1BDD">
            <w:pPr>
              <w:autoSpaceDE/>
              <w:autoSpaceDN/>
              <w:rPr>
                <w:rFonts w:hint="eastAsia" w:ascii="宋体" w:hAnsi="宋体" w:eastAsia="宋体" w:cs="宋体"/>
                <w:strike w:val="0"/>
                <w:dstrike w:val="0"/>
                <w:color w:val="auto"/>
                <w:sz w:val="18"/>
                <w:highlight w:val="none"/>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14:paraId="0B31B7A7">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33A97DF7">
            <w:pPr>
              <w:spacing w:before="28"/>
              <w:ind w:left="42" w:right="112" w:firstLine="14"/>
              <w:rPr>
                <w:rFonts w:hint="eastAsia" w:ascii="宋体" w:hAnsi="宋体" w:eastAsia="宋体" w:cs="宋体"/>
                <w:strike w:val="0"/>
                <w:dstrike w:val="0"/>
                <w:color w:val="auto"/>
                <w:sz w:val="18"/>
                <w:highlight w:val="none"/>
              </w:rPr>
            </w:pPr>
            <w:r>
              <w:rPr>
                <w:rFonts w:hint="eastAsia" w:ascii="宋体" w:hAnsi="宋体" w:eastAsia="宋体" w:cs="宋体"/>
                <w:color w:val="auto"/>
                <w:sz w:val="18"/>
                <w:highlight w:val="none"/>
                <w:lang w:val="en-US" w:eastAsia="zh-CN"/>
              </w:rPr>
              <w:t>6）</w:t>
            </w:r>
            <w:r>
              <w:rPr>
                <w:rFonts w:hint="eastAsia" w:ascii="宋体" w:hAnsi="宋体" w:eastAsia="宋体" w:cs="宋体"/>
                <w:color w:val="auto"/>
                <w:sz w:val="18"/>
                <w:highlight w:val="none"/>
              </w:rPr>
              <w:t>登记人员与实际不符的扣5分/人；应急检查等不配合的</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lang w:val="en-US" w:eastAsia="zh-CN"/>
              </w:rPr>
              <w:t>每次</w:t>
            </w:r>
            <w:r>
              <w:rPr>
                <w:rFonts w:hint="eastAsia" w:ascii="宋体" w:hAnsi="宋体" w:eastAsia="宋体" w:cs="宋体"/>
                <w:color w:val="auto"/>
                <w:sz w:val="18"/>
                <w:highlight w:val="none"/>
              </w:rPr>
              <w:t>扣10分/次</w:t>
            </w:r>
            <w:r>
              <w:rPr>
                <w:rFonts w:hint="eastAsia" w:ascii="宋体" w:hAnsi="宋体" w:eastAsia="宋体" w:cs="宋体"/>
                <w:color w:val="auto"/>
                <w:sz w:val="18"/>
                <w:highlight w:val="none"/>
                <w:lang w:eastAsia="zh-CN"/>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C89D3FB">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6750B7D6">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3AA9B0C">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41374594">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0B012C71">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3671F591">
            <w:pPr>
              <w:rPr>
                <w:rFonts w:hint="eastAsia" w:ascii="宋体" w:hAnsi="宋体" w:eastAsia="宋体" w:cs="宋体"/>
                <w:color w:val="auto"/>
                <w:sz w:val="18"/>
                <w:highlight w:val="none"/>
              </w:rPr>
            </w:pPr>
          </w:p>
        </w:tc>
      </w:tr>
      <w:tr w14:paraId="38B2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8ECCC">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A1F2F">
            <w:pPr>
              <w:autoSpaceDE/>
              <w:autoSpaceDN/>
              <w:rPr>
                <w:rFonts w:hint="eastAsia" w:ascii="宋体" w:hAnsi="宋体" w:eastAsia="宋体" w:cs="宋体"/>
                <w:strike/>
                <w:dstrike w:val="0"/>
                <w:color w:val="auto"/>
                <w:sz w:val="18"/>
                <w:highlight w:val="none"/>
              </w:rPr>
            </w:pP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top"/>
          </w:tcPr>
          <w:p w14:paraId="3E0CA26C">
            <w:pPr>
              <w:rPr>
                <w:rFonts w:hint="eastAsia" w:ascii="宋体" w:hAnsi="宋体" w:eastAsia="宋体" w:cs="宋体"/>
                <w:b/>
                <w:strike w:val="0"/>
                <w:dstrike w:val="0"/>
                <w:color w:val="auto"/>
                <w:sz w:val="20"/>
                <w:highlight w:val="none"/>
              </w:rPr>
            </w:pPr>
          </w:p>
          <w:p w14:paraId="79E6C7DB">
            <w:pPr>
              <w:spacing w:before="9"/>
              <w:rPr>
                <w:rFonts w:hint="eastAsia" w:ascii="宋体" w:hAnsi="宋体" w:eastAsia="宋体" w:cs="宋体"/>
                <w:b/>
                <w:strike w:val="0"/>
                <w:dstrike w:val="0"/>
                <w:color w:val="auto"/>
                <w:sz w:val="14"/>
                <w:highlight w:val="none"/>
              </w:rPr>
            </w:pPr>
          </w:p>
          <w:p w14:paraId="244EFFA5">
            <w:pPr>
              <w:ind w:left="9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7.2.2</w:t>
            </w:r>
          </w:p>
        </w:tc>
        <w:tc>
          <w:tcPr>
            <w:tcW w:w="1320"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1E89A01A">
            <w:pPr>
              <w:spacing w:before="11"/>
              <w:rPr>
                <w:rFonts w:hint="eastAsia" w:ascii="宋体" w:hAnsi="宋体" w:eastAsia="宋体" w:cs="宋体"/>
                <w:b/>
                <w:strike w:val="0"/>
                <w:dstrike w:val="0"/>
                <w:color w:val="auto"/>
                <w:sz w:val="14"/>
                <w:highlight w:val="none"/>
              </w:rPr>
            </w:pPr>
          </w:p>
          <w:p w14:paraId="75355DA5">
            <w:pPr>
              <w:ind w:left="42" w:right="170" w:firstLine="14"/>
              <w:jc w:val="both"/>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运维人员具有良好职业素养</w:t>
            </w: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4DD1E4BB">
            <w:pPr>
              <w:spacing w:before="26" w:line="215" w:lineRule="exact"/>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1）遵纪守法；存在违法行为的，扣 1 分</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top"/>
          </w:tcPr>
          <w:p w14:paraId="2E0ED4C0">
            <w:pPr>
              <w:rPr>
                <w:rFonts w:hint="eastAsia" w:ascii="宋体" w:hAnsi="宋体" w:eastAsia="宋体" w:cs="宋体"/>
                <w:b/>
                <w:color w:val="auto"/>
                <w:sz w:val="18"/>
                <w:highlight w:val="none"/>
              </w:rPr>
            </w:pPr>
          </w:p>
          <w:p w14:paraId="650F0753">
            <w:pPr>
              <w:spacing w:before="12"/>
              <w:rPr>
                <w:rFonts w:hint="eastAsia" w:ascii="宋体" w:hAnsi="宋体" w:eastAsia="宋体" w:cs="宋体"/>
                <w:b/>
                <w:color w:val="auto"/>
                <w:sz w:val="15"/>
                <w:highlight w:val="none"/>
              </w:rPr>
            </w:pPr>
          </w:p>
          <w:p w14:paraId="3CA02AFA">
            <w:pPr>
              <w:ind w:left="66"/>
              <w:rPr>
                <w:rFonts w:hint="eastAsia" w:ascii="宋体" w:hAnsi="宋体" w:eastAsia="宋体" w:cs="宋体"/>
                <w:color w:val="auto"/>
                <w:sz w:val="18"/>
                <w:highlight w:val="none"/>
              </w:rPr>
            </w:pPr>
            <w:r>
              <w:rPr>
                <w:rFonts w:hint="eastAsia" w:ascii="宋体" w:hAnsi="宋体" w:eastAsia="宋体" w:cs="宋体"/>
                <w:color w:val="auto"/>
                <w:sz w:val="18"/>
                <w:highlight w:val="none"/>
              </w:rPr>
              <w:t>人员征询</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6DB905A9">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2AD6225">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69B3BB3">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0013B13C">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4915103C">
            <w:pPr>
              <w:rPr>
                <w:rFonts w:hint="eastAsia" w:ascii="宋体" w:hAnsi="宋体" w:eastAsia="宋体" w:cs="宋体"/>
                <w:color w:val="auto"/>
                <w:sz w:val="18"/>
                <w:highlight w:val="none"/>
              </w:rPr>
            </w:pPr>
          </w:p>
        </w:tc>
      </w:tr>
      <w:tr w14:paraId="52AD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B0FFA">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7A7FF">
            <w:pPr>
              <w:autoSpaceDE/>
              <w:autoSpaceDN/>
              <w:rPr>
                <w:rFonts w:hint="eastAsia" w:ascii="宋体" w:hAnsi="宋体" w:eastAsia="宋体" w:cs="宋体"/>
                <w:strike/>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51E09">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48BF65">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6741B25F">
            <w:pPr>
              <w:spacing w:before="26" w:line="215" w:lineRule="exact"/>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2）遵守公司内部的规章制度；不遵守规章制度的，扣 1 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7E63F">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3E75967E">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81394DB">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5C53E1F">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47736708">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1B6C32DF">
            <w:pPr>
              <w:rPr>
                <w:rFonts w:hint="eastAsia" w:ascii="宋体" w:hAnsi="宋体" w:eastAsia="宋体" w:cs="宋体"/>
                <w:color w:val="auto"/>
                <w:sz w:val="18"/>
                <w:highlight w:val="none"/>
              </w:rPr>
            </w:pPr>
          </w:p>
        </w:tc>
      </w:tr>
      <w:tr w14:paraId="6ABE8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EB94B">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69F00">
            <w:pPr>
              <w:autoSpaceDE/>
              <w:autoSpaceDN/>
              <w:rPr>
                <w:rFonts w:hint="eastAsia" w:ascii="宋体" w:hAnsi="宋体" w:eastAsia="宋体" w:cs="宋体"/>
                <w:strike/>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32A91">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FF6939">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0076CAD6">
            <w:pPr>
              <w:spacing w:before="28"/>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3）各岗位工作人员文明用语、规范用语；岗位人员用语不</w:t>
            </w:r>
          </w:p>
          <w:p w14:paraId="14287BD1">
            <w:pPr>
              <w:spacing w:before="2" w:line="213" w:lineRule="exact"/>
              <w:ind w:left="42"/>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 xml:space="preserve">文明的，每次扣 </w:t>
            </w:r>
            <w:r>
              <w:rPr>
                <w:rFonts w:hint="eastAsia" w:ascii="宋体" w:hAnsi="宋体" w:eastAsia="宋体" w:cs="宋体"/>
                <w:strike w:val="0"/>
                <w:dstrike w:val="0"/>
                <w:color w:val="auto"/>
                <w:sz w:val="18"/>
                <w:highlight w:val="none"/>
                <w:lang w:val="en-US" w:eastAsia="zh-CN"/>
              </w:rPr>
              <w:t>1</w:t>
            </w:r>
            <w:r>
              <w:rPr>
                <w:rFonts w:hint="eastAsia" w:ascii="宋体" w:hAnsi="宋体" w:eastAsia="宋体" w:cs="宋体"/>
                <w:strike w:val="0"/>
                <w:dstrike w:val="0"/>
                <w:color w:val="auto"/>
                <w:sz w:val="18"/>
                <w:highlight w:val="none"/>
              </w:rPr>
              <w:t>分，用语不规范的，每次扣 0.</w:t>
            </w:r>
            <w:r>
              <w:rPr>
                <w:rFonts w:hint="eastAsia" w:ascii="宋体" w:hAnsi="宋体" w:eastAsia="宋体" w:cs="宋体"/>
                <w:strike w:val="0"/>
                <w:dstrike w:val="0"/>
                <w:color w:val="auto"/>
                <w:sz w:val="18"/>
                <w:highlight w:val="none"/>
                <w:lang w:val="en-US" w:eastAsia="zh-CN"/>
              </w:rPr>
              <w:t>5</w:t>
            </w:r>
            <w:r>
              <w:rPr>
                <w:rFonts w:hint="eastAsia" w:ascii="宋体" w:hAnsi="宋体" w:eastAsia="宋体" w:cs="宋体"/>
                <w:strike w:val="0"/>
                <w:dstrike w:val="0"/>
                <w:color w:val="auto"/>
                <w:sz w:val="18"/>
                <w:highlight w:val="none"/>
              </w:rPr>
              <w:t xml:space="preserve"> 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1D8F4">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312B5956">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C055E69">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4819FF53">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3F3D017">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13D21B68">
            <w:pPr>
              <w:rPr>
                <w:rFonts w:hint="eastAsia" w:ascii="宋体" w:hAnsi="宋体" w:eastAsia="宋体" w:cs="宋体"/>
                <w:color w:val="auto"/>
                <w:sz w:val="18"/>
                <w:highlight w:val="none"/>
              </w:rPr>
            </w:pPr>
          </w:p>
        </w:tc>
      </w:tr>
      <w:tr w14:paraId="7838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4BE92">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740B0">
            <w:pPr>
              <w:autoSpaceDE/>
              <w:autoSpaceDN/>
              <w:rPr>
                <w:rFonts w:hint="eastAsia" w:ascii="宋体" w:hAnsi="宋体" w:eastAsia="宋体" w:cs="宋体"/>
                <w:strike/>
                <w:dstrike w:val="0"/>
                <w:color w:val="auto"/>
                <w:sz w:val="18"/>
                <w:highlight w:val="none"/>
              </w:rPr>
            </w:pP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top"/>
          </w:tcPr>
          <w:p w14:paraId="13C8E2C0">
            <w:pPr>
              <w:spacing w:before="9"/>
              <w:rPr>
                <w:rFonts w:hint="eastAsia" w:ascii="宋体" w:hAnsi="宋体" w:eastAsia="宋体" w:cs="宋体"/>
                <w:b/>
                <w:strike w:val="0"/>
                <w:dstrike w:val="0"/>
                <w:color w:val="auto"/>
                <w:sz w:val="23"/>
                <w:highlight w:val="none"/>
              </w:rPr>
            </w:pPr>
          </w:p>
          <w:p w14:paraId="4314CF9F">
            <w:pPr>
              <w:ind w:left="99"/>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7.2.3</w:t>
            </w:r>
          </w:p>
        </w:tc>
        <w:tc>
          <w:tcPr>
            <w:tcW w:w="1320"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14:paraId="1A0DE2DD">
            <w:pPr>
              <w:spacing w:before="48"/>
              <w:ind w:left="42" w:right="170" w:firstLine="14"/>
              <w:jc w:val="both"/>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运维人员具有良好的行为规范</w:t>
            </w: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17E315A2">
            <w:pPr>
              <w:spacing w:before="28"/>
              <w:ind w:left="57"/>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1）在运维过程中着装统一、佩带专用工具</w:t>
            </w:r>
            <w:r>
              <w:rPr>
                <w:rFonts w:hint="eastAsia" w:ascii="宋体" w:hAnsi="宋体" w:eastAsia="宋体" w:cs="宋体"/>
                <w:strike w:val="0"/>
                <w:dstrike w:val="0"/>
                <w:color w:val="auto"/>
                <w:sz w:val="18"/>
                <w:highlight w:val="none"/>
                <w:lang w:eastAsia="zh-CN"/>
              </w:rPr>
              <w:t>；</w:t>
            </w:r>
            <w:r>
              <w:rPr>
                <w:rFonts w:hint="eastAsia" w:ascii="宋体" w:hAnsi="宋体" w:eastAsia="宋体" w:cs="宋体"/>
                <w:strike w:val="0"/>
                <w:dstrike w:val="0"/>
                <w:color w:val="auto"/>
                <w:sz w:val="18"/>
                <w:highlight w:val="none"/>
              </w:rPr>
              <w:t>现场发现运维</w:t>
            </w:r>
          </w:p>
          <w:p w14:paraId="7F07F0D5">
            <w:pPr>
              <w:spacing w:before="2" w:line="213" w:lineRule="exact"/>
              <w:ind w:left="42"/>
              <w:rPr>
                <w:rFonts w:hint="eastAsia" w:ascii="宋体" w:hAnsi="宋体" w:eastAsia="宋体" w:cs="宋体"/>
                <w:strike w:val="0"/>
                <w:dstrike w:val="0"/>
                <w:color w:val="auto"/>
                <w:sz w:val="18"/>
                <w:highlight w:val="none"/>
              </w:rPr>
            </w:pPr>
            <w:r>
              <w:rPr>
                <w:rFonts w:hint="eastAsia" w:ascii="宋体" w:hAnsi="宋体" w:eastAsia="宋体" w:cs="宋体"/>
                <w:strike w:val="0"/>
                <w:dstrike w:val="0"/>
                <w:color w:val="auto"/>
                <w:sz w:val="18"/>
                <w:highlight w:val="none"/>
              </w:rPr>
              <w:t>人员有着装不统一、没有佩带专用工具的，每人扣 0.</w:t>
            </w:r>
            <w:r>
              <w:rPr>
                <w:rFonts w:hint="eastAsia" w:ascii="宋体" w:hAnsi="宋体" w:eastAsia="宋体" w:cs="宋体"/>
                <w:strike w:val="0"/>
                <w:dstrike w:val="0"/>
                <w:color w:val="auto"/>
                <w:sz w:val="18"/>
                <w:highlight w:val="none"/>
                <w:lang w:val="en-US" w:eastAsia="zh-CN"/>
              </w:rPr>
              <w:t xml:space="preserve">5 </w:t>
            </w:r>
            <w:r>
              <w:rPr>
                <w:rFonts w:hint="eastAsia" w:ascii="宋体" w:hAnsi="宋体" w:eastAsia="宋体" w:cs="宋体"/>
                <w:strike w:val="0"/>
                <w:dstrike w:val="0"/>
                <w:color w:val="auto"/>
                <w:sz w:val="18"/>
                <w:highlight w:val="none"/>
              </w:rPr>
              <w:t>分</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top"/>
          </w:tcPr>
          <w:p w14:paraId="3C4CF185">
            <w:pPr>
              <w:spacing w:before="4"/>
              <w:rPr>
                <w:rFonts w:hint="eastAsia" w:ascii="宋体" w:hAnsi="宋体" w:eastAsia="宋体" w:cs="宋体"/>
                <w:b/>
                <w:color w:val="auto"/>
                <w:sz w:val="13"/>
                <w:highlight w:val="none"/>
              </w:rPr>
            </w:pPr>
          </w:p>
          <w:p w14:paraId="4961AFAE">
            <w:pPr>
              <w:spacing w:line="242" w:lineRule="auto"/>
              <w:ind w:left="66" w:right="48"/>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现场查勘人员征询</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7567E255">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3A1F57D">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B78ED9F">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4DF376AF">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71A9E024">
            <w:pPr>
              <w:rPr>
                <w:rFonts w:hint="eastAsia" w:ascii="宋体" w:hAnsi="宋体" w:eastAsia="宋体" w:cs="宋体"/>
                <w:color w:val="auto"/>
                <w:sz w:val="18"/>
                <w:highlight w:val="none"/>
              </w:rPr>
            </w:pPr>
          </w:p>
        </w:tc>
      </w:tr>
      <w:tr w14:paraId="2A933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05DEF">
            <w:pPr>
              <w:autoSpaceDE/>
              <w:autoSpaceDN/>
              <w:rPr>
                <w:rFonts w:hint="eastAsia" w:ascii="宋体" w:hAnsi="宋体" w:eastAsia="宋体" w:cs="宋体"/>
                <w:strike/>
                <w:dstrike w:val="0"/>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38313">
            <w:pPr>
              <w:autoSpaceDE/>
              <w:autoSpaceDN/>
              <w:rPr>
                <w:rFonts w:hint="eastAsia" w:ascii="宋体" w:hAnsi="宋体" w:eastAsia="宋体" w:cs="宋体"/>
                <w:strike/>
                <w:dstrike w:val="0"/>
                <w:color w:val="auto"/>
                <w:sz w:val="18"/>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4DBB3">
            <w:pPr>
              <w:autoSpaceDE/>
              <w:autoSpaceDN/>
              <w:rPr>
                <w:rFonts w:hint="eastAsia" w:ascii="宋体" w:hAnsi="宋体" w:eastAsia="宋体" w:cs="宋体"/>
                <w:strike w:val="0"/>
                <w:dstrike w:val="0"/>
                <w:color w:val="auto"/>
                <w:sz w:val="18"/>
                <w:highlight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1BA3FA">
            <w:pPr>
              <w:autoSpaceDE/>
              <w:autoSpaceDN/>
              <w:rPr>
                <w:rFonts w:hint="eastAsia" w:ascii="宋体" w:hAnsi="宋体" w:eastAsia="宋体" w:cs="宋体"/>
                <w:strike w:val="0"/>
                <w:dstrike w:val="0"/>
                <w:color w:val="auto"/>
                <w:sz w:val="18"/>
                <w:highlight w:val="none"/>
              </w:rPr>
            </w:pPr>
          </w:p>
        </w:tc>
        <w:tc>
          <w:tcPr>
            <w:tcW w:w="6585" w:type="dxa"/>
            <w:tcBorders>
              <w:top w:val="single" w:color="000000" w:sz="4" w:space="0"/>
              <w:left w:val="single" w:color="000000" w:sz="4" w:space="0"/>
              <w:bottom w:val="single" w:color="000000" w:sz="4" w:space="0"/>
              <w:right w:val="single" w:color="000000" w:sz="4" w:space="0"/>
            </w:tcBorders>
            <w:noWrap w:val="0"/>
            <w:vAlign w:val="top"/>
          </w:tcPr>
          <w:p w14:paraId="11E2BF80">
            <w:pPr>
              <w:pStyle w:val="23"/>
              <w:ind w:left="0" w:leftChars="0" w:firstLine="0" w:firstLineChars="0"/>
              <w:rPr>
                <w:rFonts w:hint="eastAsia" w:ascii="宋体" w:hAnsi="宋体" w:eastAsia="宋体" w:cs="宋体"/>
                <w:strike w:val="0"/>
                <w:dstrike w:val="0"/>
                <w:color w:val="auto"/>
                <w:sz w:val="18"/>
                <w:highlight w:val="none"/>
              </w:rPr>
            </w:pPr>
            <w:r>
              <w:rPr>
                <w:rFonts w:hint="eastAsia" w:ascii="宋体" w:hAnsi="宋体" w:eastAsia="宋体" w:cs="宋体"/>
                <w:b w:val="0"/>
                <w:bCs/>
                <w:color w:val="auto"/>
                <w:sz w:val="18"/>
                <w:szCs w:val="22"/>
                <w:highlight w:val="none"/>
                <w:lang w:val="en-US" w:eastAsia="zh-CN" w:bidi="ar-SA"/>
              </w:rPr>
              <w:t>2）养护班组必须按时发放工作人员工资及必要的劳保福利等待遇，处理好劳资纠纷；因内部管理造成不良后果或影响的，每次扣5分</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0BDB3">
            <w:pPr>
              <w:autoSpaceDE/>
              <w:autoSpaceDN/>
              <w:rPr>
                <w:rFonts w:hint="eastAsia" w:ascii="宋体" w:hAnsi="宋体" w:eastAsia="宋体" w:cs="宋体"/>
                <w:color w:val="auto"/>
                <w:sz w:val="18"/>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2FBFB69C">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5C3EFD6">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0A36519">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797A5827">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5E7B2DB2">
            <w:pPr>
              <w:rPr>
                <w:rFonts w:hint="eastAsia" w:ascii="宋体" w:hAnsi="宋体" w:eastAsia="宋体" w:cs="宋体"/>
                <w:color w:val="auto"/>
                <w:sz w:val="18"/>
                <w:highlight w:val="none"/>
              </w:rPr>
            </w:pPr>
          </w:p>
        </w:tc>
      </w:tr>
      <w:tr w14:paraId="24A02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577" w:type="dxa"/>
            <w:vMerge w:val="restart"/>
            <w:tcBorders>
              <w:top w:val="single" w:color="000000" w:sz="4" w:space="0"/>
              <w:left w:val="single" w:color="000000" w:sz="4" w:space="0"/>
              <w:bottom w:val="single" w:color="000000" w:sz="4" w:space="0"/>
              <w:right w:val="single" w:color="000000" w:sz="4" w:space="0"/>
            </w:tcBorders>
            <w:noWrap w:val="0"/>
            <w:vAlign w:val="top"/>
          </w:tcPr>
          <w:p w14:paraId="2C3B3B49">
            <w:pPr>
              <w:spacing w:before="28"/>
              <w:ind w:left="10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运维记录</w:t>
            </w:r>
          </w:p>
          <w:p w14:paraId="0B7FCA1D">
            <w:pPr>
              <w:ind w:left="100"/>
              <w:rPr>
                <w:rFonts w:hint="eastAsia" w:ascii="宋体" w:hAnsi="宋体" w:eastAsia="宋体" w:cs="宋体"/>
                <w:color w:val="auto"/>
                <w:sz w:val="18"/>
                <w:highlight w:val="none"/>
              </w:rPr>
            </w:pP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78D31D17">
            <w:pPr>
              <w:rPr>
                <w:rFonts w:hint="eastAsia" w:ascii="宋体" w:hAnsi="宋体" w:eastAsia="宋体" w:cs="宋体"/>
                <w:b/>
                <w:color w:val="auto"/>
                <w:sz w:val="18"/>
                <w:highlight w:val="none"/>
              </w:rPr>
            </w:pPr>
          </w:p>
          <w:p w14:paraId="23EF8C8C">
            <w:pPr>
              <w:spacing w:before="119"/>
              <w:ind w:left="189" w:right="90" w:hanging="92"/>
              <w:rPr>
                <w:rFonts w:hint="eastAsia" w:ascii="宋体" w:hAnsi="宋体" w:eastAsia="宋体" w:cs="宋体"/>
                <w:color w:val="auto"/>
                <w:sz w:val="18"/>
                <w:highlight w:val="none"/>
              </w:rPr>
            </w:pPr>
            <w:r>
              <w:rPr>
                <w:rFonts w:hint="eastAsia" w:ascii="宋体" w:hAnsi="宋体" w:eastAsia="宋体" w:cs="宋体"/>
                <w:color w:val="auto"/>
                <w:sz w:val="18"/>
                <w:highlight w:val="none"/>
              </w:rPr>
              <w:t>控制项</w:t>
            </w: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645AD298">
            <w:pPr>
              <w:spacing w:before="170"/>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8.1.1</w:t>
            </w:r>
          </w:p>
        </w:tc>
        <w:tc>
          <w:tcPr>
            <w:tcW w:w="7905" w:type="dxa"/>
            <w:gridSpan w:val="3"/>
            <w:tcBorders>
              <w:top w:val="single" w:color="000000" w:sz="4" w:space="0"/>
              <w:left w:val="single" w:color="000000" w:sz="4" w:space="0"/>
              <w:bottom w:val="single" w:color="000000" w:sz="4" w:space="0"/>
              <w:right w:val="single" w:color="000000" w:sz="4" w:space="0"/>
            </w:tcBorders>
            <w:noWrap w:val="0"/>
            <w:vAlign w:val="top"/>
          </w:tcPr>
          <w:p w14:paraId="2403F9B5">
            <w:pPr>
              <w:spacing w:before="31"/>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运维单位做好日常运维记录包括巡查记录，养护记录，维修记录，水质检测记录，信访交办反馈记录，异常情况报送登记记录，培训记录、运维废弃物处置记录、设施体检报告</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3E84F990">
            <w:pPr>
              <w:spacing w:before="8"/>
              <w:rPr>
                <w:rFonts w:hint="eastAsia" w:ascii="宋体" w:hAnsi="宋体" w:eastAsia="宋体" w:cs="宋体"/>
                <w:b/>
                <w:color w:val="auto"/>
                <w:sz w:val="21"/>
                <w:highlight w:val="none"/>
              </w:rPr>
            </w:pPr>
          </w:p>
          <w:p w14:paraId="7DCDE9D9">
            <w:pPr>
              <w:ind w:left="45" w:right="3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050C0ED6">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53B8F32">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AB26230">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012A9B84">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7AA3AE41">
            <w:pPr>
              <w:rPr>
                <w:rFonts w:hint="eastAsia" w:ascii="宋体" w:hAnsi="宋体" w:eastAsia="宋体" w:cs="宋体"/>
                <w:color w:val="auto"/>
                <w:sz w:val="18"/>
                <w:highlight w:val="none"/>
              </w:rPr>
            </w:pPr>
          </w:p>
        </w:tc>
      </w:tr>
      <w:tr w14:paraId="72B34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05AEA">
            <w:pPr>
              <w:autoSpaceDE/>
              <w:autoSpaceDN/>
              <w:rPr>
                <w:rFonts w:hint="eastAsia" w:ascii="宋体" w:hAnsi="宋体" w:eastAsia="宋体" w:cs="宋体"/>
                <w:color w:val="auto"/>
                <w:sz w:val="1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1C9D6">
            <w:pPr>
              <w:autoSpaceDE/>
              <w:autoSpaceDN/>
              <w:rPr>
                <w:rFonts w:hint="eastAsia" w:ascii="宋体" w:hAnsi="宋体" w:eastAsia="宋体" w:cs="宋体"/>
                <w:color w:val="auto"/>
                <w:sz w:val="18"/>
                <w:highlight w:val="none"/>
              </w:rPr>
            </w:pP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0DA15A7C">
            <w:pPr>
              <w:spacing w:before="88"/>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8.1.2</w:t>
            </w:r>
          </w:p>
        </w:tc>
        <w:tc>
          <w:tcPr>
            <w:tcW w:w="7905" w:type="dxa"/>
            <w:gridSpan w:val="3"/>
            <w:tcBorders>
              <w:top w:val="single" w:color="000000" w:sz="4" w:space="0"/>
              <w:left w:val="single" w:color="000000" w:sz="4" w:space="0"/>
              <w:bottom w:val="single" w:color="000000" w:sz="4" w:space="0"/>
              <w:right w:val="single" w:color="000000" w:sz="4" w:space="0"/>
            </w:tcBorders>
            <w:noWrap w:val="0"/>
            <w:vAlign w:val="top"/>
          </w:tcPr>
          <w:p w14:paraId="24F8FEDA">
            <w:pPr>
              <w:spacing w:before="81"/>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对运维记录进行统计、分析，并提出建议供相关部门参考</w:t>
            </w:r>
          </w:p>
        </w:tc>
        <w:tc>
          <w:tcPr>
            <w:tcW w:w="1065" w:type="dxa"/>
            <w:tcBorders>
              <w:top w:val="single" w:color="000000" w:sz="4" w:space="0"/>
              <w:left w:val="single" w:color="000000" w:sz="4" w:space="0"/>
              <w:bottom w:val="single" w:color="000000" w:sz="4" w:space="0"/>
              <w:right w:val="single" w:color="000000" w:sz="4" w:space="0"/>
            </w:tcBorders>
            <w:noWrap w:val="0"/>
            <w:vAlign w:val="top"/>
          </w:tcPr>
          <w:p w14:paraId="3A568B17">
            <w:pPr>
              <w:spacing w:before="81"/>
              <w:ind w:left="45" w:right="3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600" w:type="dxa"/>
            <w:tcBorders>
              <w:top w:val="single" w:color="000000" w:sz="4" w:space="0"/>
              <w:left w:val="single" w:color="000000" w:sz="4" w:space="0"/>
              <w:bottom w:val="single" w:color="000000" w:sz="4" w:space="0"/>
              <w:right w:val="single" w:color="000000" w:sz="4" w:space="0"/>
            </w:tcBorders>
            <w:noWrap w:val="0"/>
            <w:vAlign w:val="top"/>
          </w:tcPr>
          <w:p w14:paraId="7D690D78">
            <w:pPr>
              <w:rPr>
                <w:rFonts w:hint="eastAsia" w:ascii="宋体" w:hAnsi="宋体" w:eastAsia="宋体" w:cs="宋体"/>
                <w:color w:val="auto"/>
                <w:sz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82AADBA">
            <w:pPr>
              <w:rPr>
                <w:rFonts w:hint="eastAsia" w:ascii="宋体" w:hAnsi="宋体" w:eastAsia="宋体" w:cs="宋体"/>
                <w:color w:val="auto"/>
                <w:sz w:val="18"/>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D0EE138">
            <w:pPr>
              <w:rPr>
                <w:rFonts w:hint="eastAsia" w:ascii="宋体" w:hAnsi="宋体" w:eastAsia="宋体" w:cs="宋体"/>
                <w:color w:val="auto"/>
                <w:sz w:val="1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3AA94621">
            <w:pPr>
              <w:rPr>
                <w:rFonts w:hint="eastAsia" w:ascii="宋体" w:hAnsi="宋体" w:eastAsia="宋体" w:cs="宋体"/>
                <w:color w:val="auto"/>
                <w:sz w:val="18"/>
                <w:highlight w:val="none"/>
              </w:rPr>
            </w:pPr>
          </w:p>
        </w:tc>
        <w:tc>
          <w:tcPr>
            <w:tcW w:w="778" w:type="dxa"/>
            <w:tcBorders>
              <w:top w:val="single" w:color="000000" w:sz="4" w:space="0"/>
              <w:left w:val="single" w:color="000000" w:sz="4" w:space="0"/>
              <w:bottom w:val="single" w:color="000000" w:sz="4" w:space="0"/>
              <w:right w:val="single" w:color="000000" w:sz="4" w:space="0"/>
            </w:tcBorders>
            <w:noWrap w:val="0"/>
            <w:vAlign w:val="top"/>
          </w:tcPr>
          <w:p w14:paraId="04980B63">
            <w:pPr>
              <w:rPr>
                <w:rFonts w:hint="eastAsia" w:ascii="宋体" w:hAnsi="宋体" w:eastAsia="宋体" w:cs="宋体"/>
                <w:color w:val="auto"/>
                <w:sz w:val="18"/>
                <w:highlight w:val="none"/>
              </w:rPr>
            </w:pPr>
          </w:p>
        </w:tc>
      </w:tr>
    </w:tbl>
    <w:p w14:paraId="1203AC08">
      <w:pPr>
        <w:autoSpaceDE/>
        <w:autoSpaceDN/>
        <w:rPr>
          <w:rFonts w:hint="eastAsia" w:ascii="宋体" w:hAnsi="宋体" w:eastAsia="宋体" w:cs="宋体"/>
          <w:color w:val="auto"/>
          <w:sz w:val="18"/>
          <w:highlight w:val="none"/>
        </w:rPr>
        <w:sectPr>
          <w:pgSz w:w="16840" w:h="11910" w:orient="landscape"/>
          <w:pgMar w:top="1000" w:right="1260" w:bottom="1360" w:left="1280" w:header="0" w:footer="1164" w:gutter="0"/>
          <w:pgNumType w:fmt="decimal"/>
          <w:cols w:space="720" w:num="1"/>
        </w:sectPr>
      </w:pPr>
    </w:p>
    <w:p w14:paraId="2FA2BD85">
      <w:pPr>
        <w:spacing w:before="64"/>
        <w:ind w:right="14"/>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续 表 A</w:t>
      </w:r>
    </w:p>
    <w:p w14:paraId="186B2F21">
      <w:pPr>
        <w:spacing w:before="7" w:after="1"/>
        <w:rPr>
          <w:rFonts w:hint="eastAsia" w:ascii="宋体" w:hAnsi="宋体" w:eastAsia="宋体" w:cs="宋体"/>
          <w:b/>
          <w:color w:val="auto"/>
          <w:sz w:val="9"/>
          <w:szCs w:val="21"/>
          <w:highlight w:val="none"/>
        </w:rPr>
      </w:pPr>
    </w:p>
    <w:tbl>
      <w:tblPr>
        <w:tblStyle w:val="24"/>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595"/>
        <w:gridCol w:w="595"/>
        <w:gridCol w:w="1788"/>
        <w:gridCol w:w="5937"/>
        <w:gridCol w:w="630"/>
        <w:gridCol w:w="1044"/>
        <w:gridCol w:w="795"/>
        <w:gridCol w:w="840"/>
        <w:gridCol w:w="736"/>
        <w:gridCol w:w="777"/>
      </w:tblGrid>
      <w:tr w14:paraId="3E18D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99" w:type="dxa"/>
            <w:vMerge w:val="restart"/>
            <w:tcBorders>
              <w:top w:val="single" w:color="auto" w:sz="4" w:space="0"/>
              <w:left w:val="single" w:color="auto" w:sz="4" w:space="0"/>
              <w:bottom w:val="single" w:color="auto" w:sz="4" w:space="0"/>
              <w:right w:val="single" w:color="auto" w:sz="4" w:space="0"/>
            </w:tcBorders>
            <w:noWrap w:val="0"/>
            <w:vAlign w:val="top"/>
          </w:tcPr>
          <w:p w14:paraId="60496831">
            <w:pPr>
              <w:spacing w:before="143" w:line="242" w:lineRule="auto"/>
              <w:ind w:left="100" w:right="91"/>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评价指标</w:t>
            </w:r>
          </w:p>
        </w:tc>
        <w:tc>
          <w:tcPr>
            <w:tcW w:w="595" w:type="dxa"/>
            <w:vMerge w:val="restart"/>
            <w:tcBorders>
              <w:top w:val="single" w:color="auto" w:sz="4" w:space="0"/>
              <w:left w:val="single" w:color="auto" w:sz="4" w:space="0"/>
              <w:bottom w:val="single" w:color="auto" w:sz="4" w:space="0"/>
              <w:right w:val="single" w:color="auto" w:sz="4" w:space="0"/>
            </w:tcBorders>
            <w:noWrap w:val="0"/>
            <w:vAlign w:val="top"/>
          </w:tcPr>
          <w:p w14:paraId="22DA21C8">
            <w:pPr>
              <w:spacing w:before="143" w:line="242" w:lineRule="auto"/>
              <w:ind w:left="98" w:right="90"/>
              <w:rPr>
                <w:rFonts w:hint="eastAsia" w:ascii="宋体" w:hAnsi="宋体" w:eastAsia="宋体" w:cs="宋体"/>
                <w:color w:val="auto"/>
                <w:sz w:val="18"/>
                <w:highlight w:val="none"/>
              </w:rPr>
            </w:pPr>
            <w:r>
              <w:rPr>
                <w:rFonts w:hint="eastAsia" w:ascii="宋体" w:hAnsi="宋体" w:eastAsia="宋体" w:cs="宋体"/>
                <w:color w:val="auto"/>
                <w:sz w:val="18"/>
                <w:highlight w:val="none"/>
              </w:rPr>
              <w:t>项目类型</w:t>
            </w:r>
          </w:p>
        </w:tc>
        <w:tc>
          <w:tcPr>
            <w:tcW w:w="595" w:type="dxa"/>
            <w:vMerge w:val="restart"/>
            <w:tcBorders>
              <w:top w:val="single" w:color="auto" w:sz="4" w:space="0"/>
              <w:left w:val="single" w:color="auto" w:sz="4" w:space="0"/>
              <w:bottom w:val="single" w:color="auto" w:sz="4" w:space="0"/>
              <w:right w:val="single" w:color="auto" w:sz="4" w:space="0"/>
            </w:tcBorders>
            <w:noWrap w:val="0"/>
            <w:vAlign w:val="top"/>
          </w:tcPr>
          <w:p w14:paraId="3E52AEF1">
            <w:pPr>
              <w:spacing w:before="143" w:line="242" w:lineRule="auto"/>
              <w:ind w:left="99" w:right="89"/>
              <w:rPr>
                <w:rFonts w:hint="eastAsia" w:ascii="宋体" w:hAnsi="宋体" w:eastAsia="宋体" w:cs="宋体"/>
                <w:color w:val="auto"/>
                <w:sz w:val="18"/>
                <w:highlight w:val="none"/>
              </w:rPr>
            </w:pPr>
            <w:r>
              <w:rPr>
                <w:rFonts w:hint="eastAsia" w:ascii="宋体" w:hAnsi="宋体" w:eastAsia="宋体" w:cs="宋体"/>
                <w:color w:val="auto"/>
                <w:sz w:val="18"/>
                <w:highlight w:val="none"/>
              </w:rPr>
              <w:t>章条编号</w:t>
            </w:r>
          </w:p>
        </w:tc>
        <w:tc>
          <w:tcPr>
            <w:tcW w:w="7725" w:type="dxa"/>
            <w:gridSpan w:val="2"/>
            <w:vMerge w:val="restart"/>
            <w:tcBorders>
              <w:top w:val="single" w:color="000000" w:sz="4" w:space="0"/>
              <w:left w:val="single" w:color="auto" w:sz="4" w:space="0"/>
              <w:bottom w:val="single" w:color="000000" w:sz="4" w:space="0"/>
              <w:right w:val="single" w:color="000000" w:sz="4" w:space="0"/>
            </w:tcBorders>
            <w:noWrap w:val="0"/>
            <w:vAlign w:val="top"/>
          </w:tcPr>
          <w:p w14:paraId="0ECE0218">
            <w:pPr>
              <w:spacing w:before="5"/>
              <w:rPr>
                <w:rFonts w:hint="eastAsia" w:ascii="宋体" w:hAnsi="宋体" w:eastAsia="宋体" w:cs="宋体"/>
                <w:b/>
                <w:color w:val="auto"/>
                <w:sz w:val="21"/>
                <w:highlight w:val="none"/>
              </w:rPr>
            </w:pPr>
          </w:p>
          <w:p w14:paraId="12EF7A7D">
            <w:pPr>
              <w:ind w:left="3194" w:right="3309"/>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评价内容</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top"/>
          </w:tcPr>
          <w:p w14:paraId="095A93B5">
            <w:pPr>
              <w:ind w:left="65"/>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评价方法</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top"/>
          </w:tcPr>
          <w:p w14:paraId="4052AA2A">
            <w:pPr>
              <w:spacing w:before="28"/>
              <w:ind w:left="31" w:right="14" w:hanging="3"/>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rPr>
              <w:t xml:space="preserve">是否满 </w:t>
            </w:r>
            <w:r>
              <w:rPr>
                <w:rFonts w:hint="eastAsia" w:ascii="宋体" w:hAnsi="宋体" w:eastAsia="宋体" w:cs="宋体"/>
                <w:color w:val="auto"/>
                <w:spacing w:val="-49"/>
                <w:sz w:val="18"/>
                <w:highlight w:val="none"/>
              </w:rPr>
              <w:t>足</w:t>
            </w:r>
            <w:r>
              <w:rPr>
                <w:rFonts w:hint="eastAsia" w:ascii="宋体" w:hAnsi="宋体" w:eastAsia="宋体" w:cs="宋体"/>
                <w:color w:val="auto"/>
                <w:sz w:val="18"/>
                <w:highlight w:val="none"/>
              </w:rPr>
              <w:t>（</w:t>
            </w:r>
            <w:r>
              <w:rPr>
                <w:rFonts w:hint="eastAsia" w:ascii="宋体" w:hAnsi="宋体" w:eastAsia="宋体" w:cs="宋体"/>
                <w:color w:val="auto"/>
                <w:spacing w:val="-8"/>
                <w:sz w:val="18"/>
                <w:highlight w:val="none"/>
              </w:rPr>
              <w:t>满足</w:t>
            </w:r>
            <w:r>
              <w:rPr>
                <w:rFonts w:hint="eastAsia" w:ascii="宋体" w:hAnsi="宋体" w:eastAsia="宋体" w:cs="宋体"/>
                <w:color w:val="auto"/>
                <w:sz w:val="18"/>
                <w:highlight w:val="none"/>
              </w:rPr>
              <w:t>√）</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top"/>
          </w:tcPr>
          <w:p w14:paraId="1A68FFA2">
            <w:pPr>
              <w:spacing w:before="52"/>
              <w:ind w:left="915" w:right="905"/>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lang w:val="en-US" w:eastAsia="zh-CN"/>
              </w:rPr>
              <w:t>扣</w:t>
            </w:r>
            <w:r>
              <w:rPr>
                <w:rFonts w:hint="eastAsia" w:ascii="宋体" w:hAnsi="宋体" w:eastAsia="宋体" w:cs="宋体"/>
                <w:color w:val="auto"/>
                <w:sz w:val="18"/>
                <w:highlight w:val="none"/>
              </w:rPr>
              <w:t>分</w:t>
            </w:r>
          </w:p>
        </w:tc>
        <w:tc>
          <w:tcPr>
            <w:tcW w:w="777" w:type="dxa"/>
            <w:vMerge w:val="restart"/>
            <w:tcBorders>
              <w:top w:val="single" w:color="000000" w:sz="4" w:space="0"/>
              <w:left w:val="single" w:color="000000" w:sz="4" w:space="0"/>
              <w:bottom w:val="single" w:color="000000" w:sz="4" w:space="0"/>
              <w:right w:val="single" w:color="000000" w:sz="4" w:space="0"/>
            </w:tcBorders>
            <w:noWrap w:val="0"/>
            <w:vAlign w:val="top"/>
          </w:tcPr>
          <w:p w14:paraId="4B99B4CD">
            <w:pPr>
              <w:spacing w:before="143" w:line="242" w:lineRule="auto"/>
              <w:ind w:left="98" w:right="81"/>
              <w:rPr>
                <w:rFonts w:hint="eastAsia" w:ascii="宋体" w:hAnsi="宋体" w:eastAsia="宋体" w:cs="宋体"/>
                <w:color w:val="auto"/>
                <w:sz w:val="18"/>
                <w:highlight w:val="none"/>
              </w:rPr>
            </w:pPr>
            <w:r>
              <w:rPr>
                <w:rFonts w:hint="eastAsia" w:ascii="宋体" w:hAnsi="宋体" w:eastAsia="宋体" w:cs="宋体"/>
                <w:color w:val="auto"/>
                <w:sz w:val="18"/>
                <w:highlight w:val="none"/>
              </w:rPr>
              <w:t>说明扣分原因</w:t>
            </w:r>
          </w:p>
        </w:tc>
      </w:tr>
      <w:tr w14:paraId="5CCC1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99" w:type="dxa"/>
            <w:vMerge w:val="continue"/>
            <w:tcBorders>
              <w:top w:val="single" w:color="auto" w:sz="4" w:space="0"/>
              <w:left w:val="single" w:color="auto" w:sz="4" w:space="0"/>
              <w:bottom w:val="single" w:color="auto" w:sz="4" w:space="0"/>
              <w:right w:val="single" w:color="000000" w:sz="4" w:space="0"/>
            </w:tcBorders>
            <w:noWrap w:val="0"/>
            <w:vAlign w:val="center"/>
          </w:tcPr>
          <w:p w14:paraId="3B9AD15C">
            <w:pPr>
              <w:autoSpaceDE/>
              <w:autoSpaceDN/>
              <w:rPr>
                <w:rFonts w:hint="eastAsia" w:ascii="宋体" w:hAnsi="宋体" w:eastAsia="宋体" w:cs="宋体"/>
                <w:color w:val="auto"/>
                <w:sz w:val="18"/>
                <w:highlight w:val="none"/>
              </w:rPr>
            </w:pPr>
          </w:p>
        </w:tc>
        <w:tc>
          <w:tcPr>
            <w:tcW w:w="595" w:type="dxa"/>
            <w:vMerge w:val="continue"/>
            <w:tcBorders>
              <w:top w:val="single" w:color="auto" w:sz="4" w:space="0"/>
              <w:left w:val="single" w:color="000000" w:sz="4" w:space="0"/>
              <w:bottom w:val="single" w:color="auto" w:sz="4" w:space="0"/>
              <w:right w:val="single" w:color="000000" w:sz="4" w:space="0"/>
            </w:tcBorders>
            <w:noWrap w:val="0"/>
            <w:vAlign w:val="center"/>
          </w:tcPr>
          <w:p w14:paraId="30E30236">
            <w:pPr>
              <w:autoSpaceDE/>
              <w:autoSpaceDN/>
              <w:rPr>
                <w:rFonts w:hint="eastAsia" w:ascii="宋体" w:hAnsi="宋体" w:eastAsia="宋体" w:cs="宋体"/>
                <w:color w:val="auto"/>
                <w:sz w:val="18"/>
                <w:highlight w:val="none"/>
              </w:rPr>
            </w:pPr>
          </w:p>
        </w:tc>
        <w:tc>
          <w:tcPr>
            <w:tcW w:w="595" w:type="dxa"/>
            <w:vMerge w:val="continue"/>
            <w:tcBorders>
              <w:top w:val="single" w:color="auto" w:sz="4" w:space="0"/>
              <w:left w:val="single" w:color="000000" w:sz="4" w:space="0"/>
              <w:bottom w:val="single" w:color="auto" w:sz="4" w:space="0"/>
              <w:right w:val="single" w:color="auto" w:sz="4" w:space="0"/>
            </w:tcBorders>
            <w:noWrap w:val="0"/>
            <w:vAlign w:val="center"/>
          </w:tcPr>
          <w:p w14:paraId="4B795E2C">
            <w:pPr>
              <w:autoSpaceDE/>
              <w:autoSpaceDN/>
              <w:rPr>
                <w:rFonts w:hint="eastAsia" w:ascii="宋体" w:hAnsi="宋体" w:eastAsia="宋体" w:cs="宋体"/>
                <w:color w:val="auto"/>
                <w:sz w:val="18"/>
                <w:highlight w:val="none"/>
              </w:rPr>
            </w:pPr>
          </w:p>
        </w:tc>
        <w:tc>
          <w:tcPr>
            <w:tcW w:w="7725"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14:paraId="15F37052">
            <w:pPr>
              <w:autoSpaceDE/>
              <w:autoSpaceDN/>
              <w:rPr>
                <w:rFonts w:hint="eastAsia" w:ascii="宋体" w:hAnsi="宋体" w:eastAsia="宋体" w:cs="宋体"/>
                <w:color w:val="auto"/>
                <w:sz w:val="18"/>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ECC17">
            <w:pPr>
              <w:autoSpaceDE/>
              <w:autoSpaceDN/>
              <w:rPr>
                <w:rFonts w:hint="eastAsia" w:ascii="宋体" w:hAnsi="宋体" w:eastAsia="宋体" w:cs="宋体"/>
                <w:color w:val="auto"/>
                <w:sz w:val="18"/>
                <w:highlight w:val="none"/>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BFD16">
            <w:pPr>
              <w:autoSpaceDE/>
              <w:autoSpaceDN/>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27270B23">
            <w:pPr>
              <w:spacing w:before="100"/>
              <w:ind w:left="36"/>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1</w:t>
            </w: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FDA47B5">
            <w:pPr>
              <w:spacing w:before="100"/>
              <w:ind w:left="29"/>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2</w:t>
            </w: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73DD4A31">
            <w:pPr>
              <w:spacing w:before="100"/>
              <w:ind w:left="41"/>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3</w:t>
            </w:r>
          </w:p>
        </w:tc>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499C1">
            <w:pPr>
              <w:autoSpaceDE/>
              <w:autoSpaceDN/>
              <w:rPr>
                <w:rFonts w:hint="eastAsia" w:ascii="宋体" w:hAnsi="宋体" w:eastAsia="宋体" w:cs="宋体"/>
                <w:color w:val="auto"/>
                <w:sz w:val="18"/>
                <w:highlight w:val="none"/>
              </w:rPr>
            </w:pPr>
          </w:p>
        </w:tc>
      </w:tr>
      <w:tr w14:paraId="12A8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99" w:type="dxa"/>
            <w:vMerge w:val="restart"/>
            <w:tcBorders>
              <w:top w:val="single" w:color="auto" w:sz="4" w:space="0"/>
              <w:left w:val="single" w:color="000000" w:sz="4" w:space="0"/>
              <w:right w:val="single" w:color="000000" w:sz="4" w:space="0"/>
            </w:tcBorders>
            <w:noWrap w:val="0"/>
            <w:vAlign w:val="top"/>
          </w:tcPr>
          <w:p w14:paraId="4A12B500">
            <w:pPr>
              <w:rPr>
                <w:rFonts w:hint="eastAsia" w:ascii="宋体" w:hAnsi="宋体" w:eastAsia="宋体" w:cs="宋体"/>
                <w:b/>
                <w:color w:val="auto"/>
                <w:sz w:val="18"/>
                <w:highlight w:val="none"/>
              </w:rPr>
            </w:pPr>
          </w:p>
          <w:p w14:paraId="2FECE683">
            <w:pPr>
              <w:rPr>
                <w:rFonts w:hint="eastAsia" w:ascii="宋体" w:hAnsi="宋体" w:eastAsia="宋体" w:cs="宋体"/>
                <w:b/>
                <w:color w:val="auto"/>
                <w:sz w:val="18"/>
                <w:highlight w:val="none"/>
              </w:rPr>
            </w:pPr>
          </w:p>
          <w:p w14:paraId="5AE5DF99">
            <w:pPr>
              <w:rPr>
                <w:rFonts w:hint="eastAsia" w:ascii="宋体" w:hAnsi="宋体" w:eastAsia="宋体" w:cs="宋体"/>
                <w:b/>
                <w:color w:val="auto"/>
                <w:sz w:val="18"/>
                <w:highlight w:val="none"/>
              </w:rPr>
            </w:pPr>
          </w:p>
          <w:p w14:paraId="4DFA3E07">
            <w:pPr>
              <w:rPr>
                <w:rFonts w:hint="eastAsia" w:ascii="宋体" w:hAnsi="宋体" w:eastAsia="宋体" w:cs="宋体"/>
                <w:b/>
                <w:color w:val="auto"/>
                <w:sz w:val="18"/>
                <w:highlight w:val="none"/>
              </w:rPr>
            </w:pPr>
          </w:p>
          <w:p w14:paraId="7E4D4C12">
            <w:pPr>
              <w:rPr>
                <w:rFonts w:hint="eastAsia" w:ascii="宋体" w:hAnsi="宋体" w:eastAsia="宋体" w:cs="宋体"/>
                <w:b/>
                <w:color w:val="auto"/>
                <w:sz w:val="18"/>
                <w:highlight w:val="none"/>
              </w:rPr>
            </w:pPr>
          </w:p>
          <w:p w14:paraId="2C7C180A">
            <w:pPr>
              <w:rPr>
                <w:rFonts w:hint="eastAsia" w:ascii="宋体" w:hAnsi="宋体" w:eastAsia="宋体" w:cs="宋体"/>
                <w:b/>
                <w:color w:val="auto"/>
                <w:sz w:val="18"/>
                <w:highlight w:val="none"/>
              </w:rPr>
            </w:pPr>
          </w:p>
          <w:p w14:paraId="2E0546B1">
            <w:pPr>
              <w:rPr>
                <w:rFonts w:hint="eastAsia" w:ascii="宋体" w:hAnsi="宋体" w:eastAsia="宋体" w:cs="宋体"/>
                <w:b/>
                <w:color w:val="auto"/>
                <w:sz w:val="18"/>
                <w:highlight w:val="none"/>
              </w:rPr>
            </w:pPr>
          </w:p>
          <w:p w14:paraId="4B850A89">
            <w:pPr>
              <w:rPr>
                <w:rFonts w:hint="eastAsia" w:ascii="宋体" w:hAnsi="宋体" w:eastAsia="宋体" w:cs="宋体"/>
                <w:b/>
                <w:color w:val="auto"/>
                <w:sz w:val="18"/>
                <w:highlight w:val="none"/>
              </w:rPr>
            </w:pPr>
          </w:p>
          <w:p w14:paraId="55B0E3DF">
            <w:pPr>
              <w:rPr>
                <w:rFonts w:hint="eastAsia" w:ascii="宋体" w:hAnsi="宋体" w:eastAsia="宋体" w:cs="宋体"/>
                <w:b/>
                <w:color w:val="auto"/>
                <w:sz w:val="18"/>
                <w:highlight w:val="none"/>
              </w:rPr>
            </w:pPr>
          </w:p>
          <w:p w14:paraId="58B10639">
            <w:pPr>
              <w:rPr>
                <w:rFonts w:hint="eastAsia" w:ascii="宋体" w:hAnsi="宋体" w:eastAsia="宋体" w:cs="宋体"/>
                <w:b/>
                <w:color w:val="auto"/>
                <w:sz w:val="18"/>
                <w:highlight w:val="none"/>
              </w:rPr>
            </w:pPr>
          </w:p>
          <w:p w14:paraId="52DD6BEA">
            <w:pPr>
              <w:rPr>
                <w:rFonts w:hint="eastAsia" w:ascii="宋体" w:hAnsi="宋体" w:eastAsia="宋体" w:cs="宋体"/>
                <w:b/>
                <w:color w:val="auto"/>
                <w:sz w:val="18"/>
                <w:highlight w:val="none"/>
              </w:rPr>
            </w:pPr>
          </w:p>
          <w:p w14:paraId="4EDC2942">
            <w:pPr>
              <w:rPr>
                <w:rFonts w:hint="eastAsia" w:ascii="宋体" w:hAnsi="宋体" w:eastAsia="宋体" w:cs="宋体"/>
                <w:b/>
                <w:color w:val="auto"/>
                <w:sz w:val="18"/>
                <w:highlight w:val="none"/>
              </w:rPr>
            </w:pPr>
          </w:p>
          <w:p w14:paraId="5DCB6074">
            <w:pPr>
              <w:rPr>
                <w:rFonts w:hint="eastAsia" w:ascii="宋体" w:hAnsi="宋体" w:eastAsia="宋体" w:cs="宋体"/>
                <w:b/>
                <w:color w:val="auto"/>
                <w:sz w:val="18"/>
                <w:highlight w:val="none"/>
              </w:rPr>
            </w:pPr>
          </w:p>
          <w:p w14:paraId="328123B1">
            <w:pPr>
              <w:rPr>
                <w:rFonts w:hint="eastAsia" w:ascii="宋体" w:hAnsi="宋体" w:eastAsia="宋体" w:cs="宋体"/>
                <w:b/>
                <w:color w:val="auto"/>
                <w:sz w:val="18"/>
                <w:highlight w:val="none"/>
              </w:rPr>
            </w:pPr>
          </w:p>
          <w:p w14:paraId="32F41797">
            <w:pPr>
              <w:rPr>
                <w:rFonts w:hint="eastAsia" w:ascii="宋体" w:hAnsi="宋体" w:eastAsia="宋体" w:cs="宋体"/>
                <w:b/>
                <w:color w:val="auto"/>
                <w:sz w:val="18"/>
                <w:highlight w:val="none"/>
              </w:rPr>
            </w:pPr>
          </w:p>
          <w:p w14:paraId="49482E9C">
            <w:pPr>
              <w:spacing w:before="3"/>
              <w:rPr>
                <w:rFonts w:hint="eastAsia" w:ascii="宋体" w:hAnsi="宋体" w:eastAsia="宋体" w:cs="宋体"/>
                <w:b/>
                <w:color w:val="auto"/>
                <w:sz w:val="18"/>
                <w:highlight w:val="none"/>
              </w:rPr>
            </w:pPr>
          </w:p>
          <w:p w14:paraId="0F66416D">
            <w:pPr>
              <w:ind w:left="100" w:right="91"/>
              <w:rPr>
                <w:rFonts w:hint="eastAsia" w:ascii="宋体" w:hAnsi="宋体" w:eastAsia="宋体" w:cs="宋体"/>
                <w:color w:val="auto"/>
                <w:sz w:val="18"/>
                <w:highlight w:val="none"/>
              </w:rPr>
            </w:pPr>
            <w:r>
              <w:rPr>
                <w:rFonts w:hint="eastAsia" w:ascii="宋体" w:hAnsi="宋体" w:eastAsia="宋体" w:cs="宋体"/>
                <w:color w:val="auto"/>
                <w:spacing w:val="-9"/>
                <w:sz w:val="18"/>
                <w:highlight w:val="none"/>
              </w:rPr>
              <w:t>运维记录</w:t>
            </w:r>
          </w:p>
          <w:p w14:paraId="430E1D61">
            <w:pPr>
              <w:spacing w:before="3"/>
              <w:ind w:left="100" w:right="88"/>
              <w:rPr>
                <w:rFonts w:hint="eastAsia" w:ascii="宋体" w:hAnsi="宋体" w:eastAsia="宋体" w:cs="宋体"/>
                <w:color w:val="auto"/>
                <w:sz w:val="18"/>
                <w:highlight w:val="none"/>
              </w:rPr>
            </w:pPr>
          </w:p>
        </w:tc>
        <w:tc>
          <w:tcPr>
            <w:tcW w:w="595" w:type="dxa"/>
            <w:vMerge w:val="restart"/>
            <w:tcBorders>
              <w:top w:val="single" w:color="auto" w:sz="4" w:space="0"/>
              <w:left w:val="single" w:color="000000" w:sz="4" w:space="0"/>
              <w:bottom w:val="single" w:color="000000" w:sz="4" w:space="0"/>
              <w:right w:val="single" w:color="000000" w:sz="4" w:space="0"/>
            </w:tcBorders>
            <w:noWrap w:val="0"/>
            <w:vAlign w:val="top"/>
          </w:tcPr>
          <w:p w14:paraId="3547C012">
            <w:pPr>
              <w:rPr>
                <w:rFonts w:hint="eastAsia" w:ascii="宋体" w:hAnsi="宋体" w:eastAsia="宋体" w:cs="宋体"/>
                <w:b/>
                <w:color w:val="auto"/>
                <w:sz w:val="18"/>
                <w:highlight w:val="none"/>
              </w:rPr>
            </w:pPr>
          </w:p>
          <w:p w14:paraId="7429626D">
            <w:pPr>
              <w:rPr>
                <w:rFonts w:hint="eastAsia" w:ascii="宋体" w:hAnsi="宋体" w:eastAsia="宋体" w:cs="宋体"/>
                <w:b/>
                <w:color w:val="auto"/>
                <w:sz w:val="18"/>
                <w:highlight w:val="none"/>
              </w:rPr>
            </w:pPr>
          </w:p>
          <w:p w14:paraId="645B41F3">
            <w:pPr>
              <w:rPr>
                <w:rFonts w:hint="eastAsia" w:ascii="宋体" w:hAnsi="宋体" w:eastAsia="宋体" w:cs="宋体"/>
                <w:b/>
                <w:color w:val="auto"/>
                <w:sz w:val="18"/>
                <w:highlight w:val="none"/>
              </w:rPr>
            </w:pPr>
          </w:p>
          <w:p w14:paraId="18D72AFC">
            <w:pPr>
              <w:rPr>
                <w:rFonts w:hint="eastAsia" w:ascii="宋体" w:hAnsi="宋体" w:eastAsia="宋体" w:cs="宋体"/>
                <w:b/>
                <w:color w:val="auto"/>
                <w:sz w:val="18"/>
                <w:highlight w:val="none"/>
              </w:rPr>
            </w:pPr>
          </w:p>
          <w:p w14:paraId="3843D256">
            <w:pPr>
              <w:rPr>
                <w:rFonts w:hint="eastAsia" w:ascii="宋体" w:hAnsi="宋体" w:eastAsia="宋体" w:cs="宋体"/>
                <w:b/>
                <w:color w:val="auto"/>
                <w:sz w:val="18"/>
                <w:highlight w:val="none"/>
              </w:rPr>
            </w:pPr>
          </w:p>
          <w:p w14:paraId="765B86F9">
            <w:pPr>
              <w:rPr>
                <w:rFonts w:hint="eastAsia" w:ascii="宋体" w:hAnsi="宋体" w:eastAsia="宋体" w:cs="宋体"/>
                <w:b/>
                <w:color w:val="auto"/>
                <w:sz w:val="18"/>
                <w:highlight w:val="none"/>
              </w:rPr>
            </w:pPr>
          </w:p>
          <w:p w14:paraId="795D032E">
            <w:pPr>
              <w:rPr>
                <w:rFonts w:hint="eastAsia" w:ascii="宋体" w:hAnsi="宋体" w:eastAsia="宋体" w:cs="宋体"/>
                <w:b/>
                <w:color w:val="auto"/>
                <w:sz w:val="18"/>
                <w:highlight w:val="none"/>
              </w:rPr>
            </w:pPr>
          </w:p>
          <w:p w14:paraId="2C692063">
            <w:pPr>
              <w:rPr>
                <w:rFonts w:hint="eastAsia" w:ascii="宋体" w:hAnsi="宋体" w:eastAsia="宋体" w:cs="宋体"/>
                <w:b/>
                <w:color w:val="auto"/>
                <w:sz w:val="18"/>
                <w:highlight w:val="none"/>
              </w:rPr>
            </w:pPr>
          </w:p>
          <w:p w14:paraId="55E0FEB2">
            <w:pPr>
              <w:rPr>
                <w:rFonts w:hint="eastAsia" w:ascii="宋体" w:hAnsi="宋体" w:eastAsia="宋体" w:cs="宋体"/>
                <w:b/>
                <w:color w:val="auto"/>
                <w:sz w:val="18"/>
                <w:highlight w:val="none"/>
              </w:rPr>
            </w:pPr>
          </w:p>
          <w:p w14:paraId="705FDAD4">
            <w:pPr>
              <w:rPr>
                <w:rFonts w:hint="eastAsia" w:ascii="宋体" w:hAnsi="宋体" w:eastAsia="宋体" w:cs="宋体"/>
                <w:b/>
                <w:color w:val="auto"/>
                <w:sz w:val="18"/>
                <w:highlight w:val="none"/>
              </w:rPr>
            </w:pPr>
          </w:p>
          <w:p w14:paraId="572C2C17">
            <w:pPr>
              <w:rPr>
                <w:rFonts w:hint="eastAsia" w:ascii="宋体" w:hAnsi="宋体" w:eastAsia="宋体" w:cs="宋体"/>
                <w:b/>
                <w:color w:val="auto"/>
                <w:sz w:val="18"/>
                <w:highlight w:val="none"/>
              </w:rPr>
            </w:pPr>
          </w:p>
          <w:p w14:paraId="20F51F8D">
            <w:pPr>
              <w:rPr>
                <w:rFonts w:hint="eastAsia" w:ascii="宋体" w:hAnsi="宋体" w:eastAsia="宋体" w:cs="宋体"/>
                <w:b/>
                <w:color w:val="auto"/>
                <w:sz w:val="18"/>
                <w:highlight w:val="none"/>
              </w:rPr>
            </w:pPr>
          </w:p>
          <w:p w14:paraId="597515C1">
            <w:pPr>
              <w:rPr>
                <w:rFonts w:hint="eastAsia" w:ascii="宋体" w:hAnsi="宋体" w:eastAsia="宋体" w:cs="宋体"/>
                <w:b/>
                <w:color w:val="auto"/>
                <w:sz w:val="18"/>
                <w:highlight w:val="none"/>
              </w:rPr>
            </w:pPr>
          </w:p>
          <w:p w14:paraId="1644D2E9">
            <w:pPr>
              <w:rPr>
                <w:rFonts w:hint="eastAsia" w:ascii="宋体" w:hAnsi="宋体" w:eastAsia="宋体" w:cs="宋体"/>
                <w:b/>
                <w:color w:val="auto"/>
                <w:sz w:val="18"/>
                <w:highlight w:val="none"/>
              </w:rPr>
            </w:pPr>
          </w:p>
          <w:p w14:paraId="60FF5347">
            <w:pPr>
              <w:rPr>
                <w:rFonts w:hint="eastAsia" w:ascii="宋体" w:hAnsi="宋体" w:eastAsia="宋体" w:cs="宋体"/>
                <w:b/>
                <w:color w:val="auto"/>
                <w:sz w:val="18"/>
                <w:highlight w:val="none"/>
              </w:rPr>
            </w:pPr>
          </w:p>
          <w:p w14:paraId="2F5C879A">
            <w:pPr>
              <w:spacing w:before="9"/>
              <w:rPr>
                <w:rFonts w:hint="eastAsia" w:ascii="宋体" w:hAnsi="宋体" w:eastAsia="宋体" w:cs="宋体"/>
                <w:b/>
                <w:color w:val="auto"/>
                <w:sz w:val="21"/>
                <w:highlight w:val="none"/>
              </w:rPr>
            </w:pPr>
          </w:p>
          <w:p w14:paraId="384BC921">
            <w:pPr>
              <w:spacing w:line="242" w:lineRule="auto"/>
              <w:ind w:left="189" w:right="90" w:hanging="92"/>
              <w:rPr>
                <w:rFonts w:hint="eastAsia" w:ascii="宋体" w:hAnsi="宋体" w:eastAsia="宋体" w:cs="宋体"/>
                <w:color w:val="auto"/>
                <w:sz w:val="18"/>
                <w:highlight w:val="none"/>
              </w:rPr>
            </w:pPr>
            <w:r>
              <w:rPr>
                <w:rFonts w:hint="eastAsia" w:ascii="宋体" w:hAnsi="宋体" w:eastAsia="宋体" w:cs="宋体"/>
                <w:color w:val="auto"/>
                <w:sz w:val="18"/>
                <w:highlight w:val="none"/>
              </w:rPr>
              <w:t>评分项</w:t>
            </w:r>
          </w:p>
        </w:tc>
        <w:tc>
          <w:tcPr>
            <w:tcW w:w="595" w:type="dxa"/>
            <w:tcBorders>
              <w:top w:val="single" w:color="auto" w:sz="4" w:space="0"/>
              <w:left w:val="single" w:color="000000" w:sz="4" w:space="0"/>
              <w:bottom w:val="single" w:color="000000" w:sz="4" w:space="0"/>
              <w:right w:val="single" w:color="000000" w:sz="4" w:space="0"/>
            </w:tcBorders>
            <w:noWrap w:val="0"/>
            <w:vAlign w:val="top"/>
          </w:tcPr>
          <w:p w14:paraId="76445612">
            <w:pPr>
              <w:rPr>
                <w:rFonts w:hint="eastAsia" w:ascii="宋体" w:hAnsi="宋体" w:eastAsia="宋体" w:cs="宋体"/>
                <w:b/>
                <w:color w:val="auto"/>
                <w:sz w:val="20"/>
                <w:highlight w:val="none"/>
              </w:rPr>
            </w:pPr>
          </w:p>
          <w:p w14:paraId="63BDDC6B">
            <w:pPr>
              <w:spacing w:before="144"/>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8.2.1</w:t>
            </w:r>
          </w:p>
        </w:tc>
        <w:tc>
          <w:tcPr>
            <w:tcW w:w="7725" w:type="dxa"/>
            <w:gridSpan w:val="2"/>
            <w:tcBorders>
              <w:top w:val="single" w:color="000000" w:sz="4" w:space="0"/>
              <w:left w:val="single" w:color="000000" w:sz="4" w:space="0"/>
              <w:bottom w:val="single" w:color="000000" w:sz="4" w:space="0"/>
              <w:right w:val="single" w:color="000000" w:sz="4" w:space="0"/>
            </w:tcBorders>
            <w:noWrap w:val="0"/>
            <w:vAlign w:val="top"/>
          </w:tcPr>
          <w:p w14:paraId="10FCED8F">
            <w:pPr>
              <w:spacing w:before="5"/>
              <w:ind w:left="42"/>
              <w:rPr>
                <w:rFonts w:hint="eastAsia" w:ascii="宋体" w:hAnsi="宋体" w:eastAsia="宋体" w:cs="宋体"/>
                <w:color w:val="auto"/>
                <w:sz w:val="18"/>
                <w:highlight w:val="none"/>
              </w:rPr>
            </w:pPr>
            <w:r>
              <w:rPr>
                <w:rFonts w:hint="eastAsia" w:ascii="宋体" w:hAnsi="宋体" w:eastAsia="宋体" w:cs="宋体"/>
                <w:color w:val="auto"/>
                <w:sz w:val="18"/>
                <w:highlight w:val="none"/>
              </w:rPr>
              <w:t>处理设施身份证信息记录实时、完整；不及时更新扣 0.5 分，内容缺少一项扣 0.2包括设施编码、建设信息、移交信息、地理位置、设施外观、设备组成、工艺流程及技术参数、验收报告，可以以文字、照片、音像方式记录，以电子化、纸质方式保存</w:t>
            </w:r>
          </w:p>
        </w:tc>
        <w:tc>
          <w:tcPr>
            <w:tcW w:w="630" w:type="dxa"/>
            <w:tcBorders>
              <w:top w:val="single" w:color="000000" w:sz="4" w:space="0"/>
              <w:left w:val="single" w:color="000000" w:sz="4" w:space="0"/>
              <w:bottom w:val="single" w:color="000000" w:sz="4" w:space="0"/>
              <w:right w:val="single" w:color="000000" w:sz="4" w:space="0"/>
            </w:tcBorders>
            <w:noWrap w:val="0"/>
            <w:vAlign w:val="top"/>
          </w:tcPr>
          <w:p w14:paraId="37477AE2">
            <w:pPr>
              <w:spacing w:before="7"/>
              <w:rPr>
                <w:rFonts w:hint="eastAsia" w:ascii="宋体" w:hAnsi="宋体" w:eastAsia="宋体" w:cs="宋体"/>
                <w:b/>
                <w:color w:val="auto"/>
                <w:highlight w:val="none"/>
              </w:rPr>
            </w:pPr>
          </w:p>
          <w:p w14:paraId="63D000F5">
            <w:pPr>
              <w:ind w:left="44" w:right="31"/>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7432076E">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2B7D698F">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55A0ADE">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75C84C07">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23D86078">
            <w:pPr>
              <w:rPr>
                <w:rFonts w:hint="eastAsia" w:ascii="宋体" w:hAnsi="宋体" w:eastAsia="宋体" w:cs="宋体"/>
                <w:color w:val="auto"/>
                <w:sz w:val="18"/>
                <w:highlight w:val="none"/>
              </w:rPr>
            </w:pPr>
          </w:p>
        </w:tc>
      </w:tr>
      <w:tr w14:paraId="61848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trPr>
        <w:tc>
          <w:tcPr>
            <w:tcW w:w="599" w:type="dxa"/>
            <w:vMerge w:val="continue"/>
            <w:tcBorders>
              <w:left w:val="single" w:color="000000" w:sz="4" w:space="0"/>
              <w:right w:val="single" w:color="000000" w:sz="4" w:space="0"/>
            </w:tcBorders>
            <w:noWrap w:val="0"/>
            <w:vAlign w:val="center"/>
          </w:tcPr>
          <w:p w14:paraId="5F923AA2">
            <w:pPr>
              <w:autoSpaceDE/>
              <w:autoSpaceDN/>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A59F1">
            <w:pPr>
              <w:autoSpaceDE/>
              <w:autoSpaceDN/>
              <w:rPr>
                <w:rFonts w:hint="eastAsia" w:ascii="宋体" w:hAnsi="宋体" w:eastAsia="宋体" w:cs="宋体"/>
                <w:color w:val="auto"/>
                <w:sz w:val="18"/>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269B49C7">
            <w:pPr>
              <w:rPr>
                <w:rFonts w:hint="eastAsia" w:ascii="宋体" w:hAnsi="宋体" w:eastAsia="宋体" w:cs="宋体"/>
                <w:b/>
                <w:color w:val="auto"/>
                <w:sz w:val="20"/>
                <w:highlight w:val="none"/>
              </w:rPr>
            </w:pPr>
          </w:p>
          <w:p w14:paraId="2B55EB33">
            <w:pPr>
              <w:rPr>
                <w:rFonts w:hint="eastAsia" w:ascii="宋体" w:hAnsi="宋体" w:eastAsia="宋体" w:cs="宋体"/>
                <w:b/>
                <w:color w:val="auto"/>
                <w:sz w:val="20"/>
                <w:highlight w:val="none"/>
              </w:rPr>
            </w:pPr>
          </w:p>
          <w:p w14:paraId="262640FC">
            <w:pPr>
              <w:rPr>
                <w:rFonts w:hint="eastAsia" w:ascii="宋体" w:hAnsi="宋体" w:eastAsia="宋体" w:cs="宋体"/>
                <w:b/>
                <w:color w:val="auto"/>
                <w:sz w:val="20"/>
                <w:highlight w:val="none"/>
              </w:rPr>
            </w:pPr>
          </w:p>
          <w:p w14:paraId="10659574">
            <w:pPr>
              <w:rPr>
                <w:rFonts w:hint="eastAsia" w:ascii="宋体" w:hAnsi="宋体" w:eastAsia="宋体" w:cs="宋体"/>
                <w:b/>
                <w:color w:val="auto"/>
                <w:sz w:val="20"/>
                <w:highlight w:val="none"/>
              </w:rPr>
            </w:pPr>
          </w:p>
          <w:p w14:paraId="5734392D">
            <w:pPr>
              <w:rPr>
                <w:rFonts w:hint="eastAsia" w:ascii="宋体" w:hAnsi="宋体" w:eastAsia="宋体" w:cs="宋体"/>
                <w:b/>
                <w:color w:val="auto"/>
                <w:sz w:val="20"/>
                <w:highlight w:val="none"/>
              </w:rPr>
            </w:pPr>
          </w:p>
          <w:p w14:paraId="61B1FC0F">
            <w:pPr>
              <w:spacing w:before="131"/>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8.2.2</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14:paraId="08A246BE">
            <w:pPr>
              <w:rPr>
                <w:rFonts w:hint="eastAsia" w:ascii="宋体" w:hAnsi="宋体" w:eastAsia="宋体" w:cs="宋体"/>
                <w:b/>
                <w:color w:val="auto"/>
                <w:sz w:val="20"/>
                <w:highlight w:val="none"/>
              </w:rPr>
            </w:pPr>
          </w:p>
          <w:p w14:paraId="4EDCAB46">
            <w:pPr>
              <w:rPr>
                <w:rFonts w:hint="eastAsia" w:ascii="宋体" w:hAnsi="宋体" w:eastAsia="宋体" w:cs="宋体"/>
                <w:b/>
                <w:color w:val="auto"/>
                <w:sz w:val="20"/>
                <w:highlight w:val="none"/>
              </w:rPr>
            </w:pPr>
          </w:p>
          <w:p w14:paraId="29075AD7">
            <w:pPr>
              <w:spacing w:before="4"/>
              <w:rPr>
                <w:rFonts w:hint="eastAsia" w:ascii="宋体" w:hAnsi="宋体" w:eastAsia="宋体" w:cs="宋体"/>
                <w:b/>
                <w:color w:val="auto"/>
                <w:sz w:val="23"/>
                <w:highlight w:val="none"/>
              </w:rPr>
            </w:pPr>
          </w:p>
          <w:p w14:paraId="3B73911F">
            <w:pPr>
              <w:ind w:left="42" w:right="170" w:firstLine="14"/>
              <w:jc w:val="both"/>
              <w:rPr>
                <w:rFonts w:hint="eastAsia" w:ascii="宋体" w:hAnsi="宋体" w:eastAsia="宋体" w:cs="宋体"/>
                <w:color w:val="auto"/>
                <w:sz w:val="18"/>
                <w:highlight w:val="none"/>
              </w:rPr>
            </w:pPr>
            <w:r>
              <w:rPr>
                <w:rFonts w:hint="eastAsia" w:ascii="宋体" w:hAnsi="宋体" w:eastAsia="宋体" w:cs="宋体"/>
                <w:color w:val="auto"/>
                <w:sz w:val="18"/>
                <w:highlight w:val="none"/>
              </w:rPr>
              <w:t>巡查、养护、维修记录，应符合以下要求</w:t>
            </w:r>
          </w:p>
        </w:tc>
        <w:tc>
          <w:tcPr>
            <w:tcW w:w="5937" w:type="dxa"/>
            <w:tcBorders>
              <w:top w:val="single" w:color="000000" w:sz="4" w:space="0"/>
              <w:left w:val="single" w:color="000000" w:sz="4" w:space="0"/>
              <w:bottom w:val="single" w:color="000000" w:sz="4" w:space="0"/>
              <w:right w:val="single" w:color="000000" w:sz="4" w:space="0"/>
            </w:tcBorders>
            <w:noWrap w:val="0"/>
            <w:vAlign w:val="top"/>
          </w:tcPr>
          <w:p w14:paraId="54211757">
            <w:pPr>
              <w:numPr>
                <w:ilvl w:val="0"/>
                <w:numId w:val="7"/>
              </w:numPr>
              <w:spacing w:before="57" w:line="268" w:lineRule="auto"/>
              <w:ind w:left="42" w:right="134" w:firstLine="14"/>
              <w:rPr>
                <w:rFonts w:hint="eastAsia" w:ascii="宋体" w:hAnsi="宋体" w:eastAsia="宋体" w:cs="宋体"/>
                <w:color w:val="auto"/>
                <w:sz w:val="18"/>
                <w:highlight w:val="none"/>
              </w:rPr>
            </w:pPr>
            <w:r>
              <w:rPr>
                <w:rFonts w:hint="eastAsia" w:ascii="宋体" w:hAnsi="宋体" w:eastAsia="宋体" w:cs="宋体"/>
                <w:color w:val="auto"/>
                <w:spacing w:val="-1"/>
                <w:sz w:val="18"/>
                <w:highlight w:val="none"/>
              </w:rPr>
              <w:t>管网设施运行情况包括：巡查日期、</w:t>
            </w:r>
            <w:r>
              <w:rPr>
                <w:rFonts w:hint="eastAsia" w:ascii="宋体" w:hAnsi="宋体" w:eastAsia="宋体" w:cs="宋体"/>
                <w:color w:val="auto"/>
                <w:sz w:val="18"/>
                <w:highlight w:val="none"/>
              </w:rPr>
              <w:t xml:space="preserve">自然村、设施编码、巡查人员、管道、检查井、路面情况内容    </w:t>
            </w:r>
          </w:p>
          <w:p w14:paraId="475D7A5C">
            <w:pPr>
              <w:numPr>
                <w:ilvl w:val="0"/>
                <w:numId w:val="7"/>
              </w:numPr>
              <w:spacing w:before="57" w:line="268" w:lineRule="auto"/>
              <w:ind w:left="42" w:right="134" w:firstLine="14"/>
              <w:rPr>
                <w:rFonts w:hint="eastAsia" w:ascii="宋体" w:hAnsi="宋体" w:eastAsia="宋体" w:cs="宋体"/>
                <w:color w:val="auto"/>
                <w:sz w:val="18"/>
                <w:highlight w:val="none"/>
              </w:rPr>
            </w:pPr>
            <w:r>
              <w:rPr>
                <w:rFonts w:hint="eastAsia" w:ascii="宋体" w:hAnsi="宋体" w:eastAsia="宋体" w:cs="宋体"/>
                <w:color w:val="auto"/>
                <w:sz w:val="18"/>
                <w:highlight w:val="none"/>
              </w:rPr>
              <w:t>养护记录包括：养护日期、时间、自然村名、养护的</w:t>
            </w:r>
          </w:p>
          <w:p w14:paraId="2ACE4943">
            <w:pPr>
              <w:spacing w:line="266" w:lineRule="auto"/>
              <w:ind w:left="42" w:right="82"/>
              <w:rPr>
                <w:rFonts w:hint="eastAsia" w:ascii="宋体" w:hAnsi="宋体" w:eastAsia="宋体" w:cs="宋体"/>
                <w:color w:val="auto"/>
                <w:sz w:val="18"/>
                <w:highlight w:val="none"/>
              </w:rPr>
            </w:pPr>
            <w:r>
              <w:rPr>
                <w:rFonts w:hint="eastAsia" w:ascii="宋体" w:hAnsi="宋体" w:eastAsia="宋体" w:cs="宋体"/>
                <w:color w:val="auto"/>
                <w:spacing w:val="-14"/>
                <w:sz w:val="18"/>
                <w:highlight w:val="none"/>
              </w:rPr>
              <w:t>设施、养护的项目及内容、养护后的状况及养护人员内容，对于清掏、</w:t>
            </w:r>
            <w:r>
              <w:rPr>
                <w:rFonts w:hint="eastAsia" w:ascii="宋体" w:hAnsi="宋体" w:eastAsia="宋体" w:cs="宋体"/>
                <w:color w:val="auto"/>
                <w:sz w:val="18"/>
                <w:highlight w:val="none"/>
              </w:rPr>
              <w:t>除杂草内容的养护记录还应如实记录前后的对比照片</w:t>
            </w:r>
          </w:p>
          <w:p w14:paraId="3D39864A">
            <w:pPr>
              <w:spacing w:before="2" w:line="268" w:lineRule="auto"/>
              <w:ind w:left="42" w:right="171" w:firstLine="14"/>
              <w:jc w:val="both"/>
              <w:rPr>
                <w:rFonts w:hint="eastAsia" w:ascii="宋体" w:hAnsi="宋体" w:eastAsia="宋体" w:cs="宋体"/>
                <w:color w:val="auto"/>
                <w:sz w:val="18"/>
                <w:highlight w:val="none"/>
              </w:rPr>
            </w:pPr>
            <w:r>
              <w:rPr>
                <w:rFonts w:hint="eastAsia" w:ascii="宋体" w:hAnsi="宋体" w:eastAsia="宋体" w:cs="宋体"/>
                <w:color w:val="auto"/>
                <w:sz w:val="18"/>
                <w:highlight w:val="none"/>
              </w:rPr>
              <w:t>3）</w:t>
            </w:r>
            <w:r>
              <w:rPr>
                <w:rFonts w:hint="eastAsia" w:ascii="宋体" w:hAnsi="宋体" w:eastAsia="宋体" w:cs="宋体"/>
                <w:color w:val="auto"/>
                <w:spacing w:val="-1"/>
                <w:sz w:val="18"/>
                <w:highlight w:val="none"/>
              </w:rPr>
              <w:t>维修记录包括：维修日期、时间、自然村名、维修的</w:t>
            </w:r>
            <w:r>
              <w:rPr>
                <w:rFonts w:hint="eastAsia" w:ascii="宋体" w:hAnsi="宋体" w:eastAsia="宋体" w:cs="宋体"/>
                <w:color w:val="auto"/>
                <w:spacing w:val="-7"/>
                <w:sz w:val="18"/>
                <w:highlight w:val="none"/>
              </w:rPr>
              <w:t>设施、维修的项目及内容、维修途径、维修后的状况及维修落实人员</w:t>
            </w:r>
            <w:r>
              <w:rPr>
                <w:rFonts w:hint="eastAsia" w:ascii="宋体" w:hAnsi="宋体" w:eastAsia="宋体" w:cs="宋体"/>
                <w:color w:val="auto"/>
                <w:sz w:val="18"/>
                <w:highlight w:val="none"/>
              </w:rPr>
              <w:t>内容</w:t>
            </w:r>
          </w:p>
          <w:p w14:paraId="5AD286FC">
            <w:pPr>
              <w:spacing w:line="229" w:lineRule="exact"/>
              <w:ind w:left="57"/>
              <w:jc w:val="both"/>
              <w:rPr>
                <w:rFonts w:hint="eastAsia" w:ascii="宋体" w:hAnsi="宋体" w:eastAsia="宋体" w:cs="宋体"/>
                <w:color w:val="auto"/>
                <w:sz w:val="18"/>
                <w:highlight w:val="none"/>
              </w:rPr>
            </w:pPr>
            <w:r>
              <w:rPr>
                <w:rFonts w:hint="eastAsia" w:ascii="宋体" w:hAnsi="宋体" w:eastAsia="宋体" w:cs="宋体"/>
                <w:color w:val="auto"/>
                <w:sz w:val="18"/>
                <w:highlight w:val="none"/>
              </w:rPr>
              <w:t>以上记录内容每缺一项扣 0.1 分；没有实时记录一项扣 0.2 分；内容不真实一项扣 3 分</w:t>
            </w:r>
          </w:p>
        </w:tc>
        <w:tc>
          <w:tcPr>
            <w:tcW w:w="630" w:type="dxa"/>
            <w:tcBorders>
              <w:top w:val="single" w:color="000000" w:sz="4" w:space="0"/>
              <w:left w:val="single" w:color="000000" w:sz="4" w:space="0"/>
              <w:bottom w:val="single" w:color="000000" w:sz="4" w:space="0"/>
              <w:right w:val="single" w:color="000000" w:sz="4" w:space="0"/>
            </w:tcBorders>
            <w:noWrap w:val="0"/>
            <w:vAlign w:val="top"/>
          </w:tcPr>
          <w:p w14:paraId="2471B8D1">
            <w:pPr>
              <w:rPr>
                <w:rFonts w:hint="eastAsia" w:ascii="宋体" w:hAnsi="宋体" w:eastAsia="宋体" w:cs="宋体"/>
                <w:b/>
                <w:color w:val="auto"/>
                <w:sz w:val="18"/>
                <w:highlight w:val="none"/>
              </w:rPr>
            </w:pPr>
          </w:p>
          <w:p w14:paraId="02911DD7">
            <w:pPr>
              <w:rPr>
                <w:rFonts w:hint="eastAsia" w:ascii="宋体" w:hAnsi="宋体" w:eastAsia="宋体" w:cs="宋体"/>
                <w:b/>
                <w:color w:val="auto"/>
                <w:sz w:val="18"/>
                <w:highlight w:val="none"/>
              </w:rPr>
            </w:pPr>
          </w:p>
          <w:p w14:paraId="40546EB2">
            <w:pPr>
              <w:rPr>
                <w:rFonts w:hint="eastAsia" w:ascii="宋体" w:hAnsi="宋体" w:eastAsia="宋体" w:cs="宋体"/>
                <w:b/>
                <w:color w:val="auto"/>
                <w:sz w:val="18"/>
                <w:highlight w:val="none"/>
              </w:rPr>
            </w:pPr>
          </w:p>
          <w:p w14:paraId="08AB5555">
            <w:pPr>
              <w:rPr>
                <w:rFonts w:hint="eastAsia" w:ascii="宋体" w:hAnsi="宋体" w:eastAsia="宋体" w:cs="宋体"/>
                <w:b/>
                <w:color w:val="auto"/>
                <w:sz w:val="18"/>
                <w:highlight w:val="none"/>
              </w:rPr>
            </w:pPr>
          </w:p>
          <w:p w14:paraId="1173EEBF">
            <w:pPr>
              <w:rPr>
                <w:rFonts w:hint="eastAsia" w:ascii="宋体" w:hAnsi="宋体" w:eastAsia="宋体" w:cs="宋体"/>
                <w:b/>
                <w:color w:val="auto"/>
                <w:sz w:val="18"/>
                <w:highlight w:val="none"/>
              </w:rPr>
            </w:pPr>
          </w:p>
          <w:p w14:paraId="03B83104">
            <w:pPr>
              <w:spacing w:before="11"/>
              <w:rPr>
                <w:rFonts w:hint="eastAsia" w:ascii="宋体" w:hAnsi="宋体" w:eastAsia="宋体" w:cs="宋体"/>
                <w:b/>
                <w:color w:val="auto"/>
                <w:sz w:val="19"/>
                <w:highlight w:val="none"/>
              </w:rPr>
            </w:pPr>
          </w:p>
          <w:p w14:paraId="0F4B4C52">
            <w:pPr>
              <w:ind w:left="44" w:right="31"/>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291B029E">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7DC849AE">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5C119DE">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03C526CB">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21805098">
            <w:pPr>
              <w:rPr>
                <w:rFonts w:hint="eastAsia" w:ascii="宋体" w:hAnsi="宋体" w:eastAsia="宋体" w:cs="宋体"/>
                <w:color w:val="auto"/>
                <w:sz w:val="18"/>
                <w:highlight w:val="none"/>
              </w:rPr>
            </w:pPr>
          </w:p>
        </w:tc>
      </w:tr>
      <w:tr w14:paraId="686EB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99" w:type="dxa"/>
            <w:vMerge w:val="continue"/>
            <w:tcBorders>
              <w:left w:val="single" w:color="000000" w:sz="4" w:space="0"/>
              <w:right w:val="single" w:color="000000" w:sz="4" w:space="0"/>
            </w:tcBorders>
            <w:noWrap w:val="0"/>
            <w:vAlign w:val="center"/>
          </w:tcPr>
          <w:p w14:paraId="2D2A1E66">
            <w:pPr>
              <w:autoSpaceDE/>
              <w:autoSpaceDN/>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21319">
            <w:pPr>
              <w:autoSpaceDE/>
              <w:autoSpaceDN/>
              <w:rPr>
                <w:rFonts w:hint="eastAsia" w:ascii="宋体" w:hAnsi="宋体" w:eastAsia="宋体" w:cs="宋体"/>
                <w:color w:val="auto"/>
                <w:sz w:val="18"/>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6F259A22">
            <w:pPr>
              <w:rPr>
                <w:rFonts w:hint="eastAsia" w:ascii="宋体" w:hAnsi="宋体" w:eastAsia="宋体" w:cs="宋体"/>
                <w:b/>
                <w:color w:val="auto"/>
                <w:sz w:val="20"/>
                <w:highlight w:val="none"/>
              </w:rPr>
            </w:pPr>
          </w:p>
          <w:p w14:paraId="214899B5">
            <w:pPr>
              <w:spacing w:before="142"/>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8.2.4</w:t>
            </w:r>
          </w:p>
        </w:tc>
        <w:tc>
          <w:tcPr>
            <w:tcW w:w="1788" w:type="dxa"/>
            <w:tcBorders>
              <w:top w:val="single" w:color="000000" w:sz="4" w:space="0"/>
              <w:left w:val="single" w:color="000000" w:sz="4" w:space="0"/>
              <w:bottom w:val="single" w:color="000000" w:sz="4" w:space="0"/>
              <w:right w:val="single" w:color="000000" w:sz="4" w:space="0"/>
            </w:tcBorders>
            <w:noWrap w:val="0"/>
            <w:vAlign w:val="top"/>
          </w:tcPr>
          <w:p w14:paraId="0D10526B">
            <w:pPr>
              <w:spacing w:before="28"/>
              <w:ind w:left="42" w:right="11" w:firstLine="14"/>
              <w:rPr>
                <w:rFonts w:hint="eastAsia" w:ascii="宋体" w:hAnsi="宋体" w:eastAsia="宋体" w:cs="宋体"/>
                <w:color w:val="auto"/>
                <w:sz w:val="18"/>
                <w:highlight w:val="none"/>
              </w:rPr>
            </w:pPr>
            <w:r>
              <w:rPr>
                <w:rFonts w:hint="eastAsia" w:ascii="宋体" w:hAnsi="宋体" w:eastAsia="宋体" w:cs="宋体"/>
                <w:color w:val="auto"/>
                <w:sz w:val="18"/>
                <w:highlight w:val="none"/>
              </w:rPr>
              <w:t>设施体检报告每季度一次，内容完整、真实、有针对性</w:t>
            </w:r>
          </w:p>
        </w:tc>
        <w:tc>
          <w:tcPr>
            <w:tcW w:w="5937" w:type="dxa"/>
            <w:tcBorders>
              <w:top w:val="single" w:color="000000" w:sz="4" w:space="0"/>
              <w:left w:val="single" w:color="000000" w:sz="4" w:space="0"/>
              <w:bottom w:val="single" w:color="000000" w:sz="4" w:space="0"/>
              <w:right w:val="single" w:color="000000" w:sz="4" w:space="0"/>
            </w:tcBorders>
            <w:noWrap w:val="0"/>
            <w:vAlign w:val="top"/>
          </w:tcPr>
          <w:p w14:paraId="7E0CA07E">
            <w:pPr>
              <w:spacing w:before="7"/>
              <w:rPr>
                <w:rFonts w:hint="eastAsia" w:ascii="宋体" w:hAnsi="宋体" w:eastAsia="宋体" w:cs="宋体"/>
                <w:b/>
                <w:color w:val="auto"/>
                <w:sz w:val="21"/>
                <w:highlight w:val="none"/>
              </w:rPr>
            </w:pPr>
          </w:p>
          <w:p w14:paraId="1FBA86C6">
            <w:pPr>
              <w:ind w:left="57"/>
              <w:rPr>
                <w:rFonts w:hint="eastAsia" w:ascii="宋体" w:hAnsi="宋体" w:eastAsia="宋体" w:cs="宋体"/>
                <w:color w:val="auto"/>
                <w:sz w:val="18"/>
                <w:highlight w:val="none"/>
              </w:rPr>
            </w:pPr>
            <w:r>
              <w:rPr>
                <w:rFonts w:hint="eastAsia" w:ascii="宋体" w:hAnsi="宋体" w:eastAsia="宋体" w:cs="宋体"/>
                <w:color w:val="auto"/>
                <w:spacing w:val="-9"/>
                <w:sz w:val="18"/>
                <w:highlight w:val="none"/>
              </w:rPr>
              <w:t xml:space="preserve">缺一次扣 </w:t>
            </w:r>
            <w:r>
              <w:rPr>
                <w:rFonts w:hint="eastAsia" w:ascii="宋体" w:hAnsi="宋体" w:eastAsia="宋体" w:cs="宋体"/>
                <w:color w:val="auto"/>
                <w:sz w:val="18"/>
                <w:highlight w:val="none"/>
              </w:rPr>
              <w:t xml:space="preserve">2 </w:t>
            </w:r>
            <w:r>
              <w:rPr>
                <w:rFonts w:hint="eastAsia" w:ascii="宋体" w:hAnsi="宋体" w:eastAsia="宋体" w:cs="宋体"/>
                <w:color w:val="auto"/>
                <w:spacing w:val="-9"/>
                <w:sz w:val="18"/>
                <w:highlight w:val="none"/>
              </w:rPr>
              <w:t xml:space="preserve">分，内容不完整扣 </w:t>
            </w:r>
            <w:r>
              <w:rPr>
                <w:rFonts w:hint="eastAsia" w:ascii="宋体" w:hAnsi="宋体" w:eastAsia="宋体" w:cs="宋体"/>
                <w:color w:val="auto"/>
                <w:sz w:val="18"/>
                <w:highlight w:val="none"/>
              </w:rPr>
              <w:t xml:space="preserve">1 </w:t>
            </w:r>
            <w:r>
              <w:rPr>
                <w:rFonts w:hint="eastAsia" w:ascii="宋体" w:hAnsi="宋体" w:eastAsia="宋体" w:cs="宋体"/>
                <w:color w:val="auto"/>
                <w:spacing w:val="-11"/>
                <w:sz w:val="18"/>
                <w:highlight w:val="none"/>
              </w:rPr>
              <w:t xml:space="preserve">分，不真实扣 </w:t>
            </w:r>
            <w:r>
              <w:rPr>
                <w:rFonts w:hint="eastAsia" w:ascii="宋体" w:hAnsi="宋体" w:eastAsia="宋体" w:cs="宋体"/>
                <w:color w:val="auto"/>
                <w:sz w:val="18"/>
                <w:highlight w:val="none"/>
              </w:rPr>
              <w:t xml:space="preserve">2 </w:t>
            </w:r>
            <w:r>
              <w:rPr>
                <w:rFonts w:hint="eastAsia" w:ascii="宋体" w:hAnsi="宋体" w:eastAsia="宋体" w:cs="宋体"/>
                <w:color w:val="auto"/>
                <w:spacing w:val="-4"/>
                <w:sz w:val="18"/>
                <w:highlight w:val="none"/>
              </w:rPr>
              <w:t>分，报告无针对性扣</w:t>
            </w:r>
          </w:p>
          <w:p w14:paraId="064CA667">
            <w:pPr>
              <w:spacing w:before="29"/>
              <w:ind w:left="42"/>
              <w:rPr>
                <w:rFonts w:hint="eastAsia" w:ascii="宋体" w:hAnsi="宋体" w:eastAsia="宋体" w:cs="宋体"/>
                <w:color w:val="auto"/>
                <w:sz w:val="18"/>
                <w:highlight w:val="none"/>
              </w:rPr>
            </w:pPr>
            <w:r>
              <w:rPr>
                <w:rFonts w:hint="eastAsia" w:ascii="宋体" w:hAnsi="宋体" w:eastAsia="宋体" w:cs="宋体"/>
                <w:color w:val="auto"/>
                <w:sz w:val="18"/>
                <w:highlight w:val="none"/>
              </w:rPr>
              <w:t>1 分</w:t>
            </w:r>
          </w:p>
        </w:tc>
        <w:tc>
          <w:tcPr>
            <w:tcW w:w="630" w:type="dxa"/>
            <w:tcBorders>
              <w:top w:val="single" w:color="000000" w:sz="4" w:space="0"/>
              <w:left w:val="single" w:color="000000" w:sz="4" w:space="0"/>
              <w:bottom w:val="single" w:color="000000" w:sz="4" w:space="0"/>
              <w:right w:val="single" w:color="000000" w:sz="4" w:space="0"/>
            </w:tcBorders>
            <w:noWrap w:val="0"/>
            <w:vAlign w:val="top"/>
          </w:tcPr>
          <w:p w14:paraId="4DE93998">
            <w:pPr>
              <w:rPr>
                <w:rFonts w:hint="eastAsia" w:ascii="宋体" w:hAnsi="宋体" w:eastAsia="宋体" w:cs="宋体"/>
                <w:b/>
                <w:color w:val="auto"/>
                <w:sz w:val="18"/>
                <w:highlight w:val="none"/>
              </w:rPr>
            </w:pPr>
          </w:p>
          <w:p w14:paraId="36C2FB3B">
            <w:pPr>
              <w:spacing w:before="159"/>
              <w:ind w:left="44" w:right="31"/>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7BD015F5">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7DC6A602">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48D9256">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423817E3">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7653CF88">
            <w:pPr>
              <w:rPr>
                <w:rFonts w:hint="eastAsia" w:ascii="宋体" w:hAnsi="宋体" w:eastAsia="宋体" w:cs="宋体"/>
                <w:color w:val="auto"/>
                <w:sz w:val="18"/>
                <w:highlight w:val="none"/>
              </w:rPr>
            </w:pPr>
          </w:p>
        </w:tc>
      </w:tr>
      <w:tr w14:paraId="77AB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99" w:type="dxa"/>
            <w:vMerge w:val="continue"/>
            <w:tcBorders>
              <w:left w:val="single" w:color="000000" w:sz="4" w:space="0"/>
              <w:right w:val="single" w:color="000000" w:sz="4" w:space="0"/>
            </w:tcBorders>
            <w:noWrap w:val="0"/>
            <w:vAlign w:val="top"/>
          </w:tcPr>
          <w:p w14:paraId="21EB7016">
            <w:pPr>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250AA">
            <w:pPr>
              <w:autoSpaceDE/>
              <w:autoSpaceDN/>
              <w:rPr>
                <w:rFonts w:hint="eastAsia" w:ascii="宋体" w:hAnsi="宋体" w:eastAsia="宋体" w:cs="宋体"/>
                <w:color w:val="auto"/>
                <w:sz w:val="18"/>
                <w:highlight w:val="none"/>
              </w:rPr>
            </w:pPr>
          </w:p>
        </w:tc>
        <w:tc>
          <w:tcPr>
            <w:tcW w:w="595" w:type="dxa"/>
            <w:vMerge w:val="restart"/>
            <w:tcBorders>
              <w:top w:val="single" w:color="000000" w:sz="4" w:space="0"/>
              <w:left w:val="single" w:color="000000" w:sz="4" w:space="0"/>
              <w:bottom w:val="single" w:color="000000" w:sz="4" w:space="0"/>
              <w:right w:val="single" w:color="000000" w:sz="4" w:space="0"/>
            </w:tcBorders>
            <w:noWrap w:val="0"/>
            <w:vAlign w:val="top"/>
          </w:tcPr>
          <w:p w14:paraId="47F48AEC">
            <w:pPr>
              <w:rPr>
                <w:rFonts w:hint="eastAsia" w:ascii="宋体" w:hAnsi="宋体" w:eastAsia="宋体" w:cs="宋体"/>
                <w:b/>
                <w:color w:val="auto"/>
                <w:sz w:val="20"/>
                <w:highlight w:val="none"/>
              </w:rPr>
            </w:pPr>
          </w:p>
          <w:p w14:paraId="43D978D3">
            <w:pPr>
              <w:rPr>
                <w:rFonts w:hint="eastAsia" w:ascii="宋体" w:hAnsi="宋体" w:eastAsia="宋体" w:cs="宋体"/>
                <w:b/>
                <w:color w:val="auto"/>
                <w:sz w:val="20"/>
                <w:highlight w:val="none"/>
              </w:rPr>
            </w:pPr>
          </w:p>
          <w:p w14:paraId="2E0C0B3D">
            <w:pPr>
              <w:spacing w:before="174"/>
              <w:ind w:left="99"/>
              <w:rPr>
                <w:rFonts w:hint="eastAsia" w:ascii="宋体" w:hAnsi="宋体" w:eastAsia="宋体" w:cs="宋体"/>
                <w:color w:val="auto"/>
                <w:sz w:val="18"/>
                <w:highlight w:val="none"/>
              </w:rPr>
            </w:pPr>
            <w:r>
              <w:rPr>
                <w:rFonts w:hint="eastAsia" w:ascii="宋体" w:hAnsi="宋体" w:eastAsia="宋体" w:cs="宋体"/>
                <w:color w:val="auto"/>
                <w:sz w:val="18"/>
                <w:highlight w:val="none"/>
              </w:rPr>
              <w:t>8.2.5</w:t>
            </w:r>
          </w:p>
        </w:tc>
        <w:tc>
          <w:tcPr>
            <w:tcW w:w="1788" w:type="dxa"/>
            <w:vMerge w:val="restart"/>
            <w:tcBorders>
              <w:top w:val="single" w:color="000000" w:sz="4" w:space="0"/>
              <w:left w:val="single" w:color="000000" w:sz="4" w:space="0"/>
              <w:bottom w:val="single" w:color="000000" w:sz="4" w:space="0"/>
              <w:right w:val="single" w:color="000000" w:sz="4" w:space="0"/>
            </w:tcBorders>
            <w:noWrap w:val="0"/>
            <w:vAlign w:val="top"/>
          </w:tcPr>
          <w:p w14:paraId="461E2420">
            <w:pPr>
              <w:spacing w:before="3"/>
              <w:rPr>
                <w:rFonts w:hint="eastAsia" w:ascii="宋体" w:hAnsi="宋体" w:eastAsia="宋体" w:cs="宋体"/>
                <w:b/>
                <w:color w:val="auto"/>
                <w:sz w:val="15"/>
                <w:highlight w:val="none"/>
              </w:rPr>
            </w:pPr>
          </w:p>
          <w:p w14:paraId="3004FDB7">
            <w:pPr>
              <w:spacing w:before="1"/>
              <w:ind w:left="42" w:right="175" w:firstLine="14"/>
              <w:rPr>
                <w:rFonts w:hint="eastAsia" w:ascii="宋体" w:hAnsi="宋体" w:eastAsia="宋体" w:cs="宋体"/>
                <w:color w:val="auto"/>
                <w:sz w:val="18"/>
                <w:highlight w:val="none"/>
              </w:rPr>
            </w:pPr>
            <w:r>
              <w:rPr>
                <w:rFonts w:hint="eastAsia" w:ascii="宋体" w:hAnsi="宋体" w:eastAsia="宋体" w:cs="宋体"/>
                <w:color w:val="auto"/>
                <w:spacing w:val="-3"/>
                <w:sz w:val="18"/>
                <w:highlight w:val="none"/>
              </w:rPr>
              <w:t>信访交办反馈记录</w:t>
            </w:r>
            <w:r>
              <w:rPr>
                <w:rFonts w:hint="eastAsia" w:ascii="宋体" w:hAnsi="宋体" w:eastAsia="宋体" w:cs="宋体"/>
                <w:color w:val="auto"/>
                <w:sz w:val="18"/>
                <w:highlight w:val="none"/>
              </w:rPr>
              <w:t>落实专人负责受 理，记录及时、内容完整</w:t>
            </w:r>
          </w:p>
        </w:tc>
        <w:tc>
          <w:tcPr>
            <w:tcW w:w="5937" w:type="dxa"/>
            <w:tcBorders>
              <w:top w:val="single" w:color="000000" w:sz="4" w:space="0"/>
              <w:left w:val="single" w:color="000000" w:sz="4" w:space="0"/>
              <w:bottom w:val="single" w:color="000000" w:sz="4" w:space="0"/>
              <w:right w:val="single" w:color="000000" w:sz="4" w:space="0"/>
            </w:tcBorders>
            <w:noWrap w:val="0"/>
            <w:vAlign w:val="top"/>
          </w:tcPr>
          <w:p w14:paraId="0DF8A1B9">
            <w:pPr>
              <w:spacing w:before="84"/>
              <w:ind w:left="57"/>
              <w:rPr>
                <w:rFonts w:hint="eastAsia" w:ascii="宋体" w:hAnsi="宋体" w:eastAsia="宋体" w:cs="宋体"/>
                <w:color w:val="auto"/>
                <w:sz w:val="18"/>
                <w:highlight w:val="none"/>
              </w:rPr>
            </w:pPr>
            <w:r>
              <w:rPr>
                <w:rFonts w:hint="eastAsia" w:ascii="宋体" w:hAnsi="宋体" w:eastAsia="宋体" w:cs="宋体"/>
                <w:color w:val="auto"/>
                <w:sz w:val="18"/>
                <w:highlight w:val="none"/>
              </w:rPr>
              <w:t>1）无专人负责处理，扣 0.5 分</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top"/>
          </w:tcPr>
          <w:p w14:paraId="26D44080">
            <w:pPr>
              <w:rPr>
                <w:rFonts w:hint="eastAsia" w:ascii="宋体" w:hAnsi="宋体" w:eastAsia="宋体" w:cs="宋体"/>
                <w:b/>
                <w:color w:val="auto"/>
                <w:sz w:val="18"/>
                <w:highlight w:val="none"/>
              </w:rPr>
            </w:pPr>
          </w:p>
          <w:p w14:paraId="3E82E1EB">
            <w:pPr>
              <w:rPr>
                <w:rFonts w:hint="eastAsia" w:ascii="宋体" w:hAnsi="宋体" w:eastAsia="宋体" w:cs="宋体"/>
                <w:b/>
                <w:color w:val="auto"/>
                <w:sz w:val="18"/>
                <w:highlight w:val="none"/>
              </w:rPr>
            </w:pPr>
          </w:p>
          <w:p w14:paraId="5F4D4ABD">
            <w:pPr>
              <w:spacing w:before="8"/>
              <w:rPr>
                <w:rFonts w:hint="eastAsia" w:ascii="宋体" w:hAnsi="宋体" w:eastAsia="宋体" w:cs="宋体"/>
                <w:b/>
                <w:color w:val="auto"/>
                <w:sz w:val="17"/>
                <w:highlight w:val="none"/>
              </w:rPr>
            </w:pPr>
          </w:p>
          <w:p w14:paraId="2BB7E44C">
            <w:pPr>
              <w:ind w:left="29"/>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56A07F2A">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14ADCF11">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F81E858">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67E51808">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79E90E7D">
            <w:pPr>
              <w:rPr>
                <w:rFonts w:hint="eastAsia" w:ascii="宋体" w:hAnsi="宋体" w:eastAsia="宋体" w:cs="宋体"/>
                <w:color w:val="auto"/>
                <w:sz w:val="18"/>
                <w:highlight w:val="none"/>
              </w:rPr>
            </w:pPr>
          </w:p>
        </w:tc>
      </w:tr>
      <w:tr w14:paraId="3BDC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99" w:type="dxa"/>
            <w:vMerge w:val="continue"/>
            <w:tcBorders>
              <w:left w:val="single" w:color="000000" w:sz="4" w:space="0"/>
              <w:right w:val="single" w:color="000000" w:sz="4" w:space="0"/>
            </w:tcBorders>
            <w:noWrap w:val="0"/>
            <w:vAlign w:val="top"/>
          </w:tcPr>
          <w:p w14:paraId="498339B6">
            <w:pPr>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EDC1F">
            <w:pPr>
              <w:autoSpaceDE/>
              <w:autoSpaceDN/>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4666A">
            <w:pPr>
              <w:autoSpaceDE/>
              <w:autoSpaceDN/>
              <w:rPr>
                <w:rFonts w:hint="eastAsia" w:ascii="宋体" w:hAnsi="宋体" w:eastAsia="宋体" w:cs="宋体"/>
                <w:color w:val="auto"/>
                <w:sz w:val="18"/>
                <w:highlight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1FE37">
            <w:pPr>
              <w:autoSpaceDE/>
              <w:autoSpaceDN/>
              <w:rPr>
                <w:rFonts w:hint="eastAsia" w:ascii="宋体" w:hAnsi="宋体" w:eastAsia="宋体" w:cs="宋体"/>
                <w:color w:val="auto"/>
                <w:sz w:val="18"/>
                <w:highlight w:val="none"/>
              </w:rPr>
            </w:pPr>
          </w:p>
        </w:tc>
        <w:tc>
          <w:tcPr>
            <w:tcW w:w="5937" w:type="dxa"/>
            <w:tcBorders>
              <w:top w:val="single" w:color="000000" w:sz="4" w:space="0"/>
              <w:left w:val="single" w:color="000000" w:sz="4" w:space="0"/>
              <w:bottom w:val="single" w:color="000000" w:sz="4" w:space="0"/>
              <w:right w:val="single" w:color="000000" w:sz="4" w:space="0"/>
            </w:tcBorders>
            <w:noWrap w:val="0"/>
            <w:vAlign w:val="top"/>
          </w:tcPr>
          <w:p w14:paraId="462CD5E0">
            <w:pPr>
              <w:spacing w:before="83"/>
              <w:ind w:left="57"/>
              <w:rPr>
                <w:rFonts w:hint="eastAsia" w:ascii="宋体" w:hAnsi="宋体" w:eastAsia="宋体" w:cs="宋体"/>
                <w:color w:val="auto"/>
                <w:sz w:val="18"/>
                <w:highlight w:val="none"/>
              </w:rPr>
            </w:pPr>
            <w:r>
              <w:rPr>
                <w:rFonts w:hint="eastAsia" w:ascii="宋体" w:hAnsi="宋体" w:eastAsia="宋体" w:cs="宋体"/>
                <w:color w:val="auto"/>
                <w:sz w:val="18"/>
                <w:highlight w:val="none"/>
              </w:rPr>
              <w:t>2）记录及时，应不得超过 2 个工作日；若不及时，扣 0.3 分</w:t>
            </w: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B9A15">
            <w:pPr>
              <w:autoSpaceDE/>
              <w:autoSpaceDN/>
              <w:rPr>
                <w:rFonts w:hint="eastAsia" w:ascii="宋体" w:hAnsi="宋体" w:eastAsia="宋体" w:cs="宋体"/>
                <w:color w:val="auto"/>
                <w:sz w:val="18"/>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4BD8DC02">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47A7867D">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F0FE62E">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28C89F49">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490844EA">
            <w:pPr>
              <w:rPr>
                <w:rFonts w:hint="eastAsia" w:ascii="宋体" w:hAnsi="宋体" w:eastAsia="宋体" w:cs="宋体"/>
                <w:color w:val="auto"/>
                <w:sz w:val="18"/>
                <w:highlight w:val="none"/>
              </w:rPr>
            </w:pPr>
          </w:p>
        </w:tc>
      </w:tr>
      <w:tr w14:paraId="30763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99" w:type="dxa"/>
            <w:vMerge w:val="continue"/>
            <w:tcBorders>
              <w:left w:val="single" w:color="000000" w:sz="4" w:space="0"/>
              <w:right w:val="single" w:color="000000" w:sz="4" w:space="0"/>
            </w:tcBorders>
            <w:noWrap w:val="0"/>
            <w:vAlign w:val="top"/>
          </w:tcPr>
          <w:p w14:paraId="03EF9B27">
            <w:pPr>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E4AE0">
            <w:pPr>
              <w:autoSpaceDE/>
              <w:autoSpaceDN/>
              <w:rPr>
                <w:rFonts w:hint="eastAsia" w:ascii="宋体" w:hAnsi="宋体" w:eastAsia="宋体" w:cs="宋体"/>
                <w:color w:val="auto"/>
                <w:sz w:val="18"/>
                <w:highlight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E4C5F">
            <w:pPr>
              <w:autoSpaceDE/>
              <w:autoSpaceDN/>
              <w:rPr>
                <w:rFonts w:hint="eastAsia" w:ascii="宋体" w:hAnsi="宋体" w:eastAsia="宋体" w:cs="宋体"/>
                <w:color w:val="auto"/>
                <w:sz w:val="18"/>
                <w:highlight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8FDD7">
            <w:pPr>
              <w:autoSpaceDE/>
              <w:autoSpaceDN/>
              <w:rPr>
                <w:rFonts w:hint="eastAsia" w:ascii="宋体" w:hAnsi="宋体" w:eastAsia="宋体" w:cs="宋体"/>
                <w:color w:val="auto"/>
                <w:sz w:val="18"/>
                <w:highlight w:val="none"/>
              </w:rPr>
            </w:pPr>
          </w:p>
        </w:tc>
        <w:tc>
          <w:tcPr>
            <w:tcW w:w="5937" w:type="dxa"/>
            <w:tcBorders>
              <w:top w:val="single" w:color="000000" w:sz="4" w:space="0"/>
              <w:left w:val="single" w:color="000000" w:sz="4" w:space="0"/>
              <w:bottom w:val="single" w:color="000000" w:sz="4" w:space="0"/>
              <w:right w:val="single" w:color="000000" w:sz="4" w:space="0"/>
            </w:tcBorders>
            <w:noWrap w:val="0"/>
            <w:vAlign w:val="top"/>
          </w:tcPr>
          <w:p w14:paraId="73C2264B">
            <w:pPr>
              <w:spacing w:before="57" w:line="266" w:lineRule="auto"/>
              <w:ind w:left="42" w:right="82" w:firstLine="14"/>
              <w:rPr>
                <w:rFonts w:hint="eastAsia" w:ascii="宋体" w:hAnsi="宋体" w:eastAsia="宋体" w:cs="宋体"/>
                <w:color w:val="auto"/>
                <w:sz w:val="18"/>
                <w:highlight w:val="none"/>
              </w:rPr>
            </w:pPr>
            <w:r>
              <w:rPr>
                <w:rFonts w:hint="eastAsia" w:ascii="宋体" w:hAnsi="宋体" w:eastAsia="宋体" w:cs="宋体"/>
                <w:color w:val="auto"/>
                <w:sz w:val="18"/>
                <w:highlight w:val="none"/>
              </w:rPr>
              <w:t>3）记录内容包括：乡镇街道名称、交办人姓名、交办人电话、信访</w:t>
            </w:r>
            <w:r>
              <w:rPr>
                <w:rFonts w:hint="eastAsia" w:ascii="宋体" w:hAnsi="宋体" w:eastAsia="宋体" w:cs="宋体"/>
                <w:color w:val="auto"/>
                <w:spacing w:val="-6"/>
                <w:sz w:val="18"/>
                <w:highlight w:val="none"/>
              </w:rPr>
              <w:t>基本情况</w:t>
            </w:r>
            <w:r>
              <w:rPr>
                <w:rFonts w:hint="eastAsia" w:ascii="宋体" w:hAnsi="宋体" w:eastAsia="宋体" w:cs="宋体"/>
                <w:color w:val="auto"/>
                <w:sz w:val="18"/>
                <w:highlight w:val="none"/>
              </w:rPr>
              <w:t>（</w:t>
            </w:r>
            <w:r>
              <w:rPr>
                <w:rFonts w:hint="eastAsia" w:ascii="宋体" w:hAnsi="宋体" w:eastAsia="宋体" w:cs="宋体"/>
                <w:color w:val="auto"/>
                <w:spacing w:val="-5"/>
                <w:sz w:val="18"/>
                <w:highlight w:val="none"/>
              </w:rPr>
              <w:t>发生时间、发生地点</w:t>
            </w:r>
            <w:r>
              <w:rPr>
                <w:rFonts w:hint="eastAsia" w:ascii="宋体" w:hAnsi="宋体" w:eastAsia="宋体" w:cs="宋体"/>
                <w:color w:val="auto"/>
                <w:spacing w:val="-22"/>
                <w:sz w:val="18"/>
                <w:highlight w:val="none"/>
              </w:rPr>
              <w:t>）</w:t>
            </w:r>
            <w:r>
              <w:rPr>
                <w:rFonts w:hint="eastAsia" w:ascii="宋体" w:hAnsi="宋体" w:eastAsia="宋体" w:cs="宋体"/>
                <w:color w:val="auto"/>
                <w:spacing w:val="-10"/>
                <w:sz w:val="18"/>
                <w:highlight w:val="none"/>
              </w:rPr>
              <w:t>、信访内容、交办意见、承办单位、</w:t>
            </w:r>
          </w:p>
          <w:p w14:paraId="1C15496B">
            <w:pPr>
              <w:spacing w:before="4" w:line="210" w:lineRule="exact"/>
              <w:ind w:left="42"/>
              <w:rPr>
                <w:rFonts w:hint="eastAsia" w:ascii="宋体" w:hAnsi="宋体" w:eastAsia="宋体" w:cs="宋体"/>
                <w:color w:val="auto"/>
                <w:sz w:val="18"/>
                <w:highlight w:val="none"/>
              </w:rPr>
            </w:pPr>
            <w:r>
              <w:rPr>
                <w:rFonts w:hint="eastAsia" w:ascii="宋体" w:hAnsi="宋体" w:eastAsia="宋体" w:cs="宋体"/>
                <w:color w:val="auto"/>
                <w:sz w:val="18"/>
                <w:highlight w:val="none"/>
              </w:rPr>
              <w:t>承办单位联系人和电话、办理结果，每缺一项扣 0.2 分</w:t>
            </w: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DB45A">
            <w:pPr>
              <w:autoSpaceDE/>
              <w:autoSpaceDN/>
              <w:rPr>
                <w:rFonts w:hint="eastAsia" w:ascii="宋体" w:hAnsi="宋体" w:eastAsia="宋体" w:cs="宋体"/>
                <w:color w:val="auto"/>
                <w:sz w:val="18"/>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2EB52D68">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061B675F">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14D3F78">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53D9DC47">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50D52F82">
            <w:pPr>
              <w:rPr>
                <w:rFonts w:hint="eastAsia" w:ascii="宋体" w:hAnsi="宋体" w:eastAsia="宋体" w:cs="宋体"/>
                <w:color w:val="auto"/>
                <w:sz w:val="18"/>
                <w:highlight w:val="none"/>
              </w:rPr>
            </w:pPr>
          </w:p>
        </w:tc>
      </w:tr>
      <w:tr w14:paraId="0DB2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99" w:type="dxa"/>
            <w:vMerge w:val="continue"/>
            <w:tcBorders>
              <w:left w:val="single" w:color="000000" w:sz="4" w:space="0"/>
              <w:bottom w:val="single" w:color="000000" w:sz="4" w:space="0"/>
              <w:right w:val="single" w:color="000000" w:sz="4" w:space="0"/>
            </w:tcBorders>
            <w:noWrap w:val="0"/>
            <w:vAlign w:val="top"/>
          </w:tcPr>
          <w:p w14:paraId="41952AC6">
            <w:pPr>
              <w:rPr>
                <w:rFonts w:hint="eastAsia" w:ascii="宋体" w:hAnsi="宋体" w:eastAsia="宋体" w:cs="宋体"/>
                <w:color w:val="auto"/>
                <w:sz w:val="18"/>
                <w:highlight w:val="none"/>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37257366">
            <w:pPr>
              <w:spacing w:before="143" w:line="242" w:lineRule="auto"/>
              <w:ind w:left="189" w:right="90" w:hanging="92"/>
              <w:rPr>
                <w:rFonts w:hint="eastAsia" w:ascii="宋体" w:hAnsi="宋体" w:eastAsia="宋体" w:cs="宋体"/>
                <w:color w:val="auto"/>
                <w:sz w:val="18"/>
                <w:highlight w:val="none"/>
              </w:rPr>
            </w:pPr>
            <w:r>
              <w:rPr>
                <w:rFonts w:hint="eastAsia" w:ascii="宋体" w:hAnsi="宋体" w:eastAsia="宋体" w:cs="宋体"/>
                <w:color w:val="auto"/>
                <w:sz w:val="18"/>
                <w:highlight w:val="none"/>
              </w:rPr>
              <w:t>评分项</w:t>
            </w: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5336AE7D">
            <w:pPr>
              <w:spacing w:before="2"/>
              <w:rPr>
                <w:rFonts w:hint="eastAsia" w:ascii="宋体" w:hAnsi="宋体" w:eastAsia="宋体" w:cs="宋体"/>
                <w:b/>
                <w:color w:val="auto"/>
                <w:highlight w:val="none"/>
              </w:rPr>
            </w:pPr>
          </w:p>
          <w:p w14:paraId="26EA86A7">
            <w:pPr>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8.2.6</w:t>
            </w:r>
          </w:p>
        </w:tc>
        <w:tc>
          <w:tcPr>
            <w:tcW w:w="7725" w:type="dxa"/>
            <w:gridSpan w:val="2"/>
            <w:tcBorders>
              <w:top w:val="single" w:color="000000" w:sz="4" w:space="0"/>
              <w:left w:val="single" w:color="000000" w:sz="4" w:space="0"/>
              <w:bottom w:val="single" w:color="000000" w:sz="4" w:space="0"/>
              <w:right w:val="single" w:color="000000" w:sz="4" w:space="0"/>
            </w:tcBorders>
            <w:noWrap w:val="0"/>
            <w:vAlign w:val="top"/>
          </w:tcPr>
          <w:p w14:paraId="6BE69932">
            <w:pPr>
              <w:spacing w:before="28"/>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异常情况报送登记记录及时、内容完整</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记录包括问题主要内容、发现时间、发现点、发现人员及电话、问题描述、原因分析、处理过程、处理结果；每缺一项扣 0.3 分</w:t>
            </w:r>
          </w:p>
        </w:tc>
        <w:tc>
          <w:tcPr>
            <w:tcW w:w="630" w:type="dxa"/>
            <w:tcBorders>
              <w:top w:val="single" w:color="000000" w:sz="4" w:space="0"/>
              <w:left w:val="single" w:color="000000" w:sz="4" w:space="0"/>
              <w:bottom w:val="single" w:color="000000" w:sz="4" w:space="0"/>
              <w:right w:val="single" w:color="000000" w:sz="4" w:space="0"/>
            </w:tcBorders>
            <w:noWrap w:val="0"/>
            <w:vAlign w:val="top"/>
          </w:tcPr>
          <w:p w14:paraId="181F12E7">
            <w:pPr>
              <w:spacing w:before="4"/>
              <w:rPr>
                <w:rFonts w:hint="eastAsia" w:ascii="宋体" w:hAnsi="宋体" w:eastAsia="宋体" w:cs="宋体"/>
                <w:b/>
                <w:color w:val="auto"/>
                <w:sz w:val="21"/>
                <w:highlight w:val="none"/>
              </w:rPr>
            </w:pPr>
          </w:p>
          <w:p w14:paraId="17EE34FF">
            <w:pPr>
              <w:spacing w:before="1"/>
              <w:ind w:left="10" w:right="66"/>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1044" w:type="dxa"/>
            <w:tcBorders>
              <w:top w:val="single" w:color="000000" w:sz="4" w:space="0"/>
              <w:left w:val="single" w:color="000000" w:sz="4" w:space="0"/>
              <w:bottom w:val="single" w:color="000000" w:sz="4" w:space="0"/>
              <w:right w:val="single" w:color="000000" w:sz="4" w:space="0"/>
            </w:tcBorders>
            <w:noWrap w:val="0"/>
            <w:vAlign w:val="top"/>
          </w:tcPr>
          <w:p w14:paraId="7B925F46">
            <w:pPr>
              <w:rPr>
                <w:rFonts w:hint="eastAsia" w:ascii="宋体" w:hAnsi="宋体" w:eastAsia="宋体" w:cs="宋体"/>
                <w:color w:val="auto"/>
                <w:sz w:val="18"/>
                <w:highlight w:val="none"/>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11CE6A76">
            <w:pPr>
              <w:rPr>
                <w:rFonts w:hint="eastAsia" w:ascii="宋体" w:hAnsi="宋体" w:eastAsia="宋体" w:cs="宋体"/>
                <w:color w:val="auto"/>
                <w:sz w:val="1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F4E7252">
            <w:pPr>
              <w:rPr>
                <w:rFonts w:hint="eastAsia" w:ascii="宋体" w:hAnsi="宋体" w:eastAsia="宋体" w:cs="宋体"/>
                <w:color w:val="auto"/>
                <w:sz w:val="18"/>
                <w:highlight w:val="none"/>
              </w:rPr>
            </w:pPr>
          </w:p>
        </w:tc>
        <w:tc>
          <w:tcPr>
            <w:tcW w:w="736" w:type="dxa"/>
            <w:tcBorders>
              <w:top w:val="single" w:color="000000" w:sz="4" w:space="0"/>
              <w:left w:val="single" w:color="000000" w:sz="4" w:space="0"/>
              <w:bottom w:val="single" w:color="000000" w:sz="4" w:space="0"/>
              <w:right w:val="single" w:color="000000" w:sz="4" w:space="0"/>
            </w:tcBorders>
            <w:noWrap w:val="0"/>
            <w:vAlign w:val="top"/>
          </w:tcPr>
          <w:p w14:paraId="638EBD41">
            <w:pPr>
              <w:rPr>
                <w:rFonts w:hint="eastAsia" w:ascii="宋体" w:hAnsi="宋体" w:eastAsia="宋体" w:cs="宋体"/>
                <w:color w:val="auto"/>
                <w:sz w:val="18"/>
                <w:highlight w:val="none"/>
              </w:rPr>
            </w:pPr>
          </w:p>
        </w:tc>
        <w:tc>
          <w:tcPr>
            <w:tcW w:w="777" w:type="dxa"/>
            <w:tcBorders>
              <w:top w:val="single" w:color="000000" w:sz="4" w:space="0"/>
              <w:left w:val="single" w:color="000000" w:sz="4" w:space="0"/>
              <w:bottom w:val="single" w:color="000000" w:sz="4" w:space="0"/>
              <w:right w:val="single" w:color="000000" w:sz="4" w:space="0"/>
            </w:tcBorders>
            <w:noWrap w:val="0"/>
            <w:vAlign w:val="top"/>
          </w:tcPr>
          <w:p w14:paraId="0664CC61">
            <w:pPr>
              <w:rPr>
                <w:rFonts w:hint="eastAsia" w:ascii="宋体" w:hAnsi="宋体" w:eastAsia="宋体" w:cs="宋体"/>
                <w:color w:val="auto"/>
                <w:sz w:val="18"/>
                <w:highlight w:val="none"/>
              </w:rPr>
            </w:pPr>
          </w:p>
        </w:tc>
      </w:tr>
    </w:tbl>
    <w:p w14:paraId="10856D6D">
      <w:pPr>
        <w:autoSpaceDE/>
        <w:autoSpaceDN/>
        <w:rPr>
          <w:rFonts w:hint="eastAsia" w:ascii="宋体" w:hAnsi="宋体" w:eastAsia="宋体" w:cs="宋体"/>
          <w:color w:val="auto"/>
          <w:sz w:val="18"/>
          <w:highlight w:val="none"/>
        </w:rPr>
        <w:sectPr>
          <w:pgSz w:w="16840" w:h="11910" w:orient="landscape"/>
          <w:pgMar w:top="1000" w:right="1260" w:bottom="1340" w:left="1280" w:header="0" w:footer="1142" w:gutter="0"/>
          <w:pgNumType w:fmt="decimal"/>
          <w:cols w:space="720" w:num="1"/>
        </w:sectPr>
      </w:pPr>
    </w:p>
    <w:p w14:paraId="274DEB74">
      <w:pPr>
        <w:spacing w:before="64"/>
        <w:ind w:right="14"/>
        <w:jc w:val="center"/>
        <w:rPr>
          <w:rFonts w:hint="eastAsia" w:ascii="宋体" w:hAnsi="宋体" w:eastAsia="宋体" w:cs="宋体"/>
          <w:b/>
          <w:color w:val="auto"/>
          <w:sz w:val="18"/>
          <w:highlight w:val="none"/>
        </w:rPr>
      </w:pPr>
      <w:r>
        <w:rPr>
          <w:rFonts w:hint="eastAsia" w:ascii="宋体" w:hAnsi="宋体" w:eastAsia="宋体" w:cs="宋体"/>
          <w:b/>
          <w:color w:val="auto"/>
          <w:sz w:val="18"/>
          <w:highlight w:val="none"/>
        </w:rPr>
        <w:t>续 表 A</w:t>
      </w:r>
    </w:p>
    <w:p w14:paraId="415C8D5C">
      <w:pPr>
        <w:spacing w:before="7" w:after="1"/>
        <w:rPr>
          <w:rFonts w:hint="eastAsia" w:ascii="宋体" w:hAnsi="宋体" w:eastAsia="宋体" w:cs="宋体"/>
          <w:b/>
          <w:color w:val="auto"/>
          <w:sz w:val="9"/>
          <w:szCs w:val="21"/>
          <w:highlight w:val="none"/>
        </w:rPr>
      </w:pPr>
    </w:p>
    <w:tbl>
      <w:tblPr>
        <w:tblStyle w:val="24"/>
        <w:tblW w:w="14218"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715"/>
        <w:gridCol w:w="704"/>
        <w:gridCol w:w="1511"/>
        <w:gridCol w:w="3517"/>
        <w:gridCol w:w="1595"/>
        <w:gridCol w:w="1663"/>
        <w:gridCol w:w="798"/>
        <w:gridCol w:w="810"/>
        <w:gridCol w:w="794"/>
        <w:gridCol w:w="756"/>
        <w:gridCol w:w="768"/>
      </w:tblGrid>
      <w:tr w14:paraId="7AEC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87" w:type="dxa"/>
            <w:vMerge w:val="restart"/>
            <w:tcBorders>
              <w:top w:val="single" w:color="000000" w:sz="4" w:space="0"/>
              <w:left w:val="single" w:color="000000" w:sz="4" w:space="0"/>
              <w:bottom w:val="single" w:color="000000" w:sz="4" w:space="0"/>
              <w:right w:val="single" w:color="000000" w:sz="4" w:space="0"/>
            </w:tcBorders>
            <w:noWrap w:val="0"/>
            <w:vAlign w:val="top"/>
          </w:tcPr>
          <w:p w14:paraId="19AF95AE">
            <w:pPr>
              <w:spacing w:before="143" w:line="242" w:lineRule="auto"/>
              <w:ind w:left="100" w:right="91"/>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评价指标</w:t>
            </w:r>
          </w:p>
        </w:tc>
        <w:tc>
          <w:tcPr>
            <w:tcW w:w="715" w:type="dxa"/>
            <w:vMerge w:val="restart"/>
            <w:tcBorders>
              <w:top w:val="single" w:color="000000" w:sz="4" w:space="0"/>
              <w:left w:val="single" w:color="000000" w:sz="4" w:space="0"/>
              <w:bottom w:val="single" w:color="000000" w:sz="4" w:space="0"/>
              <w:right w:val="single" w:color="000000" w:sz="4" w:space="0"/>
            </w:tcBorders>
            <w:noWrap w:val="0"/>
            <w:vAlign w:val="top"/>
          </w:tcPr>
          <w:p w14:paraId="2143C937">
            <w:pPr>
              <w:spacing w:before="143" w:line="242" w:lineRule="auto"/>
              <w:ind w:left="98" w:right="90"/>
              <w:rPr>
                <w:rFonts w:hint="eastAsia" w:ascii="宋体" w:hAnsi="宋体" w:eastAsia="宋体" w:cs="宋体"/>
                <w:color w:val="auto"/>
                <w:sz w:val="18"/>
                <w:highlight w:val="none"/>
              </w:rPr>
            </w:pPr>
            <w:r>
              <w:rPr>
                <w:rFonts w:hint="eastAsia" w:ascii="宋体" w:hAnsi="宋体" w:eastAsia="宋体" w:cs="宋体"/>
                <w:color w:val="auto"/>
                <w:sz w:val="18"/>
                <w:highlight w:val="none"/>
              </w:rPr>
              <w:t>项目类型</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top"/>
          </w:tcPr>
          <w:p w14:paraId="7B0C0CEC">
            <w:pPr>
              <w:spacing w:before="143" w:line="242" w:lineRule="auto"/>
              <w:ind w:left="99" w:right="89"/>
              <w:rPr>
                <w:rFonts w:hint="eastAsia" w:ascii="宋体" w:hAnsi="宋体" w:eastAsia="宋体" w:cs="宋体"/>
                <w:color w:val="auto"/>
                <w:sz w:val="18"/>
                <w:highlight w:val="none"/>
              </w:rPr>
            </w:pPr>
            <w:r>
              <w:rPr>
                <w:rFonts w:hint="eastAsia" w:ascii="宋体" w:hAnsi="宋体" w:eastAsia="宋体" w:cs="宋体"/>
                <w:color w:val="auto"/>
                <w:sz w:val="18"/>
                <w:highlight w:val="none"/>
              </w:rPr>
              <w:t>章条编号</w:t>
            </w:r>
          </w:p>
        </w:tc>
        <w:tc>
          <w:tcPr>
            <w:tcW w:w="662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6BA516">
            <w:pPr>
              <w:ind w:left="3193" w:leftChars="0" w:right="129" w:rightChars="0" w:hanging="3193" w:hangingChars="1774"/>
              <w:jc w:val="center"/>
              <w:rPr>
                <w:rFonts w:hint="default"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评价内容</w:t>
            </w:r>
          </w:p>
        </w:tc>
        <w:tc>
          <w:tcPr>
            <w:tcW w:w="1663" w:type="dxa"/>
            <w:vMerge w:val="restart"/>
            <w:tcBorders>
              <w:top w:val="single" w:color="000000" w:sz="4" w:space="0"/>
              <w:left w:val="single" w:color="000000" w:sz="4" w:space="0"/>
              <w:bottom w:val="single" w:color="000000" w:sz="4" w:space="0"/>
              <w:right w:val="single" w:color="000000" w:sz="4" w:space="0"/>
            </w:tcBorders>
            <w:noWrap w:val="0"/>
            <w:vAlign w:val="top"/>
          </w:tcPr>
          <w:p w14:paraId="148487D4">
            <w:pPr>
              <w:spacing w:before="5"/>
              <w:rPr>
                <w:rFonts w:hint="eastAsia" w:ascii="宋体" w:hAnsi="宋体" w:eastAsia="宋体" w:cs="宋体"/>
                <w:b/>
                <w:color w:val="auto"/>
                <w:sz w:val="21"/>
                <w:highlight w:val="none"/>
              </w:rPr>
            </w:pPr>
          </w:p>
          <w:p w14:paraId="59DA7C94">
            <w:pPr>
              <w:ind w:left="67"/>
              <w:rPr>
                <w:rFonts w:hint="eastAsia" w:ascii="宋体" w:hAnsi="宋体" w:eastAsia="宋体" w:cs="宋体"/>
                <w:color w:val="auto"/>
                <w:sz w:val="18"/>
                <w:highlight w:val="none"/>
              </w:rPr>
            </w:pPr>
            <w:r>
              <w:rPr>
                <w:rFonts w:hint="eastAsia" w:ascii="宋体" w:hAnsi="宋体" w:eastAsia="宋体" w:cs="宋体"/>
                <w:color w:val="auto"/>
                <w:sz w:val="18"/>
                <w:highlight w:val="none"/>
              </w:rPr>
              <w:t>评价方法</w:t>
            </w: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top"/>
          </w:tcPr>
          <w:p w14:paraId="15FC5CF9">
            <w:pPr>
              <w:spacing w:before="28"/>
              <w:ind w:left="34" w:right="10" w:hanging="3"/>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rPr>
              <w:t>是否满</w:t>
            </w:r>
            <w:r>
              <w:rPr>
                <w:rFonts w:hint="eastAsia" w:ascii="宋体" w:hAnsi="宋体" w:eastAsia="宋体" w:cs="宋体"/>
                <w:color w:val="auto"/>
                <w:spacing w:val="-49"/>
                <w:sz w:val="18"/>
                <w:highlight w:val="none"/>
              </w:rPr>
              <w:t>足</w:t>
            </w:r>
            <w:r>
              <w:rPr>
                <w:rFonts w:hint="eastAsia" w:ascii="宋体" w:hAnsi="宋体" w:eastAsia="宋体" w:cs="宋体"/>
                <w:color w:val="auto"/>
                <w:sz w:val="18"/>
                <w:highlight w:val="none"/>
              </w:rPr>
              <w:t>（</w:t>
            </w:r>
            <w:r>
              <w:rPr>
                <w:rFonts w:hint="eastAsia" w:ascii="宋体" w:hAnsi="宋体" w:eastAsia="宋体" w:cs="宋体"/>
                <w:color w:val="auto"/>
                <w:spacing w:val="-8"/>
                <w:sz w:val="18"/>
                <w:highlight w:val="none"/>
              </w:rPr>
              <w:t>满足</w:t>
            </w:r>
            <w:r>
              <w:rPr>
                <w:rFonts w:hint="eastAsia" w:ascii="宋体" w:hAnsi="宋体" w:eastAsia="宋体" w:cs="宋体"/>
                <w:color w:val="auto"/>
                <w:sz w:val="18"/>
                <w:highlight w:val="none"/>
              </w:rPr>
              <w:t>√）</w:t>
            </w:r>
          </w:p>
        </w:tc>
        <w:tc>
          <w:tcPr>
            <w:tcW w:w="2360" w:type="dxa"/>
            <w:gridSpan w:val="3"/>
            <w:tcBorders>
              <w:top w:val="single" w:color="000000" w:sz="4" w:space="0"/>
              <w:left w:val="single" w:color="000000" w:sz="4" w:space="0"/>
              <w:bottom w:val="single" w:color="000000" w:sz="4" w:space="0"/>
              <w:right w:val="single" w:color="000000" w:sz="4" w:space="0"/>
            </w:tcBorders>
            <w:noWrap w:val="0"/>
            <w:vAlign w:val="top"/>
          </w:tcPr>
          <w:p w14:paraId="13C3C710">
            <w:pPr>
              <w:spacing w:before="52"/>
              <w:ind w:left="919" w:right="896"/>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lang w:val="en-US" w:eastAsia="zh-CN"/>
              </w:rPr>
              <w:t>扣</w:t>
            </w:r>
            <w:r>
              <w:rPr>
                <w:rFonts w:hint="eastAsia" w:ascii="宋体" w:hAnsi="宋体" w:eastAsia="宋体" w:cs="宋体"/>
                <w:color w:val="auto"/>
                <w:sz w:val="18"/>
                <w:highlight w:val="none"/>
              </w:rPr>
              <w:t>分</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top"/>
          </w:tcPr>
          <w:p w14:paraId="42727796">
            <w:pPr>
              <w:spacing w:before="143" w:line="242" w:lineRule="auto"/>
              <w:ind w:left="106" w:right="72"/>
              <w:rPr>
                <w:rFonts w:hint="eastAsia" w:ascii="宋体" w:hAnsi="宋体" w:eastAsia="宋体" w:cs="宋体"/>
                <w:color w:val="auto"/>
                <w:sz w:val="18"/>
                <w:highlight w:val="none"/>
              </w:rPr>
            </w:pPr>
            <w:r>
              <w:rPr>
                <w:rFonts w:hint="eastAsia" w:ascii="宋体" w:hAnsi="宋体" w:eastAsia="宋体" w:cs="宋体"/>
                <w:color w:val="auto"/>
                <w:sz w:val="18"/>
                <w:highlight w:val="none"/>
              </w:rPr>
              <w:t>说明扣分原因</w:t>
            </w:r>
          </w:p>
        </w:tc>
      </w:tr>
      <w:tr w14:paraId="2C56A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87" w:type="dxa"/>
            <w:vMerge w:val="continue"/>
            <w:tcBorders>
              <w:top w:val="single" w:color="000000" w:sz="4" w:space="0"/>
              <w:left w:val="single" w:color="000000" w:sz="4" w:space="0"/>
              <w:bottom w:val="single" w:color="auto" w:sz="4" w:space="0"/>
              <w:right w:val="single" w:color="000000" w:sz="4" w:space="0"/>
            </w:tcBorders>
            <w:noWrap w:val="0"/>
            <w:vAlign w:val="center"/>
          </w:tcPr>
          <w:p w14:paraId="31076D8E">
            <w:pPr>
              <w:autoSpaceDE/>
              <w:autoSpaceDN/>
              <w:rPr>
                <w:rFonts w:hint="eastAsia" w:ascii="宋体" w:hAnsi="宋体" w:eastAsia="宋体" w:cs="宋体"/>
                <w:color w:val="auto"/>
                <w:sz w:val="18"/>
                <w:highlight w:val="none"/>
              </w:rPr>
            </w:pPr>
          </w:p>
        </w:tc>
        <w:tc>
          <w:tcPr>
            <w:tcW w:w="715" w:type="dxa"/>
            <w:vMerge w:val="continue"/>
            <w:tcBorders>
              <w:top w:val="single" w:color="000000" w:sz="4" w:space="0"/>
              <w:left w:val="single" w:color="000000" w:sz="4" w:space="0"/>
              <w:bottom w:val="single" w:color="auto" w:sz="4" w:space="0"/>
              <w:right w:val="single" w:color="000000" w:sz="4" w:space="0"/>
            </w:tcBorders>
            <w:noWrap w:val="0"/>
            <w:vAlign w:val="center"/>
          </w:tcPr>
          <w:p w14:paraId="73C91818">
            <w:pPr>
              <w:autoSpaceDE/>
              <w:autoSpaceDN/>
              <w:rPr>
                <w:rFonts w:hint="eastAsia" w:ascii="宋体" w:hAnsi="宋体" w:eastAsia="宋体" w:cs="宋体"/>
                <w:color w:val="auto"/>
                <w:sz w:val="18"/>
                <w:highlight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A49EF">
            <w:pPr>
              <w:autoSpaceDE/>
              <w:autoSpaceDN/>
              <w:rPr>
                <w:rFonts w:hint="eastAsia" w:ascii="宋体" w:hAnsi="宋体" w:eastAsia="宋体" w:cs="宋体"/>
                <w:color w:val="auto"/>
                <w:sz w:val="18"/>
                <w:highlight w:val="none"/>
              </w:rPr>
            </w:pPr>
          </w:p>
        </w:tc>
        <w:tc>
          <w:tcPr>
            <w:tcW w:w="662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766E91">
            <w:pPr>
              <w:autoSpaceDE/>
              <w:autoSpaceDN/>
              <w:rPr>
                <w:rFonts w:hint="eastAsia" w:ascii="宋体" w:hAnsi="宋体" w:eastAsia="宋体" w:cs="宋体"/>
                <w:color w:val="auto"/>
                <w:sz w:val="18"/>
                <w:highlight w:val="none"/>
              </w:rPr>
            </w:pPr>
          </w:p>
        </w:tc>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575DF">
            <w:pPr>
              <w:autoSpaceDE/>
              <w:autoSpaceDN/>
              <w:rPr>
                <w:rFonts w:hint="eastAsia" w:ascii="宋体" w:hAnsi="宋体" w:eastAsia="宋体" w:cs="宋体"/>
                <w:color w:val="auto"/>
                <w:sz w:val="18"/>
                <w:highlight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78C7D">
            <w:pPr>
              <w:autoSpaceDE/>
              <w:autoSpaceDN/>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065DA9BD">
            <w:pPr>
              <w:spacing w:before="100"/>
              <w:ind w:left="20"/>
              <w:jc w:val="center"/>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1</w:t>
            </w: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301E1217">
            <w:pPr>
              <w:spacing w:before="100"/>
              <w:ind w:left="25"/>
              <w:jc w:val="center"/>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2</w:t>
            </w: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443635EC">
            <w:pPr>
              <w:spacing w:before="100"/>
              <w:ind w:left="31"/>
              <w:jc w:val="center"/>
              <w:rPr>
                <w:rFonts w:hint="eastAsia" w:ascii="宋体" w:hAnsi="宋体" w:eastAsia="宋体" w:cs="宋体"/>
                <w:color w:val="auto"/>
                <w:sz w:val="18"/>
                <w:highlight w:val="none"/>
              </w:rPr>
            </w:pPr>
            <w:r>
              <w:rPr>
                <w:rFonts w:hint="eastAsia" w:ascii="宋体" w:hAnsi="宋体" w:eastAsia="宋体" w:cs="宋体"/>
                <w:color w:val="auto"/>
                <w:spacing w:val="-12"/>
                <w:sz w:val="18"/>
                <w:highlight w:val="none"/>
              </w:rPr>
              <w:t>评分人</w:t>
            </w:r>
            <w:r>
              <w:rPr>
                <w:rFonts w:hint="eastAsia" w:ascii="宋体" w:hAnsi="宋体" w:eastAsia="宋体" w:cs="宋体"/>
                <w:color w:val="auto"/>
                <w:sz w:val="18"/>
                <w:highlight w:val="none"/>
              </w:rPr>
              <w:t>3</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D0DF9">
            <w:pPr>
              <w:autoSpaceDE/>
              <w:autoSpaceDN/>
              <w:rPr>
                <w:rFonts w:hint="eastAsia" w:ascii="宋体" w:hAnsi="宋体" w:eastAsia="宋体" w:cs="宋体"/>
                <w:color w:val="auto"/>
                <w:sz w:val="18"/>
                <w:highlight w:val="none"/>
              </w:rPr>
            </w:pPr>
          </w:p>
        </w:tc>
      </w:tr>
      <w:tr w14:paraId="05D4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87" w:type="dxa"/>
            <w:vMerge w:val="restart"/>
            <w:tcBorders>
              <w:top w:val="single" w:color="auto" w:sz="4" w:space="0"/>
              <w:left w:val="single" w:color="000000" w:sz="4" w:space="0"/>
              <w:right w:val="single" w:color="000000" w:sz="4" w:space="0"/>
            </w:tcBorders>
            <w:noWrap w:val="0"/>
            <w:vAlign w:val="center"/>
          </w:tcPr>
          <w:p w14:paraId="00CDB6D3">
            <w:pPr>
              <w:autoSpaceDE/>
              <w:autoSpaceDN/>
              <w:rPr>
                <w:rFonts w:hint="eastAsia" w:ascii="宋体" w:hAnsi="宋体" w:eastAsia="宋体" w:cs="宋体"/>
                <w:color w:val="auto"/>
                <w:sz w:val="18"/>
                <w:highlight w:val="none"/>
              </w:rPr>
            </w:pPr>
          </w:p>
        </w:tc>
        <w:tc>
          <w:tcPr>
            <w:tcW w:w="715" w:type="dxa"/>
            <w:vMerge w:val="restart"/>
            <w:tcBorders>
              <w:top w:val="single" w:color="auto" w:sz="4" w:space="0"/>
              <w:left w:val="single" w:color="000000" w:sz="4" w:space="0"/>
              <w:right w:val="single" w:color="000000" w:sz="4" w:space="0"/>
            </w:tcBorders>
            <w:noWrap w:val="0"/>
            <w:vAlign w:val="center"/>
          </w:tcPr>
          <w:p w14:paraId="56CB0424">
            <w:pPr>
              <w:autoSpaceDE/>
              <w:autoSpaceDN/>
              <w:rPr>
                <w:rFonts w:hint="eastAsia" w:ascii="宋体" w:hAnsi="宋体" w:eastAsia="宋体" w:cs="宋体"/>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762F8CB4">
            <w:pPr>
              <w:spacing w:before="153"/>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8.2.7</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2B019680">
            <w:pPr>
              <w:spacing w:before="28"/>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培训记录内容完整；记录包括培训会议发生的时间、地点、主讲人、培训主题、会议签到单、相关的照片或视频资料；每缺一项扣 0.5 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745422AB">
            <w:pPr>
              <w:spacing w:before="146"/>
              <w:ind w:left="12" w:right="63"/>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2CB6035E">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5FB8D87B">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52C111F6">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465D71BC">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21C9D981">
            <w:pPr>
              <w:rPr>
                <w:rFonts w:hint="eastAsia" w:ascii="宋体" w:hAnsi="宋体" w:eastAsia="宋体" w:cs="宋体"/>
                <w:color w:val="auto"/>
                <w:sz w:val="18"/>
                <w:highlight w:val="none"/>
              </w:rPr>
            </w:pPr>
          </w:p>
        </w:tc>
      </w:tr>
      <w:tr w14:paraId="6B1C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6FC30">
            <w:pPr>
              <w:autoSpaceDE/>
              <w:autoSpaceDN/>
              <w:rPr>
                <w:rFonts w:hint="eastAsia" w:ascii="宋体" w:hAnsi="宋体" w:eastAsia="宋体" w:cs="宋体"/>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20CD5">
            <w:pPr>
              <w:autoSpaceDE/>
              <w:autoSpaceDN/>
              <w:rPr>
                <w:rFonts w:hint="eastAsia" w:ascii="宋体" w:hAnsi="宋体" w:eastAsia="宋体" w:cs="宋体"/>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6DD95534">
            <w:pPr>
              <w:spacing w:before="50"/>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8.2.8</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5408CDD3">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运维废弃物处置记录完整；未记录扣1分，记录不完整的扣0.5分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696A576A">
            <w:pPr>
              <w:spacing w:before="43" w:line="227" w:lineRule="exact"/>
              <w:ind w:left="12" w:right="63"/>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4BB2055D">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16309A9A">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49FB7413">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022751C9">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79189F33">
            <w:pPr>
              <w:rPr>
                <w:rFonts w:hint="eastAsia" w:ascii="宋体" w:hAnsi="宋体" w:eastAsia="宋体" w:cs="宋体"/>
                <w:color w:val="auto"/>
                <w:sz w:val="18"/>
                <w:highlight w:val="none"/>
              </w:rPr>
            </w:pPr>
          </w:p>
        </w:tc>
      </w:tr>
      <w:tr w14:paraId="01B8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822FF">
            <w:pPr>
              <w:autoSpaceDE/>
              <w:autoSpaceDN/>
              <w:rPr>
                <w:rFonts w:hint="eastAsia" w:ascii="宋体" w:hAnsi="宋体" w:eastAsia="宋体" w:cs="宋体"/>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387A7">
            <w:pPr>
              <w:autoSpaceDE/>
              <w:autoSpaceDN/>
              <w:rPr>
                <w:rFonts w:hint="eastAsia" w:ascii="宋体" w:hAnsi="宋体" w:eastAsia="宋体" w:cs="宋体"/>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5B8FAAFB">
            <w:pPr>
              <w:spacing w:before="2"/>
              <w:rPr>
                <w:rFonts w:hint="eastAsia" w:ascii="宋体" w:hAnsi="宋体" w:eastAsia="宋体" w:cs="宋体"/>
                <w:b/>
                <w:color w:val="auto"/>
                <w:highlight w:val="none"/>
              </w:rPr>
            </w:pPr>
          </w:p>
          <w:p w14:paraId="7B8D501E">
            <w:pPr>
              <w:ind w:right="89"/>
              <w:jc w:val="right"/>
              <w:rPr>
                <w:rFonts w:hint="eastAsia" w:ascii="宋体" w:hAnsi="宋体" w:eastAsia="宋体" w:cs="宋体"/>
                <w:color w:val="auto"/>
                <w:sz w:val="18"/>
                <w:highlight w:val="none"/>
              </w:rPr>
            </w:pPr>
            <w:r>
              <w:rPr>
                <w:rFonts w:hint="eastAsia" w:ascii="宋体" w:hAnsi="宋体" w:eastAsia="宋体" w:cs="宋体"/>
                <w:color w:val="auto"/>
                <w:sz w:val="18"/>
                <w:highlight w:val="none"/>
              </w:rPr>
              <w:t>8.2.9</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7A1862E1">
            <w:pPr>
              <w:spacing w:before="53"/>
              <w:ind w:left="56" w:leftChars="0"/>
              <w:rPr>
                <w:rFonts w:hint="eastAsia" w:ascii="宋体" w:hAnsi="宋体" w:eastAsia="宋体" w:cs="宋体"/>
                <w:color w:val="auto"/>
                <w:sz w:val="18"/>
                <w:highlight w:val="none"/>
              </w:rPr>
            </w:pPr>
            <w:r>
              <w:rPr>
                <w:rFonts w:hint="eastAsia" w:ascii="宋体" w:hAnsi="宋体" w:eastAsia="宋体" w:cs="宋体"/>
                <w:color w:val="auto"/>
                <w:sz w:val="18"/>
                <w:highlight w:val="none"/>
              </w:rPr>
              <w:t>所有记录资料录入运维管理平台；记录包括处理设施身份证信息、巡查检查记录、养护记录、维修记录、水质检测记录、信访交办反馈记录、异常情况报送登记记录、培训记录；每缺一项扣 0.3 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6E1DA5DA">
            <w:pPr>
              <w:spacing w:before="158"/>
              <w:ind w:left="45" w:right="27"/>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4804AECC">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243D503A">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29B0D4A6">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7051D410">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2DD88885">
            <w:pPr>
              <w:rPr>
                <w:rFonts w:hint="eastAsia" w:ascii="宋体" w:hAnsi="宋体" w:eastAsia="宋体" w:cs="宋体"/>
                <w:color w:val="auto"/>
                <w:sz w:val="18"/>
                <w:highlight w:val="none"/>
              </w:rPr>
            </w:pPr>
          </w:p>
        </w:tc>
      </w:tr>
      <w:tr w14:paraId="754D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7" w:type="dxa"/>
            <w:vMerge w:val="restart"/>
            <w:tcBorders>
              <w:top w:val="single" w:color="000000" w:sz="4" w:space="0"/>
              <w:left w:val="single" w:color="000000" w:sz="4" w:space="0"/>
              <w:bottom w:val="single" w:color="000000" w:sz="4" w:space="0"/>
              <w:right w:val="single" w:color="000000" w:sz="4" w:space="0"/>
            </w:tcBorders>
            <w:noWrap w:val="0"/>
            <w:vAlign w:val="top"/>
          </w:tcPr>
          <w:p w14:paraId="2CC450CC">
            <w:pPr>
              <w:rPr>
                <w:rFonts w:hint="eastAsia" w:ascii="宋体" w:hAnsi="宋体" w:eastAsia="宋体" w:cs="宋体"/>
                <w:b/>
                <w:color w:val="auto"/>
                <w:sz w:val="18"/>
                <w:highlight w:val="none"/>
              </w:rPr>
            </w:pPr>
          </w:p>
          <w:p w14:paraId="70D2BF7B">
            <w:pPr>
              <w:rPr>
                <w:rFonts w:hint="eastAsia" w:ascii="宋体" w:hAnsi="宋体" w:eastAsia="宋体" w:cs="宋体"/>
                <w:b/>
                <w:color w:val="auto"/>
                <w:sz w:val="18"/>
                <w:highlight w:val="none"/>
              </w:rPr>
            </w:pPr>
          </w:p>
          <w:p w14:paraId="312EA6CA">
            <w:pPr>
              <w:rPr>
                <w:rFonts w:hint="eastAsia" w:ascii="宋体" w:hAnsi="宋体" w:eastAsia="宋体" w:cs="宋体"/>
                <w:b/>
                <w:color w:val="auto"/>
                <w:sz w:val="18"/>
                <w:highlight w:val="none"/>
              </w:rPr>
            </w:pPr>
          </w:p>
          <w:p w14:paraId="4C3CCC35">
            <w:pPr>
              <w:rPr>
                <w:rFonts w:hint="eastAsia" w:ascii="宋体" w:hAnsi="宋体" w:eastAsia="宋体" w:cs="宋体"/>
                <w:b/>
                <w:color w:val="auto"/>
                <w:sz w:val="18"/>
                <w:highlight w:val="none"/>
              </w:rPr>
            </w:pPr>
          </w:p>
          <w:p w14:paraId="2F5A6F6D">
            <w:pPr>
              <w:spacing w:before="134"/>
              <w:ind w:left="100" w:right="91"/>
              <w:rPr>
                <w:rFonts w:hint="eastAsia" w:ascii="宋体" w:hAnsi="宋体" w:eastAsia="宋体" w:cs="宋体"/>
                <w:color w:val="auto"/>
                <w:sz w:val="18"/>
                <w:highlight w:val="none"/>
              </w:rPr>
            </w:pPr>
            <w:r>
              <w:rPr>
                <w:rFonts w:hint="eastAsia" w:ascii="宋体" w:hAnsi="宋体" w:eastAsia="宋体" w:cs="宋体"/>
                <w:color w:val="auto"/>
                <w:spacing w:val="-9"/>
                <w:sz w:val="18"/>
                <w:highlight w:val="none"/>
              </w:rPr>
              <w:t>安全管理</w:t>
            </w:r>
          </w:p>
          <w:p w14:paraId="7D84978E">
            <w:pPr>
              <w:spacing w:before="2"/>
              <w:ind w:left="100" w:leftChars="0" w:right="91" w:rightChars="0" w:firstLine="45" w:firstLineChars="0"/>
              <w:rPr>
                <w:rFonts w:hint="eastAsia" w:ascii="宋体" w:hAnsi="宋体" w:eastAsia="宋体" w:cs="宋体"/>
                <w:strike/>
                <w:dstrike w:val="0"/>
                <w:color w:val="auto"/>
                <w:sz w:val="18"/>
                <w:highlight w:val="none"/>
              </w:rPr>
            </w:pPr>
          </w:p>
        </w:tc>
        <w:tc>
          <w:tcPr>
            <w:tcW w:w="715" w:type="dxa"/>
            <w:vMerge w:val="restart"/>
            <w:tcBorders>
              <w:top w:val="single" w:color="000000" w:sz="4" w:space="0"/>
              <w:left w:val="single" w:color="000000" w:sz="4" w:space="0"/>
              <w:bottom w:val="single" w:color="000000" w:sz="4" w:space="0"/>
              <w:right w:val="single" w:color="000000" w:sz="4" w:space="0"/>
            </w:tcBorders>
            <w:noWrap w:val="0"/>
            <w:vAlign w:val="top"/>
          </w:tcPr>
          <w:p w14:paraId="47F19F4D">
            <w:pPr>
              <w:spacing w:before="3"/>
              <w:rPr>
                <w:rFonts w:hint="eastAsia" w:ascii="宋体" w:hAnsi="宋体" w:eastAsia="宋体" w:cs="宋体"/>
                <w:b/>
                <w:color w:val="auto"/>
                <w:sz w:val="21"/>
                <w:highlight w:val="none"/>
              </w:rPr>
            </w:pPr>
          </w:p>
          <w:p w14:paraId="0EB6D545">
            <w:pPr>
              <w:ind w:left="189" w:leftChars="0" w:right="90" w:rightChars="0" w:hanging="92" w:firstLineChars="0"/>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控制项</w:t>
            </w: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37DA04F7">
            <w:pPr>
              <w:spacing w:before="62"/>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9.1.1</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7D6AA9BC">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建立安全管理制度</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2DA05CC1">
            <w:pPr>
              <w:spacing w:before="53"/>
              <w:ind w:left="45" w:right="27"/>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121FF36E">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2AF0ADE5">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4CA99E35">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3A38E15D">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04BA98D1">
            <w:pPr>
              <w:rPr>
                <w:rFonts w:hint="eastAsia" w:ascii="宋体" w:hAnsi="宋体" w:eastAsia="宋体" w:cs="宋体"/>
                <w:color w:val="auto"/>
                <w:sz w:val="18"/>
                <w:highlight w:val="none"/>
              </w:rPr>
            </w:pPr>
          </w:p>
        </w:tc>
      </w:tr>
      <w:tr w14:paraId="6FA9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5DC70">
            <w:pPr>
              <w:autoSpaceDE/>
              <w:autoSpaceDN/>
              <w:rPr>
                <w:rFonts w:hint="eastAsia" w:ascii="宋体" w:hAnsi="宋体" w:eastAsia="宋体" w:cs="宋体"/>
                <w:strike/>
                <w:dstrike w:val="0"/>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7DE14">
            <w:pPr>
              <w:autoSpaceDE/>
              <w:autoSpaceDN/>
              <w:rPr>
                <w:rFonts w:hint="eastAsia" w:ascii="宋体" w:hAnsi="宋体" w:eastAsia="宋体" w:cs="宋体"/>
                <w:strike/>
                <w:dstrike w:val="0"/>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4200535D">
            <w:pPr>
              <w:spacing w:before="62"/>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9.1.2</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3B6AF309">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制定安全应急预案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401873EC">
            <w:pPr>
              <w:spacing w:before="52"/>
              <w:ind w:left="45" w:right="27"/>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2E63488C">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D146EDB">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039F007A">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201792CF">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361EC930">
            <w:pPr>
              <w:rPr>
                <w:rFonts w:hint="eastAsia" w:ascii="宋体" w:hAnsi="宋体" w:eastAsia="宋体" w:cs="宋体"/>
                <w:color w:val="auto"/>
                <w:sz w:val="18"/>
                <w:highlight w:val="none"/>
              </w:rPr>
            </w:pPr>
          </w:p>
        </w:tc>
      </w:tr>
      <w:tr w14:paraId="0CC7E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89A51">
            <w:pPr>
              <w:autoSpaceDE/>
              <w:autoSpaceDN/>
              <w:rPr>
                <w:rFonts w:hint="eastAsia" w:ascii="宋体" w:hAnsi="宋体" w:eastAsia="宋体" w:cs="宋体"/>
                <w:strike/>
                <w:dstrike w:val="0"/>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685D0">
            <w:pPr>
              <w:autoSpaceDE/>
              <w:autoSpaceDN/>
              <w:rPr>
                <w:rFonts w:hint="eastAsia" w:ascii="宋体" w:hAnsi="宋体" w:eastAsia="宋体" w:cs="宋体"/>
                <w:strike/>
                <w:dstrike w:val="0"/>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0542ECC3">
            <w:pPr>
              <w:spacing w:before="62"/>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9.1.3</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71B8452C">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定期开展安全预演并记录</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5D629B4B">
            <w:pPr>
              <w:spacing w:before="55"/>
              <w:ind w:left="45" w:right="27"/>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028D16B9">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2A29EEB6">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6941028A">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0C09AAE5">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75BE706F">
            <w:pPr>
              <w:rPr>
                <w:rFonts w:hint="eastAsia" w:ascii="宋体" w:hAnsi="宋体" w:eastAsia="宋体" w:cs="宋体"/>
                <w:color w:val="auto"/>
                <w:sz w:val="18"/>
                <w:highlight w:val="none"/>
              </w:rPr>
            </w:pPr>
          </w:p>
        </w:tc>
      </w:tr>
      <w:tr w14:paraId="4F06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CC005">
            <w:pPr>
              <w:autoSpaceDE/>
              <w:autoSpaceDN/>
              <w:rPr>
                <w:rFonts w:hint="eastAsia" w:ascii="宋体" w:hAnsi="宋体" w:eastAsia="宋体" w:cs="宋体"/>
                <w:strike/>
                <w:dstrike w:val="0"/>
                <w:color w:val="auto"/>
                <w:sz w:val="18"/>
                <w:highlight w:val="none"/>
              </w:rPr>
            </w:pPr>
          </w:p>
        </w:tc>
        <w:tc>
          <w:tcPr>
            <w:tcW w:w="715" w:type="dxa"/>
            <w:vMerge w:val="restart"/>
            <w:tcBorders>
              <w:top w:val="single" w:color="000000" w:sz="4" w:space="0"/>
              <w:left w:val="single" w:color="000000" w:sz="4" w:space="0"/>
              <w:bottom w:val="single" w:color="000000" w:sz="4" w:space="0"/>
              <w:right w:val="single" w:color="000000" w:sz="4" w:space="0"/>
            </w:tcBorders>
            <w:noWrap w:val="0"/>
            <w:vAlign w:val="top"/>
          </w:tcPr>
          <w:p w14:paraId="0F5CDF0D">
            <w:pPr>
              <w:rPr>
                <w:rFonts w:hint="eastAsia" w:ascii="宋体" w:hAnsi="宋体" w:eastAsia="宋体" w:cs="宋体"/>
                <w:b w:val="0"/>
                <w:bCs/>
                <w:color w:val="auto"/>
                <w:sz w:val="18"/>
                <w:highlight w:val="none"/>
              </w:rPr>
            </w:pPr>
          </w:p>
          <w:p w14:paraId="0D3D5A87">
            <w:pPr>
              <w:rPr>
                <w:rFonts w:hint="eastAsia" w:ascii="宋体" w:hAnsi="宋体" w:eastAsia="宋体" w:cs="宋体"/>
                <w:b w:val="0"/>
                <w:bCs/>
                <w:color w:val="auto"/>
                <w:sz w:val="18"/>
                <w:highlight w:val="none"/>
              </w:rPr>
            </w:pPr>
          </w:p>
          <w:p w14:paraId="089D1653">
            <w:pPr>
              <w:rPr>
                <w:rFonts w:hint="eastAsia" w:ascii="宋体" w:hAnsi="宋体" w:eastAsia="宋体" w:cs="宋体"/>
                <w:b w:val="0"/>
                <w:bCs/>
                <w:color w:val="auto"/>
                <w:sz w:val="18"/>
                <w:highlight w:val="none"/>
              </w:rPr>
            </w:pPr>
          </w:p>
          <w:p w14:paraId="15F5E8AA">
            <w:pPr>
              <w:rPr>
                <w:rFonts w:hint="eastAsia" w:ascii="宋体" w:hAnsi="宋体" w:eastAsia="宋体" w:cs="宋体"/>
                <w:b w:val="0"/>
                <w:bCs/>
                <w:color w:val="auto"/>
                <w:sz w:val="18"/>
                <w:highlight w:val="none"/>
              </w:rPr>
            </w:pPr>
            <w:r>
              <w:rPr>
                <w:rFonts w:hint="eastAsia" w:ascii="宋体" w:hAnsi="宋体" w:eastAsia="宋体" w:cs="宋体"/>
                <w:b w:val="0"/>
                <w:bCs/>
                <w:color w:val="auto"/>
                <w:sz w:val="18"/>
                <w:highlight w:val="none"/>
              </w:rPr>
              <w:t>评分项</w:t>
            </w: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217BC5C1">
            <w:pPr>
              <w:spacing w:before="153"/>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9.2.1</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32404256">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运维作业范围区设置安全警示标识；每发现一处不符合要求，扣</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4863A690">
            <w:pPr>
              <w:spacing w:before="28" w:line="230" w:lineRule="atLeast"/>
              <w:ind w:left="67" w:right="46"/>
              <w:jc w:val="both"/>
              <w:rPr>
                <w:rFonts w:hint="eastAsia" w:ascii="宋体" w:hAnsi="宋体" w:eastAsia="宋体" w:cs="宋体"/>
                <w:color w:val="auto"/>
                <w:sz w:val="18"/>
                <w:highlight w:val="none"/>
              </w:rPr>
            </w:pPr>
            <w:r>
              <w:rPr>
                <w:rFonts w:hint="eastAsia" w:ascii="宋体" w:hAnsi="宋体" w:eastAsia="宋体" w:cs="宋体"/>
                <w:color w:val="auto"/>
                <w:sz w:val="18"/>
                <w:highlight w:val="none"/>
              </w:rPr>
              <w:t>现场查勘人员征询</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15D966ED">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3C0600CA">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3A1B6858">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08148E41">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08202862">
            <w:pPr>
              <w:rPr>
                <w:rFonts w:hint="eastAsia" w:ascii="宋体" w:hAnsi="宋体" w:eastAsia="宋体" w:cs="宋体"/>
                <w:color w:val="auto"/>
                <w:sz w:val="18"/>
                <w:highlight w:val="none"/>
              </w:rPr>
            </w:pPr>
          </w:p>
        </w:tc>
      </w:tr>
      <w:tr w14:paraId="029B4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AF847">
            <w:pPr>
              <w:autoSpaceDE/>
              <w:autoSpaceDN/>
              <w:rPr>
                <w:rFonts w:hint="eastAsia" w:ascii="宋体" w:hAnsi="宋体" w:eastAsia="宋体" w:cs="宋体"/>
                <w:strike/>
                <w:dstrike w:val="0"/>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DC618">
            <w:pPr>
              <w:rPr>
                <w:rFonts w:hint="eastAsia" w:ascii="宋体" w:hAnsi="宋体" w:eastAsia="宋体" w:cs="宋体"/>
                <w:b w:val="0"/>
                <w:bCs/>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586F2BE9">
            <w:pPr>
              <w:spacing w:before="153"/>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9.2.2</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2786F886">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下井作业至少两人一组，且佩备安全、照明及检测工具，评价分值为 1 分；每发现一处不符合要求，扣 0.5 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7596F0A9">
            <w:pPr>
              <w:spacing w:before="143"/>
              <w:ind w:left="45" w:right="27"/>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人员征询</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67D3E6AE">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4F4ED95A">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30044647">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690A0BDD">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51059618">
            <w:pPr>
              <w:rPr>
                <w:rFonts w:hint="eastAsia" w:ascii="宋体" w:hAnsi="宋体" w:eastAsia="宋体" w:cs="宋体"/>
                <w:color w:val="auto"/>
                <w:sz w:val="18"/>
                <w:highlight w:val="none"/>
              </w:rPr>
            </w:pPr>
          </w:p>
        </w:tc>
      </w:tr>
      <w:tr w14:paraId="3ABB0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91D98">
            <w:pPr>
              <w:autoSpaceDE/>
              <w:autoSpaceDN/>
              <w:rPr>
                <w:rFonts w:hint="eastAsia" w:ascii="宋体" w:hAnsi="宋体" w:eastAsia="宋体" w:cs="宋体"/>
                <w:strike/>
                <w:dstrike w:val="0"/>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78F59">
            <w:pPr>
              <w:rPr>
                <w:rFonts w:hint="eastAsia" w:ascii="宋体" w:hAnsi="宋体" w:eastAsia="宋体" w:cs="宋体"/>
                <w:b w:val="0"/>
                <w:bCs/>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784C1234">
            <w:pPr>
              <w:spacing w:before="62"/>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9.2.3</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705BC917">
            <w:pPr>
              <w:spacing w:before="43" w:line="227" w:lineRule="exact"/>
              <w:ind w:left="56"/>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rPr>
              <w:t>落实定岗定人安全监护责任；每发现一处不符合要求，扣</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0962CAD2">
            <w:pPr>
              <w:spacing w:before="55"/>
              <w:ind w:left="45" w:leftChars="0" w:right="27" w:rightChars="0"/>
              <w:jc w:val="center"/>
              <w:rPr>
                <w:rFonts w:hint="eastAsia" w:ascii="宋体" w:hAnsi="宋体" w:eastAsia="宋体" w:cs="宋体"/>
                <w:color w:val="auto"/>
                <w:sz w:val="18"/>
                <w:szCs w:val="22"/>
                <w:highlight w:val="none"/>
                <w:lang w:val="en-US" w:eastAsia="zh-CN" w:bidi="ar-SA"/>
              </w:rPr>
            </w:pPr>
            <w:r>
              <w:rPr>
                <w:rFonts w:hint="eastAsia" w:ascii="宋体" w:hAnsi="宋体" w:eastAsia="宋体" w:cs="宋体"/>
                <w:color w:val="auto"/>
                <w:sz w:val="18"/>
                <w:highlight w:val="none"/>
              </w:rPr>
              <w:t>现场查勘查阅资料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25F9C785">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4943766C">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0ED54839">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5CF365E2">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286215A">
            <w:pPr>
              <w:rPr>
                <w:rFonts w:hint="eastAsia" w:ascii="宋体" w:hAnsi="宋体" w:eastAsia="宋体" w:cs="宋体"/>
                <w:color w:val="auto"/>
                <w:sz w:val="18"/>
                <w:highlight w:val="none"/>
              </w:rPr>
            </w:pPr>
          </w:p>
        </w:tc>
      </w:tr>
      <w:tr w14:paraId="12DA8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A7600">
            <w:pPr>
              <w:autoSpaceDE/>
              <w:autoSpaceDN/>
              <w:rPr>
                <w:rFonts w:hint="eastAsia" w:ascii="宋体" w:hAnsi="宋体" w:eastAsia="宋体" w:cs="宋体"/>
                <w:strike/>
                <w:dstrike w:val="0"/>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97541">
            <w:pPr>
              <w:rPr>
                <w:rFonts w:hint="eastAsia" w:ascii="宋体" w:hAnsi="宋体" w:eastAsia="宋体" w:cs="宋体"/>
                <w:b w:val="0"/>
                <w:bCs/>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1EF7C267">
            <w:pPr>
              <w:spacing w:before="62"/>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9.2.4</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45984A8E">
            <w:pPr>
              <w:spacing w:before="43" w:line="227" w:lineRule="exact"/>
              <w:ind w:left="56"/>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rPr>
              <w:t>作业完成后将设施复位；每发现一处不符合要求，扣</w:t>
            </w:r>
            <w:r>
              <w:rPr>
                <w:rFonts w:hint="eastAsia" w:ascii="宋体" w:hAnsi="宋体" w:eastAsia="宋体" w:cs="宋体"/>
                <w:color w:val="auto"/>
                <w:sz w:val="18"/>
                <w:highlight w:val="none"/>
                <w:lang w:val="en-US" w:eastAsia="zh-CN"/>
              </w:rPr>
              <w:t>1</w:t>
            </w:r>
            <w:r>
              <w:rPr>
                <w:rFonts w:hint="eastAsia" w:ascii="宋体" w:hAnsi="宋体" w:eastAsia="宋体" w:cs="宋体"/>
                <w:color w:val="auto"/>
                <w:sz w:val="18"/>
                <w:highlight w:val="none"/>
              </w:rPr>
              <w:t>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6D103857">
            <w:pPr>
              <w:spacing w:before="55"/>
              <w:ind w:left="45" w:leftChars="0" w:right="27" w:rightChars="0"/>
              <w:jc w:val="center"/>
              <w:rPr>
                <w:rFonts w:hint="eastAsia" w:ascii="宋体" w:hAnsi="宋体" w:eastAsia="宋体" w:cs="宋体"/>
                <w:color w:val="auto"/>
                <w:sz w:val="18"/>
                <w:szCs w:val="22"/>
                <w:highlight w:val="none"/>
                <w:lang w:val="en-US" w:eastAsia="zh-CN" w:bidi="ar-SA"/>
              </w:rPr>
            </w:pPr>
            <w:r>
              <w:rPr>
                <w:rFonts w:hint="eastAsia" w:ascii="宋体" w:hAnsi="宋体" w:eastAsia="宋体" w:cs="宋体"/>
                <w:color w:val="auto"/>
                <w:sz w:val="18"/>
                <w:highlight w:val="none"/>
              </w:rPr>
              <w:t>现场查勘</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0564E5C2">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37D69CB6">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53248B10">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13F5EC4D">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3EA634CD">
            <w:pPr>
              <w:rPr>
                <w:rFonts w:hint="eastAsia" w:ascii="宋体" w:hAnsi="宋体" w:eastAsia="宋体" w:cs="宋体"/>
                <w:color w:val="auto"/>
                <w:sz w:val="18"/>
                <w:highlight w:val="none"/>
              </w:rPr>
            </w:pPr>
          </w:p>
        </w:tc>
      </w:tr>
      <w:tr w14:paraId="548D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8921F">
            <w:pPr>
              <w:autoSpaceDE/>
              <w:autoSpaceDN/>
              <w:rPr>
                <w:rFonts w:hint="eastAsia" w:ascii="宋体" w:hAnsi="宋体" w:eastAsia="宋体" w:cs="宋体"/>
                <w:strike/>
                <w:dstrike w:val="0"/>
                <w:color w:val="auto"/>
                <w:sz w:val="18"/>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B4B85">
            <w:pPr>
              <w:rPr>
                <w:rFonts w:hint="eastAsia" w:ascii="宋体" w:hAnsi="宋体" w:eastAsia="宋体" w:cs="宋体"/>
                <w:b w:val="0"/>
                <w:bCs/>
                <w:color w:val="auto"/>
                <w:sz w:val="18"/>
                <w:highlight w:val="none"/>
              </w:rPr>
            </w:pP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4BAB5FB6">
            <w:pPr>
              <w:spacing w:before="62"/>
              <w:ind w:right="89" w:rightChars="0"/>
              <w:jc w:val="right"/>
              <w:rPr>
                <w:rFonts w:hint="eastAsia" w:ascii="宋体" w:hAnsi="宋体" w:eastAsia="宋体" w:cs="宋体"/>
                <w:strike/>
                <w:dstrike w:val="0"/>
                <w:color w:val="auto"/>
                <w:sz w:val="18"/>
                <w:highlight w:val="none"/>
              </w:rPr>
            </w:pPr>
            <w:r>
              <w:rPr>
                <w:rFonts w:hint="eastAsia" w:ascii="宋体" w:hAnsi="宋体" w:eastAsia="宋体" w:cs="宋体"/>
                <w:color w:val="auto"/>
                <w:sz w:val="18"/>
                <w:highlight w:val="none"/>
              </w:rPr>
              <w:t>9.2.5</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7B5C3DC7">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每月至少应召开一次全体养护人员参加的安全生产会议，并有相应的台账纪录。发现无作业台账，每次扣5分；作业台账内容不全的，每次扣3分</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7AF34573">
            <w:pPr>
              <w:spacing w:before="55"/>
              <w:ind w:left="45" w:right="27"/>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查阅资料</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73E82B31">
            <w:pPr>
              <w:rPr>
                <w:rFonts w:hint="eastAsia" w:ascii="宋体" w:hAnsi="宋体" w:eastAsia="宋体" w:cs="宋体"/>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25C5A6D">
            <w:pPr>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57024698">
            <w:pPr>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750D9200">
            <w:pPr>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B0EDBE5">
            <w:pPr>
              <w:rPr>
                <w:rFonts w:hint="eastAsia" w:ascii="宋体" w:hAnsi="宋体" w:eastAsia="宋体" w:cs="宋体"/>
                <w:color w:val="auto"/>
                <w:sz w:val="18"/>
                <w:highlight w:val="none"/>
              </w:rPr>
            </w:pPr>
          </w:p>
        </w:tc>
      </w:tr>
      <w:tr w14:paraId="54E0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87" w:type="dxa"/>
            <w:vMerge w:val="restart"/>
            <w:tcBorders>
              <w:top w:val="single" w:color="000000" w:sz="4" w:space="0"/>
              <w:left w:val="single" w:color="000000" w:sz="4" w:space="0"/>
              <w:right w:val="single" w:color="000000" w:sz="4" w:space="0"/>
            </w:tcBorders>
            <w:noWrap w:val="0"/>
            <w:vAlign w:val="center"/>
          </w:tcPr>
          <w:p w14:paraId="173F489B">
            <w:pPr>
              <w:spacing w:before="55"/>
              <w:ind w:left="56" w:leftChars="0"/>
              <w:jc w:val="center"/>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廉政管理</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311161F">
            <w:pPr>
              <w:rPr>
                <w:rFonts w:hint="eastAsia" w:ascii="宋体" w:hAnsi="宋体" w:eastAsia="宋体" w:cs="宋体"/>
                <w:b w:val="0"/>
                <w:bCs/>
                <w:color w:val="auto"/>
                <w:sz w:val="18"/>
                <w:highlight w:val="none"/>
              </w:rPr>
            </w:pPr>
            <w:r>
              <w:rPr>
                <w:rFonts w:hint="eastAsia" w:ascii="宋体" w:hAnsi="宋体" w:eastAsia="宋体" w:cs="宋体"/>
                <w:b w:val="0"/>
                <w:bCs/>
                <w:color w:val="auto"/>
                <w:sz w:val="18"/>
                <w:highlight w:val="none"/>
              </w:rPr>
              <w:t>控制项</w:t>
            </w: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249F6721">
            <w:pPr>
              <w:spacing w:before="55"/>
              <w:ind w:left="56" w:leftChars="0"/>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10.1.1</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24F00793">
            <w:pPr>
              <w:spacing w:before="43" w:line="227" w:lineRule="exact"/>
              <w:ind w:left="56"/>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廉洁运维</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645E4CEA">
            <w:pPr>
              <w:spacing w:before="55"/>
              <w:ind w:left="45" w:right="27"/>
              <w:jc w:val="center"/>
              <w:rPr>
                <w:rFonts w:hint="eastAsia" w:ascii="宋体" w:hAnsi="宋体" w:eastAsia="宋体" w:cs="宋体"/>
                <w:strike w:val="0"/>
                <w:dstrike w:val="0"/>
                <w:color w:val="auto"/>
                <w:sz w:val="18"/>
                <w:highlight w:val="none"/>
              </w:rPr>
            </w:pPr>
            <w:r>
              <w:rPr>
                <w:rFonts w:hint="eastAsia" w:ascii="宋体" w:hAnsi="宋体" w:eastAsia="宋体" w:cs="宋体"/>
                <w:color w:val="auto"/>
                <w:sz w:val="18"/>
                <w:highlight w:val="none"/>
              </w:rPr>
              <w:t>现场查勘</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0A0EC37E">
            <w:pPr>
              <w:rPr>
                <w:rFonts w:hint="eastAsia" w:ascii="宋体" w:hAnsi="宋体" w:eastAsia="宋体" w:cs="宋体"/>
                <w:strike w:val="0"/>
                <w:dstrike w:val="0"/>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54E42F15">
            <w:pPr>
              <w:rPr>
                <w:rFonts w:hint="eastAsia" w:ascii="宋体" w:hAnsi="宋体" w:eastAsia="宋体" w:cs="宋体"/>
                <w:strike w:val="0"/>
                <w:dstrike w:val="0"/>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0D719CCC">
            <w:pPr>
              <w:rPr>
                <w:rFonts w:hint="eastAsia" w:ascii="宋体" w:hAnsi="宋体" w:eastAsia="宋体" w:cs="宋体"/>
                <w:strike w:val="0"/>
                <w:dstrike w:val="0"/>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44975175">
            <w:pPr>
              <w:rPr>
                <w:rFonts w:hint="eastAsia" w:ascii="宋体" w:hAnsi="宋体" w:eastAsia="宋体" w:cs="宋体"/>
                <w:strike w:val="0"/>
                <w:dstrike w:val="0"/>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15F0AB2">
            <w:pPr>
              <w:rPr>
                <w:rFonts w:hint="eastAsia" w:ascii="宋体" w:hAnsi="宋体" w:eastAsia="宋体" w:cs="宋体"/>
                <w:strike w:val="0"/>
                <w:dstrike w:val="0"/>
                <w:color w:val="auto"/>
                <w:sz w:val="18"/>
                <w:highlight w:val="none"/>
              </w:rPr>
            </w:pPr>
          </w:p>
        </w:tc>
      </w:tr>
      <w:tr w14:paraId="75E7D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87" w:type="dxa"/>
            <w:vMerge w:val="continue"/>
            <w:tcBorders>
              <w:left w:val="single" w:color="000000" w:sz="4" w:space="0"/>
              <w:bottom w:val="single" w:color="000000" w:sz="4" w:space="0"/>
              <w:right w:val="single" w:color="000000" w:sz="4" w:space="0"/>
            </w:tcBorders>
            <w:noWrap w:val="0"/>
            <w:vAlign w:val="center"/>
          </w:tcPr>
          <w:p w14:paraId="4BD03958">
            <w:pPr>
              <w:spacing w:before="55"/>
              <w:ind w:left="56" w:leftChars="0"/>
              <w:rPr>
                <w:rFonts w:hint="eastAsia" w:ascii="宋体" w:hAnsi="宋体" w:eastAsia="宋体" w:cs="宋体"/>
                <w:color w:val="auto"/>
                <w:sz w:val="18"/>
                <w:highlight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A38F521">
            <w:pPr>
              <w:rPr>
                <w:rFonts w:hint="eastAsia" w:ascii="宋体" w:hAnsi="宋体" w:eastAsia="宋体" w:cs="宋体"/>
                <w:b w:val="0"/>
                <w:bCs/>
                <w:color w:val="auto"/>
                <w:sz w:val="18"/>
                <w:highlight w:val="none"/>
              </w:rPr>
            </w:pPr>
            <w:r>
              <w:rPr>
                <w:rFonts w:hint="eastAsia" w:ascii="宋体" w:hAnsi="宋体" w:eastAsia="宋体" w:cs="宋体"/>
                <w:b w:val="0"/>
                <w:bCs/>
                <w:color w:val="auto"/>
                <w:sz w:val="18"/>
                <w:highlight w:val="none"/>
              </w:rPr>
              <w:t>评分项</w:t>
            </w:r>
          </w:p>
        </w:tc>
        <w:tc>
          <w:tcPr>
            <w:tcW w:w="704" w:type="dxa"/>
            <w:tcBorders>
              <w:top w:val="single" w:color="000000" w:sz="4" w:space="0"/>
              <w:left w:val="single" w:color="000000" w:sz="4" w:space="0"/>
              <w:bottom w:val="single" w:color="000000" w:sz="4" w:space="0"/>
              <w:right w:val="single" w:color="000000" w:sz="4" w:space="0"/>
            </w:tcBorders>
            <w:noWrap w:val="0"/>
            <w:vAlign w:val="top"/>
          </w:tcPr>
          <w:p w14:paraId="07700480">
            <w:pPr>
              <w:spacing w:before="55"/>
              <w:ind w:left="56" w:leftChars="0"/>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10.2.1</w:t>
            </w:r>
          </w:p>
        </w:tc>
        <w:tc>
          <w:tcPr>
            <w:tcW w:w="6623" w:type="dxa"/>
            <w:gridSpan w:val="3"/>
            <w:tcBorders>
              <w:top w:val="single" w:color="000000" w:sz="4" w:space="0"/>
              <w:left w:val="single" w:color="000000" w:sz="4" w:space="0"/>
              <w:bottom w:val="single" w:color="000000" w:sz="4" w:space="0"/>
              <w:right w:val="single" w:color="000000" w:sz="4" w:space="0"/>
            </w:tcBorders>
            <w:noWrap w:val="0"/>
            <w:vAlign w:val="top"/>
          </w:tcPr>
          <w:p w14:paraId="169D44C0">
            <w:pPr>
              <w:spacing w:before="43" w:line="227" w:lineRule="exact"/>
              <w:ind w:left="56"/>
              <w:rPr>
                <w:rFonts w:hint="eastAsia" w:ascii="宋体" w:hAnsi="宋体" w:eastAsia="宋体" w:cs="宋体"/>
                <w:color w:val="auto"/>
                <w:sz w:val="18"/>
                <w:highlight w:val="none"/>
              </w:rPr>
            </w:pPr>
            <w:r>
              <w:rPr>
                <w:rFonts w:hint="eastAsia" w:ascii="宋体" w:hAnsi="宋体" w:eastAsia="宋体" w:cs="宋体"/>
                <w:color w:val="auto"/>
                <w:sz w:val="18"/>
                <w:highlight w:val="none"/>
              </w:rPr>
              <w:t>杜绝宴请管理人员现象和小恩小惠管理人员现象</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lang w:val="en-US" w:eastAsia="zh-CN"/>
              </w:rPr>
              <w:t>每</w:t>
            </w:r>
            <w:r>
              <w:rPr>
                <w:rFonts w:hint="eastAsia" w:ascii="宋体" w:hAnsi="宋体" w:eastAsia="宋体" w:cs="宋体"/>
                <w:color w:val="auto"/>
                <w:sz w:val="18"/>
                <w:highlight w:val="none"/>
              </w:rPr>
              <w:t>发现一次扣5分</w:t>
            </w:r>
          </w:p>
          <w:p w14:paraId="7DDF5080">
            <w:pPr>
              <w:spacing w:before="43" w:line="227" w:lineRule="exact"/>
              <w:ind w:left="56"/>
              <w:rPr>
                <w:rFonts w:hint="eastAsia" w:ascii="宋体" w:hAnsi="宋体" w:eastAsia="宋体" w:cs="宋体"/>
                <w:color w:val="auto"/>
                <w:sz w:val="18"/>
                <w:highlight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738CFFEC">
            <w:pPr>
              <w:spacing w:before="55"/>
              <w:ind w:left="45" w:right="27"/>
              <w:jc w:val="center"/>
              <w:rPr>
                <w:rFonts w:hint="eastAsia" w:ascii="宋体" w:hAnsi="宋体" w:eastAsia="宋体" w:cs="宋体"/>
                <w:strike w:val="0"/>
                <w:dstrike w:val="0"/>
                <w:color w:val="auto"/>
                <w:sz w:val="18"/>
                <w:highlight w:val="none"/>
              </w:rPr>
            </w:pPr>
            <w:r>
              <w:rPr>
                <w:rFonts w:hint="eastAsia" w:ascii="宋体" w:hAnsi="宋体" w:eastAsia="宋体" w:cs="宋体"/>
                <w:color w:val="auto"/>
                <w:sz w:val="18"/>
                <w:highlight w:val="none"/>
              </w:rPr>
              <w:t>现场查勘人员征询</w:t>
            </w:r>
          </w:p>
        </w:tc>
        <w:tc>
          <w:tcPr>
            <w:tcW w:w="798" w:type="dxa"/>
            <w:tcBorders>
              <w:top w:val="single" w:color="000000" w:sz="4" w:space="0"/>
              <w:left w:val="single" w:color="000000" w:sz="4" w:space="0"/>
              <w:bottom w:val="single" w:color="000000" w:sz="4" w:space="0"/>
              <w:right w:val="single" w:color="000000" w:sz="4" w:space="0"/>
            </w:tcBorders>
            <w:noWrap w:val="0"/>
            <w:vAlign w:val="top"/>
          </w:tcPr>
          <w:p w14:paraId="35D2946F">
            <w:pPr>
              <w:rPr>
                <w:rFonts w:hint="eastAsia" w:ascii="宋体" w:hAnsi="宋体" w:eastAsia="宋体" w:cs="宋体"/>
                <w:strike w:val="0"/>
                <w:dstrike w:val="0"/>
                <w:color w:val="auto"/>
                <w:sz w:val="18"/>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3AB0A207">
            <w:pPr>
              <w:rPr>
                <w:rFonts w:hint="eastAsia" w:ascii="宋体" w:hAnsi="宋体" w:eastAsia="宋体" w:cs="宋体"/>
                <w:strike w:val="0"/>
                <w:dstrike w:val="0"/>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2550F284">
            <w:pPr>
              <w:rPr>
                <w:rFonts w:hint="eastAsia" w:ascii="宋体" w:hAnsi="宋体" w:eastAsia="宋体" w:cs="宋体"/>
                <w:strike w:val="0"/>
                <w:dstrike w:val="0"/>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724F0396">
            <w:pPr>
              <w:rPr>
                <w:rFonts w:hint="eastAsia" w:ascii="宋体" w:hAnsi="宋体" w:eastAsia="宋体" w:cs="宋体"/>
                <w:strike w:val="0"/>
                <w:dstrike w:val="0"/>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648987B">
            <w:pPr>
              <w:rPr>
                <w:rFonts w:hint="eastAsia" w:ascii="宋体" w:hAnsi="宋体" w:eastAsia="宋体" w:cs="宋体"/>
                <w:strike w:val="0"/>
                <w:dstrike w:val="0"/>
                <w:color w:val="auto"/>
                <w:sz w:val="18"/>
                <w:highlight w:val="none"/>
              </w:rPr>
            </w:pPr>
          </w:p>
        </w:tc>
      </w:tr>
      <w:tr w14:paraId="52FFD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292" w:type="dxa"/>
            <w:gridSpan w:val="7"/>
            <w:tcBorders>
              <w:top w:val="single" w:color="000000" w:sz="4" w:space="0"/>
              <w:left w:val="single" w:color="000000" w:sz="4" w:space="0"/>
              <w:bottom w:val="single" w:color="000000" w:sz="4" w:space="0"/>
              <w:right w:val="single" w:color="000000" w:sz="4" w:space="0"/>
            </w:tcBorders>
            <w:noWrap w:val="0"/>
            <w:vAlign w:val="top"/>
          </w:tcPr>
          <w:p w14:paraId="0C5F6925">
            <w:pPr>
              <w:spacing w:line="240" w:lineRule="auto"/>
              <w:rPr>
                <w:rFonts w:hint="eastAsia" w:ascii="宋体" w:hAnsi="宋体" w:eastAsia="宋体" w:cs="宋体"/>
                <w:color w:val="auto"/>
                <w:sz w:val="18"/>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B223A38">
            <w:pPr>
              <w:spacing w:line="240" w:lineRule="auto"/>
              <w:jc w:val="center"/>
              <w:rPr>
                <w:rFonts w:hint="eastAsia" w:ascii="宋体" w:hAnsi="宋体" w:eastAsia="宋体" w:cs="宋体"/>
                <w:color w:val="auto"/>
                <w:sz w:val="18"/>
                <w:highlight w:val="none"/>
              </w:rPr>
            </w:pPr>
            <w:r>
              <w:rPr>
                <w:rFonts w:hint="eastAsia"/>
                <w:b w:val="0"/>
                <w:bCs w:val="0"/>
                <w:color w:val="auto"/>
                <w:sz w:val="18"/>
                <w:highlight w:val="none"/>
                <w:lang w:val="en-US" w:eastAsia="zh-CN"/>
              </w:rPr>
              <w:t>总得分</w:t>
            </w: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F660042">
            <w:pPr>
              <w:spacing w:line="240" w:lineRule="auto"/>
              <w:rPr>
                <w:rFonts w:hint="eastAsia" w:ascii="宋体" w:hAnsi="宋体" w:eastAsia="宋体" w:cs="宋体"/>
                <w:color w:val="auto"/>
                <w:sz w:val="18"/>
                <w:highlight w:val="none"/>
              </w:rPr>
            </w:pPr>
          </w:p>
        </w:tc>
        <w:tc>
          <w:tcPr>
            <w:tcW w:w="794" w:type="dxa"/>
            <w:tcBorders>
              <w:top w:val="single" w:color="000000" w:sz="4" w:space="0"/>
              <w:left w:val="single" w:color="000000" w:sz="4" w:space="0"/>
              <w:bottom w:val="single" w:color="000000" w:sz="4" w:space="0"/>
              <w:right w:val="single" w:color="000000" w:sz="4" w:space="0"/>
            </w:tcBorders>
            <w:noWrap w:val="0"/>
            <w:vAlign w:val="top"/>
          </w:tcPr>
          <w:p w14:paraId="5CC175C0">
            <w:pPr>
              <w:spacing w:line="240" w:lineRule="auto"/>
              <w:rPr>
                <w:rFonts w:hint="eastAsia" w:ascii="宋体" w:hAnsi="宋体" w:eastAsia="宋体" w:cs="宋体"/>
                <w:color w:val="auto"/>
                <w:sz w:val="18"/>
                <w:highlight w:val="none"/>
              </w:rPr>
            </w:pPr>
          </w:p>
        </w:tc>
        <w:tc>
          <w:tcPr>
            <w:tcW w:w="756" w:type="dxa"/>
            <w:tcBorders>
              <w:top w:val="single" w:color="000000" w:sz="4" w:space="0"/>
              <w:left w:val="single" w:color="000000" w:sz="4" w:space="0"/>
              <w:bottom w:val="single" w:color="000000" w:sz="4" w:space="0"/>
              <w:right w:val="single" w:color="000000" w:sz="4" w:space="0"/>
            </w:tcBorders>
            <w:noWrap w:val="0"/>
            <w:vAlign w:val="top"/>
          </w:tcPr>
          <w:p w14:paraId="203B7CCD">
            <w:pPr>
              <w:spacing w:line="240" w:lineRule="auto"/>
              <w:rPr>
                <w:rFonts w:hint="eastAsia" w:ascii="宋体" w:hAnsi="宋体" w:eastAsia="宋体" w:cs="宋体"/>
                <w:color w:val="auto"/>
                <w:sz w:val="18"/>
                <w:highlight w:val="none"/>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C30D610">
            <w:pPr>
              <w:spacing w:line="240" w:lineRule="auto"/>
              <w:rPr>
                <w:rFonts w:hint="eastAsia" w:ascii="宋体" w:hAnsi="宋体" w:eastAsia="宋体" w:cs="宋体"/>
                <w:color w:val="auto"/>
                <w:sz w:val="18"/>
                <w:highlight w:val="none"/>
              </w:rPr>
            </w:pPr>
          </w:p>
        </w:tc>
      </w:tr>
      <w:tr w14:paraId="73C4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517" w:type="dxa"/>
            <w:gridSpan w:val="4"/>
            <w:vMerge w:val="restart"/>
            <w:tcBorders>
              <w:top w:val="single" w:color="000000" w:sz="4" w:space="0"/>
              <w:left w:val="single" w:color="000000" w:sz="4" w:space="0"/>
              <w:right w:val="single" w:color="000000" w:sz="4" w:space="0"/>
            </w:tcBorders>
            <w:noWrap w:val="0"/>
            <w:vAlign w:val="top"/>
          </w:tcPr>
          <w:p w14:paraId="4F1B1DA5">
            <w:pPr>
              <w:spacing w:before="11" w:line="240" w:lineRule="auto"/>
              <w:rPr>
                <w:rFonts w:ascii="Times New Roman" w:hAnsi="Times New Roman" w:eastAsia="宋体"/>
                <w:b w:val="0"/>
                <w:bCs w:val="0"/>
                <w:color w:val="auto"/>
                <w:sz w:val="24"/>
                <w:highlight w:val="none"/>
              </w:rPr>
            </w:pPr>
          </w:p>
          <w:p w14:paraId="7ECD0181">
            <w:pPr>
              <w:tabs>
                <w:tab w:val="left" w:pos="2414"/>
              </w:tabs>
              <w:spacing w:line="240" w:lineRule="auto"/>
              <w:ind w:left="28" w:leftChars="0"/>
              <w:rPr>
                <w:rFonts w:hint="eastAsia" w:ascii="宋体" w:hAnsi="宋体" w:eastAsia="宋体" w:cs="宋体"/>
                <w:color w:val="auto"/>
                <w:sz w:val="18"/>
                <w:highlight w:val="none"/>
              </w:rPr>
            </w:pPr>
            <w:r>
              <w:rPr>
                <w:rFonts w:hint="eastAsia" w:ascii="Times New Roman" w:hAnsi="Times New Roman" w:eastAsia="宋体"/>
                <w:b w:val="0"/>
                <w:bCs w:val="0"/>
                <w:color w:val="auto"/>
                <w:sz w:val="18"/>
                <w:highlight w:val="none"/>
              </w:rPr>
              <w:t>评价组成员</w:t>
            </w:r>
            <w:r>
              <w:rPr>
                <w:rFonts w:ascii="Times New Roman" w:hAnsi="Times New Roman" w:eastAsia="宋体"/>
                <w:b w:val="0"/>
                <w:bCs w:val="0"/>
                <w:color w:val="auto"/>
                <w:spacing w:val="-44"/>
                <w:sz w:val="18"/>
                <w:highlight w:val="none"/>
              </w:rPr>
              <w:t xml:space="preserve"> </w:t>
            </w:r>
            <w:r>
              <w:rPr>
                <w:rFonts w:ascii="Times New Roman" w:hAnsi="Times New Roman" w:eastAsia="宋体"/>
                <w:b w:val="0"/>
                <w:bCs w:val="0"/>
                <w:color w:val="auto"/>
                <w:sz w:val="18"/>
                <w:highlight w:val="none"/>
              </w:rPr>
              <w:t>1</w:t>
            </w:r>
            <w:r>
              <w:rPr>
                <w:rFonts w:hint="eastAsia" w:ascii="Times New Roman" w:hAnsi="Times New Roman" w:eastAsia="宋体"/>
                <w:b w:val="0"/>
                <w:bCs w:val="0"/>
                <w:color w:val="auto"/>
                <w:sz w:val="18"/>
                <w:highlight w:val="none"/>
              </w:rPr>
              <w:t>：</w:t>
            </w:r>
            <w:r>
              <w:rPr>
                <w:rFonts w:ascii="Times New Roman" w:hAnsi="Times New Roman" w:eastAsia="宋体"/>
                <w:b w:val="0"/>
                <w:bCs w:val="0"/>
                <w:color w:val="auto"/>
                <w:sz w:val="18"/>
                <w:highlight w:val="none"/>
              </w:rPr>
              <w:tab/>
            </w:r>
          </w:p>
        </w:tc>
        <w:tc>
          <w:tcPr>
            <w:tcW w:w="3517" w:type="dxa"/>
            <w:vMerge w:val="restart"/>
            <w:tcBorders>
              <w:top w:val="single" w:color="000000" w:sz="4" w:space="0"/>
              <w:left w:val="single" w:color="000000" w:sz="4" w:space="0"/>
              <w:right w:val="single" w:color="000000" w:sz="4" w:space="0"/>
            </w:tcBorders>
            <w:noWrap w:val="0"/>
            <w:vAlign w:val="top"/>
          </w:tcPr>
          <w:p w14:paraId="092C4DFF">
            <w:pPr>
              <w:spacing w:before="11" w:line="240" w:lineRule="auto"/>
              <w:rPr>
                <w:rFonts w:ascii="Times New Roman" w:hAnsi="Times New Roman" w:eastAsia="宋体"/>
                <w:b w:val="0"/>
                <w:bCs w:val="0"/>
                <w:color w:val="auto"/>
                <w:sz w:val="24"/>
                <w:highlight w:val="none"/>
              </w:rPr>
            </w:pPr>
          </w:p>
          <w:p w14:paraId="1831E37D">
            <w:pPr>
              <w:tabs>
                <w:tab w:val="left" w:pos="2414"/>
              </w:tabs>
              <w:spacing w:line="240" w:lineRule="auto"/>
              <w:ind w:left="28" w:leftChars="0"/>
              <w:rPr>
                <w:rFonts w:hint="eastAsia" w:ascii="宋体" w:hAnsi="宋体" w:eastAsia="宋体" w:cs="宋体"/>
                <w:color w:val="auto"/>
                <w:sz w:val="18"/>
                <w:highlight w:val="none"/>
              </w:rPr>
            </w:pPr>
            <w:r>
              <w:rPr>
                <w:rFonts w:hint="eastAsia" w:ascii="Times New Roman" w:hAnsi="Times New Roman" w:eastAsia="宋体"/>
                <w:b w:val="0"/>
                <w:bCs w:val="0"/>
                <w:color w:val="auto"/>
                <w:sz w:val="18"/>
                <w:highlight w:val="none"/>
              </w:rPr>
              <w:t>评价组成员</w:t>
            </w:r>
            <w:r>
              <w:rPr>
                <w:rFonts w:ascii="Times New Roman" w:hAnsi="Times New Roman" w:eastAsia="宋体"/>
                <w:b w:val="0"/>
                <w:bCs w:val="0"/>
                <w:color w:val="auto"/>
                <w:spacing w:val="-44"/>
                <w:sz w:val="18"/>
                <w:highlight w:val="none"/>
              </w:rPr>
              <w:t xml:space="preserve"> </w:t>
            </w:r>
            <w:r>
              <w:rPr>
                <w:rFonts w:ascii="Times New Roman" w:hAnsi="Times New Roman" w:eastAsia="宋体"/>
                <w:b w:val="0"/>
                <w:bCs w:val="0"/>
                <w:color w:val="auto"/>
                <w:sz w:val="18"/>
                <w:highlight w:val="none"/>
              </w:rPr>
              <w:t>2</w:t>
            </w:r>
            <w:r>
              <w:rPr>
                <w:rFonts w:hint="eastAsia" w:ascii="Times New Roman" w:hAnsi="Times New Roman" w:eastAsia="宋体"/>
                <w:b w:val="0"/>
                <w:bCs w:val="0"/>
                <w:color w:val="auto"/>
                <w:sz w:val="18"/>
                <w:highlight w:val="none"/>
              </w:rPr>
              <w:t>：</w:t>
            </w:r>
            <w:r>
              <w:rPr>
                <w:rFonts w:ascii="Times New Roman" w:hAnsi="Times New Roman" w:eastAsia="宋体"/>
                <w:b w:val="0"/>
                <w:bCs w:val="0"/>
                <w:color w:val="auto"/>
                <w:sz w:val="18"/>
                <w:highlight w:val="none"/>
              </w:rPr>
              <w:tab/>
            </w:r>
          </w:p>
        </w:tc>
        <w:tc>
          <w:tcPr>
            <w:tcW w:w="3258" w:type="dxa"/>
            <w:gridSpan w:val="2"/>
            <w:vMerge w:val="restart"/>
            <w:tcBorders>
              <w:top w:val="single" w:color="000000" w:sz="4" w:space="0"/>
              <w:left w:val="single" w:color="000000" w:sz="4" w:space="0"/>
              <w:right w:val="single" w:color="000000" w:sz="4" w:space="0"/>
            </w:tcBorders>
            <w:noWrap w:val="0"/>
            <w:vAlign w:val="top"/>
          </w:tcPr>
          <w:p w14:paraId="28ED10CC">
            <w:pPr>
              <w:spacing w:before="11" w:line="240" w:lineRule="auto"/>
              <w:rPr>
                <w:rFonts w:ascii="Times New Roman" w:hAnsi="Times New Roman" w:eastAsia="宋体"/>
                <w:b w:val="0"/>
                <w:bCs w:val="0"/>
                <w:color w:val="auto"/>
                <w:sz w:val="24"/>
                <w:highlight w:val="none"/>
              </w:rPr>
            </w:pPr>
          </w:p>
          <w:p w14:paraId="72800CAE">
            <w:pPr>
              <w:tabs>
                <w:tab w:val="left" w:pos="2600"/>
              </w:tabs>
              <w:spacing w:line="240" w:lineRule="auto"/>
              <w:ind w:left="32" w:leftChars="0"/>
              <w:rPr>
                <w:rFonts w:hint="eastAsia" w:ascii="宋体" w:hAnsi="宋体" w:eastAsia="宋体" w:cs="宋体"/>
                <w:color w:val="auto"/>
                <w:sz w:val="18"/>
                <w:highlight w:val="none"/>
              </w:rPr>
            </w:pPr>
            <w:r>
              <w:rPr>
                <w:rFonts w:hint="eastAsia" w:ascii="Times New Roman" w:hAnsi="Times New Roman" w:eastAsia="宋体"/>
                <w:b w:val="0"/>
                <w:bCs w:val="0"/>
                <w:color w:val="auto"/>
                <w:sz w:val="18"/>
                <w:highlight w:val="none"/>
              </w:rPr>
              <w:t>评价组成员</w:t>
            </w:r>
            <w:r>
              <w:rPr>
                <w:rFonts w:ascii="Times New Roman" w:hAnsi="Times New Roman" w:eastAsia="宋体"/>
                <w:b w:val="0"/>
                <w:bCs w:val="0"/>
                <w:color w:val="auto"/>
                <w:spacing w:val="-45"/>
                <w:sz w:val="18"/>
                <w:highlight w:val="none"/>
              </w:rPr>
              <w:t xml:space="preserve"> </w:t>
            </w:r>
            <w:r>
              <w:rPr>
                <w:rFonts w:ascii="Times New Roman" w:hAnsi="Times New Roman" w:eastAsia="宋体"/>
                <w:b w:val="0"/>
                <w:bCs w:val="0"/>
                <w:color w:val="auto"/>
                <w:sz w:val="18"/>
                <w:highlight w:val="none"/>
              </w:rPr>
              <w:t>3</w:t>
            </w:r>
            <w:r>
              <w:rPr>
                <w:rFonts w:hint="eastAsia" w:ascii="Times New Roman" w:hAnsi="Times New Roman" w:eastAsia="宋体"/>
                <w:b w:val="0"/>
                <w:bCs w:val="0"/>
                <w:color w:val="auto"/>
                <w:sz w:val="18"/>
                <w:highlight w:val="none"/>
              </w:rPr>
              <w:t>：</w:t>
            </w:r>
            <w:r>
              <w:rPr>
                <w:rFonts w:hint="eastAsia" w:ascii="Times New Roman" w:hAnsi="Times New Roman" w:eastAsia="宋体"/>
                <w:b w:val="0"/>
                <w:bCs w:val="0"/>
                <w:color w:val="auto"/>
                <w:sz w:val="18"/>
                <w:highlight w:val="none"/>
                <w:lang w:val="en-US" w:eastAsia="zh-CN"/>
              </w:rPr>
              <w:t xml:space="preserve">       </w:t>
            </w:r>
          </w:p>
        </w:tc>
        <w:tc>
          <w:tcPr>
            <w:tcW w:w="3926" w:type="dxa"/>
            <w:gridSpan w:val="5"/>
            <w:tcBorders>
              <w:top w:val="single" w:color="000000" w:sz="4" w:space="0"/>
              <w:left w:val="single" w:color="000000" w:sz="4" w:space="0"/>
              <w:bottom w:val="single" w:color="000000" w:sz="4" w:space="0"/>
              <w:right w:val="single" w:color="000000" w:sz="4" w:space="0"/>
            </w:tcBorders>
            <w:noWrap w:val="0"/>
            <w:vAlign w:val="center"/>
          </w:tcPr>
          <w:p w14:paraId="1A4F015E">
            <w:pPr>
              <w:spacing w:line="240" w:lineRule="auto"/>
              <w:ind w:firstLine="180" w:firstLineChars="100"/>
              <w:rPr>
                <w:rFonts w:hint="eastAsia" w:ascii="宋体" w:hAnsi="宋体" w:eastAsia="宋体" w:cs="宋体"/>
                <w:color w:val="auto"/>
                <w:sz w:val="18"/>
                <w:highlight w:val="none"/>
              </w:rPr>
            </w:pPr>
            <w:r>
              <w:rPr>
                <w:rFonts w:hint="eastAsia" w:ascii="Times New Roman" w:hAnsi="Times New Roman" w:eastAsia="宋体"/>
                <w:b w:val="0"/>
                <w:bCs w:val="0"/>
                <w:color w:val="auto"/>
                <w:sz w:val="18"/>
                <w:highlight w:val="none"/>
                <w:lang w:val="en-US" w:eastAsia="zh-CN"/>
              </w:rPr>
              <w:t>平均分</w:t>
            </w:r>
            <w:r>
              <w:rPr>
                <w:rFonts w:hint="eastAsia"/>
                <w:b w:val="0"/>
                <w:bCs w:val="0"/>
                <w:color w:val="auto"/>
                <w:sz w:val="18"/>
                <w:highlight w:val="none"/>
                <w:lang w:val="en-US" w:eastAsia="zh-CN"/>
              </w:rPr>
              <w:t>：</w:t>
            </w:r>
          </w:p>
        </w:tc>
      </w:tr>
      <w:tr w14:paraId="6EF7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517" w:type="dxa"/>
            <w:gridSpan w:val="4"/>
            <w:vMerge w:val="continue"/>
            <w:tcBorders>
              <w:left w:val="single" w:color="000000" w:sz="4" w:space="0"/>
              <w:bottom w:val="single" w:color="000000" w:sz="4" w:space="0"/>
              <w:right w:val="single" w:color="000000" w:sz="4" w:space="0"/>
            </w:tcBorders>
            <w:noWrap w:val="0"/>
            <w:vAlign w:val="center"/>
          </w:tcPr>
          <w:p w14:paraId="73059585">
            <w:pPr>
              <w:spacing w:before="52"/>
              <w:ind w:left="33"/>
              <w:rPr>
                <w:rFonts w:hint="eastAsia" w:ascii="宋体" w:hAnsi="宋体" w:eastAsia="宋体" w:cs="宋体"/>
                <w:color w:val="auto"/>
                <w:sz w:val="18"/>
                <w:highlight w:val="none"/>
              </w:rPr>
            </w:pPr>
          </w:p>
        </w:tc>
        <w:tc>
          <w:tcPr>
            <w:tcW w:w="3517" w:type="dxa"/>
            <w:vMerge w:val="continue"/>
            <w:tcBorders>
              <w:left w:val="single" w:color="000000" w:sz="4" w:space="0"/>
              <w:bottom w:val="single" w:color="000000" w:sz="4" w:space="0"/>
              <w:right w:val="single" w:color="000000" w:sz="4" w:space="0"/>
            </w:tcBorders>
            <w:noWrap w:val="0"/>
            <w:vAlign w:val="center"/>
          </w:tcPr>
          <w:p w14:paraId="56AF599D">
            <w:pPr>
              <w:spacing w:before="52"/>
              <w:ind w:left="33"/>
              <w:rPr>
                <w:rFonts w:hint="eastAsia" w:ascii="宋体" w:hAnsi="宋体" w:eastAsia="宋体" w:cs="宋体"/>
                <w:color w:val="auto"/>
                <w:sz w:val="18"/>
                <w:highlight w:val="none"/>
              </w:rPr>
            </w:pPr>
          </w:p>
        </w:tc>
        <w:tc>
          <w:tcPr>
            <w:tcW w:w="3258" w:type="dxa"/>
            <w:gridSpan w:val="2"/>
            <w:vMerge w:val="continue"/>
            <w:tcBorders>
              <w:left w:val="single" w:color="000000" w:sz="4" w:space="0"/>
              <w:bottom w:val="single" w:color="000000" w:sz="4" w:space="0"/>
              <w:right w:val="single" w:color="000000" w:sz="4" w:space="0"/>
            </w:tcBorders>
            <w:noWrap w:val="0"/>
            <w:vAlign w:val="center"/>
          </w:tcPr>
          <w:p w14:paraId="6B52920D">
            <w:pPr>
              <w:spacing w:before="52"/>
              <w:ind w:left="33"/>
              <w:rPr>
                <w:rFonts w:hint="eastAsia" w:ascii="宋体" w:hAnsi="宋体" w:eastAsia="宋体" w:cs="宋体"/>
                <w:color w:val="auto"/>
                <w:sz w:val="18"/>
                <w:highlight w:val="none"/>
              </w:rPr>
            </w:pPr>
          </w:p>
        </w:tc>
        <w:tc>
          <w:tcPr>
            <w:tcW w:w="3926" w:type="dxa"/>
            <w:gridSpan w:val="5"/>
            <w:tcBorders>
              <w:top w:val="single" w:color="000000" w:sz="4" w:space="0"/>
              <w:left w:val="single" w:color="000000" w:sz="4" w:space="0"/>
              <w:bottom w:val="single" w:color="000000" w:sz="4" w:space="0"/>
              <w:right w:val="single" w:color="000000" w:sz="4" w:space="0"/>
            </w:tcBorders>
            <w:noWrap w:val="0"/>
            <w:vAlign w:val="center"/>
          </w:tcPr>
          <w:p w14:paraId="2717038E">
            <w:pPr>
              <w:spacing w:line="240" w:lineRule="auto"/>
              <w:ind w:firstLine="180" w:firstLineChars="100"/>
              <w:rPr>
                <w:rFonts w:hint="eastAsia" w:ascii="宋体" w:hAnsi="宋体" w:eastAsia="宋体" w:cs="宋体"/>
                <w:color w:val="auto"/>
                <w:sz w:val="18"/>
                <w:highlight w:val="none"/>
              </w:rPr>
            </w:pPr>
            <w:r>
              <w:rPr>
                <w:rFonts w:hint="eastAsia"/>
                <w:b w:val="0"/>
                <w:bCs w:val="0"/>
                <w:color w:val="auto"/>
                <w:sz w:val="18"/>
                <w:highlight w:val="none"/>
                <w:lang w:val="en-US" w:eastAsia="zh-CN"/>
              </w:rPr>
              <w:t>审核人：</w:t>
            </w:r>
          </w:p>
        </w:tc>
      </w:tr>
    </w:tbl>
    <w:p w14:paraId="7018D8FF">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color w:val="auto"/>
          <w:sz w:val="21"/>
          <w:szCs w:val="21"/>
          <w:highlight w:val="none"/>
        </w:rPr>
        <w:t>备注：</w:t>
      </w:r>
      <w:r>
        <w:rPr>
          <w:rFonts w:hint="eastAsia" w:ascii="宋体" w:hAnsi="宋体" w:eastAsia="宋体" w:cs="宋体"/>
          <w:b w:val="0"/>
          <w:bCs w:val="0"/>
          <w:szCs w:val="21"/>
          <w:highlight w:val="none"/>
          <w:lang w:val="en-US" w:eastAsia="zh-CN"/>
        </w:rPr>
        <w:t>1.表中样式以3 个评价组成员为例，评价组成员可以3人以上；</w:t>
      </w:r>
    </w:p>
    <w:p w14:paraId="29449A94">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2.本考核细则基准分100分，采用扣分制。各评分项每发现一处扣除相应分数，可累加扣分；</w:t>
      </w:r>
    </w:p>
    <w:p w14:paraId="43697708">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3.平均分应在全部评价组成员评分合格的基础上计算；</w:t>
      </w:r>
    </w:p>
    <w:p w14:paraId="0BEC49C0">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4.采用日常考核与月度集中考核相结合两种方式，日常管理过程中发现问题即相应扣分，以照片等影像资料为依据；</w:t>
      </w:r>
    </w:p>
    <w:p w14:paraId="4DB415C9">
      <w:pPr>
        <w:snapToGrid w:val="0"/>
        <w:spacing w:line="360" w:lineRule="auto"/>
        <w:ind w:firstLine="411" w:firstLineChars="196"/>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5.新维修井座、井圈周边新浇筑混凝土路面不平整、起砂、与原路面标高差距超过20mm及以上的；新更换、维修的井盖、井座质量不达标的，维修井座或新建检查井内壁无防渗层的，或防渗层不规范的；渗漏修补无效的，每发现一处扣2分；</w:t>
      </w:r>
    </w:p>
    <w:p w14:paraId="232310FF">
      <w:pPr>
        <w:snapToGrid w:val="0"/>
        <w:spacing w:line="360" w:lineRule="auto"/>
        <w:ind w:firstLine="411" w:firstLineChars="196"/>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6.需通过浙江省、宁波市、北仑区等行业主管部门组织的行业考核；如导致在行业考核中扣分的，一次性扣15分；考核被市通报批评的一次性扣30分；未通过时行业考核的终止合同；被省市区纪委、检察院传唤，存在任何行贿行为的，终止合同。</w:t>
      </w:r>
    </w:p>
    <w:p w14:paraId="799EF298">
      <w:pPr>
        <w:pStyle w:val="30"/>
        <w:rPr>
          <w:rFonts w:hint="eastAsia"/>
        </w:rPr>
      </w:pPr>
    </w:p>
    <w:p w14:paraId="306E1C3D">
      <w:pPr>
        <w:pStyle w:val="30"/>
        <w:rPr>
          <w:rFonts w:hint="eastAsia"/>
        </w:rPr>
      </w:pPr>
    </w:p>
    <w:p w14:paraId="03757FBF">
      <w:pPr>
        <w:pStyle w:val="30"/>
        <w:rPr>
          <w:rFonts w:hint="eastAsia"/>
        </w:rPr>
      </w:pPr>
    </w:p>
    <w:p w14:paraId="390DFB6E">
      <w:pPr>
        <w:pStyle w:val="30"/>
        <w:rPr>
          <w:rFonts w:hint="eastAsia"/>
        </w:rPr>
      </w:pPr>
    </w:p>
    <w:p w14:paraId="63926A81">
      <w:pPr>
        <w:pStyle w:val="30"/>
        <w:rPr>
          <w:rFonts w:hint="eastAsia"/>
        </w:rPr>
      </w:pPr>
    </w:p>
    <w:p w14:paraId="54083419">
      <w:pPr>
        <w:pStyle w:val="30"/>
        <w:rPr>
          <w:rFonts w:hint="eastAsia"/>
        </w:rPr>
      </w:pPr>
    </w:p>
    <w:p w14:paraId="655964EB">
      <w:pPr>
        <w:pStyle w:val="30"/>
        <w:rPr>
          <w:rFonts w:hint="eastAsia"/>
        </w:rPr>
      </w:pPr>
    </w:p>
    <w:p w14:paraId="62D9FBD3">
      <w:pPr>
        <w:pStyle w:val="30"/>
        <w:rPr>
          <w:rFonts w:hint="eastAsia"/>
        </w:rPr>
      </w:pPr>
    </w:p>
    <w:p w14:paraId="5649AAC8">
      <w:pPr>
        <w:pStyle w:val="30"/>
        <w:rPr>
          <w:rFonts w:hint="eastAsia"/>
        </w:rPr>
      </w:pPr>
    </w:p>
    <w:p w14:paraId="7BC096DF">
      <w:pPr>
        <w:pStyle w:val="30"/>
        <w:rPr>
          <w:rFonts w:hint="eastAsia"/>
        </w:rPr>
      </w:pPr>
    </w:p>
    <w:p w14:paraId="7FC3E6CE">
      <w:pPr>
        <w:pStyle w:val="30"/>
        <w:rPr>
          <w:rFonts w:hint="eastAsia"/>
        </w:rPr>
      </w:pPr>
    </w:p>
    <w:p w14:paraId="28415AC3">
      <w:pPr>
        <w:pStyle w:val="30"/>
        <w:rPr>
          <w:rFonts w:hint="eastAsia"/>
        </w:rPr>
      </w:pPr>
    </w:p>
    <w:p w14:paraId="78047914">
      <w:pPr>
        <w:pStyle w:val="30"/>
        <w:rPr>
          <w:rFonts w:hint="eastAsia"/>
        </w:rPr>
        <w:sectPr>
          <w:headerReference r:id="rId11" w:type="default"/>
          <w:footerReference r:id="rId12" w:type="default"/>
          <w:pgSz w:w="16840" w:h="11900" w:orient="landscape"/>
          <w:pgMar w:top="1196" w:right="1321" w:bottom="1168" w:left="1393" w:header="1134" w:footer="3" w:gutter="0"/>
          <w:pgNumType w:fmt="decimal"/>
          <w:cols w:space="720" w:num="1"/>
        </w:sectPr>
      </w:pPr>
    </w:p>
    <w:p w14:paraId="1068361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val="en-US" w:eastAsia="zh-CN"/>
        </w:rPr>
        <w:t>附表2</w:t>
      </w:r>
    </w:p>
    <w:p w14:paraId="2A3584B7">
      <w:pPr>
        <w:jc w:val="center"/>
        <w:rPr>
          <w:rFonts w:hint="eastAsia" w:eastAsia="黑体"/>
          <w:color w:val="auto"/>
          <w:sz w:val="30"/>
          <w:highlight w:val="none"/>
          <w:lang w:eastAsia="zh-CN"/>
        </w:rPr>
      </w:pPr>
      <w:r>
        <w:rPr>
          <w:rFonts w:hint="eastAsia" w:eastAsia="黑体"/>
          <w:color w:val="auto"/>
          <w:sz w:val="30"/>
          <w:highlight w:val="none"/>
          <w:lang w:eastAsia="zh-CN"/>
        </w:rPr>
        <w:t>宁波市北仑区人民政府梅山街道办事处</w:t>
      </w:r>
    </w:p>
    <w:p w14:paraId="34B1B647">
      <w:pPr>
        <w:jc w:val="center"/>
        <w:rPr>
          <w:rFonts w:eastAsia="黑体"/>
          <w:color w:val="auto"/>
          <w:sz w:val="30"/>
          <w:highlight w:val="none"/>
        </w:rPr>
      </w:pPr>
      <w:r>
        <w:rPr>
          <w:rFonts w:hint="eastAsia" w:eastAsia="黑体"/>
          <w:color w:val="auto"/>
          <w:sz w:val="30"/>
          <w:highlight w:val="none"/>
        </w:rPr>
        <w:t>农污设施安全文明养护</w:t>
      </w:r>
      <w:r>
        <w:rPr>
          <w:rFonts w:hint="eastAsia" w:eastAsia="黑体"/>
          <w:color w:val="auto"/>
          <w:sz w:val="30"/>
          <w:highlight w:val="none"/>
          <w:lang w:val="en-US" w:eastAsia="zh-CN"/>
        </w:rPr>
        <w:t>考核</w:t>
      </w:r>
      <w:r>
        <w:rPr>
          <w:rFonts w:hint="eastAsia" w:eastAsia="黑体"/>
          <w:color w:val="auto"/>
          <w:sz w:val="30"/>
          <w:highlight w:val="none"/>
        </w:rPr>
        <w:t>细则</w:t>
      </w:r>
    </w:p>
    <w:p w14:paraId="09B3229D">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为加强养护安全文明管理工作，根据宁波市北仑区人民政府梅山街道办事处农污设施养护考核办法，结合浙江省《农村生活污水处理设施标准化运维评价标准》农村生活污水处理设施标准化运维评分表，关于安全文明养护事项，按照本细则进行考核，具体考核办法如下。</w:t>
      </w:r>
    </w:p>
    <w:tbl>
      <w:tblPr>
        <w:tblStyle w:val="24"/>
        <w:tblW w:w="4984" w:type="pct"/>
        <w:jc w:val="center"/>
        <w:tblLayout w:type="fixed"/>
        <w:tblCellMar>
          <w:top w:w="0" w:type="dxa"/>
          <w:left w:w="0" w:type="dxa"/>
          <w:bottom w:w="0" w:type="dxa"/>
          <w:right w:w="0" w:type="dxa"/>
        </w:tblCellMar>
      </w:tblPr>
      <w:tblGrid>
        <w:gridCol w:w="602"/>
        <w:gridCol w:w="934"/>
        <w:gridCol w:w="1643"/>
        <w:gridCol w:w="1739"/>
        <w:gridCol w:w="1441"/>
        <w:gridCol w:w="776"/>
        <w:gridCol w:w="1137"/>
        <w:gridCol w:w="1265"/>
      </w:tblGrid>
      <w:tr w14:paraId="005B9A56">
        <w:tblPrEx>
          <w:tblCellMar>
            <w:top w:w="0" w:type="dxa"/>
            <w:left w:w="0" w:type="dxa"/>
            <w:bottom w:w="0" w:type="dxa"/>
            <w:right w:w="0" w:type="dxa"/>
          </w:tblCellMar>
        </w:tblPrEx>
        <w:trPr>
          <w:trHeight w:val="344"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BB05DD2">
            <w:pPr>
              <w:jc w:val="center"/>
              <w:textAlignment w:val="center"/>
              <w:rPr>
                <w:rFonts w:ascii="Times New Roman"/>
                <w:b/>
                <w:bCs/>
                <w:color w:val="auto"/>
                <w:sz w:val="18"/>
                <w:szCs w:val="18"/>
                <w:highlight w:val="none"/>
              </w:rPr>
            </w:pPr>
            <w:r>
              <w:rPr>
                <w:rFonts w:ascii="Times New Roman"/>
                <w:b/>
                <w:bCs/>
                <w:color w:val="auto"/>
                <w:sz w:val="18"/>
                <w:szCs w:val="18"/>
                <w:highlight w:val="none"/>
                <w:lang w:bidi="ar"/>
              </w:rPr>
              <w:t>序号</w:t>
            </w:r>
          </w:p>
        </w:tc>
        <w:tc>
          <w:tcPr>
            <w:tcW w:w="489"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085E99">
            <w:pPr>
              <w:jc w:val="center"/>
              <w:textAlignment w:val="center"/>
              <w:rPr>
                <w:rFonts w:ascii="Times New Roman"/>
                <w:b/>
                <w:bCs/>
                <w:color w:val="auto"/>
                <w:sz w:val="18"/>
                <w:szCs w:val="18"/>
                <w:highlight w:val="none"/>
              </w:rPr>
            </w:pPr>
            <w:r>
              <w:rPr>
                <w:rFonts w:ascii="Times New Roman"/>
                <w:b/>
                <w:bCs/>
                <w:color w:val="auto"/>
                <w:sz w:val="18"/>
                <w:szCs w:val="18"/>
                <w:highlight w:val="none"/>
                <w:lang w:bidi="ar"/>
              </w:rPr>
              <w:t>项目名称</w:t>
            </w:r>
          </w:p>
        </w:tc>
        <w:tc>
          <w:tcPr>
            <w:tcW w:w="1773"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ADDA37">
            <w:pPr>
              <w:jc w:val="center"/>
              <w:textAlignment w:val="center"/>
              <w:rPr>
                <w:rFonts w:ascii="Times New Roman"/>
                <w:b/>
                <w:bCs/>
                <w:color w:val="auto"/>
                <w:sz w:val="18"/>
                <w:szCs w:val="18"/>
                <w:highlight w:val="none"/>
              </w:rPr>
            </w:pPr>
            <w:r>
              <w:rPr>
                <w:rFonts w:ascii="Times New Roman"/>
                <w:b/>
                <w:bCs/>
                <w:color w:val="auto"/>
                <w:sz w:val="18"/>
                <w:szCs w:val="18"/>
                <w:highlight w:val="none"/>
                <w:lang w:bidi="ar"/>
              </w:rPr>
              <w:t>考核内容</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E7E9C3">
            <w:pPr>
              <w:jc w:val="center"/>
              <w:textAlignment w:val="center"/>
              <w:rPr>
                <w:rFonts w:ascii="Times New Roman"/>
                <w:b/>
                <w:bCs/>
                <w:color w:val="auto"/>
                <w:sz w:val="18"/>
                <w:szCs w:val="18"/>
                <w:highlight w:val="none"/>
              </w:rPr>
            </w:pPr>
            <w:r>
              <w:rPr>
                <w:rFonts w:ascii="Times New Roman"/>
                <w:b/>
                <w:bCs/>
                <w:color w:val="auto"/>
                <w:sz w:val="18"/>
                <w:szCs w:val="18"/>
                <w:highlight w:val="none"/>
                <w:lang w:bidi="ar"/>
              </w:rPr>
              <w:t>考核办法</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F441A4">
            <w:pPr>
              <w:jc w:val="center"/>
              <w:textAlignment w:val="center"/>
              <w:rPr>
                <w:rFonts w:hint="default" w:ascii="Times New Roman" w:eastAsia="宋体"/>
                <w:b/>
                <w:bCs/>
                <w:color w:val="auto"/>
                <w:sz w:val="18"/>
                <w:szCs w:val="18"/>
                <w:highlight w:val="none"/>
                <w:lang w:val="en-US" w:eastAsia="zh-CN"/>
              </w:rPr>
            </w:pPr>
            <w:r>
              <w:rPr>
                <w:rFonts w:hint="eastAsia" w:ascii="Times New Roman"/>
                <w:b/>
                <w:bCs/>
                <w:color w:val="auto"/>
                <w:sz w:val="18"/>
                <w:szCs w:val="18"/>
                <w:highlight w:val="none"/>
                <w:lang w:val="en-US" w:eastAsia="zh-CN"/>
              </w:rPr>
              <w:t>扣款</w:t>
            </w: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D2A971">
            <w:pPr>
              <w:jc w:val="center"/>
              <w:textAlignment w:val="center"/>
              <w:rPr>
                <w:rFonts w:hint="eastAsia" w:ascii="Times New Roman" w:eastAsia="宋体"/>
                <w:b/>
                <w:bCs/>
                <w:color w:val="auto"/>
                <w:sz w:val="18"/>
                <w:szCs w:val="18"/>
                <w:highlight w:val="none"/>
                <w:lang w:val="en-US" w:eastAsia="zh-CN"/>
              </w:rPr>
            </w:pPr>
            <w:r>
              <w:rPr>
                <w:rFonts w:ascii="Times New Roman"/>
                <w:b/>
                <w:bCs/>
                <w:color w:val="auto"/>
                <w:sz w:val="18"/>
                <w:szCs w:val="18"/>
                <w:highlight w:val="none"/>
                <w:lang w:bidi="ar"/>
              </w:rPr>
              <w:t>备注</w:t>
            </w:r>
          </w:p>
        </w:tc>
      </w:tr>
      <w:tr w14:paraId="4EE81241">
        <w:tblPrEx>
          <w:tblCellMar>
            <w:top w:w="0" w:type="dxa"/>
            <w:left w:w="0" w:type="dxa"/>
            <w:bottom w:w="0" w:type="dxa"/>
            <w:right w:w="0" w:type="dxa"/>
          </w:tblCellMar>
        </w:tblPrEx>
        <w:trPr>
          <w:trHeight w:val="1038"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9B3F730">
            <w:pPr>
              <w:jc w:val="center"/>
              <w:textAlignment w:val="center"/>
              <w:rPr>
                <w:rFonts w:ascii="Times New Roman"/>
                <w:color w:val="auto"/>
                <w:sz w:val="18"/>
                <w:szCs w:val="18"/>
                <w:highlight w:val="none"/>
              </w:rPr>
            </w:pPr>
            <w:r>
              <w:rPr>
                <w:rFonts w:ascii="Times New Roman"/>
                <w:color w:val="auto"/>
                <w:sz w:val="18"/>
                <w:szCs w:val="18"/>
                <w:highlight w:val="none"/>
                <w:lang w:bidi="ar"/>
              </w:rPr>
              <w:t>1</w:t>
            </w:r>
          </w:p>
        </w:tc>
        <w:tc>
          <w:tcPr>
            <w:tcW w:w="489" w:type="pct"/>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13C6D6F9">
            <w:pPr>
              <w:jc w:val="center"/>
              <w:textAlignment w:val="center"/>
              <w:rPr>
                <w:rFonts w:ascii="Times New Roman"/>
                <w:color w:val="auto"/>
                <w:sz w:val="18"/>
                <w:szCs w:val="18"/>
                <w:highlight w:val="none"/>
              </w:rPr>
            </w:pPr>
            <w:r>
              <w:rPr>
                <w:rFonts w:ascii="Times New Roman"/>
                <w:color w:val="auto"/>
                <w:sz w:val="18"/>
                <w:szCs w:val="18"/>
                <w:highlight w:val="none"/>
                <w:lang w:bidi="ar"/>
              </w:rPr>
              <w:t xml:space="preserve">安全作业  文明作业  </w:t>
            </w:r>
          </w:p>
        </w:tc>
        <w:tc>
          <w:tcPr>
            <w:tcW w:w="1773"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71EC">
            <w:pPr>
              <w:jc w:val="both"/>
              <w:textAlignment w:val="center"/>
              <w:rPr>
                <w:rFonts w:hint="eastAsia" w:ascii="Times New Roman" w:eastAsia="宋体"/>
                <w:color w:val="auto"/>
                <w:sz w:val="18"/>
                <w:szCs w:val="18"/>
                <w:highlight w:val="none"/>
                <w:lang w:eastAsia="zh-CN"/>
              </w:rPr>
            </w:pPr>
            <w:r>
              <w:rPr>
                <w:rFonts w:ascii="Times New Roman"/>
                <w:color w:val="auto"/>
                <w:sz w:val="18"/>
                <w:szCs w:val="18"/>
                <w:highlight w:val="none"/>
                <w:lang w:bidi="ar"/>
              </w:rPr>
              <w:t>养护操作、巡查人员在作业时必须佩戴相应的劳动防护用品</w:t>
            </w:r>
            <w:r>
              <w:rPr>
                <w:rFonts w:hint="eastAsia" w:ascii="Times New Roman"/>
                <w:color w:val="auto"/>
                <w:sz w:val="18"/>
                <w:szCs w:val="18"/>
                <w:highlight w:val="none"/>
                <w:lang w:eastAsia="zh-CN" w:bidi="ar"/>
              </w:rPr>
              <w:t>（戴</w:t>
            </w:r>
            <w:r>
              <w:rPr>
                <w:rFonts w:ascii="Times New Roman"/>
                <w:color w:val="auto"/>
                <w:sz w:val="18"/>
                <w:szCs w:val="18"/>
                <w:highlight w:val="none"/>
                <w:lang w:bidi="ar"/>
              </w:rPr>
              <w:t>安全帽、胶皮手套</w:t>
            </w:r>
            <w:r>
              <w:rPr>
                <w:rFonts w:hint="eastAsia" w:ascii="Times New Roman"/>
                <w:color w:val="auto"/>
                <w:sz w:val="18"/>
                <w:szCs w:val="18"/>
                <w:highlight w:val="none"/>
                <w:lang w:eastAsia="zh-CN" w:bidi="ar"/>
              </w:rPr>
              <w:t>，</w:t>
            </w:r>
            <w:r>
              <w:rPr>
                <w:rFonts w:ascii="Times New Roman"/>
                <w:color w:val="auto"/>
                <w:sz w:val="18"/>
                <w:szCs w:val="18"/>
                <w:highlight w:val="none"/>
                <w:lang w:bidi="ar"/>
              </w:rPr>
              <w:t>穿防护服、防刺</w:t>
            </w:r>
            <w:r>
              <w:rPr>
                <w:rFonts w:hint="eastAsia" w:ascii="Times New Roman"/>
                <w:color w:val="auto"/>
                <w:sz w:val="18"/>
                <w:szCs w:val="18"/>
                <w:highlight w:val="none"/>
                <w:lang w:eastAsia="zh-CN" w:bidi="ar"/>
              </w:rPr>
              <w:t>防砸</w:t>
            </w:r>
            <w:r>
              <w:rPr>
                <w:rFonts w:ascii="Times New Roman"/>
                <w:color w:val="auto"/>
                <w:sz w:val="18"/>
                <w:szCs w:val="18"/>
                <w:highlight w:val="none"/>
                <w:lang w:bidi="ar"/>
              </w:rPr>
              <w:t>鞋和安全绳等，上路作业时必须穿反光背心</w:t>
            </w:r>
            <w:r>
              <w:rPr>
                <w:rFonts w:hint="eastAsia" w:ascii="Times New Roman"/>
                <w:color w:val="auto"/>
                <w:sz w:val="18"/>
                <w:szCs w:val="18"/>
                <w:highlight w:val="none"/>
                <w:lang w:eastAsia="zh-CN" w:bidi="ar"/>
              </w:rPr>
              <w:t>或具有明显反光效果的工作服）</w:t>
            </w:r>
            <w:r>
              <w:rPr>
                <w:rFonts w:hint="eastAsia"/>
                <w:color w:val="auto"/>
                <w:sz w:val="18"/>
                <w:szCs w:val="18"/>
                <w:highlight w:val="none"/>
                <w:lang w:eastAsia="zh-CN" w:bidi="ar"/>
              </w:rPr>
              <w:t>。</w:t>
            </w:r>
          </w:p>
        </w:tc>
        <w:tc>
          <w:tcPr>
            <w:tcW w:w="1162"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1C95562">
            <w:pPr>
              <w:jc w:val="both"/>
              <w:textAlignment w:val="center"/>
              <w:rPr>
                <w:rFonts w:hint="eastAsia"/>
                <w:color w:val="auto"/>
                <w:sz w:val="18"/>
                <w:szCs w:val="18"/>
                <w:highlight w:val="none"/>
                <w:lang w:eastAsia="zh-CN"/>
              </w:rPr>
            </w:pPr>
            <w:r>
              <w:rPr>
                <w:rFonts w:hint="eastAsia"/>
                <w:color w:val="auto"/>
                <w:sz w:val="18"/>
                <w:szCs w:val="18"/>
                <w:highlight w:val="none"/>
                <w:lang w:eastAsia="zh-CN"/>
              </w:rPr>
              <w:t>日常</w:t>
            </w:r>
            <w:r>
              <w:rPr>
                <w:rFonts w:hint="default"/>
                <w:color w:val="auto"/>
                <w:sz w:val="18"/>
                <w:szCs w:val="18"/>
                <w:highlight w:val="none"/>
              </w:rPr>
              <w:t>养护操作、巡查</w:t>
            </w:r>
            <w:r>
              <w:rPr>
                <w:rFonts w:hint="eastAsia"/>
                <w:color w:val="auto"/>
                <w:sz w:val="18"/>
                <w:szCs w:val="18"/>
                <w:highlight w:val="none"/>
                <w:lang w:eastAsia="zh-CN"/>
              </w:rPr>
              <w:t>等</w:t>
            </w:r>
            <w:r>
              <w:rPr>
                <w:rFonts w:hint="default"/>
                <w:color w:val="auto"/>
                <w:sz w:val="18"/>
                <w:szCs w:val="18"/>
                <w:highlight w:val="none"/>
                <w:lang w:eastAsia="zh-CN"/>
              </w:rPr>
              <w:t>每</w:t>
            </w:r>
            <w:r>
              <w:rPr>
                <w:rFonts w:hint="default"/>
                <w:color w:val="auto"/>
                <w:sz w:val="18"/>
                <w:szCs w:val="18"/>
                <w:highlight w:val="none"/>
              </w:rPr>
              <w:t>发现一处不符合要求扣</w:t>
            </w:r>
            <w:r>
              <w:rPr>
                <w:rFonts w:hint="eastAsia"/>
                <w:color w:val="auto"/>
                <w:sz w:val="18"/>
                <w:szCs w:val="18"/>
                <w:highlight w:val="none"/>
                <w:lang w:val="en-US" w:eastAsia="zh-CN"/>
              </w:rPr>
              <w:t>100元/人次</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827FE9">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304E0D">
            <w:pPr>
              <w:spacing w:before="28"/>
              <w:ind w:left="56"/>
              <w:rPr>
                <w:rFonts w:ascii="Times New Roman"/>
                <w:color w:val="auto"/>
                <w:sz w:val="18"/>
                <w:szCs w:val="18"/>
                <w:highlight w:val="none"/>
              </w:rPr>
            </w:pPr>
          </w:p>
        </w:tc>
      </w:tr>
      <w:tr w14:paraId="531E0299">
        <w:tblPrEx>
          <w:tblCellMar>
            <w:top w:w="0" w:type="dxa"/>
            <w:left w:w="0" w:type="dxa"/>
            <w:bottom w:w="0" w:type="dxa"/>
            <w:right w:w="0" w:type="dxa"/>
          </w:tblCellMar>
        </w:tblPrEx>
        <w:trPr>
          <w:trHeight w:val="1038"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20D773F">
            <w:pPr>
              <w:jc w:val="center"/>
              <w:textAlignment w:val="center"/>
              <w:rPr>
                <w:rFonts w:hint="eastAsia" w:ascii="Times New Roman" w:eastAsia="宋体"/>
                <w:color w:val="auto"/>
                <w:sz w:val="18"/>
                <w:szCs w:val="18"/>
                <w:highlight w:val="none"/>
                <w:lang w:val="en-US" w:eastAsia="zh-CN" w:bidi="ar"/>
              </w:rPr>
            </w:pPr>
            <w:r>
              <w:rPr>
                <w:rFonts w:hint="eastAsia" w:ascii="Times New Roman"/>
                <w:color w:val="auto"/>
                <w:sz w:val="18"/>
                <w:szCs w:val="18"/>
                <w:highlight w:val="none"/>
                <w:lang w:val="en-US" w:eastAsia="zh-CN" w:bidi="ar"/>
              </w:rPr>
              <w:t>2</w:t>
            </w:r>
          </w:p>
        </w:tc>
        <w:tc>
          <w:tcPr>
            <w:tcW w:w="489" w:type="pct"/>
            <w:vMerge w:val="continue"/>
            <w:tcBorders>
              <w:left w:val="single" w:color="000000" w:sz="8" w:space="0"/>
              <w:right w:val="single" w:color="000000" w:sz="8" w:space="0"/>
            </w:tcBorders>
            <w:noWrap w:val="0"/>
            <w:tcMar>
              <w:top w:w="15" w:type="dxa"/>
              <w:left w:w="15" w:type="dxa"/>
              <w:right w:w="15" w:type="dxa"/>
            </w:tcMar>
            <w:vAlign w:val="center"/>
          </w:tcPr>
          <w:p w14:paraId="2CA060C7">
            <w:pPr>
              <w:jc w:val="center"/>
              <w:textAlignment w:val="center"/>
              <w:rPr>
                <w:rFonts w:ascii="Times New Roman"/>
                <w:color w:val="auto"/>
                <w:sz w:val="18"/>
                <w:szCs w:val="18"/>
                <w:highlight w:val="none"/>
                <w:lang w:bidi="ar"/>
              </w:rPr>
            </w:pPr>
          </w:p>
        </w:tc>
        <w:tc>
          <w:tcPr>
            <w:tcW w:w="1773"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0B351C">
            <w:pPr>
              <w:jc w:val="both"/>
              <w:textAlignment w:val="center"/>
              <w:rPr>
                <w:rFonts w:ascii="Times New Roman"/>
                <w:color w:val="auto"/>
                <w:sz w:val="18"/>
                <w:szCs w:val="18"/>
                <w:highlight w:val="none"/>
                <w:lang w:bidi="ar"/>
              </w:rPr>
            </w:pPr>
            <w:r>
              <w:rPr>
                <w:rFonts w:hint="eastAsia" w:ascii="Times New Roman"/>
                <w:color w:val="auto"/>
                <w:sz w:val="18"/>
                <w:szCs w:val="18"/>
                <w:highlight w:val="none"/>
                <w:lang w:bidi="ar"/>
              </w:rPr>
              <w:t>下井作业</w:t>
            </w:r>
            <w:r>
              <w:rPr>
                <w:rFonts w:hint="eastAsia" w:ascii="Times New Roman"/>
                <w:color w:val="auto"/>
                <w:sz w:val="18"/>
                <w:szCs w:val="18"/>
                <w:highlight w:val="none"/>
                <w:lang w:val="en-US" w:eastAsia="zh-CN" w:bidi="ar"/>
              </w:rPr>
              <w:t>须按照甲方有限空间作业规范执行</w:t>
            </w:r>
            <w:r>
              <w:rPr>
                <w:rFonts w:hint="eastAsia"/>
                <w:color w:val="auto"/>
                <w:sz w:val="18"/>
                <w:szCs w:val="18"/>
                <w:highlight w:val="none"/>
                <w:lang w:val="en-US" w:eastAsia="zh-CN" w:bidi="ar"/>
              </w:rPr>
              <w:t>。</w:t>
            </w:r>
          </w:p>
        </w:tc>
        <w:tc>
          <w:tcPr>
            <w:tcW w:w="1162"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ABCF11C">
            <w:pPr>
              <w:jc w:val="both"/>
              <w:textAlignment w:val="center"/>
              <w:rPr>
                <w:rFonts w:hint="eastAsia"/>
                <w:color w:val="auto"/>
                <w:sz w:val="18"/>
                <w:szCs w:val="18"/>
                <w:highlight w:val="none"/>
                <w:lang w:eastAsia="zh-CN"/>
              </w:rPr>
            </w:pPr>
            <w:r>
              <w:rPr>
                <w:rFonts w:hint="eastAsia"/>
                <w:color w:val="auto"/>
                <w:sz w:val="18"/>
                <w:szCs w:val="18"/>
                <w:highlight w:val="none"/>
                <w:lang w:eastAsia="zh-CN"/>
              </w:rPr>
              <w:t>下井作业</w:t>
            </w:r>
            <w:r>
              <w:rPr>
                <w:rFonts w:hint="default"/>
                <w:color w:val="auto"/>
                <w:sz w:val="18"/>
                <w:szCs w:val="18"/>
                <w:highlight w:val="none"/>
              </w:rPr>
              <w:t>不符合要求</w:t>
            </w:r>
            <w:r>
              <w:rPr>
                <w:rFonts w:hint="eastAsia"/>
                <w:color w:val="auto"/>
                <w:sz w:val="18"/>
                <w:szCs w:val="18"/>
                <w:highlight w:val="none"/>
                <w:lang w:val="en-US" w:eastAsia="zh-CN"/>
              </w:rPr>
              <w:t>的</w:t>
            </w:r>
            <w:r>
              <w:rPr>
                <w:rFonts w:hint="default"/>
                <w:color w:val="auto"/>
                <w:sz w:val="18"/>
                <w:szCs w:val="18"/>
                <w:highlight w:val="none"/>
                <w:lang w:eastAsia="zh-CN"/>
              </w:rPr>
              <w:t>每</w:t>
            </w:r>
            <w:r>
              <w:rPr>
                <w:rFonts w:hint="eastAsia"/>
                <w:color w:val="auto"/>
                <w:sz w:val="18"/>
                <w:szCs w:val="18"/>
                <w:highlight w:val="none"/>
                <w:lang w:val="en-US" w:eastAsia="zh-CN"/>
              </w:rPr>
              <w:t>次</w:t>
            </w:r>
            <w:r>
              <w:rPr>
                <w:rFonts w:hint="default"/>
                <w:color w:val="auto"/>
                <w:sz w:val="18"/>
                <w:szCs w:val="18"/>
                <w:highlight w:val="none"/>
              </w:rPr>
              <w:t>扣</w:t>
            </w:r>
            <w:r>
              <w:rPr>
                <w:rFonts w:hint="eastAsia"/>
                <w:color w:val="auto"/>
                <w:sz w:val="18"/>
                <w:szCs w:val="18"/>
                <w:highlight w:val="none"/>
                <w:lang w:val="en-US" w:eastAsia="zh-CN"/>
              </w:rPr>
              <w:t>5000元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C0D649">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E01B4E">
            <w:pPr>
              <w:spacing w:before="28"/>
              <w:ind w:left="56"/>
              <w:rPr>
                <w:rFonts w:ascii="Times New Roman"/>
                <w:color w:val="auto"/>
                <w:sz w:val="18"/>
                <w:szCs w:val="18"/>
                <w:highlight w:val="none"/>
              </w:rPr>
            </w:pPr>
          </w:p>
        </w:tc>
      </w:tr>
      <w:tr w14:paraId="0A8C7F13">
        <w:tblPrEx>
          <w:tblCellMar>
            <w:top w:w="0" w:type="dxa"/>
            <w:left w:w="0" w:type="dxa"/>
            <w:bottom w:w="0" w:type="dxa"/>
            <w:right w:w="0" w:type="dxa"/>
          </w:tblCellMar>
        </w:tblPrEx>
        <w:trPr>
          <w:trHeight w:val="1084"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F734CE6">
            <w:pPr>
              <w:jc w:val="center"/>
              <w:textAlignment w:val="center"/>
              <w:rPr>
                <w:rFonts w:hint="eastAsia" w:ascii="Times New Roman" w:eastAsia="宋体"/>
                <w:color w:val="auto"/>
                <w:sz w:val="18"/>
                <w:szCs w:val="18"/>
                <w:highlight w:val="none"/>
                <w:lang w:eastAsia="zh-CN"/>
              </w:rPr>
            </w:pPr>
            <w:r>
              <w:rPr>
                <w:rFonts w:hint="eastAsia"/>
                <w:color w:val="auto"/>
                <w:sz w:val="18"/>
                <w:szCs w:val="18"/>
                <w:highlight w:val="none"/>
                <w:lang w:val="en-US" w:eastAsia="zh-CN" w:bidi="ar"/>
              </w:rPr>
              <w:t>3</w:t>
            </w:r>
          </w:p>
        </w:tc>
        <w:tc>
          <w:tcPr>
            <w:tcW w:w="489" w:type="pct"/>
            <w:vMerge w:val="continue"/>
            <w:tcBorders>
              <w:left w:val="single" w:color="000000" w:sz="8" w:space="0"/>
              <w:right w:val="single" w:color="000000" w:sz="8" w:space="0"/>
            </w:tcBorders>
            <w:noWrap w:val="0"/>
            <w:tcMar>
              <w:top w:w="15" w:type="dxa"/>
              <w:left w:w="15" w:type="dxa"/>
              <w:right w:w="15" w:type="dxa"/>
            </w:tcMar>
            <w:vAlign w:val="center"/>
          </w:tcPr>
          <w:p w14:paraId="31BF77D7">
            <w:pPr>
              <w:jc w:val="both"/>
              <w:rPr>
                <w:rFonts w:ascii="Times New Roman"/>
                <w:color w:val="auto"/>
                <w:sz w:val="18"/>
                <w:szCs w:val="18"/>
                <w:highlight w:val="none"/>
              </w:rPr>
            </w:pPr>
          </w:p>
        </w:tc>
        <w:tc>
          <w:tcPr>
            <w:tcW w:w="1773"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9CB03AD">
            <w:pPr>
              <w:pStyle w:val="45"/>
              <w:adjustRightInd w:val="0"/>
              <w:snapToGrid w:val="0"/>
              <w:spacing w:line="360" w:lineRule="auto"/>
              <w:ind w:firstLine="0"/>
              <w:jc w:val="both"/>
              <w:rPr>
                <w:rFonts w:ascii="Times New Roman"/>
                <w:color w:val="auto"/>
                <w:sz w:val="18"/>
                <w:szCs w:val="18"/>
                <w:highlight w:val="none"/>
              </w:rPr>
            </w:pPr>
            <w:r>
              <w:rPr>
                <w:rFonts w:hint="eastAsia"/>
                <w:color w:val="auto"/>
                <w:sz w:val="18"/>
                <w:szCs w:val="18"/>
                <w:highlight w:val="none"/>
                <w:lang w:val="en-US" w:eastAsia="zh-CN"/>
              </w:rPr>
              <w:t>未按要求配备灭火器、易燃易爆物品（汽、柴油发电设备等）存放不规范，电瓶车充电不规范的。</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8F9794">
            <w:pPr>
              <w:pStyle w:val="45"/>
              <w:adjustRightInd w:val="0"/>
              <w:snapToGrid w:val="0"/>
              <w:spacing w:line="360" w:lineRule="auto"/>
              <w:ind w:firstLine="0"/>
              <w:jc w:val="both"/>
              <w:rPr>
                <w:rFonts w:ascii="Times New Roman"/>
                <w:color w:val="auto"/>
                <w:sz w:val="18"/>
                <w:szCs w:val="18"/>
                <w:highlight w:val="none"/>
              </w:rPr>
            </w:pPr>
            <w:r>
              <w:rPr>
                <w:rFonts w:hint="eastAsia"/>
                <w:color w:val="auto"/>
                <w:sz w:val="18"/>
                <w:szCs w:val="18"/>
                <w:highlight w:val="none"/>
                <w:lang w:val="en-US" w:eastAsia="zh-CN"/>
              </w:rPr>
              <w:t>每发现一次，扣1000元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4935B4">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F2F719">
            <w:pPr>
              <w:jc w:val="center"/>
              <w:rPr>
                <w:rFonts w:hint="default" w:ascii="Times New Roman" w:eastAsia="宋体"/>
                <w:color w:val="auto"/>
                <w:sz w:val="18"/>
                <w:szCs w:val="18"/>
                <w:highlight w:val="none"/>
                <w:lang w:val="en-US" w:eastAsia="zh-CN"/>
              </w:rPr>
            </w:pPr>
          </w:p>
        </w:tc>
      </w:tr>
      <w:tr w14:paraId="42C3916A">
        <w:tblPrEx>
          <w:tblCellMar>
            <w:top w:w="0" w:type="dxa"/>
            <w:left w:w="0" w:type="dxa"/>
            <w:bottom w:w="0" w:type="dxa"/>
            <w:right w:w="0" w:type="dxa"/>
          </w:tblCellMar>
        </w:tblPrEx>
        <w:trPr>
          <w:trHeight w:val="1285"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A1DDF3C">
            <w:pPr>
              <w:jc w:val="center"/>
              <w:textAlignment w:val="center"/>
              <w:rPr>
                <w:rFonts w:hint="eastAsia" w:ascii="Times New Roman" w:eastAsia="宋体"/>
                <w:color w:val="auto"/>
                <w:sz w:val="18"/>
                <w:szCs w:val="18"/>
                <w:highlight w:val="none"/>
                <w:lang w:eastAsia="zh-CN"/>
              </w:rPr>
            </w:pPr>
            <w:r>
              <w:rPr>
                <w:rFonts w:hint="eastAsia"/>
                <w:color w:val="auto"/>
                <w:sz w:val="18"/>
                <w:szCs w:val="18"/>
                <w:highlight w:val="none"/>
                <w:lang w:val="en-US" w:eastAsia="zh-CN" w:bidi="ar"/>
              </w:rPr>
              <w:t>4</w:t>
            </w:r>
          </w:p>
        </w:tc>
        <w:tc>
          <w:tcPr>
            <w:tcW w:w="489" w:type="pct"/>
            <w:vMerge w:val="continue"/>
            <w:tcBorders>
              <w:left w:val="single" w:color="000000" w:sz="8" w:space="0"/>
              <w:right w:val="single" w:color="000000" w:sz="8" w:space="0"/>
            </w:tcBorders>
            <w:noWrap w:val="0"/>
            <w:tcMar>
              <w:top w:w="15" w:type="dxa"/>
              <w:left w:w="15" w:type="dxa"/>
              <w:right w:w="15" w:type="dxa"/>
            </w:tcMar>
            <w:vAlign w:val="center"/>
          </w:tcPr>
          <w:p w14:paraId="48F2302D">
            <w:pPr>
              <w:jc w:val="both"/>
              <w:rPr>
                <w:rFonts w:ascii="Times New Roman"/>
                <w:color w:val="auto"/>
                <w:sz w:val="18"/>
                <w:szCs w:val="18"/>
                <w:highlight w:val="none"/>
              </w:rPr>
            </w:pPr>
          </w:p>
        </w:tc>
        <w:tc>
          <w:tcPr>
            <w:tcW w:w="1773"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E5782E9">
            <w:pPr>
              <w:jc w:val="both"/>
              <w:textAlignment w:val="center"/>
              <w:rPr>
                <w:rFonts w:hint="eastAsia" w:ascii="Times New Roman" w:eastAsia="宋体"/>
                <w:color w:val="auto"/>
                <w:sz w:val="18"/>
                <w:szCs w:val="18"/>
                <w:highlight w:val="none"/>
                <w:lang w:eastAsia="zh-CN"/>
              </w:rPr>
            </w:pPr>
            <w:r>
              <w:rPr>
                <w:rFonts w:ascii="Times New Roman"/>
                <w:color w:val="auto"/>
                <w:sz w:val="18"/>
                <w:szCs w:val="18"/>
                <w:highlight w:val="none"/>
                <w:lang w:bidi="ar"/>
              </w:rPr>
              <w:t>不与人发生争吵、打架等冲突；</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997C7">
            <w:pPr>
              <w:jc w:val="both"/>
              <w:textAlignment w:val="center"/>
              <w:rPr>
                <w:rFonts w:hint="default" w:ascii="Times New Roman"/>
                <w:color w:val="auto"/>
                <w:sz w:val="18"/>
                <w:szCs w:val="18"/>
                <w:highlight w:val="none"/>
                <w:lang w:val="en-US"/>
              </w:rPr>
            </w:pPr>
            <w:r>
              <w:rPr>
                <w:rFonts w:ascii="Times New Roman"/>
                <w:color w:val="auto"/>
                <w:sz w:val="18"/>
                <w:szCs w:val="18"/>
                <w:highlight w:val="none"/>
                <w:lang w:bidi="ar"/>
              </w:rPr>
              <w:t>发生争吵</w:t>
            </w:r>
            <w:r>
              <w:rPr>
                <w:rFonts w:hint="eastAsia" w:ascii="Times New Roman"/>
                <w:color w:val="auto"/>
                <w:sz w:val="18"/>
                <w:szCs w:val="18"/>
                <w:highlight w:val="none"/>
                <w:lang w:val="en-US" w:eastAsia="zh-CN" w:bidi="ar"/>
              </w:rPr>
              <w:t>的</w:t>
            </w:r>
            <w:r>
              <w:rPr>
                <w:rFonts w:hint="eastAsia" w:ascii="Times New Roman"/>
                <w:color w:val="auto"/>
                <w:sz w:val="18"/>
                <w:szCs w:val="18"/>
                <w:highlight w:val="none"/>
                <w:lang w:eastAsia="zh-CN" w:bidi="ar"/>
              </w:rPr>
              <w:t>，</w:t>
            </w:r>
            <w:r>
              <w:rPr>
                <w:rFonts w:hint="eastAsia" w:ascii="Times New Roman"/>
                <w:color w:val="auto"/>
                <w:sz w:val="18"/>
                <w:szCs w:val="18"/>
                <w:highlight w:val="none"/>
                <w:lang w:val="en-US" w:eastAsia="zh-CN" w:bidi="ar"/>
              </w:rPr>
              <w:t>每次扣1000元；发生</w:t>
            </w:r>
            <w:r>
              <w:rPr>
                <w:rFonts w:ascii="Times New Roman"/>
                <w:color w:val="auto"/>
                <w:sz w:val="18"/>
                <w:szCs w:val="18"/>
                <w:highlight w:val="none"/>
                <w:lang w:bidi="ar"/>
              </w:rPr>
              <w:t>打架等冲突</w:t>
            </w:r>
            <w:r>
              <w:rPr>
                <w:rFonts w:hint="eastAsia" w:ascii="Times New Roman"/>
                <w:color w:val="auto"/>
                <w:sz w:val="18"/>
                <w:szCs w:val="18"/>
                <w:highlight w:val="none"/>
                <w:lang w:eastAsia="zh-CN" w:bidi="ar"/>
              </w:rPr>
              <w:t>，</w:t>
            </w:r>
            <w:r>
              <w:rPr>
                <w:rFonts w:hint="eastAsia" w:ascii="Times New Roman"/>
                <w:color w:val="auto"/>
                <w:sz w:val="18"/>
                <w:szCs w:val="18"/>
                <w:highlight w:val="none"/>
                <w:lang w:val="en-US" w:eastAsia="zh-CN" w:bidi="ar"/>
              </w:rPr>
              <w:t>每次</w:t>
            </w:r>
            <w:r>
              <w:rPr>
                <w:rFonts w:ascii="Times New Roman"/>
                <w:color w:val="auto"/>
                <w:sz w:val="18"/>
                <w:szCs w:val="18"/>
                <w:highlight w:val="none"/>
                <w:lang w:bidi="ar"/>
              </w:rPr>
              <w:t>扣</w:t>
            </w:r>
            <w:r>
              <w:rPr>
                <w:rStyle w:val="46"/>
                <w:rFonts w:hint="eastAsia" w:ascii="Times New Roman" w:cs="Times New Roman"/>
                <w:color w:val="auto"/>
                <w:sz w:val="18"/>
                <w:szCs w:val="18"/>
                <w:highlight w:val="none"/>
                <w:vertAlign w:val="baseline"/>
                <w:lang w:val="en-US" w:bidi="ar"/>
              </w:rPr>
              <w:t>10000元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7F1063">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2C95EE">
            <w:pPr>
              <w:jc w:val="left"/>
              <w:rPr>
                <w:rFonts w:ascii="Times New Roman"/>
                <w:color w:val="auto"/>
                <w:sz w:val="18"/>
                <w:szCs w:val="18"/>
                <w:highlight w:val="none"/>
              </w:rPr>
            </w:pPr>
            <w:r>
              <w:rPr>
                <w:rStyle w:val="46"/>
                <w:rFonts w:hint="eastAsia" w:ascii="Times New Roman" w:cs="Times New Roman"/>
                <w:color w:val="auto"/>
                <w:sz w:val="18"/>
                <w:szCs w:val="18"/>
                <w:highlight w:val="none"/>
                <w:vertAlign w:val="baseline"/>
                <w:lang w:val="en-US" w:bidi="ar"/>
              </w:rPr>
              <w:t>发生上述问题的，甲方有权要求乙方更换涉事人员</w:t>
            </w:r>
          </w:p>
        </w:tc>
      </w:tr>
      <w:tr w14:paraId="26B1DE3E">
        <w:tblPrEx>
          <w:tblCellMar>
            <w:top w:w="0" w:type="dxa"/>
            <w:left w:w="0" w:type="dxa"/>
            <w:bottom w:w="0" w:type="dxa"/>
            <w:right w:w="0" w:type="dxa"/>
          </w:tblCellMar>
        </w:tblPrEx>
        <w:trPr>
          <w:trHeight w:val="791"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64A0369">
            <w:pPr>
              <w:jc w:val="center"/>
              <w:textAlignment w:val="center"/>
              <w:rPr>
                <w:rFonts w:hint="eastAsia" w:ascii="Times New Roman" w:eastAsia="宋体"/>
                <w:color w:val="auto"/>
                <w:sz w:val="18"/>
                <w:szCs w:val="18"/>
                <w:highlight w:val="none"/>
                <w:lang w:eastAsia="zh-CN"/>
              </w:rPr>
            </w:pPr>
            <w:r>
              <w:rPr>
                <w:rFonts w:hint="eastAsia"/>
                <w:color w:val="auto"/>
                <w:sz w:val="18"/>
                <w:szCs w:val="18"/>
                <w:highlight w:val="none"/>
                <w:lang w:val="en-US" w:eastAsia="zh-CN" w:bidi="ar"/>
              </w:rPr>
              <w:t>5</w:t>
            </w:r>
          </w:p>
        </w:tc>
        <w:tc>
          <w:tcPr>
            <w:tcW w:w="489" w:type="pct"/>
            <w:vMerge w:val="continue"/>
            <w:tcBorders>
              <w:left w:val="single" w:color="000000" w:sz="8" w:space="0"/>
              <w:right w:val="single" w:color="000000" w:sz="8" w:space="0"/>
            </w:tcBorders>
            <w:noWrap w:val="0"/>
            <w:tcMar>
              <w:top w:w="15" w:type="dxa"/>
              <w:left w:w="15" w:type="dxa"/>
              <w:right w:w="15" w:type="dxa"/>
            </w:tcMar>
            <w:vAlign w:val="center"/>
          </w:tcPr>
          <w:p w14:paraId="30C2FD9D">
            <w:pPr>
              <w:jc w:val="both"/>
              <w:rPr>
                <w:rFonts w:ascii="Times New Roman"/>
                <w:color w:val="auto"/>
                <w:sz w:val="18"/>
                <w:szCs w:val="18"/>
                <w:highlight w:val="none"/>
              </w:rPr>
            </w:pPr>
          </w:p>
        </w:tc>
        <w:tc>
          <w:tcPr>
            <w:tcW w:w="1773"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109203D">
            <w:pPr>
              <w:jc w:val="both"/>
              <w:textAlignment w:val="center"/>
              <w:rPr>
                <w:rFonts w:hint="eastAsia" w:ascii="Times New Roman" w:hAnsi="Times New Roman" w:eastAsia="宋体" w:cs="Times New Roman"/>
                <w:color w:val="auto"/>
                <w:sz w:val="18"/>
                <w:szCs w:val="18"/>
                <w:highlight w:val="none"/>
                <w:lang w:val="en-US" w:eastAsia="zh-CN" w:bidi="ar"/>
              </w:rPr>
            </w:pPr>
            <w:r>
              <w:rPr>
                <w:rFonts w:hint="eastAsia" w:ascii="Times New Roman"/>
                <w:color w:val="auto"/>
                <w:sz w:val="18"/>
                <w:szCs w:val="18"/>
                <w:highlight w:val="none"/>
                <w:lang w:val="en-US" w:eastAsia="zh-CN" w:bidi="ar"/>
              </w:rPr>
              <w:t>工作期间</w:t>
            </w:r>
            <w:r>
              <w:rPr>
                <w:rFonts w:hint="eastAsia" w:ascii="Times New Roman"/>
                <w:color w:val="auto"/>
                <w:sz w:val="18"/>
                <w:szCs w:val="18"/>
                <w:highlight w:val="none"/>
                <w:lang w:bidi="ar"/>
              </w:rPr>
              <w:t>严禁</w:t>
            </w:r>
            <w:r>
              <w:rPr>
                <w:rFonts w:hint="eastAsia" w:ascii="Times New Roman"/>
                <w:color w:val="auto"/>
                <w:sz w:val="18"/>
                <w:szCs w:val="18"/>
                <w:highlight w:val="none"/>
                <w:lang w:val="en-US" w:eastAsia="zh-CN" w:bidi="ar"/>
              </w:rPr>
              <w:t>饮酒、</w:t>
            </w:r>
            <w:r>
              <w:rPr>
                <w:rFonts w:hint="eastAsia" w:ascii="Times New Roman"/>
                <w:color w:val="auto"/>
                <w:sz w:val="18"/>
                <w:szCs w:val="18"/>
                <w:highlight w:val="none"/>
                <w:lang w:bidi="ar"/>
              </w:rPr>
              <w:t>吸烟</w:t>
            </w:r>
            <w:r>
              <w:rPr>
                <w:rFonts w:hint="eastAsia" w:ascii="Times New Roman"/>
                <w:color w:val="auto"/>
                <w:sz w:val="18"/>
                <w:szCs w:val="18"/>
                <w:highlight w:val="none"/>
                <w:lang w:eastAsia="zh-CN" w:bidi="ar"/>
              </w:rPr>
              <w:t>，</w:t>
            </w:r>
            <w:r>
              <w:rPr>
                <w:rFonts w:hint="eastAsia" w:ascii="Times New Roman"/>
                <w:color w:val="auto"/>
                <w:sz w:val="18"/>
                <w:szCs w:val="18"/>
                <w:highlight w:val="none"/>
                <w:lang w:val="en-US" w:eastAsia="zh-CN" w:bidi="ar"/>
              </w:rPr>
              <w:t>严禁酒后上岗</w:t>
            </w:r>
            <w:r>
              <w:rPr>
                <w:rFonts w:hint="eastAsia"/>
                <w:color w:val="auto"/>
                <w:sz w:val="18"/>
                <w:szCs w:val="18"/>
                <w:highlight w:val="none"/>
                <w:lang w:val="en-US" w:eastAsia="zh-CN" w:bidi="ar"/>
              </w:rPr>
              <w:t>。</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AF538C">
            <w:pPr>
              <w:jc w:val="both"/>
              <w:textAlignment w:val="center"/>
              <w:rPr>
                <w:rFonts w:hint="default" w:ascii="Times New Roman" w:hAnsi="Times New Roman" w:eastAsia="宋体" w:cs="Times New Roman"/>
                <w:color w:val="auto"/>
                <w:sz w:val="18"/>
                <w:szCs w:val="18"/>
                <w:highlight w:val="none"/>
                <w:lang w:val="en-US" w:eastAsia="zh-CN" w:bidi="ar"/>
              </w:rPr>
            </w:pPr>
            <w:r>
              <w:rPr>
                <w:rFonts w:hint="eastAsia" w:ascii="Times New Roman"/>
                <w:color w:val="auto"/>
                <w:sz w:val="18"/>
                <w:szCs w:val="18"/>
                <w:highlight w:val="none"/>
                <w:lang w:bidi="ar"/>
              </w:rPr>
              <w:t>每发现一处</w:t>
            </w:r>
            <w:r>
              <w:rPr>
                <w:rFonts w:hint="eastAsia" w:ascii="Times New Roman"/>
                <w:color w:val="auto"/>
                <w:sz w:val="18"/>
                <w:szCs w:val="18"/>
                <w:highlight w:val="none"/>
                <w:lang w:eastAsia="zh-CN" w:bidi="ar"/>
              </w:rPr>
              <w:t>，</w:t>
            </w:r>
            <w:r>
              <w:rPr>
                <w:rFonts w:hint="eastAsia" w:ascii="Times New Roman"/>
                <w:color w:val="auto"/>
                <w:sz w:val="18"/>
                <w:szCs w:val="18"/>
                <w:highlight w:val="none"/>
                <w:lang w:bidi="ar"/>
              </w:rPr>
              <w:t>扣</w:t>
            </w:r>
            <w:r>
              <w:rPr>
                <w:rFonts w:hint="eastAsia" w:ascii="Times New Roman"/>
                <w:color w:val="auto"/>
                <w:sz w:val="18"/>
                <w:szCs w:val="18"/>
                <w:highlight w:val="none"/>
                <w:lang w:val="en-US" w:eastAsia="zh-CN" w:bidi="ar"/>
              </w:rPr>
              <w:t>100元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6765DB">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23428A">
            <w:pPr>
              <w:jc w:val="center"/>
              <w:rPr>
                <w:rFonts w:ascii="Times New Roman"/>
                <w:color w:val="auto"/>
                <w:sz w:val="18"/>
                <w:szCs w:val="18"/>
                <w:highlight w:val="none"/>
              </w:rPr>
            </w:pPr>
          </w:p>
        </w:tc>
      </w:tr>
      <w:tr w14:paraId="259CC151">
        <w:tblPrEx>
          <w:tblCellMar>
            <w:top w:w="0" w:type="dxa"/>
            <w:left w:w="0" w:type="dxa"/>
            <w:bottom w:w="0" w:type="dxa"/>
            <w:right w:w="0" w:type="dxa"/>
          </w:tblCellMar>
        </w:tblPrEx>
        <w:trPr>
          <w:trHeight w:val="807"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D9DE0CC">
            <w:pPr>
              <w:jc w:val="center"/>
              <w:textAlignment w:val="center"/>
              <w:rPr>
                <w:rFonts w:hint="eastAsia" w:ascii="Times New Roman" w:eastAsia="宋体"/>
                <w:color w:val="auto"/>
                <w:sz w:val="18"/>
                <w:szCs w:val="18"/>
                <w:highlight w:val="none"/>
                <w:lang w:eastAsia="zh-CN"/>
              </w:rPr>
            </w:pPr>
            <w:r>
              <w:rPr>
                <w:rFonts w:hint="eastAsia"/>
                <w:color w:val="auto"/>
                <w:sz w:val="18"/>
                <w:szCs w:val="18"/>
                <w:highlight w:val="none"/>
                <w:lang w:val="en-US" w:eastAsia="zh-CN" w:bidi="ar"/>
              </w:rPr>
              <w:t>6</w:t>
            </w:r>
          </w:p>
        </w:tc>
        <w:tc>
          <w:tcPr>
            <w:tcW w:w="489" w:type="pct"/>
            <w:vMerge w:val="continue"/>
            <w:tcBorders>
              <w:left w:val="single" w:color="000000" w:sz="8" w:space="0"/>
              <w:right w:val="single" w:color="000000" w:sz="8" w:space="0"/>
            </w:tcBorders>
            <w:noWrap w:val="0"/>
            <w:tcMar>
              <w:top w:w="15" w:type="dxa"/>
              <w:left w:w="15" w:type="dxa"/>
              <w:right w:w="15" w:type="dxa"/>
            </w:tcMar>
            <w:vAlign w:val="center"/>
          </w:tcPr>
          <w:p w14:paraId="1F50D23E">
            <w:pPr>
              <w:jc w:val="both"/>
              <w:rPr>
                <w:rFonts w:ascii="Times New Roman"/>
                <w:color w:val="auto"/>
                <w:sz w:val="18"/>
                <w:szCs w:val="18"/>
                <w:highlight w:val="none"/>
              </w:rPr>
            </w:pPr>
          </w:p>
        </w:tc>
        <w:tc>
          <w:tcPr>
            <w:tcW w:w="1773"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CAB47ED">
            <w:pPr>
              <w:jc w:val="both"/>
              <w:textAlignment w:val="center"/>
              <w:rPr>
                <w:rFonts w:hint="eastAsia" w:ascii="Times New Roman" w:hAnsi="Times New Roman" w:eastAsia="宋体" w:cs="Times New Roman"/>
                <w:color w:val="auto"/>
                <w:sz w:val="18"/>
                <w:szCs w:val="18"/>
                <w:highlight w:val="none"/>
                <w:lang w:val="en-US" w:eastAsia="zh-CN" w:bidi="ar-SA"/>
              </w:rPr>
            </w:pPr>
            <w:r>
              <w:rPr>
                <w:rFonts w:ascii="Times New Roman"/>
                <w:color w:val="auto"/>
                <w:sz w:val="18"/>
                <w:szCs w:val="18"/>
                <w:highlight w:val="none"/>
                <w:lang w:bidi="ar"/>
              </w:rPr>
              <w:t>围护不规范</w:t>
            </w:r>
            <w:r>
              <w:rPr>
                <w:rFonts w:hint="eastAsia" w:ascii="Times New Roman"/>
                <w:color w:val="auto"/>
                <w:sz w:val="18"/>
                <w:szCs w:val="18"/>
                <w:highlight w:val="none"/>
                <w:lang w:eastAsia="zh-CN" w:bidi="ar"/>
              </w:rPr>
              <w:t>，</w:t>
            </w:r>
            <w:r>
              <w:rPr>
                <w:rFonts w:hint="eastAsia" w:ascii="Times New Roman"/>
                <w:color w:val="auto"/>
                <w:sz w:val="18"/>
                <w:szCs w:val="18"/>
                <w:highlight w:val="none"/>
                <w:lang w:val="en-US" w:eastAsia="zh-CN" w:bidi="ar"/>
              </w:rPr>
              <w:t>或</w:t>
            </w:r>
            <w:r>
              <w:rPr>
                <w:rFonts w:ascii="Times New Roman"/>
                <w:color w:val="auto"/>
                <w:sz w:val="18"/>
                <w:szCs w:val="18"/>
                <w:highlight w:val="none"/>
                <w:lang w:bidi="ar"/>
              </w:rPr>
              <w:t>因围护不规范造成事故</w:t>
            </w:r>
            <w:r>
              <w:rPr>
                <w:rFonts w:hint="eastAsia" w:ascii="Times New Roman"/>
                <w:color w:val="auto"/>
                <w:sz w:val="18"/>
                <w:szCs w:val="18"/>
                <w:highlight w:val="none"/>
                <w:lang w:val="en-US" w:eastAsia="zh-CN" w:bidi="ar"/>
              </w:rPr>
              <w:t>的</w:t>
            </w:r>
            <w:r>
              <w:rPr>
                <w:rFonts w:hint="eastAsia"/>
                <w:color w:val="auto"/>
                <w:sz w:val="18"/>
                <w:szCs w:val="18"/>
                <w:highlight w:val="none"/>
                <w:lang w:val="en-US" w:eastAsia="zh-CN" w:bidi="ar"/>
              </w:rPr>
              <w:t>。</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4B4AB2">
            <w:pPr>
              <w:jc w:val="both"/>
              <w:textAlignment w:val="center"/>
              <w:rPr>
                <w:rFonts w:hint="default" w:ascii="Times New Roman" w:hAnsi="Times New Roman" w:eastAsia="宋体" w:cs="Times New Roman"/>
                <w:color w:val="auto"/>
                <w:sz w:val="18"/>
                <w:szCs w:val="18"/>
                <w:highlight w:val="none"/>
                <w:lang w:val="en-US" w:eastAsia="zh-CN" w:bidi="ar-SA"/>
              </w:rPr>
            </w:pPr>
            <w:r>
              <w:rPr>
                <w:rFonts w:ascii="Times New Roman"/>
                <w:color w:val="auto"/>
                <w:sz w:val="18"/>
                <w:szCs w:val="18"/>
                <w:highlight w:val="none"/>
                <w:lang w:bidi="ar"/>
              </w:rPr>
              <w:t>围护不规范</w:t>
            </w:r>
            <w:r>
              <w:rPr>
                <w:rFonts w:hint="eastAsia" w:ascii="Times New Roman"/>
                <w:color w:val="auto"/>
                <w:sz w:val="18"/>
                <w:szCs w:val="18"/>
                <w:highlight w:val="none"/>
                <w:lang w:val="en-US" w:eastAsia="zh-CN" w:bidi="ar"/>
              </w:rPr>
              <w:t>的</w:t>
            </w:r>
            <w:r>
              <w:rPr>
                <w:rFonts w:hint="eastAsia" w:ascii="Times New Roman"/>
                <w:color w:val="auto"/>
                <w:sz w:val="18"/>
                <w:szCs w:val="18"/>
                <w:highlight w:val="none"/>
                <w:lang w:eastAsia="zh-CN" w:bidi="ar"/>
              </w:rPr>
              <w:t>，</w:t>
            </w:r>
            <w:r>
              <w:rPr>
                <w:rFonts w:hint="eastAsia" w:ascii="Times New Roman"/>
                <w:color w:val="auto"/>
                <w:sz w:val="18"/>
                <w:szCs w:val="18"/>
                <w:highlight w:val="none"/>
                <w:lang w:bidi="ar"/>
              </w:rPr>
              <w:t>每发现一</w:t>
            </w:r>
            <w:r>
              <w:rPr>
                <w:rFonts w:hint="eastAsia" w:ascii="Times New Roman"/>
                <w:color w:val="auto"/>
                <w:sz w:val="18"/>
                <w:szCs w:val="18"/>
                <w:highlight w:val="none"/>
                <w:lang w:val="en-US" w:eastAsia="zh-CN" w:bidi="ar"/>
              </w:rPr>
              <w:t>次</w:t>
            </w:r>
            <w:r>
              <w:rPr>
                <w:rFonts w:ascii="Times New Roman"/>
                <w:color w:val="auto"/>
                <w:sz w:val="18"/>
                <w:szCs w:val="18"/>
                <w:highlight w:val="none"/>
                <w:lang w:bidi="ar"/>
              </w:rPr>
              <w:t>扣</w:t>
            </w:r>
            <w:r>
              <w:rPr>
                <w:rFonts w:hint="eastAsia" w:ascii="Times New Roman"/>
                <w:color w:val="auto"/>
                <w:sz w:val="18"/>
                <w:szCs w:val="18"/>
                <w:highlight w:val="none"/>
                <w:lang w:val="en-US" w:eastAsia="zh-CN" w:bidi="ar"/>
              </w:rPr>
              <w:t>1000元</w:t>
            </w:r>
            <w:r>
              <w:rPr>
                <w:rFonts w:hint="eastAsia" w:ascii="Times New Roman" w:eastAsia="宋体"/>
                <w:color w:val="auto"/>
                <w:sz w:val="18"/>
                <w:szCs w:val="18"/>
                <w:highlight w:val="none"/>
                <w:lang w:eastAsia="zh-CN" w:bidi="ar"/>
              </w:rPr>
              <w:t>；</w:t>
            </w:r>
            <w:r>
              <w:rPr>
                <w:rFonts w:ascii="Times New Roman"/>
                <w:color w:val="auto"/>
                <w:sz w:val="18"/>
                <w:szCs w:val="18"/>
                <w:highlight w:val="none"/>
                <w:lang w:bidi="ar"/>
              </w:rPr>
              <w:t>因围护不规范造成事故</w:t>
            </w:r>
            <w:r>
              <w:rPr>
                <w:rFonts w:hint="eastAsia" w:ascii="Times New Roman"/>
                <w:color w:val="auto"/>
                <w:sz w:val="18"/>
                <w:szCs w:val="18"/>
                <w:highlight w:val="none"/>
                <w:lang w:eastAsia="zh-CN" w:bidi="ar"/>
              </w:rPr>
              <w:t>的，</w:t>
            </w:r>
            <w:r>
              <w:rPr>
                <w:rFonts w:ascii="Times New Roman"/>
                <w:color w:val="auto"/>
                <w:sz w:val="18"/>
                <w:szCs w:val="18"/>
                <w:highlight w:val="none"/>
                <w:lang w:bidi="ar"/>
              </w:rPr>
              <w:t>每次扣</w:t>
            </w:r>
            <w:r>
              <w:rPr>
                <w:rFonts w:hint="eastAsia" w:ascii="Times New Roman"/>
                <w:color w:val="auto"/>
                <w:sz w:val="18"/>
                <w:szCs w:val="18"/>
                <w:highlight w:val="none"/>
                <w:lang w:val="en-US" w:eastAsia="zh-CN" w:bidi="ar"/>
              </w:rPr>
              <w:t>5000元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4C9900">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755E76">
            <w:pPr>
              <w:jc w:val="center"/>
              <w:rPr>
                <w:rFonts w:ascii="Times New Roman"/>
                <w:color w:val="auto"/>
                <w:sz w:val="18"/>
                <w:szCs w:val="18"/>
                <w:highlight w:val="none"/>
              </w:rPr>
            </w:pPr>
          </w:p>
        </w:tc>
      </w:tr>
      <w:tr w14:paraId="3E298092">
        <w:tblPrEx>
          <w:tblCellMar>
            <w:top w:w="0" w:type="dxa"/>
            <w:left w:w="0" w:type="dxa"/>
            <w:bottom w:w="0" w:type="dxa"/>
            <w:right w:w="0" w:type="dxa"/>
          </w:tblCellMar>
        </w:tblPrEx>
        <w:trPr>
          <w:trHeight w:val="807"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B021E3A">
            <w:pPr>
              <w:jc w:val="center"/>
              <w:textAlignment w:val="center"/>
              <w:rPr>
                <w:rFonts w:hint="eastAsia" w:ascii="Times New Roman" w:eastAsia="宋体"/>
                <w:color w:val="auto"/>
                <w:sz w:val="18"/>
                <w:szCs w:val="18"/>
                <w:highlight w:val="none"/>
                <w:lang w:val="en-US" w:eastAsia="zh-CN" w:bidi="ar"/>
              </w:rPr>
            </w:pPr>
            <w:r>
              <w:rPr>
                <w:rFonts w:hint="eastAsia"/>
                <w:color w:val="auto"/>
                <w:sz w:val="18"/>
                <w:szCs w:val="18"/>
                <w:highlight w:val="none"/>
                <w:lang w:val="en-US" w:eastAsia="zh-CN" w:bidi="ar"/>
              </w:rPr>
              <w:t>7</w:t>
            </w:r>
          </w:p>
        </w:tc>
        <w:tc>
          <w:tcPr>
            <w:tcW w:w="489" w:type="pct"/>
            <w:vMerge w:val="continue"/>
            <w:tcBorders>
              <w:left w:val="single" w:color="000000" w:sz="8" w:space="0"/>
              <w:right w:val="single" w:color="000000" w:sz="8" w:space="0"/>
            </w:tcBorders>
            <w:noWrap w:val="0"/>
            <w:tcMar>
              <w:top w:w="15" w:type="dxa"/>
              <w:left w:w="15" w:type="dxa"/>
              <w:right w:w="15" w:type="dxa"/>
            </w:tcMar>
            <w:vAlign w:val="center"/>
          </w:tcPr>
          <w:p w14:paraId="1219EF1D">
            <w:pPr>
              <w:spacing w:before="146"/>
              <w:ind w:left="56" w:leftChars="0"/>
              <w:rPr>
                <w:rFonts w:hint="eastAsia" w:ascii="Times New Roman"/>
                <w:color w:val="auto"/>
                <w:sz w:val="18"/>
                <w:szCs w:val="18"/>
                <w:highlight w:val="none"/>
                <w:lang w:bidi="ar"/>
              </w:rPr>
            </w:pPr>
          </w:p>
        </w:tc>
        <w:tc>
          <w:tcPr>
            <w:tcW w:w="1773"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34A907F">
            <w:pPr>
              <w:jc w:val="both"/>
              <w:textAlignment w:val="center"/>
              <w:rPr>
                <w:rFonts w:hint="eastAsia" w:ascii="Times New Roman" w:hAnsi="Times New Roman" w:eastAsia="宋体" w:cs="Times New Roman"/>
                <w:color w:val="auto"/>
                <w:sz w:val="18"/>
                <w:szCs w:val="18"/>
                <w:highlight w:val="none"/>
                <w:lang w:val="en-US" w:eastAsia="zh-CN" w:bidi="ar-SA"/>
              </w:rPr>
            </w:pPr>
            <w:r>
              <w:rPr>
                <w:rFonts w:ascii="Times New Roman"/>
                <w:color w:val="auto"/>
                <w:sz w:val="18"/>
                <w:szCs w:val="18"/>
                <w:highlight w:val="none"/>
                <w:lang w:bidi="ar"/>
              </w:rPr>
              <w:t>由于养护单位对农污设施养护不到位，被新闻媒体曝光的</w:t>
            </w:r>
            <w:r>
              <w:rPr>
                <w:rFonts w:hint="eastAsia"/>
                <w:color w:val="auto"/>
                <w:sz w:val="18"/>
                <w:szCs w:val="18"/>
                <w:highlight w:val="none"/>
                <w:lang w:eastAsia="zh-CN" w:bidi="ar"/>
              </w:rPr>
              <w:t>。</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745F55">
            <w:pPr>
              <w:jc w:val="both"/>
              <w:textAlignment w:val="center"/>
              <w:rPr>
                <w:rFonts w:hint="default" w:ascii="Times New Roman" w:hAnsi="Times New Roman" w:eastAsia="宋体" w:cs="Times New Roman"/>
                <w:color w:val="auto"/>
                <w:sz w:val="18"/>
                <w:szCs w:val="18"/>
                <w:highlight w:val="none"/>
                <w:lang w:val="en-US" w:eastAsia="zh-CN" w:bidi="ar-SA"/>
              </w:rPr>
            </w:pPr>
            <w:r>
              <w:rPr>
                <w:rFonts w:ascii="Times New Roman"/>
                <w:color w:val="auto"/>
                <w:sz w:val="18"/>
                <w:szCs w:val="18"/>
                <w:highlight w:val="none"/>
                <w:lang w:bidi="ar"/>
              </w:rPr>
              <w:t>经核实无误，每次扣</w:t>
            </w:r>
            <w:r>
              <w:rPr>
                <w:rStyle w:val="46"/>
                <w:rFonts w:hint="eastAsia" w:ascii="Times New Roman" w:cs="Times New Roman"/>
                <w:color w:val="auto"/>
                <w:sz w:val="18"/>
                <w:szCs w:val="18"/>
                <w:highlight w:val="none"/>
                <w:vertAlign w:val="baseline"/>
                <w:lang w:val="en-US" w:bidi="ar"/>
              </w:rPr>
              <w:t>10000元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EC2E0D">
            <w:pPr>
              <w:jc w:val="center"/>
              <w:textAlignment w:val="center"/>
              <w:rPr>
                <w:rFonts w:ascii="Times New Roman"/>
                <w:color w:val="auto"/>
                <w:sz w:val="18"/>
                <w:szCs w:val="18"/>
                <w:highlight w:val="none"/>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5C17DB">
            <w:pPr>
              <w:jc w:val="center"/>
              <w:rPr>
                <w:rFonts w:ascii="Times New Roman"/>
                <w:color w:val="auto"/>
                <w:sz w:val="18"/>
                <w:szCs w:val="18"/>
                <w:highlight w:val="none"/>
              </w:rPr>
            </w:pPr>
          </w:p>
        </w:tc>
      </w:tr>
      <w:tr w14:paraId="2E34F79B">
        <w:tblPrEx>
          <w:tblCellMar>
            <w:top w:w="0" w:type="dxa"/>
            <w:left w:w="0" w:type="dxa"/>
            <w:bottom w:w="0" w:type="dxa"/>
            <w:right w:w="0" w:type="dxa"/>
          </w:tblCellMar>
        </w:tblPrEx>
        <w:trPr>
          <w:trHeight w:val="807"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59B85BF">
            <w:pPr>
              <w:jc w:val="center"/>
              <w:textAlignment w:val="center"/>
              <w:rPr>
                <w:rFonts w:hint="eastAsia" w:ascii="Times New Roman" w:eastAsia="宋体"/>
                <w:color w:val="auto"/>
                <w:sz w:val="18"/>
                <w:szCs w:val="18"/>
                <w:highlight w:val="none"/>
                <w:lang w:val="en-US" w:eastAsia="zh-CN" w:bidi="ar"/>
              </w:rPr>
            </w:pPr>
            <w:r>
              <w:rPr>
                <w:rFonts w:hint="eastAsia"/>
                <w:color w:val="auto"/>
                <w:sz w:val="18"/>
                <w:szCs w:val="18"/>
                <w:highlight w:val="none"/>
                <w:lang w:val="en-US" w:eastAsia="zh-CN" w:bidi="ar"/>
              </w:rPr>
              <w:t>8</w:t>
            </w:r>
          </w:p>
        </w:tc>
        <w:tc>
          <w:tcPr>
            <w:tcW w:w="489" w:type="pct"/>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2018B11F">
            <w:pPr>
              <w:jc w:val="both"/>
              <w:rPr>
                <w:rFonts w:ascii="Times New Roman"/>
                <w:color w:val="auto"/>
                <w:sz w:val="18"/>
                <w:szCs w:val="18"/>
                <w:highlight w:val="none"/>
              </w:rPr>
            </w:pPr>
          </w:p>
        </w:tc>
        <w:tc>
          <w:tcPr>
            <w:tcW w:w="1773"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BBB320B">
            <w:pPr>
              <w:spacing w:line="400" w:lineRule="exact"/>
              <w:jc w:val="both"/>
              <w:rPr>
                <w:rFonts w:hint="eastAsia" w:ascii="Times New Roman" w:hAnsi="Times New Roman" w:eastAsia="宋体" w:cs="Times New Roman"/>
                <w:color w:val="auto"/>
                <w:sz w:val="18"/>
                <w:szCs w:val="18"/>
                <w:highlight w:val="none"/>
                <w:lang w:val="en-US" w:eastAsia="zh-CN" w:bidi="ar-SA"/>
              </w:rPr>
            </w:pPr>
            <w:r>
              <w:rPr>
                <w:rFonts w:hint="eastAsia" w:ascii="宋体" w:hAnsi="宋体" w:eastAsia="宋体"/>
                <w:color w:val="auto"/>
                <w:sz w:val="18"/>
                <w:szCs w:val="18"/>
                <w:highlight w:val="none"/>
              </w:rPr>
              <w:t>乙方违反甲方的规章制度、卫生要求</w:t>
            </w:r>
            <w:r>
              <w:rPr>
                <w:rFonts w:hint="eastAsia" w:ascii="宋体" w:hAnsi="宋体"/>
                <w:color w:val="auto"/>
                <w:sz w:val="18"/>
                <w:szCs w:val="18"/>
                <w:highlight w:val="none"/>
                <w:lang w:eastAsia="zh-CN"/>
              </w:rPr>
              <w:t>。</w:t>
            </w:r>
          </w:p>
        </w:tc>
        <w:tc>
          <w:tcPr>
            <w:tcW w:w="1162"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020328">
            <w:pPr>
              <w:jc w:val="both"/>
              <w:textAlignment w:val="center"/>
              <w:rPr>
                <w:rFonts w:hint="default" w:ascii="Times New Roman" w:hAnsi="Times New Roman" w:eastAsia="宋体" w:cs="Times New Roman"/>
                <w:color w:val="auto"/>
                <w:sz w:val="18"/>
                <w:szCs w:val="18"/>
                <w:highlight w:val="none"/>
                <w:lang w:val="en-US" w:eastAsia="zh-CN" w:bidi="ar-SA"/>
              </w:rPr>
            </w:pPr>
            <w:r>
              <w:rPr>
                <w:rFonts w:hint="eastAsia" w:ascii="宋体" w:hAnsi="宋体" w:eastAsia="宋体"/>
                <w:color w:val="auto"/>
                <w:sz w:val="18"/>
                <w:szCs w:val="18"/>
                <w:highlight w:val="none"/>
              </w:rPr>
              <w:t>每发现一次扣养护费人民币1000元</w:t>
            </w:r>
          </w:p>
        </w:tc>
        <w:tc>
          <w:tcPr>
            <w:tcW w:w="596"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F21C9F">
            <w:pPr>
              <w:jc w:val="center"/>
              <w:textAlignment w:val="center"/>
              <w:rPr>
                <w:rFonts w:ascii="Times New Roman" w:hAnsi="Times New Roman" w:eastAsia="宋体" w:cs="Times New Roman"/>
                <w:color w:val="auto"/>
                <w:sz w:val="18"/>
                <w:szCs w:val="18"/>
                <w:highlight w:val="none"/>
                <w:lang w:val="en-US" w:eastAsia="zh-CN" w:bidi="ar-SA"/>
              </w:rPr>
            </w:pPr>
          </w:p>
        </w:tc>
        <w:tc>
          <w:tcPr>
            <w:tcW w:w="66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BCE4E5">
            <w:pPr>
              <w:jc w:val="center"/>
              <w:rPr>
                <w:rFonts w:ascii="Times New Roman" w:hAnsi="Times New Roman" w:eastAsia="宋体" w:cs="Times New Roman"/>
                <w:color w:val="auto"/>
                <w:sz w:val="18"/>
                <w:szCs w:val="18"/>
                <w:highlight w:val="none"/>
                <w:lang w:val="en-US" w:eastAsia="zh-CN" w:bidi="ar-SA"/>
              </w:rPr>
            </w:pPr>
          </w:p>
        </w:tc>
      </w:tr>
      <w:tr w14:paraId="5265CAFF">
        <w:tblPrEx>
          <w:tblCellMar>
            <w:top w:w="0" w:type="dxa"/>
            <w:left w:w="0" w:type="dxa"/>
            <w:bottom w:w="0" w:type="dxa"/>
            <w:right w:w="0" w:type="dxa"/>
          </w:tblCellMar>
        </w:tblPrEx>
        <w:trPr>
          <w:trHeight w:val="459" w:hRule="atLeast"/>
          <w:jc w:val="center"/>
        </w:trPr>
        <w:tc>
          <w:tcPr>
            <w:tcW w:w="31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930FFE7">
            <w:pPr>
              <w:jc w:val="center"/>
              <w:textAlignment w:val="center"/>
              <w:rPr>
                <w:rFonts w:hint="default" w:ascii="Times New Roman" w:eastAsia="宋体"/>
                <w:color w:val="auto"/>
                <w:sz w:val="18"/>
                <w:szCs w:val="18"/>
                <w:highlight w:val="none"/>
                <w:lang w:val="en-US" w:eastAsia="zh-CN"/>
              </w:rPr>
            </w:pPr>
          </w:p>
        </w:tc>
        <w:tc>
          <w:tcPr>
            <w:tcW w:w="3425" w:type="pct"/>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7872C2">
            <w:pPr>
              <w:jc w:val="center"/>
              <w:textAlignment w:val="center"/>
              <w:rPr>
                <w:rFonts w:hint="default" w:ascii="Times New Roman" w:eastAsia="宋体"/>
                <w:color w:val="auto"/>
                <w:sz w:val="18"/>
                <w:szCs w:val="18"/>
                <w:highlight w:val="none"/>
                <w:lang w:val="en-US" w:eastAsia="zh-CN"/>
              </w:rPr>
            </w:pPr>
            <w:r>
              <w:rPr>
                <w:rFonts w:ascii="Times New Roman"/>
                <w:color w:val="auto"/>
                <w:sz w:val="18"/>
                <w:szCs w:val="18"/>
                <w:highlight w:val="none"/>
                <w:lang w:bidi="ar"/>
              </w:rPr>
              <w:t>累计扣</w:t>
            </w:r>
            <w:r>
              <w:rPr>
                <w:rFonts w:hint="eastAsia" w:ascii="Times New Roman"/>
                <w:color w:val="auto"/>
                <w:sz w:val="18"/>
                <w:szCs w:val="18"/>
                <w:highlight w:val="none"/>
                <w:lang w:val="en-US" w:eastAsia="zh-CN" w:bidi="ar"/>
              </w:rPr>
              <w:t>除养护费</w:t>
            </w:r>
          </w:p>
        </w:tc>
        <w:tc>
          <w:tcPr>
            <w:tcW w:w="1259" w:type="pct"/>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433BDD">
            <w:pPr>
              <w:jc w:val="center"/>
              <w:rPr>
                <w:rFonts w:ascii="Times New Roman"/>
                <w:color w:val="auto"/>
                <w:sz w:val="18"/>
                <w:szCs w:val="18"/>
                <w:highlight w:val="none"/>
              </w:rPr>
            </w:pPr>
          </w:p>
        </w:tc>
      </w:tr>
      <w:tr w14:paraId="4B9803CC">
        <w:tblPrEx>
          <w:tblCellMar>
            <w:top w:w="0" w:type="dxa"/>
            <w:left w:w="0" w:type="dxa"/>
            <w:bottom w:w="0" w:type="dxa"/>
            <w:right w:w="0" w:type="dxa"/>
          </w:tblCellMar>
        </w:tblPrEx>
        <w:trPr>
          <w:trHeight w:val="932" w:hRule="atLeast"/>
          <w:jc w:val="center"/>
        </w:trPr>
        <w:tc>
          <w:tcPr>
            <w:tcW w:w="1666"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F361B77">
            <w:pPr>
              <w:ind w:firstLine="180" w:firstLineChars="100"/>
              <w:jc w:val="left"/>
              <w:rPr>
                <w:rFonts w:hint="default" w:ascii="Times New Roman" w:eastAsia="宋体"/>
                <w:color w:val="auto"/>
                <w:sz w:val="18"/>
                <w:szCs w:val="18"/>
                <w:highlight w:val="none"/>
                <w:lang w:val="en-US" w:eastAsia="zh-CN"/>
              </w:rPr>
            </w:pPr>
            <w:r>
              <w:rPr>
                <w:rFonts w:hint="eastAsia"/>
                <w:color w:val="auto"/>
                <w:sz w:val="18"/>
                <w:szCs w:val="18"/>
                <w:highlight w:val="none"/>
                <w:lang w:val="en-US" w:eastAsia="zh-CN"/>
              </w:rPr>
              <w:t>批准：</w:t>
            </w:r>
          </w:p>
        </w:tc>
        <w:tc>
          <w:tcPr>
            <w:tcW w:w="1667" w:type="pct"/>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A29343D">
            <w:pPr>
              <w:ind w:firstLine="180" w:firstLineChars="100"/>
              <w:jc w:val="left"/>
              <w:rPr>
                <w:rFonts w:ascii="Times New Roman"/>
                <w:color w:val="auto"/>
                <w:sz w:val="18"/>
                <w:szCs w:val="18"/>
                <w:highlight w:val="none"/>
              </w:rPr>
            </w:pPr>
            <w:r>
              <w:rPr>
                <w:rFonts w:hint="eastAsia"/>
                <w:color w:val="auto"/>
                <w:sz w:val="18"/>
                <w:szCs w:val="18"/>
                <w:highlight w:val="none"/>
                <w:lang w:val="en-US" w:eastAsia="zh-CN"/>
              </w:rPr>
              <w:t>审核：</w:t>
            </w:r>
          </w:p>
        </w:tc>
        <w:tc>
          <w:tcPr>
            <w:tcW w:w="1666"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E8F3202">
            <w:pPr>
              <w:ind w:firstLine="180" w:firstLineChars="100"/>
              <w:jc w:val="left"/>
              <w:rPr>
                <w:rFonts w:ascii="Times New Roman"/>
                <w:color w:val="auto"/>
                <w:sz w:val="18"/>
                <w:szCs w:val="18"/>
                <w:highlight w:val="none"/>
              </w:rPr>
            </w:pPr>
            <w:r>
              <w:rPr>
                <w:rFonts w:hint="eastAsia"/>
                <w:color w:val="auto"/>
                <w:sz w:val="18"/>
                <w:szCs w:val="18"/>
                <w:highlight w:val="none"/>
                <w:lang w:val="en-US" w:eastAsia="zh-CN"/>
              </w:rPr>
              <w:t>制表：</w:t>
            </w:r>
          </w:p>
        </w:tc>
      </w:tr>
    </w:tbl>
    <w:p w14:paraId="2C2365E3">
      <w:pPr>
        <w:pStyle w:val="45"/>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0"/>
        <w:jc w:val="both"/>
        <w:textAlignment w:val="auto"/>
        <w:rPr>
          <w:rFonts w:hint="eastAsia" w:ascii="Times New Roman" w:hAnsi="Times New Roman" w:eastAsia="宋体"/>
          <w:b/>
          <w:bCs/>
          <w:color w:val="auto"/>
          <w:sz w:val="21"/>
          <w:szCs w:val="21"/>
          <w:highlight w:val="none"/>
          <w:lang w:eastAsia="zh-CN"/>
        </w:rPr>
      </w:pPr>
      <w:r>
        <w:rPr>
          <w:rFonts w:hint="eastAsia"/>
          <w:b/>
          <w:bCs/>
          <w:color w:val="auto"/>
          <w:sz w:val="21"/>
          <w:szCs w:val="21"/>
          <w:highlight w:val="none"/>
          <w:lang w:val="en-US" w:eastAsia="zh-CN"/>
        </w:rPr>
        <w:t>备注：</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以上违约事项每月累计超过5次的，乙方清退出场，本合同终止</w:t>
      </w:r>
      <w:r>
        <w:rPr>
          <w:rFonts w:hint="eastAsia" w:ascii="宋体" w:hAnsi="宋体"/>
          <w:b/>
          <w:bCs/>
          <w:color w:val="auto"/>
          <w:sz w:val="21"/>
          <w:szCs w:val="21"/>
          <w:highlight w:val="none"/>
          <w:lang w:eastAsia="zh-CN"/>
        </w:rPr>
        <w:t>。</w:t>
      </w:r>
    </w:p>
    <w:p w14:paraId="34F73DCD">
      <w:pPr>
        <w:rPr>
          <w:rFonts w:hint="eastAsia" w:ascii="宋体" w:hAnsi="宋体" w:eastAsia="宋体" w:cs="宋体"/>
          <w:color w:val="auto"/>
          <w:highlight w:val="none"/>
          <w:lang w:val="zh-TW" w:eastAsia="zh-TW"/>
        </w:rPr>
        <w:sectPr>
          <w:pgSz w:w="11900" w:h="16840"/>
          <w:pgMar w:top="1321" w:right="1168" w:bottom="1393" w:left="1196" w:header="1134" w:footer="3" w:gutter="0"/>
          <w:pgNumType w:fmt="decimal"/>
          <w:cols w:space="720" w:num="1"/>
        </w:sectPr>
      </w:pPr>
    </w:p>
    <w:p w14:paraId="7F0563A9">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附表3</w:t>
      </w:r>
    </w:p>
    <w:p w14:paraId="40B13DC3">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6"/>
          <w:szCs w:val="36"/>
          <w:highlight w:val="none"/>
        </w:rPr>
        <w:t>项目安全责任状</w:t>
      </w:r>
    </w:p>
    <w:p w14:paraId="4ED92784">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hAnsi="宋体" w:eastAsia="宋体" w:cs="宋体"/>
          <w:sz w:val="24"/>
          <w:szCs w:val="24"/>
          <w:u w:val="single"/>
          <w:lang w:eastAsia="zh-CN"/>
        </w:rPr>
      </w:pPr>
      <w:r>
        <w:rPr>
          <w:rFonts w:hint="eastAsia" w:hAnsi="宋体" w:cs="宋体"/>
          <w:b/>
          <w:sz w:val="24"/>
          <w:szCs w:val="24"/>
        </w:rPr>
        <w:t>甲方：</w:t>
      </w:r>
      <w:r>
        <w:rPr>
          <w:rFonts w:hint="eastAsia" w:hAnsi="宋体" w:cs="宋体"/>
          <w:b/>
          <w:sz w:val="24"/>
          <w:szCs w:val="24"/>
          <w:u w:val="single"/>
          <w:lang w:eastAsia="zh-CN"/>
        </w:rPr>
        <w:t>宁波市北仑区人民政府梅山街道办事处</w:t>
      </w:r>
    </w:p>
    <w:p w14:paraId="304373AD">
      <w:pPr>
        <w:keepNext w:val="0"/>
        <w:keepLines w:val="0"/>
        <w:pageBreakBefore w:val="0"/>
        <w:tabs>
          <w:tab w:val="left" w:pos="180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hAnsi="宋体" w:cs="宋体"/>
          <w:b/>
          <w:sz w:val="24"/>
          <w:szCs w:val="24"/>
        </w:rPr>
        <w:t>乙方</w:t>
      </w:r>
      <w:r>
        <w:rPr>
          <w:rFonts w:hint="eastAsia" w:hAnsi="宋体" w:cs="宋体"/>
          <w:b/>
          <w:bCs w:val="0"/>
          <w:sz w:val="24"/>
          <w:szCs w:val="24"/>
        </w:rPr>
        <w:t>：</w:t>
      </w:r>
      <w:r>
        <w:rPr>
          <w:rFonts w:hint="eastAsia" w:ascii="宋体" w:hAnsi="宋体" w:eastAsia="宋体" w:cs="宋体"/>
          <w:b/>
          <w:bCs w:val="0"/>
          <w:snapToGrid w:val="0"/>
          <w:color w:val="auto"/>
          <w:kern w:val="0"/>
          <w:sz w:val="24"/>
          <w:szCs w:val="24"/>
          <w:highlight w:val="none"/>
          <w:u w:val="single"/>
          <w:lang w:val="en-US" w:eastAsia="zh-CN"/>
        </w:rPr>
        <w:t xml:space="preserve">                             </w:t>
      </w:r>
      <w:r>
        <w:rPr>
          <w:rFonts w:hint="eastAsia" w:ascii="宋体" w:hAnsi="宋体" w:eastAsia="宋体" w:cs="宋体"/>
          <w:b/>
          <w:bCs w:val="0"/>
          <w:snapToGrid w:val="0"/>
          <w:color w:val="auto"/>
          <w:kern w:val="0"/>
          <w:sz w:val="24"/>
          <w:szCs w:val="24"/>
          <w:highlight w:val="none"/>
          <w:u w:val="single"/>
        </w:rPr>
        <w:t xml:space="preserve">     </w:t>
      </w:r>
    </w:p>
    <w:p w14:paraId="1B911FD4">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为认真贯彻落实国家、省、市、区安全生产法律法规和各项工作部署，按照“安全第一、预防为主、综合治理”的方针，全面落实安全管理职责，确保安全生产形势稳定，明确双方的责任和权利，根据《中华人民共和国安全生产法》，的有关规定，特签订本安全责任状。</w:t>
      </w:r>
    </w:p>
    <w:p w14:paraId="56FD3BDE">
      <w:pPr>
        <w:spacing w:line="500" w:lineRule="exact"/>
        <w:ind w:firstLine="57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第一条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甲方的责任</w:t>
      </w:r>
    </w:p>
    <w:p w14:paraId="08AC8C1E">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1.对安全生产工作进行整体布置、管理，负责开展不定期安全生产大检查，对发现的问题及薄弱环节，督促限期整改。</w:t>
      </w:r>
    </w:p>
    <w:p w14:paraId="5F826382">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2.指导运行维护现场管理人员做好各分项施工安全技术交底，建立健全施工安全管理台账。</w:t>
      </w:r>
    </w:p>
    <w:p w14:paraId="3B9BEEE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3.向乙方项目负责人下达项目管理安全责任目标。</w:t>
      </w:r>
    </w:p>
    <w:p w14:paraId="75706EA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4.向乙方及时传达上级、地方政府部门等关于安全生产的有关文件精神。</w:t>
      </w:r>
    </w:p>
    <w:p w14:paraId="7C4DFBB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5.对乙方有违背安全责任情况，甲方可根据主合同相关规定予以处罚。</w:t>
      </w:r>
    </w:p>
    <w:p w14:paraId="1F3B80E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6.向乙方发放承包商HSE安全风险告知书，乙方如违反告知书要求，甲方可以根据相关规定予以处罚。</w:t>
      </w:r>
    </w:p>
    <w:p w14:paraId="5CB03ADA">
      <w:pPr>
        <w:spacing w:line="500" w:lineRule="exact"/>
        <w:ind w:firstLine="57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乙方的责任</w:t>
      </w:r>
    </w:p>
    <w:p w14:paraId="0423F61B">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1.乙方为本运行维护项目安全第一责任人，应认真贯彻执行国省、市、区的安全生产方针、政策及法规及甲方对安全管理提出的有关要求。</w:t>
      </w:r>
    </w:p>
    <w:p w14:paraId="1E4ABF02">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2.乙方必须设立安全生产管理机构并规定配备相应安全管理人员，项目负责人依法对所运行维护的项目安全生产工作全面负责。</w:t>
      </w:r>
    </w:p>
    <w:p w14:paraId="77D7D5B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3.乙方应建立健全安全生产责任制、安全教育培训等制度，制定操作规程，对所承担的运行维护项目进行定期和专项安全检查。</w:t>
      </w:r>
    </w:p>
    <w:p w14:paraId="27AEDCF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4.乙方必须在运行维护现场建立消防安全责任制度，确定消防责任人，制定用火、用电、使用易燃易爆材料等各项消防安全管理制度和操作规程，并在运行维护现场入口处设置明显标志。</w:t>
      </w:r>
    </w:p>
    <w:p w14:paraId="39EF99D4">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5.乙方应编制运行维护用电专项方案，用电接地、配电箱、开关箱及相应标志、标牌必须符合有关规定。</w:t>
      </w:r>
    </w:p>
    <w:p w14:paraId="4040AE4E">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6.特种设备在使用之前必须向相关部门报检，检测合格后方可使用。</w:t>
      </w:r>
    </w:p>
    <w:p w14:paraId="1CB575A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7.乙方应编制并落实安全防护、文明施工措施清单项目的实施方案及专项安全施工方案。</w:t>
      </w:r>
    </w:p>
    <w:p w14:paraId="6F3F156D">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8.实现目标管理，加大运行维护现场事故隐患预防和防范力度，坚决遏制重大安全事故发生，杜绝一般事故的发生。如发生安全事故应按安全生产管理规定及时、逐级上报。</w:t>
      </w:r>
    </w:p>
    <w:p w14:paraId="44EB108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9.乙方须为养护区域内农污设施购买公众责任险。养护区域内农污设施因经营业务发生意外事故，造成第三者人身伤亡或财产损失，应由被保险人承担的经济赔偿责任，保险人累计赔偿额度每年度不低于500万元，每次事故赔偿额100万元（其中财产损失额度不低于50万元，人身伤亡额度不低于100万元），每人人身伤亡赔偿额度不低于100万元。</w:t>
      </w:r>
    </w:p>
    <w:p w14:paraId="00E8389A">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10.乙方必须严格执行甲方单位关于《安全生产和文明施工处罚实施细则》等相关规定。</w:t>
      </w:r>
    </w:p>
    <w:p w14:paraId="3D0622B6">
      <w:pPr>
        <w:spacing w:line="500" w:lineRule="exact"/>
        <w:ind w:firstLine="57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乙方安全管理目标</w:t>
      </w:r>
    </w:p>
    <w:p w14:paraId="62608D6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1.事故管理</w:t>
      </w:r>
    </w:p>
    <w:p w14:paraId="29A905C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（1）特大事故、重大事故为零。</w:t>
      </w:r>
    </w:p>
    <w:p w14:paraId="20EAC53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（2）一般事故死亡率、重伤率为零。</w:t>
      </w:r>
    </w:p>
    <w:p w14:paraId="6BD704E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（3）重大事故隐患整改率100%，一般事故隐患整改率100%。</w:t>
      </w:r>
    </w:p>
    <w:p w14:paraId="05270016">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（4）事故及时处结率100%。</w:t>
      </w:r>
    </w:p>
    <w:p w14:paraId="1A320B4C">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2.安全管理</w:t>
      </w:r>
    </w:p>
    <w:p w14:paraId="5115841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（1）乙方每月至少组织2次由甲方和乙方组织的安全生产大检查，并及时整改检查中发现的安全隐患，整改率100%。</w:t>
      </w:r>
    </w:p>
    <w:p w14:paraId="2B95805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（2）运行维护现场各级职能人员岗位责任制、目标责任书执行率达到100%。</w:t>
      </w:r>
    </w:p>
    <w:p w14:paraId="64271BEC">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（3）运行维护现场设专职安全员不少于1人。</w:t>
      </w:r>
    </w:p>
    <w:p w14:paraId="0BA15E6D">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（4）安全隐患整改率达到100%。</w:t>
      </w:r>
    </w:p>
    <w:p w14:paraId="282672AB">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（5）运行维护现场施工人员安全设备配备率100%，并严格按照规范配备使用。</w:t>
      </w:r>
    </w:p>
    <w:p w14:paraId="6081F173">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（6）乙方必须为运维人员配备安全防护用品，参保人身安全险，督促运维人员现场佩戴安全防护用品。</w:t>
      </w:r>
    </w:p>
    <w:p w14:paraId="2DDB4C2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（7）乙方必须为中标项目范围内排水设施（终端、管网、提升井等）投保公众责任险，且不可因暴雨、台风等天气原因免除责任。</w:t>
      </w:r>
    </w:p>
    <w:p w14:paraId="2A45F59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（8）乙方必须为项目全员（包括管理人员、专业操作人员（含一线养护人员））提供人身意外保险，保额不得低于150万元/人。</w:t>
      </w:r>
    </w:p>
    <w:p w14:paraId="09C5F7D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3.安全教育</w:t>
      </w:r>
    </w:p>
    <w:p w14:paraId="3C918C3B">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（1）工人岗前三级教育率达到100%，特种工人持证上岗率达到100%。</w:t>
      </w:r>
    </w:p>
    <w:p w14:paraId="63D10FA7">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（2）运行维护管理人员安全培训率达到100%。</w:t>
      </w:r>
    </w:p>
    <w:p w14:paraId="2321C9FF">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 xml:space="preserve">    第四条</w:t>
      </w:r>
      <w:r>
        <w:rPr>
          <w:rFonts w:hint="eastAsia" w:ascii="宋体" w:hAnsi="宋体" w:eastAsia="宋体" w:cs="宋体"/>
          <w:color w:val="auto"/>
          <w:sz w:val="21"/>
          <w:szCs w:val="21"/>
          <w:highlight w:val="none"/>
        </w:rPr>
        <w:t xml:space="preserve">  </w:t>
      </w:r>
      <w:r>
        <w:rPr>
          <w:rFonts w:hint="eastAsia" w:ascii="宋体" w:hAnsi="宋体" w:eastAsia="宋体" w:cs="宋体"/>
          <w:szCs w:val="21"/>
          <w:lang w:val="en-US" w:eastAsia="zh-CN"/>
        </w:rPr>
        <w:t>本责任状作为</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的附件，与主合同具有同等法律效力。甲乙双方签署后立即生效。</w:t>
      </w:r>
    </w:p>
    <w:p w14:paraId="7636F3CB">
      <w:pPr>
        <w:spacing w:line="5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第五条</w:t>
      </w:r>
      <w:r>
        <w:rPr>
          <w:rFonts w:hint="eastAsia" w:ascii="宋体" w:hAnsi="宋体" w:eastAsia="宋体" w:cs="宋体"/>
          <w:color w:val="auto"/>
          <w:sz w:val="21"/>
          <w:szCs w:val="21"/>
          <w:highlight w:val="none"/>
        </w:rPr>
        <w:t xml:space="preserve">  本</w:t>
      </w:r>
      <w:r>
        <w:rPr>
          <w:rFonts w:hint="eastAsia" w:ascii="宋体" w:hAnsi="宋体" w:eastAsia="宋体" w:cs="宋体"/>
          <w:szCs w:val="21"/>
          <w:lang w:val="en-US" w:eastAsia="zh-CN"/>
        </w:rPr>
        <w:t>责任状的有效期同主合同有效期。</w:t>
      </w:r>
    </w:p>
    <w:p w14:paraId="06E511C0">
      <w:pPr>
        <w:spacing w:line="500" w:lineRule="exact"/>
        <w:rPr>
          <w:rFonts w:hint="eastAsia" w:ascii="宋体" w:hAnsi="宋体" w:eastAsia="宋体" w:cs="宋体"/>
          <w:szCs w:val="21"/>
          <w:lang w:val="en-US" w:eastAsia="zh-CN"/>
        </w:rPr>
      </w:pPr>
      <w:r>
        <w:rPr>
          <w:rFonts w:hint="eastAsia" w:ascii="宋体" w:hAnsi="宋体" w:eastAsia="宋体" w:cs="宋体"/>
          <w:b/>
          <w:color w:val="auto"/>
          <w:sz w:val="21"/>
          <w:szCs w:val="21"/>
          <w:highlight w:val="none"/>
        </w:rPr>
        <w:t xml:space="preserve">    第六条 </w:t>
      </w:r>
      <w:r>
        <w:rPr>
          <w:rFonts w:hint="eastAsia" w:ascii="宋体" w:hAnsi="宋体" w:eastAsia="宋体" w:cs="宋体"/>
          <w:szCs w:val="21"/>
          <w:lang w:val="en-US" w:eastAsia="zh-CN"/>
        </w:rPr>
        <w:t xml:space="preserve"> 当乙方发生违反甲方安全生产规章制度的行为时，按照情节轻重甲方将对乙方处于相应金额的罚款，费用从履约保证金里面列支。乙方如果对甲方提出的隐患整改通知无法落实，甲方可以代为整改，费用从履约保证金里面列支。对乙方违法行为，甲方有权进一步追究乙方的法律责任。</w:t>
      </w:r>
    </w:p>
    <w:p w14:paraId="1D21CE48">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E44380A">
      <w:pPr>
        <w:spacing w:line="5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第七条  </w:t>
      </w:r>
      <w:r>
        <w:rPr>
          <w:rFonts w:hint="eastAsia" w:ascii="宋体" w:hAnsi="宋体" w:eastAsia="宋体" w:cs="宋体"/>
          <w:szCs w:val="21"/>
          <w:lang w:val="en-US" w:eastAsia="zh-CN"/>
        </w:rPr>
        <w:t>本责任状一式陆份，甲方执肆份，乙方执二份，未尽事宜，双方协商解决，本责任状经双方签章后生效。</w:t>
      </w:r>
      <w:r>
        <w:rPr>
          <w:rFonts w:hint="eastAsia" w:ascii="宋体" w:hAnsi="宋体" w:eastAsia="宋体" w:cs="宋体"/>
          <w:color w:val="auto"/>
          <w:sz w:val="21"/>
          <w:szCs w:val="21"/>
          <w:highlight w:val="none"/>
        </w:rPr>
        <w:t xml:space="preserve"> </w:t>
      </w:r>
    </w:p>
    <w:p w14:paraId="455DA81E">
      <w:pPr>
        <w:spacing w:line="500" w:lineRule="exact"/>
        <w:ind w:firstLine="600"/>
        <w:rPr>
          <w:rFonts w:hint="eastAsia" w:ascii="宋体" w:hAnsi="宋体" w:eastAsia="宋体" w:cs="宋体"/>
          <w:color w:val="auto"/>
          <w:sz w:val="21"/>
          <w:szCs w:val="21"/>
          <w:highlight w:val="none"/>
        </w:rPr>
      </w:pPr>
    </w:p>
    <w:p w14:paraId="309B6A89">
      <w:pPr>
        <w:spacing w:line="500" w:lineRule="exact"/>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65807C1F">
      <w:pPr>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u w:val="single"/>
          <w:lang w:eastAsia="zh-CN"/>
        </w:rPr>
        <w:t>宁波市北仑区人民政府梅山街道办事处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u w:val="single"/>
          <w:lang w:val="en-US" w:eastAsia="zh-CN"/>
        </w:rPr>
        <w:t xml:space="preserve">                   </w:t>
      </w:r>
    </w:p>
    <w:p w14:paraId="680468E2">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1AA3A41">
      <w:pPr>
        <w:spacing w:line="500" w:lineRule="exact"/>
        <w:ind w:firstLine="600"/>
        <w:rPr>
          <w:rFonts w:hint="eastAsia" w:ascii="宋体" w:hAnsi="宋体" w:eastAsia="宋体" w:cs="宋体"/>
          <w:color w:val="auto"/>
          <w:sz w:val="21"/>
          <w:szCs w:val="21"/>
          <w:highlight w:val="none"/>
        </w:rPr>
      </w:pPr>
    </w:p>
    <w:p w14:paraId="2B13C4FC">
      <w:pPr>
        <w:pStyle w:val="23"/>
        <w:ind w:left="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47D275FE">
      <w:pPr>
        <w:pStyle w:val="23"/>
        <w:ind w:left="440"/>
        <w:rPr>
          <w:rFonts w:hint="eastAsia" w:ascii="宋体" w:hAnsi="宋体" w:eastAsia="宋体" w:cs="宋体"/>
          <w:color w:val="auto"/>
          <w:sz w:val="21"/>
          <w:szCs w:val="21"/>
          <w:highlight w:val="none"/>
        </w:rPr>
      </w:pPr>
    </w:p>
    <w:p w14:paraId="61948B76">
      <w:pPr>
        <w:pStyle w:val="23"/>
        <w:ind w:left="440"/>
        <w:rPr>
          <w:rFonts w:hint="eastAsia" w:ascii="宋体" w:hAnsi="宋体" w:eastAsia="宋体" w:cs="宋体"/>
          <w:color w:val="auto"/>
          <w:sz w:val="21"/>
          <w:szCs w:val="21"/>
          <w:highlight w:val="none"/>
        </w:rPr>
      </w:pPr>
    </w:p>
    <w:p w14:paraId="10D5F7AF">
      <w:pPr>
        <w:pStyle w:val="23"/>
        <w:ind w:left="440"/>
        <w:rPr>
          <w:rFonts w:hint="eastAsia" w:ascii="宋体" w:hAnsi="宋体" w:eastAsia="宋体" w:cs="宋体"/>
          <w:color w:val="auto"/>
          <w:sz w:val="21"/>
          <w:szCs w:val="21"/>
          <w:highlight w:val="none"/>
        </w:rPr>
      </w:pPr>
    </w:p>
    <w:p w14:paraId="616E9952">
      <w:pPr>
        <w:pStyle w:val="23"/>
        <w:ind w:left="440"/>
        <w:rPr>
          <w:rFonts w:hint="eastAsia" w:ascii="宋体" w:hAnsi="宋体" w:eastAsia="宋体" w:cs="宋体"/>
          <w:color w:val="auto"/>
          <w:sz w:val="21"/>
          <w:szCs w:val="21"/>
          <w:highlight w:val="none"/>
        </w:rPr>
      </w:pPr>
    </w:p>
    <w:p w14:paraId="35A4D556">
      <w:pPr>
        <w:pStyle w:val="23"/>
        <w:ind w:left="399" w:left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p w14:paraId="2E640FF7">
      <w:pPr>
        <w:pStyle w:val="23"/>
        <w:ind w:left="0" w:leftChars="0" w:firstLine="0" w:firstLineChars="0"/>
        <w:rPr>
          <w:rFonts w:hint="eastAsia" w:ascii="宋体" w:hAnsi="宋体" w:eastAsia="宋体" w:cs="宋体"/>
          <w:color w:val="auto"/>
          <w:sz w:val="21"/>
          <w:szCs w:val="21"/>
          <w:highlight w:val="none"/>
        </w:rPr>
      </w:pPr>
    </w:p>
    <w:p w14:paraId="422B2539">
      <w:pPr>
        <w:pStyle w:val="23"/>
        <w:ind w:left="0" w:leftChars="0" w:firstLine="0" w:firstLineChars="0"/>
        <w:rPr>
          <w:rFonts w:hint="eastAsia" w:ascii="宋体" w:hAnsi="宋体" w:eastAsia="宋体" w:cs="宋体"/>
          <w:color w:val="auto"/>
          <w:sz w:val="21"/>
          <w:szCs w:val="21"/>
          <w:highlight w:val="none"/>
        </w:rPr>
      </w:pPr>
    </w:p>
    <w:p w14:paraId="7D20F5EA">
      <w:pPr>
        <w:pStyle w:val="23"/>
        <w:ind w:left="0" w:leftChars="0" w:firstLine="0" w:firstLineChars="0"/>
        <w:rPr>
          <w:rFonts w:hint="eastAsia" w:ascii="宋体" w:hAnsi="宋体" w:eastAsia="宋体" w:cs="宋体"/>
          <w:color w:val="auto"/>
          <w:sz w:val="21"/>
          <w:szCs w:val="21"/>
          <w:highlight w:val="none"/>
        </w:rPr>
      </w:pPr>
    </w:p>
    <w:p w14:paraId="6034781F">
      <w:pPr>
        <w:pStyle w:val="23"/>
        <w:ind w:left="0" w:leftChars="0" w:firstLine="0" w:firstLineChars="0"/>
        <w:rPr>
          <w:rFonts w:hint="eastAsia" w:ascii="宋体" w:hAnsi="宋体" w:eastAsia="宋体" w:cs="宋体"/>
          <w:color w:val="auto"/>
          <w:sz w:val="21"/>
          <w:szCs w:val="21"/>
          <w:highlight w:val="none"/>
        </w:rPr>
      </w:pPr>
    </w:p>
    <w:p w14:paraId="7470AF75">
      <w:pPr>
        <w:pStyle w:val="23"/>
        <w:ind w:left="0" w:leftChars="0" w:firstLine="0" w:firstLineChars="0"/>
        <w:rPr>
          <w:rFonts w:hint="eastAsia" w:ascii="宋体" w:hAnsi="宋体" w:eastAsia="宋体" w:cs="宋体"/>
          <w:color w:val="auto"/>
          <w:sz w:val="21"/>
          <w:szCs w:val="21"/>
          <w:highlight w:val="none"/>
        </w:rPr>
      </w:pPr>
    </w:p>
    <w:p w14:paraId="2815E974">
      <w:pPr>
        <w:pStyle w:val="23"/>
        <w:ind w:left="0" w:leftChars="0" w:firstLine="0" w:firstLineChars="0"/>
        <w:rPr>
          <w:rFonts w:hint="eastAsia" w:ascii="宋体" w:hAnsi="宋体" w:eastAsia="宋体" w:cs="宋体"/>
          <w:color w:val="auto"/>
          <w:sz w:val="21"/>
          <w:szCs w:val="21"/>
          <w:highlight w:val="none"/>
        </w:rPr>
      </w:pPr>
    </w:p>
    <w:p w14:paraId="0739C8A9">
      <w:pPr>
        <w:pStyle w:val="23"/>
        <w:ind w:left="0" w:leftChars="0" w:firstLine="0" w:firstLineChars="0"/>
        <w:rPr>
          <w:rFonts w:hint="eastAsia" w:ascii="宋体" w:hAnsi="宋体" w:eastAsia="宋体" w:cs="宋体"/>
          <w:color w:val="auto"/>
          <w:sz w:val="21"/>
          <w:szCs w:val="21"/>
          <w:highlight w:val="none"/>
        </w:rPr>
      </w:pPr>
    </w:p>
    <w:p w14:paraId="1C45DF87">
      <w:pPr>
        <w:pStyle w:val="23"/>
        <w:ind w:left="0" w:leftChars="0" w:firstLine="0" w:firstLineChars="0"/>
        <w:rPr>
          <w:rFonts w:hint="eastAsia" w:ascii="宋体" w:hAnsi="宋体" w:eastAsia="宋体" w:cs="宋体"/>
          <w:color w:val="auto"/>
          <w:sz w:val="21"/>
          <w:szCs w:val="21"/>
          <w:highlight w:val="none"/>
        </w:rPr>
      </w:pPr>
    </w:p>
    <w:p w14:paraId="0FDFCCF7">
      <w:pPr>
        <w:rPr>
          <w:rFonts w:hint="eastAsia" w:ascii="宋体" w:hAnsi="宋体" w:eastAsia="宋体" w:cs="宋体"/>
          <w:color w:val="auto"/>
          <w:sz w:val="21"/>
          <w:szCs w:val="21"/>
          <w:highlight w:val="none"/>
        </w:rPr>
      </w:pPr>
    </w:p>
    <w:p w14:paraId="60C0193C">
      <w:pPr>
        <w:pStyle w:val="30"/>
        <w:rPr>
          <w:rFonts w:hint="eastAsia" w:ascii="宋体" w:hAnsi="宋体" w:eastAsia="宋体" w:cs="宋体"/>
          <w:color w:val="auto"/>
          <w:sz w:val="21"/>
          <w:szCs w:val="21"/>
          <w:highlight w:val="none"/>
        </w:rPr>
      </w:pPr>
    </w:p>
    <w:p w14:paraId="090EEB21">
      <w:pPr>
        <w:pStyle w:val="30"/>
        <w:rPr>
          <w:rFonts w:hint="eastAsia" w:ascii="宋体" w:hAnsi="宋体" w:eastAsia="宋体" w:cs="宋体"/>
          <w:color w:val="auto"/>
          <w:sz w:val="21"/>
          <w:szCs w:val="21"/>
          <w:highlight w:val="none"/>
        </w:rPr>
      </w:pPr>
    </w:p>
    <w:p w14:paraId="331CEE52">
      <w:pPr>
        <w:pStyle w:val="30"/>
        <w:rPr>
          <w:rFonts w:hint="eastAsia" w:ascii="宋体" w:hAnsi="宋体" w:eastAsia="宋体" w:cs="宋体"/>
          <w:color w:val="auto"/>
          <w:sz w:val="21"/>
          <w:szCs w:val="21"/>
          <w:highlight w:val="none"/>
        </w:rPr>
      </w:pPr>
    </w:p>
    <w:p w14:paraId="13E04F3B">
      <w:pPr>
        <w:pStyle w:val="30"/>
        <w:rPr>
          <w:rFonts w:hint="eastAsia" w:ascii="宋体" w:hAnsi="宋体" w:eastAsia="宋体" w:cs="宋体"/>
          <w:color w:val="auto"/>
          <w:sz w:val="21"/>
          <w:szCs w:val="21"/>
          <w:highlight w:val="none"/>
        </w:rPr>
      </w:pPr>
    </w:p>
    <w:p w14:paraId="222ECB0E">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附表4</w:t>
      </w:r>
    </w:p>
    <w:p w14:paraId="62CBF214">
      <w:pPr>
        <w:keepNext w:val="0"/>
        <w:keepLines w:val="0"/>
        <w:pageBreakBefore w:val="0"/>
        <w:widowControl/>
        <w:kinsoku/>
        <w:wordWrap/>
        <w:overflowPunct/>
        <w:topLinePunct w:val="0"/>
        <w:autoSpaceDE w:val="0"/>
        <w:autoSpaceDN w:val="0"/>
        <w:bidi w:val="0"/>
        <w:adjustRightInd/>
        <w:snapToGrid/>
        <w:spacing w:line="420" w:lineRule="exact"/>
        <w:jc w:val="center"/>
        <w:textAlignment w:val="auto"/>
        <w:rPr>
          <w:rFonts w:hint="eastAsia" w:ascii="宋体" w:hAnsi="宋体" w:eastAsia="宋体" w:cs="宋体"/>
          <w:b/>
          <w:bCs/>
          <w:color w:val="auto"/>
          <w:sz w:val="36"/>
          <w:szCs w:val="36"/>
          <w:highlight w:val="none"/>
        </w:rPr>
      </w:pPr>
    </w:p>
    <w:p w14:paraId="1E9888A7">
      <w:pPr>
        <w:keepNext w:val="0"/>
        <w:keepLines w:val="0"/>
        <w:pageBreakBefore w:val="0"/>
        <w:widowControl/>
        <w:kinsoku/>
        <w:wordWrap/>
        <w:overflowPunct/>
        <w:topLinePunct w:val="0"/>
        <w:autoSpaceDE w:val="0"/>
        <w:autoSpaceDN w:val="0"/>
        <w:bidi w:val="0"/>
        <w:adjustRightInd/>
        <w:snapToGrid/>
        <w:spacing w:line="420" w:lineRule="exact"/>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廉政合同</w:t>
      </w:r>
    </w:p>
    <w:p w14:paraId="726F719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hAnsi="宋体" w:eastAsia="宋体" w:cs="宋体"/>
          <w:sz w:val="24"/>
          <w:szCs w:val="24"/>
          <w:u w:val="single"/>
          <w:lang w:eastAsia="zh-CN"/>
        </w:rPr>
      </w:pPr>
      <w:r>
        <w:rPr>
          <w:rFonts w:hint="eastAsia" w:hAnsi="宋体" w:cs="宋体"/>
          <w:b/>
          <w:sz w:val="24"/>
          <w:szCs w:val="24"/>
        </w:rPr>
        <w:t>甲方：</w:t>
      </w:r>
      <w:r>
        <w:rPr>
          <w:rFonts w:hint="eastAsia" w:hAnsi="宋体" w:cs="宋体"/>
          <w:b/>
          <w:sz w:val="24"/>
          <w:szCs w:val="24"/>
          <w:u w:val="single"/>
          <w:lang w:eastAsia="zh-CN"/>
        </w:rPr>
        <w:t>宁波市北仑区人民政府梅山街道办事处</w:t>
      </w:r>
    </w:p>
    <w:p w14:paraId="76901078">
      <w:pPr>
        <w:keepNext w:val="0"/>
        <w:keepLines w:val="0"/>
        <w:pageBreakBefore w:val="0"/>
        <w:tabs>
          <w:tab w:val="left" w:pos="1800"/>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highlight w:val="none"/>
          <w:u w:val="single"/>
          <w:lang w:val="en-US" w:eastAsia="zh-CN"/>
        </w:rPr>
      </w:pPr>
      <w:r>
        <w:rPr>
          <w:rFonts w:hint="eastAsia" w:hAnsi="宋体" w:cs="宋体"/>
          <w:b/>
          <w:sz w:val="24"/>
          <w:szCs w:val="24"/>
        </w:rPr>
        <w:t>乙方</w:t>
      </w:r>
      <w:r>
        <w:rPr>
          <w:rFonts w:hint="eastAsia" w:hAnsi="宋体" w:cs="宋体"/>
          <w:b/>
          <w:bCs w:val="0"/>
          <w:sz w:val="24"/>
          <w:szCs w:val="24"/>
        </w:rPr>
        <w:t>：</w:t>
      </w:r>
      <w:r>
        <w:rPr>
          <w:rFonts w:hint="eastAsia" w:ascii="宋体" w:hAnsi="宋体" w:eastAsia="宋体" w:cs="宋体"/>
          <w:b/>
          <w:bCs w:val="0"/>
          <w:snapToGrid w:val="0"/>
          <w:color w:val="auto"/>
          <w:kern w:val="0"/>
          <w:sz w:val="24"/>
          <w:szCs w:val="24"/>
          <w:highlight w:val="none"/>
          <w:u w:val="single"/>
          <w:lang w:val="en-US" w:eastAsia="zh-CN"/>
        </w:rPr>
        <w:t xml:space="preserve">                             </w:t>
      </w:r>
      <w:r>
        <w:rPr>
          <w:rFonts w:hint="eastAsia" w:ascii="宋体" w:hAnsi="宋体" w:eastAsia="宋体" w:cs="宋体"/>
          <w:b/>
          <w:bCs w:val="0"/>
          <w:snapToGrid w:val="0"/>
          <w:color w:val="auto"/>
          <w:kern w:val="0"/>
          <w:sz w:val="24"/>
          <w:szCs w:val="24"/>
          <w:highlight w:val="none"/>
          <w:u w:val="single"/>
        </w:rPr>
        <w:t xml:space="preserve">     </w:t>
      </w:r>
    </w:p>
    <w:p w14:paraId="5654B037">
      <w:pPr>
        <w:keepNext w:val="0"/>
        <w:keepLines w:val="0"/>
        <w:pageBreakBefore w:val="0"/>
        <w:widowControl/>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为加强项目的廉政建设，规范</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甲、乙</w:t>
      </w:r>
      <w:r>
        <w:rPr>
          <w:rFonts w:hint="eastAsia" w:ascii="宋体" w:hAnsi="宋体" w:eastAsia="宋体" w:cs="宋体"/>
          <w:color w:val="auto"/>
          <w:sz w:val="24"/>
          <w:highlight w:val="none"/>
        </w:rPr>
        <w:t>双方的各项活动，防止发生各种谋取不正当利益的违法违纪行为，保护国家、集体和当事人的合法权益，根据国家</w:t>
      </w:r>
      <w:r>
        <w:rPr>
          <w:rFonts w:hint="eastAsia" w:ascii="宋体" w:hAnsi="宋体" w:eastAsia="宋体" w:cs="宋体"/>
          <w:color w:val="auto"/>
          <w:sz w:val="24"/>
          <w:highlight w:val="none"/>
          <w:lang w:eastAsia="zh-CN"/>
        </w:rPr>
        <w:t>相关</w:t>
      </w:r>
      <w:r>
        <w:rPr>
          <w:rFonts w:hint="eastAsia" w:ascii="宋体" w:hAnsi="宋体" w:eastAsia="宋体" w:cs="宋体"/>
          <w:color w:val="auto"/>
          <w:sz w:val="24"/>
          <w:highlight w:val="none"/>
        </w:rPr>
        <w:t>法律法规和廉政建设规定，特订立本廉政合同。</w:t>
      </w:r>
    </w:p>
    <w:p w14:paraId="743FAC0D">
      <w:pPr>
        <w:keepNext w:val="0"/>
        <w:keepLines w:val="0"/>
        <w:pageBreakBefore w:val="0"/>
        <w:widowControl/>
        <w:kinsoku/>
        <w:wordWrap/>
        <w:overflowPunct/>
        <w:topLinePunct w:val="0"/>
        <w:autoSpaceDE w:val="0"/>
        <w:autoSpaceDN w:val="0"/>
        <w:bidi w:val="0"/>
        <w:adjustRightInd/>
        <w:snapToGrid/>
        <w:spacing w:line="420" w:lineRule="exact"/>
        <w:ind w:firstLine="472" w:firstLineChars="196"/>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第一条</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甲乙双方的权利和义务</w:t>
      </w:r>
    </w:p>
    <w:p w14:paraId="1EEE8D31">
      <w:pPr>
        <w:keepNext w:val="0"/>
        <w:keepLines w:val="0"/>
        <w:pageBreakBefore w:val="0"/>
        <w:widowControl/>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严格遵守国家关于市场准入、勘测设计、施工监理、招标投标、工程施工、设备安装和市场经营活动等有关法律法规及相关政策，以及廉政建设的各项规定。</w:t>
      </w:r>
    </w:p>
    <w:p w14:paraId="6691CA59">
      <w:pPr>
        <w:keepNext w:val="0"/>
        <w:keepLines w:val="0"/>
        <w:pageBreakBefore w:val="0"/>
        <w:widowControl/>
        <w:kinsoku/>
        <w:wordWrap/>
        <w:overflowPunct/>
        <w:topLinePunct w:val="0"/>
        <w:autoSpaceDE w:val="0"/>
        <w:autoSpaceDN w:val="0"/>
        <w:bidi w:val="0"/>
        <w:adjustRightInd/>
        <w:snapToGrid/>
        <w:spacing w:line="420" w:lineRule="exact"/>
        <w:ind w:firstLine="48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严格执行本项目</w:t>
      </w:r>
      <w:r>
        <w:rPr>
          <w:rFonts w:hint="eastAsia" w:ascii="宋体" w:hAnsi="宋体" w:eastAsia="宋体" w:cs="宋体"/>
          <w:color w:val="auto"/>
          <w:sz w:val="24"/>
          <w:highlight w:val="none"/>
          <w:lang w:val="en-US" w:eastAsia="zh-CN"/>
        </w:rPr>
        <w:t>甲、乙</w:t>
      </w:r>
      <w:r>
        <w:rPr>
          <w:rFonts w:hint="eastAsia" w:ascii="宋体" w:hAnsi="宋体" w:eastAsia="宋体" w:cs="宋体"/>
          <w:color w:val="auto"/>
          <w:sz w:val="24"/>
          <w:highlight w:val="none"/>
        </w:rPr>
        <w:t>双方签订的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文件，自觉按合同办事。</w:t>
      </w:r>
    </w:p>
    <w:p w14:paraId="53993A30">
      <w:pPr>
        <w:keepNext w:val="0"/>
        <w:keepLines w:val="0"/>
        <w:pageBreakBefore w:val="0"/>
        <w:widowControl/>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业务活动坚持公开、公平、公正、诚信、透明的原则（除法律法规认定的商业秘密和合同文件另有规定之外），双方人员不得为获取不正当的利益，就工程费用、材料供应、工程量变动、工程验收、工程质量等问题进行私下商谈或达成默契，不得损害国家和集体利益，违反工程建设管理规章制度。</w:t>
      </w:r>
    </w:p>
    <w:p w14:paraId="6FCF4F11">
      <w:pPr>
        <w:keepNext w:val="0"/>
        <w:keepLines w:val="0"/>
        <w:pageBreakBefore w:val="0"/>
        <w:widowControl/>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建立健全廉政制度，开展廉政教育，设立廉政公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5A48D58B">
      <w:pPr>
        <w:keepNext w:val="0"/>
        <w:keepLines w:val="0"/>
        <w:pageBreakBefore w:val="0"/>
        <w:widowControl/>
        <w:kinsoku/>
        <w:wordWrap/>
        <w:overflowPunct/>
        <w:topLinePunct w:val="0"/>
        <w:autoSpaceDE w:val="0"/>
        <w:autoSpaceDN w:val="0"/>
        <w:bidi w:val="0"/>
        <w:adjustRightInd/>
        <w:snapToGrid/>
        <w:spacing w:line="420" w:lineRule="exact"/>
        <w:ind w:firstLine="42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第二条  甲方的责任</w:t>
      </w:r>
    </w:p>
    <w:p w14:paraId="7537E67C">
      <w:pPr>
        <w:keepNext w:val="0"/>
        <w:keepLines w:val="0"/>
        <w:pageBreakBefore w:val="0"/>
        <w:widowControl/>
        <w:kinsoku/>
        <w:wordWrap/>
        <w:overflowPunct/>
        <w:topLinePunct w:val="0"/>
        <w:autoSpaceDE w:val="0"/>
        <w:autoSpaceDN w:val="0"/>
        <w:bidi w:val="0"/>
        <w:adjustRightInd/>
        <w:snapToGrid/>
        <w:spacing w:line="420" w:lineRule="exact"/>
        <w:ind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甲方的领导和从事该</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的工作人员，在</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的事前、事中、事后应遵守以下规定：</w:t>
      </w:r>
    </w:p>
    <w:p w14:paraId="4F64CF23">
      <w:pPr>
        <w:keepNext w:val="0"/>
        <w:keepLines w:val="0"/>
        <w:pageBreakBefore w:val="0"/>
        <w:widowControl/>
        <w:kinsoku/>
        <w:wordWrap/>
        <w:overflowPunct/>
        <w:topLinePunct w:val="0"/>
        <w:autoSpaceDE w:val="0"/>
        <w:autoSpaceDN w:val="0"/>
        <w:bidi w:val="0"/>
        <w:adjustRightInd/>
        <w:snapToGrid/>
        <w:spacing w:line="420" w:lineRule="exact"/>
        <w:ind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不准向乙方索要或接受回扣、礼金、有价证券、贵重物品和好处费、感谢费等；不准在乙方报销任何由甲方或个人支付的费用。</w:t>
      </w:r>
    </w:p>
    <w:p w14:paraId="741A4AC5">
      <w:pPr>
        <w:keepNext w:val="0"/>
        <w:keepLines w:val="0"/>
        <w:pageBreakBefore w:val="0"/>
        <w:widowControl/>
        <w:kinsoku/>
        <w:wordWrap/>
        <w:overflowPunct/>
        <w:topLinePunct w:val="0"/>
        <w:autoSpaceDE w:val="0"/>
        <w:autoSpaceDN w:val="0"/>
        <w:bidi w:val="0"/>
        <w:adjustRightInd/>
        <w:snapToGrid/>
        <w:spacing w:line="420" w:lineRule="exact"/>
        <w:ind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不准参加乙方安排的超标准宴请和健身、娱乐等活动；不得接受乙方提供的通讯工具、交通工具和高档办公用品等。</w:t>
      </w:r>
    </w:p>
    <w:p w14:paraId="0E8BB036">
      <w:pPr>
        <w:keepNext w:val="0"/>
        <w:keepLines w:val="0"/>
        <w:pageBreakBefore w:val="0"/>
        <w:widowControl/>
        <w:kinsoku/>
        <w:wordWrap/>
        <w:overflowPunct/>
        <w:topLinePunct w:val="0"/>
        <w:autoSpaceDE w:val="0"/>
        <w:autoSpaceDN w:val="0"/>
        <w:bidi w:val="0"/>
        <w:adjustRightInd/>
        <w:snapToGrid/>
        <w:spacing w:line="420" w:lineRule="exact"/>
        <w:ind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不准要求、暗示和接受乙方为个人装修住房、婚丧嫁娶、配偶子女的工作安排以及出国（境）、旅游等提供方便。</w:t>
      </w:r>
    </w:p>
    <w:p w14:paraId="266664B8">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配偶、子女不得从事与乙方</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有关的设备材料供应、</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分包、劳务等经济活动。</w:t>
      </w:r>
    </w:p>
    <w:p w14:paraId="659F3E22">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不得以任何理由向乙方推荐分包单位或要求乙方购买项目合同规定外的材料、设备和服务等。</w:t>
      </w:r>
    </w:p>
    <w:p w14:paraId="1CFF73E7">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b/>
          <w:bCs w:val="0"/>
          <w:color w:val="auto"/>
          <w:sz w:val="24"/>
          <w:highlight w:val="none"/>
        </w:rPr>
        <w:t xml:space="preserve">第三条  乙方的责任 </w:t>
      </w:r>
      <w:r>
        <w:rPr>
          <w:rFonts w:hint="eastAsia" w:ascii="宋体" w:hAnsi="宋体" w:eastAsia="宋体" w:cs="宋体"/>
          <w:color w:val="auto"/>
          <w:sz w:val="24"/>
          <w:highlight w:val="none"/>
        </w:rPr>
        <w:t xml:space="preserve">                                                                           </w:t>
      </w:r>
    </w:p>
    <w:p w14:paraId="648783A7">
      <w:pPr>
        <w:keepNext w:val="0"/>
        <w:keepLines w:val="0"/>
        <w:pageBreakBefore w:val="0"/>
        <w:widowControl/>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乙方应与甲方保持正常的业务交往，按照有关法律法规和程序开展业务工作，严格执行工程建设的有关方针、政策，尤其是有关强制性标准和规范，并遵守以下规定：    </w:t>
      </w:r>
    </w:p>
    <w:p w14:paraId="516D3252">
      <w:pPr>
        <w:keepNext w:val="0"/>
        <w:keepLines w:val="0"/>
        <w:pageBreakBefore w:val="0"/>
        <w:widowControl/>
        <w:kinsoku/>
        <w:wordWrap/>
        <w:overflowPunct/>
        <w:topLinePunct w:val="0"/>
        <w:autoSpaceDE w:val="0"/>
        <w:autoSpaceDN w:val="0"/>
        <w:bidi w:val="0"/>
        <w:adjustRightInd/>
        <w:snapToGrid/>
        <w:spacing w:line="42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不准以任何理由向甲方及其工作人员行贿或馈赠礼金、有价证券、贵重物品。</w:t>
      </w:r>
    </w:p>
    <w:p w14:paraId="041BD779">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不准以任何名义为甲方及其工作人员报销应由对方或个人支付的费用。</w:t>
      </w:r>
    </w:p>
    <w:p w14:paraId="658F5491">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不准以任何理由安排甲方工作人员参加超标准宴请及健身、娱乐和旅游等活动。</w:t>
      </w:r>
    </w:p>
    <w:p w14:paraId="043AFD5F">
      <w:pPr>
        <w:keepNext w:val="0"/>
        <w:keepLines w:val="0"/>
        <w:pageBreakBefore w:val="0"/>
        <w:widowControl/>
        <w:kinsoku/>
        <w:wordWrap/>
        <w:overflowPunct/>
        <w:topLinePunct w:val="0"/>
        <w:autoSpaceDE w:val="0"/>
        <w:autoSpaceDN w:val="0"/>
        <w:bidi w:val="0"/>
        <w:adjustRightInd/>
        <w:snapToGrid/>
        <w:spacing w:line="420" w:lineRule="exact"/>
        <w:ind w:firstLine="60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不准为甲方单位和工作人员购置或提供通讯工具、交通工具和高档办公用品和装修住房等。</w:t>
      </w:r>
    </w:p>
    <w:p w14:paraId="7B3BB19A">
      <w:pPr>
        <w:keepNext w:val="0"/>
        <w:keepLines w:val="0"/>
        <w:pageBreakBefore w:val="0"/>
        <w:widowControl/>
        <w:kinsoku/>
        <w:wordWrap/>
        <w:overflowPunct/>
        <w:topLinePunct w:val="0"/>
        <w:autoSpaceDE w:val="0"/>
        <w:autoSpaceDN w:val="0"/>
        <w:bidi w:val="0"/>
        <w:adjustRightInd/>
        <w:snapToGrid/>
        <w:spacing w:line="420" w:lineRule="exact"/>
        <w:ind w:firstLine="601"/>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第四条  违约责任</w:t>
      </w:r>
    </w:p>
    <w:p w14:paraId="78DC752F">
      <w:pPr>
        <w:keepNext w:val="0"/>
        <w:keepLines w:val="0"/>
        <w:pageBreakBefore w:val="0"/>
        <w:widowControl/>
        <w:kinsoku/>
        <w:wordWrap/>
        <w:overflowPunct/>
        <w:topLinePunct w:val="0"/>
        <w:autoSpaceDE w:val="0"/>
        <w:autoSpaceDN w:val="0"/>
        <w:bidi w:val="0"/>
        <w:adjustRightInd/>
        <w:snapToGrid/>
        <w:spacing w:line="42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甲方工作人员违反本合同第一、二条责任行为的，按照管理权限，依据有关法律法规和规定给予党纪、政纪处分或组织处理；涉嫌犯罪的，移交司法机关追究刑事责任；给乙方单位造成经济损失的，应予以赔偿。</w:t>
      </w:r>
    </w:p>
    <w:p w14:paraId="5238B8DB">
      <w:pPr>
        <w:keepNext w:val="0"/>
        <w:keepLines w:val="0"/>
        <w:pageBreakBefore w:val="0"/>
        <w:widowControl/>
        <w:kinsoku/>
        <w:wordWrap/>
        <w:overflowPunct/>
        <w:topLinePunct w:val="0"/>
        <w:autoSpaceDE w:val="0"/>
        <w:autoSpaceDN w:val="0"/>
        <w:bidi w:val="0"/>
        <w:adjustRightInd/>
        <w:snapToGrid/>
        <w:spacing w:line="42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工作人员违反本合同第一、三条责任行为的，按照管理权限，依据有关法律法规和规定给予党纪、政纪处分或组织处理；涉嫌犯罪的，移交司法机关追究刑事责任；给甲方单位造成经济损失的，应予以赔偿；情节严重的，甲方可以建议有关行业管理部门给予乙方限制其一至三年内不得进入北仑区、开发区建设市场的处罚。</w:t>
      </w:r>
    </w:p>
    <w:p w14:paraId="46D83F8F">
      <w:pPr>
        <w:keepNext w:val="0"/>
        <w:keepLines w:val="0"/>
        <w:pageBreakBefore w:val="0"/>
        <w:widowControl/>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乙方如将部分辅助项目分包的，乙方有责任向分包单位交待本合同的具体内容，并严格执行本合同之规定，分包单位如有违反上述责任行为的，乙方将承担连带责任。</w:t>
      </w:r>
    </w:p>
    <w:p w14:paraId="4170E1C0">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第五条</w:t>
      </w:r>
      <w:r>
        <w:rPr>
          <w:rFonts w:hint="eastAsia" w:ascii="宋体" w:hAnsi="宋体" w:eastAsia="宋体" w:cs="宋体"/>
          <w:color w:val="auto"/>
          <w:sz w:val="24"/>
          <w:highlight w:val="none"/>
        </w:rPr>
        <w:t xml:space="preserve">  双方约定：本合同由区纪检监察机关和区人民检察院负责监督。日常监管由甲、乙双方的纪检监察部门或主管单位负责实施，并对本合同履行情况进行检查。</w:t>
      </w:r>
    </w:p>
    <w:p w14:paraId="2FA4FE8A">
      <w:pPr>
        <w:keepNext w:val="0"/>
        <w:keepLines w:val="0"/>
        <w:pageBreakBefore w:val="0"/>
        <w:widowControl/>
        <w:kinsoku/>
        <w:wordWrap/>
        <w:overflowPunct/>
        <w:topLinePunct w:val="0"/>
        <w:autoSpaceDE w:val="0"/>
        <w:autoSpaceDN w:val="0"/>
        <w:bidi w:val="0"/>
        <w:adjustRightInd/>
        <w:snapToGrid/>
        <w:spacing w:line="420" w:lineRule="exact"/>
        <w:ind w:firstLine="590" w:firstLineChars="245"/>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第六条</w:t>
      </w:r>
      <w:r>
        <w:rPr>
          <w:rFonts w:hint="eastAsia" w:ascii="宋体" w:hAnsi="宋体" w:eastAsia="宋体" w:cs="宋体"/>
          <w:color w:val="auto"/>
          <w:sz w:val="24"/>
          <w:highlight w:val="none"/>
        </w:rPr>
        <w:t xml:space="preserve">  本合同作为</w:t>
      </w:r>
      <w:r>
        <w:rPr>
          <w:rFonts w:hint="eastAsia" w:ascii="宋体" w:hAnsi="宋体" w:eastAsia="宋体" w:cs="宋体"/>
          <w:b w:val="0"/>
          <w:bCs/>
          <w:color w:val="auto"/>
          <w:spacing w:val="0"/>
          <w:sz w:val="24"/>
          <w:szCs w:val="24"/>
          <w:highlight w:val="none"/>
          <w:u w:val="single"/>
          <w:lang w:val="en-US" w:eastAsia="zh-CN"/>
        </w:rPr>
        <w:t xml:space="preserve">            </w:t>
      </w:r>
      <w:r>
        <w:rPr>
          <w:rFonts w:hint="eastAsia" w:ascii="宋体" w:hAnsi="宋体" w:eastAsia="宋体" w:cs="宋体"/>
          <w:color w:val="auto"/>
          <w:sz w:val="24"/>
          <w:highlight w:val="none"/>
        </w:rPr>
        <w:t>的附件，与主合同具有同等法律效力。甲乙双方签署后立即生效。</w:t>
      </w:r>
    </w:p>
    <w:p w14:paraId="6FAE9DF3">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第七条</w:t>
      </w:r>
      <w:r>
        <w:rPr>
          <w:rFonts w:hint="eastAsia" w:ascii="宋体" w:hAnsi="宋体" w:eastAsia="宋体" w:cs="宋体"/>
          <w:color w:val="auto"/>
          <w:sz w:val="24"/>
          <w:highlight w:val="none"/>
        </w:rPr>
        <w:t xml:space="preserve">  本合同的有效期为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highlight w:val="none"/>
        </w:rPr>
        <w:t>。</w:t>
      </w:r>
    </w:p>
    <w:p w14:paraId="4860F907">
      <w:pPr>
        <w:keepNext w:val="0"/>
        <w:keepLines w:val="0"/>
        <w:pageBreakBefore w:val="0"/>
        <w:widowControl/>
        <w:kinsoku/>
        <w:wordWrap/>
        <w:overflowPunct/>
        <w:topLinePunct w:val="0"/>
        <w:autoSpaceDE w:val="0"/>
        <w:autoSpaceDN w:val="0"/>
        <w:bidi w:val="0"/>
        <w:adjustRightInd/>
        <w:snapToGrid/>
        <w:spacing w:line="420" w:lineRule="exact"/>
        <w:ind w:firstLine="6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第八条</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本合同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lang w:eastAsia="zh-CN"/>
        </w:rPr>
        <w:t>陆</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方执肆份，乙方</w:t>
      </w:r>
      <w:r>
        <w:rPr>
          <w:rFonts w:hint="eastAsia" w:ascii="宋体" w:hAnsi="宋体" w:eastAsia="宋体" w:cs="宋体"/>
          <w:color w:val="auto"/>
          <w:sz w:val="24"/>
          <w:highlight w:val="none"/>
        </w:rPr>
        <w:t>执二份</w:t>
      </w:r>
      <w:r>
        <w:rPr>
          <w:rFonts w:hint="eastAsia" w:ascii="宋体" w:hAnsi="宋体" w:eastAsia="宋体" w:cs="宋体"/>
          <w:color w:val="auto"/>
          <w:sz w:val="24"/>
          <w:highlight w:val="none"/>
          <w:lang w:eastAsia="zh-CN"/>
        </w:rPr>
        <w:t>。</w:t>
      </w:r>
    </w:p>
    <w:p w14:paraId="05A30CC6">
      <w:pPr>
        <w:keepNext w:val="0"/>
        <w:keepLines w:val="0"/>
        <w:pageBreakBefore w:val="0"/>
        <w:widowControl/>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auto"/>
          <w:sz w:val="24"/>
          <w:highlight w:val="none"/>
        </w:rPr>
      </w:pPr>
    </w:p>
    <w:p w14:paraId="7CFEA50E">
      <w:pPr>
        <w:keepNext w:val="0"/>
        <w:keepLines w:val="0"/>
        <w:pageBreakBefore w:val="0"/>
        <w:widowControl/>
        <w:kinsoku/>
        <w:wordWrap/>
        <w:overflowPunct/>
        <w:topLinePunct w:val="0"/>
        <w:autoSpaceDE w:val="0"/>
        <w:autoSpaceDN w:val="0"/>
        <w:bidi w:val="0"/>
        <w:adjustRightInd/>
        <w:snapToGrid/>
        <w:spacing w:line="420" w:lineRule="exact"/>
        <w:jc w:val="both"/>
        <w:textAlignment w:val="auto"/>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eastAsia="zh-CN"/>
        </w:rPr>
        <w:t>宁波市北仑区人民政府梅山街道办事处</w:t>
      </w:r>
      <w:r>
        <w:rPr>
          <w:rFonts w:hint="eastAsia" w:ascii="宋体" w:hAnsi="宋体" w:eastAsia="宋体" w:cs="宋体"/>
          <w:color w:val="auto"/>
          <w:sz w:val="24"/>
          <w:szCs w:val="24"/>
          <w:highlight w:val="none"/>
          <w:u w:val="none"/>
          <w:lang w:val="en-US" w:eastAsia="zh-CN"/>
        </w:rPr>
        <w:t xml:space="preserve">    乙方</w:t>
      </w:r>
      <w:r>
        <w:rPr>
          <w:rFonts w:hint="eastAsia" w:ascii="宋体" w:hAnsi="宋体" w:eastAsia="宋体" w:cs="宋体"/>
          <w:color w:val="auto"/>
          <w:sz w:val="24"/>
          <w:szCs w:val="24"/>
          <w:highlight w:val="none"/>
          <w:u w:val="none"/>
        </w:rPr>
        <w:t>：</w:t>
      </w:r>
    </w:p>
    <w:p w14:paraId="25B94452">
      <w:pPr>
        <w:keepNext w:val="0"/>
        <w:keepLines w:val="0"/>
        <w:pageBreakBefore w:val="0"/>
        <w:widowControl/>
        <w:kinsoku/>
        <w:wordWrap/>
        <w:overflowPunct/>
        <w:topLinePunct w:val="0"/>
        <w:autoSpaceDE w:val="0"/>
        <w:autoSpaceDN w:val="0"/>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5768FAC">
      <w:pPr>
        <w:keepNext w:val="0"/>
        <w:keepLines w:val="0"/>
        <w:pageBreakBefore w:val="0"/>
        <w:widowControl/>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w:t>
      </w:r>
      <w:r>
        <w:rPr>
          <w:rFonts w:hint="eastAsia" w:ascii="宋体" w:hAnsi="宋体" w:cs="宋体"/>
          <w:color w:val="auto"/>
          <w:sz w:val="24"/>
          <w:highlight w:val="none"/>
          <w:lang w:val="en-US" w:eastAsia="zh-CN"/>
        </w:rPr>
        <w:t>或</w:t>
      </w:r>
    </w:p>
    <w:p w14:paraId="0F8C0858">
      <w:pPr>
        <w:keepNext w:val="0"/>
        <w:keepLines w:val="0"/>
        <w:pageBreakBefore w:val="0"/>
        <w:widowControl/>
        <w:kinsoku/>
        <w:wordWrap/>
        <w:overflowPunct/>
        <w:topLinePunct w:val="0"/>
        <w:autoSpaceDE w:val="0"/>
        <w:autoSpaceDN w:val="0"/>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其委托代理人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其委托代理人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5EE7749C">
      <w:pPr>
        <w:keepNext w:val="0"/>
        <w:keepLines w:val="0"/>
        <w:pageBreakBefore w:val="0"/>
        <w:widowControl/>
        <w:kinsoku/>
        <w:wordWrap/>
        <w:overflowPunct/>
        <w:topLinePunct w:val="0"/>
        <w:autoSpaceDE w:val="0"/>
        <w:autoSpaceDN w:val="0"/>
        <w:bidi w:val="0"/>
        <w:adjustRightInd/>
        <w:snapToGrid/>
        <w:spacing w:line="420" w:lineRule="exact"/>
        <w:ind w:right="48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58AD99A0">
      <w:pPr>
        <w:keepNext w:val="0"/>
        <w:keepLines w:val="0"/>
        <w:pageBreakBefore w:val="0"/>
        <w:widowControl/>
        <w:kinsoku/>
        <w:wordWrap/>
        <w:overflowPunct/>
        <w:topLinePunct w:val="0"/>
        <w:autoSpaceDE w:val="0"/>
        <w:autoSpaceDN w:val="0"/>
        <w:bidi w:val="0"/>
        <w:adjustRightInd/>
        <w:snapToGrid/>
        <w:spacing w:line="420" w:lineRule="exact"/>
        <w:ind w:right="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签订日期：     年     月   日</w:t>
      </w:r>
    </w:p>
    <w:p w14:paraId="7DD2DDD5">
      <w:pPr>
        <w:spacing w:line="480" w:lineRule="exact"/>
        <w:rPr>
          <w:rFonts w:hint="eastAsia" w:ascii="宋体" w:hAnsi="宋体" w:eastAsia="宋体" w:cs="宋体"/>
          <w:sz w:val="30"/>
          <w:szCs w:val="30"/>
        </w:rPr>
      </w:pPr>
      <w:r>
        <w:rPr>
          <w:rFonts w:hint="eastAsia" w:ascii="宋体" w:hAnsi="宋体" w:eastAsia="宋体" w:cs="宋体"/>
          <w:color w:val="auto"/>
          <w:sz w:val="24"/>
          <w:highlight w:val="none"/>
        </w:rPr>
        <w:br w:type="page"/>
      </w:r>
      <w:r>
        <w:rPr>
          <w:rFonts w:hint="eastAsia" w:ascii="宋体" w:hAnsi="宋体" w:eastAsia="宋体" w:cs="宋体"/>
          <w:color w:val="auto"/>
          <w:sz w:val="30"/>
          <w:highlight w:val="none"/>
          <w:lang w:val="en-US" w:eastAsia="zh-CN"/>
        </w:rPr>
        <w:t>附表5</w:t>
      </w:r>
    </w:p>
    <w:p w14:paraId="721CF406">
      <w:pPr>
        <w:pStyle w:val="12"/>
        <w:jc w:val="center"/>
        <w:rPr>
          <w:rFonts w:hint="eastAsia" w:ascii="黑体" w:hAnsi="宋体" w:eastAsia="黑体" w:cs="宋体"/>
          <w:sz w:val="36"/>
          <w:szCs w:val="36"/>
        </w:rPr>
      </w:pPr>
      <w:r>
        <w:rPr>
          <w:rFonts w:hint="eastAsia" w:ascii="黑体" w:hAnsi="宋体" w:eastAsia="黑体" w:cs="宋体"/>
          <w:sz w:val="36"/>
          <w:szCs w:val="36"/>
        </w:rPr>
        <w:t>使用地形图（含电子版）保密协议</w:t>
      </w:r>
    </w:p>
    <w:p w14:paraId="35AC078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hAnsi="宋体" w:eastAsia="宋体" w:cs="宋体"/>
          <w:sz w:val="24"/>
          <w:szCs w:val="24"/>
          <w:u w:val="single"/>
          <w:lang w:eastAsia="zh-CN"/>
        </w:rPr>
      </w:pPr>
      <w:r>
        <w:rPr>
          <w:rFonts w:hint="eastAsia" w:hAnsi="宋体" w:cs="宋体"/>
          <w:b/>
          <w:sz w:val="24"/>
          <w:szCs w:val="24"/>
        </w:rPr>
        <w:t>甲方：</w:t>
      </w:r>
      <w:r>
        <w:rPr>
          <w:rFonts w:hint="eastAsia" w:hAnsi="宋体" w:cs="宋体"/>
          <w:b/>
          <w:sz w:val="24"/>
          <w:szCs w:val="24"/>
          <w:u w:val="single"/>
          <w:lang w:eastAsia="zh-CN"/>
        </w:rPr>
        <w:t>宁波市北仑区人民政府梅山街道办事处</w:t>
      </w:r>
    </w:p>
    <w:p w14:paraId="0F76BEC2">
      <w:pPr>
        <w:keepNext w:val="0"/>
        <w:keepLines w:val="0"/>
        <w:pageBreakBefore w:val="0"/>
        <w:tabs>
          <w:tab w:val="left" w:pos="1800"/>
        </w:tabs>
        <w:kinsoku/>
        <w:wordWrap/>
        <w:overflowPunct/>
        <w:topLinePunct w:val="0"/>
        <w:autoSpaceDE/>
        <w:autoSpaceDN/>
        <w:bidi w:val="0"/>
        <w:adjustRightInd/>
        <w:snapToGrid/>
        <w:spacing w:line="400" w:lineRule="exact"/>
        <w:textAlignment w:val="auto"/>
        <w:rPr>
          <w:rFonts w:hint="eastAsia" w:hAnsi="宋体" w:cs="宋体"/>
          <w:b/>
          <w:sz w:val="24"/>
          <w:szCs w:val="24"/>
        </w:rPr>
      </w:pPr>
      <w:r>
        <w:rPr>
          <w:rFonts w:hint="eastAsia" w:hAnsi="宋体" w:cs="宋体"/>
          <w:b/>
          <w:sz w:val="24"/>
          <w:szCs w:val="24"/>
        </w:rPr>
        <w:t>乙方</w:t>
      </w:r>
      <w:r>
        <w:rPr>
          <w:rFonts w:hint="eastAsia" w:hAnsi="宋体" w:cs="宋体"/>
          <w:b/>
          <w:bCs w:val="0"/>
          <w:sz w:val="24"/>
          <w:szCs w:val="24"/>
        </w:rPr>
        <w:t>：</w:t>
      </w:r>
      <w:r>
        <w:rPr>
          <w:rFonts w:hint="eastAsia" w:ascii="宋体" w:hAnsi="宋体" w:eastAsia="宋体" w:cs="宋体"/>
          <w:b/>
          <w:bCs w:val="0"/>
          <w:snapToGrid w:val="0"/>
          <w:color w:val="auto"/>
          <w:kern w:val="0"/>
          <w:sz w:val="24"/>
          <w:szCs w:val="24"/>
          <w:highlight w:val="none"/>
          <w:u w:val="single"/>
          <w:lang w:val="en-US" w:eastAsia="zh-CN"/>
        </w:rPr>
        <w:t xml:space="preserve">                             </w:t>
      </w:r>
      <w:r>
        <w:rPr>
          <w:rFonts w:hint="eastAsia" w:ascii="宋体" w:hAnsi="宋体" w:eastAsia="宋体" w:cs="宋体"/>
          <w:b/>
          <w:bCs w:val="0"/>
          <w:snapToGrid w:val="0"/>
          <w:color w:val="auto"/>
          <w:kern w:val="0"/>
          <w:sz w:val="24"/>
          <w:szCs w:val="24"/>
          <w:highlight w:val="none"/>
          <w:u w:val="single"/>
        </w:rPr>
        <w:t xml:space="preserve">     </w:t>
      </w:r>
    </w:p>
    <w:p w14:paraId="4BCEEC14">
      <w:pPr>
        <w:snapToGrid w:val="0"/>
        <w:spacing w:line="48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根据甲方委托乙方承担业务的需要，甲方向乙方提供北仑城区1：1000 比例尺地形图及排水管道资料（电子版）（下称地形图），按照国家有关保密法律法规规定，经甲、乙双方协商达成如下使用地形图保密协议，共同遵守。                </w:t>
      </w:r>
    </w:p>
    <w:p w14:paraId="658AFA7A">
      <w:pPr>
        <w:snapToGrid w:val="0"/>
        <w:spacing w:line="48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乙方在使用地形图的过程中，应遵守下列事项：</w:t>
      </w:r>
    </w:p>
    <w:p w14:paraId="20B5D7CE">
      <w:pPr>
        <w:snapToGrid w:val="0"/>
        <w:spacing w:line="48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一、地形图属“秘密”等级，乙方在使用过程中，必须遵守国家有关保密法律法规的有关规定。</w:t>
      </w:r>
    </w:p>
    <w:p w14:paraId="597947D1">
      <w:pPr>
        <w:snapToGrid w:val="0"/>
        <w:spacing w:line="480" w:lineRule="auto"/>
        <w:ind w:firstLine="411" w:firstLineChars="196"/>
        <w:rPr>
          <w:rFonts w:hint="eastAsia" w:ascii="宋体" w:hAnsi="宋体" w:eastAsia="宋体" w:cs="宋体"/>
          <w:szCs w:val="21"/>
          <w:lang w:val="en-US" w:eastAsia="zh-CN"/>
        </w:rPr>
      </w:pPr>
      <w:bookmarkStart w:id="186" w:name="OLE_LINK1"/>
      <w:r>
        <w:rPr>
          <w:rFonts w:hint="eastAsia" w:ascii="宋体" w:hAnsi="宋体" w:eastAsia="宋体" w:cs="宋体"/>
          <w:szCs w:val="21"/>
          <w:lang w:val="en-US" w:eastAsia="zh-CN"/>
        </w:rPr>
        <w:t>二、乙方只能在甲方委托的业务范围内使用地形图，不得作其他用途或提供给第三方。</w:t>
      </w:r>
      <w:bookmarkEnd w:id="186"/>
    </w:p>
    <w:p w14:paraId="2ECB2614">
      <w:pPr>
        <w:snapToGrid w:val="0"/>
        <w:spacing w:line="48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三、乙方在使用地形图的过程中，如违反国家保密法和有关法律法规或者测绘主管部门的规定，甲方有权收回地形图，无条件终止乙方的使用权，乙方承担相应的法律责任。</w:t>
      </w:r>
    </w:p>
    <w:p w14:paraId="776B88EE">
      <w:pPr>
        <w:snapToGrid w:val="0"/>
        <w:spacing w:line="48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四、本合同一式陆份，甲方执肆份，乙方执二份。</w:t>
      </w:r>
    </w:p>
    <w:p w14:paraId="210EAB6F">
      <w:pPr>
        <w:snapToGrid w:val="0"/>
        <w:spacing w:line="48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附件：测绘、保密法律、法规有关条款。</w:t>
      </w:r>
    </w:p>
    <w:p w14:paraId="0E4E6756">
      <w:pPr>
        <w:pStyle w:val="12"/>
        <w:spacing w:line="360" w:lineRule="auto"/>
        <w:rPr>
          <w:rFonts w:hint="eastAsia" w:hAnsi="宋体" w:cs="宋体"/>
          <w:sz w:val="24"/>
          <w:szCs w:val="24"/>
        </w:rPr>
      </w:pPr>
      <w:r>
        <w:rPr>
          <w:rFonts w:hint="eastAsia" w:hAnsi="宋体" w:cs="宋体"/>
          <w:sz w:val="24"/>
          <w:szCs w:val="24"/>
        </w:rPr>
        <w:t>甲方(盖章)：                      乙方(盖章)：</w:t>
      </w:r>
    </w:p>
    <w:p w14:paraId="53CA37BF">
      <w:pPr>
        <w:pStyle w:val="12"/>
        <w:spacing w:line="360" w:lineRule="auto"/>
        <w:rPr>
          <w:rFonts w:hint="eastAsia" w:hAnsi="宋体" w:cs="宋体"/>
          <w:sz w:val="24"/>
          <w:szCs w:val="24"/>
        </w:rPr>
      </w:pPr>
      <w:r>
        <w:rPr>
          <w:rFonts w:hint="eastAsia" w:hAnsi="宋体" w:cs="宋体"/>
          <w:sz w:val="24"/>
          <w:szCs w:val="24"/>
        </w:rPr>
        <w:t>负责人（签字）：                   负责人 (签字)：</w:t>
      </w:r>
    </w:p>
    <w:p w14:paraId="0A66A098">
      <w:pPr>
        <w:pStyle w:val="12"/>
        <w:spacing w:line="360" w:lineRule="auto"/>
        <w:rPr>
          <w:rFonts w:hint="eastAsia" w:hAnsi="宋体" w:cs="宋体"/>
          <w:sz w:val="24"/>
          <w:szCs w:val="24"/>
        </w:rPr>
      </w:pPr>
      <w:r>
        <w:rPr>
          <w:rFonts w:hint="eastAsia" w:hAnsi="宋体" w:cs="宋体"/>
          <w:sz w:val="24"/>
          <w:szCs w:val="24"/>
        </w:rPr>
        <w:t>日期：                               日期：</w:t>
      </w:r>
    </w:p>
    <w:p w14:paraId="3778145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textAlignment w:val="auto"/>
        <w:rPr>
          <w:rFonts w:hint="eastAsia" w:ascii="宋体" w:hAnsi="宋体" w:eastAsia="宋体" w:cs="宋体"/>
          <w:b/>
          <w:sz w:val="24"/>
          <w:szCs w:val="24"/>
        </w:rPr>
      </w:pPr>
      <w:r>
        <w:rPr>
          <w:rFonts w:hint="eastAsia" w:eastAsia="宋体" w:cs="宋体"/>
          <w:color w:val="auto"/>
          <w:sz w:val="24"/>
          <w:szCs w:val="24"/>
          <w:highlight w:val="none"/>
          <w:lang w:val="en-US" w:eastAsia="zh-CN"/>
        </w:rPr>
        <w:br w:type="page"/>
      </w:r>
      <w:r>
        <w:rPr>
          <w:rFonts w:hint="eastAsia" w:ascii="宋体" w:hAnsi="宋体" w:eastAsia="宋体" w:cs="宋体"/>
          <w:b/>
          <w:sz w:val="24"/>
          <w:szCs w:val="24"/>
          <w:lang w:val="en-US" w:eastAsia="zh-CN"/>
        </w:rPr>
        <w:t>附件</w:t>
      </w:r>
      <w:r>
        <w:rPr>
          <w:rFonts w:hint="eastAsia" w:ascii="宋体" w:hAnsi="宋体" w:eastAsia="宋体" w:cs="宋体"/>
          <w:b/>
          <w:sz w:val="24"/>
          <w:szCs w:val="24"/>
        </w:rPr>
        <w:t>测绘、保密法律、法规有关条款：</w:t>
      </w:r>
    </w:p>
    <w:p w14:paraId="069CA33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textAlignment w:val="auto"/>
        <w:rPr>
          <w:rFonts w:hint="eastAsia" w:ascii="宋体" w:hAnsi="宋体" w:eastAsia="宋体" w:cs="宋体"/>
          <w:b/>
          <w:sz w:val="24"/>
          <w:szCs w:val="24"/>
        </w:rPr>
      </w:pPr>
    </w:p>
    <w:p w14:paraId="39AFBBBA">
      <w:pPr>
        <w:numPr>
          <w:ilvl w:val="0"/>
          <w:numId w:val="8"/>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《中华人民共和国保守国家秘密法》有关条款</w:t>
      </w:r>
    </w:p>
    <w:p w14:paraId="5CCDD61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第三十一条 违反本法规定，故意或者过失泄露国家秘密，情节严重的，依照刑法第一百八十条的规定追究刑事责任。</w:t>
      </w:r>
    </w:p>
    <w:p w14:paraId="03738689">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违反本法规定，泄露国家秘密，不够刑事处罚的，可以酌情给予行政处分。</w:t>
      </w:r>
    </w:p>
    <w:p w14:paraId="1EB7B7E0">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第三十二条 为境外的机构、组织、人员窃取、刺探、收买、非法提供国家秘密的，依法追究刑事责任。</w:t>
      </w:r>
    </w:p>
    <w:p w14:paraId="624ADC0C">
      <w:pPr>
        <w:numPr>
          <w:ilvl w:val="0"/>
          <w:numId w:val="8"/>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《中华人民共和国保守国家秘密法细则》有关条款</w:t>
      </w:r>
    </w:p>
    <w:p w14:paraId="2743CF78">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第十七条 印刷、复制国家秘密载体，应当在持有《国家秘密载体复制许可证》的单位进行，或者由本单位工作人员打印和复制。严禁将国家秘密委托没有《国家秘密载体复制许可证》的单位印刷、复制。</w:t>
      </w:r>
    </w:p>
    <w:p w14:paraId="70A342D4">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绝密级国家秘密未经制作单位同意，不得翻印、复制。</w:t>
      </w:r>
    </w:p>
    <w:p w14:paraId="6DB9D777">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确属工作需要汇编国家秘密文件、资料以及国家领导人重要讲话，需经原发文单位审查批准。其密级和保密期限按汇编文件、资料中最高密级和最长期限在封面上标明，并在目录中标明文件、资料的密级，在正文中标明密级和保密期限。</w:t>
      </w:r>
    </w:p>
    <w:p w14:paraId="363EE59D">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国家秘密载体的使用、管理、传递、销毁必须严格按照保密法规执行，防止泄密事件的发生。</w:t>
      </w:r>
    </w:p>
    <w:p w14:paraId="0CB32E87">
      <w:pPr>
        <w:numPr>
          <w:ilvl w:val="0"/>
          <w:numId w:val="8"/>
        </w:numPr>
        <w:tabs>
          <w:tab w:val="left" w:pos="0"/>
        </w:tabs>
        <w:spacing w:line="360" w:lineRule="auto"/>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《中华人民共和国测绘成果管理规定》有关条款</w:t>
      </w:r>
    </w:p>
    <w:p w14:paraId="0970166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第十八条 有下列行为之一的单位，按以下规定，给予行政处罚：</w:t>
      </w:r>
    </w:p>
    <w:p w14:paraId="0EEAB1FA">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(二)以发生重大测绘成果泄密事故的，由测绘行政主管部门给予通报批评，并按本规定第十九条规定追究单位负责人的责任；</w:t>
      </w:r>
    </w:p>
    <w:p w14:paraId="341816C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(三)对未经提供测绘成果的部门批准，擅自复制、转让或者转借测绘成果的，由测绘行政主管部门给予通报批评，可以并处罚款。</w:t>
      </w:r>
    </w:p>
    <w:p w14:paraId="1DE5930F">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第十九条 有下列行为之一的个人，由其所在单位或者该单位的上级主管机关给予行政处分：构成犯罪的，由司法机关依法追究刑事责任：</w:t>
      </w:r>
    </w:p>
    <w:p w14:paraId="2644B97E">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(一)丢失保密测绘成果，或者造成测绘成果泄密事故的：</w:t>
      </w:r>
    </w:p>
    <w:p w14:paraId="06A3CA85">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(二)未按本规定第十四条规定履行报批手续，擅自对外提供未公开的测绘成果的；</w:t>
      </w:r>
    </w:p>
    <w:p w14:paraId="2237F057">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(三)测绘成果管理人员不履行职责，致使测绘成果遭受重大损失，或者擅自提供未公开的测绘成果的：</w:t>
      </w:r>
    </w:p>
    <w:p w14:paraId="5F2AA063">
      <w:pPr>
        <w:snapToGrid w:val="0"/>
        <w:spacing w:line="360" w:lineRule="auto"/>
        <w:ind w:firstLine="411" w:firstLineChars="196"/>
        <w:rPr>
          <w:rFonts w:hint="eastAsia" w:ascii="宋体" w:hAnsi="宋体" w:eastAsia="宋体" w:cs="宋体"/>
          <w:szCs w:val="21"/>
          <w:lang w:val="en-US" w:eastAsia="zh-CN"/>
        </w:rPr>
      </w:pPr>
      <w:r>
        <w:rPr>
          <w:rFonts w:hint="eastAsia" w:ascii="宋体" w:hAnsi="宋体" w:eastAsia="宋体" w:cs="宋体"/>
          <w:szCs w:val="21"/>
          <w:lang w:val="en-US" w:eastAsia="zh-CN"/>
        </w:rPr>
        <w:t>(四)测绘成果丢失或者泄密造成严重后果以及对造成测绘成果丢失或者泄密事故不查处的单位负责人。</w:t>
      </w:r>
    </w:p>
    <w:p w14:paraId="7DD97A02">
      <w:pPr>
        <w:pStyle w:val="30"/>
        <w:rPr>
          <w:rFonts w:hint="eastAsia"/>
        </w:rPr>
      </w:pPr>
    </w:p>
    <w:p w14:paraId="0FE8D958">
      <w:pPr>
        <w:pStyle w:val="30"/>
        <w:rPr>
          <w:rFonts w:hint="eastAsia" w:ascii="仿宋" w:hAnsi="仿宋" w:eastAsia="仿宋" w:cs="仿宋"/>
          <w:color w:val="000000"/>
          <w:sz w:val="22"/>
          <w:szCs w:val="22"/>
          <w:highlight w:val="none"/>
        </w:rPr>
      </w:pPr>
    </w:p>
    <w:p w14:paraId="263AAA93">
      <w:pPr>
        <w:pStyle w:val="30"/>
        <w:rPr>
          <w:rFonts w:hint="eastAsia" w:ascii="仿宋" w:hAnsi="仿宋" w:eastAsia="仿宋" w:cs="仿宋"/>
          <w:color w:val="000000"/>
          <w:sz w:val="22"/>
          <w:szCs w:val="22"/>
          <w:highlight w:val="none"/>
        </w:rPr>
      </w:pPr>
    </w:p>
    <w:p w14:paraId="72AAADF0">
      <w:pPr>
        <w:pStyle w:val="30"/>
        <w:rPr>
          <w:rFonts w:hint="eastAsia" w:ascii="仿宋" w:hAnsi="仿宋" w:eastAsia="仿宋" w:cs="仿宋"/>
          <w:color w:val="000000"/>
          <w:sz w:val="22"/>
          <w:szCs w:val="22"/>
          <w:highlight w:val="none"/>
        </w:rPr>
      </w:pPr>
    </w:p>
    <w:p w14:paraId="24F30EEE">
      <w:pPr>
        <w:pStyle w:val="30"/>
        <w:rPr>
          <w:rFonts w:hint="eastAsia" w:ascii="仿宋" w:hAnsi="仿宋" w:eastAsia="仿宋" w:cs="仿宋"/>
          <w:color w:val="000000"/>
          <w:sz w:val="22"/>
          <w:szCs w:val="22"/>
          <w:highlight w:val="none"/>
        </w:rPr>
      </w:pPr>
    </w:p>
    <w:p w14:paraId="17FF8647">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4"/>
    </w:p>
    <w:p w14:paraId="032A7AF4">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57D5DC69">
      <w:pPr>
        <w:adjustRightInd w:val="0"/>
        <w:snapToGrid w:val="0"/>
        <w:jc w:val="center"/>
        <w:rPr>
          <w:rFonts w:ascii="宋体" w:hAnsi="宋体" w:cs="宋体"/>
          <w:b/>
          <w:sz w:val="24"/>
        </w:rPr>
      </w:pPr>
      <w:r>
        <w:rPr>
          <w:rFonts w:hint="eastAsia" w:ascii="宋体" w:hAnsi="宋体" w:cs="宋体"/>
          <w:b/>
          <w:sz w:val="24"/>
        </w:rPr>
        <w:t>资格条件自查表</w:t>
      </w:r>
    </w:p>
    <w:tbl>
      <w:tblPr>
        <w:tblStyle w:val="24"/>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7349A34E">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59" w:hRule="atLeast"/>
          <w:jc w:val="center"/>
        </w:trPr>
        <w:tc>
          <w:tcPr>
            <w:tcW w:w="841" w:type="dxa"/>
            <w:tcBorders>
              <w:top w:val="single" w:color="auto" w:sz="12" w:space="0"/>
              <w:left w:val="single" w:color="auto" w:sz="12" w:space="0"/>
              <w:bottom w:val="outset" w:color="111111" w:sz="6" w:space="0"/>
              <w:right w:val="outset" w:color="111111" w:sz="6" w:space="0"/>
            </w:tcBorders>
            <w:vAlign w:val="center"/>
          </w:tcPr>
          <w:p w14:paraId="679AD2AD">
            <w:pPr>
              <w:adjustRightInd w:val="0"/>
              <w:snapToGrid w:val="0"/>
              <w:spacing w:line="240" w:lineRule="exact"/>
              <w:jc w:val="center"/>
              <w:rPr>
                <w:rFonts w:ascii="宋体" w:hAnsi="宋体" w:cs="宋体"/>
              </w:rPr>
            </w:pPr>
            <w:r>
              <w:rPr>
                <w:rStyle w:val="26"/>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vAlign w:val="center"/>
          </w:tcPr>
          <w:p w14:paraId="7D5E593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vAlign w:val="center"/>
          </w:tcPr>
          <w:p w14:paraId="0208F839">
            <w:pPr>
              <w:adjustRightInd w:val="0"/>
              <w:snapToGrid w:val="0"/>
              <w:spacing w:line="240" w:lineRule="exact"/>
              <w:jc w:val="center"/>
              <w:rPr>
                <w:rFonts w:ascii="宋体" w:hAnsi="宋体" w:cs="宋体"/>
              </w:rPr>
            </w:pPr>
            <w:r>
              <w:rPr>
                <w:rStyle w:val="26"/>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vAlign w:val="center"/>
          </w:tcPr>
          <w:p w14:paraId="0EF83340">
            <w:pPr>
              <w:adjustRightInd w:val="0"/>
              <w:snapToGrid w:val="0"/>
              <w:spacing w:line="240" w:lineRule="exact"/>
              <w:jc w:val="center"/>
              <w:rPr>
                <w:rFonts w:ascii="宋体" w:hAnsi="宋体" w:cs="宋体"/>
              </w:rPr>
            </w:pPr>
            <w:r>
              <w:rPr>
                <w:rStyle w:val="26"/>
                <w:rFonts w:hint="eastAsia" w:ascii="宋体" w:hAnsi="宋体" w:cs="宋体"/>
              </w:rPr>
              <w:t>证明资料</w:t>
            </w:r>
          </w:p>
        </w:tc>
      </w:tr>
      <w:tr w14:paraId="50AC07D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427"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vAlign w:val="center"/>
          </w:tcPr>
          <w:p w14:paraId="6B1AF397">
            <w:pPr>
              <w:pStyle w:val="34"/>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5EA4FD9F">
            <w:pPr>
              <w:pStyle w:val="34"/>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2AD0604">
            <w:pPr>
              <w:pStyle w:val="34"/>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15B6F99D">
            <w:pPr>
              <w:pStyle w:val="34"/>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4086EC40">
            <w:pPr>
              <w:pStyle w:val="34"/>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vAlign w:val="center"/>
          </w:tcPr>
          <w:p w14:paraId="0D66CBC3">
            <w:pPr>
              <w:adjustRightInd w:val="0"/>
              <w:snapToGrid w:val="0"/>
              <w:spacing w:line="240" w:lineRule="exact"/>
              <w:rPr>
                <w:rFonts w:hint="eastAsia" w:ascii="宋体" w:hAnsi="宋体" w:eastAsia="宋体" w:cs="宋体"/>
                <w:lang w:eastAsia="zh-CN"/>
              </w:rPr>
            </w:pPr>
            <w:r>
              <w:rPr>
                <w:rFonts w:hint="eastAsia" w:ascii="宋体" w:hAnsi="宋体" w:cs="宋体"/>
              </w:rPr>
              <w:t>1.符合《中华人民共和国政府采购法》第二十二条规定的供应商资格条件</w:t>
            </w:r>
            <w:r>
              <w:rPr>
                <w:rFonts w:hint="eastAsia" w:ascii="宋体" w:hAnsi="宋体" w:cs="宋体"/>
                <w:lang w:eastAsia="zh-CN"/>
              </w:rPr>
              <w:t>。</w:t>
            </w:r>
          </w:p>
        </w:tc>
        <w:tc>
          <w:tcPr>
            <w:tcW w:w="1285" w:type="dxa"/>
            <w:vMerge w:val="restart"/>
            <w:tcBorders>
              <w:top w:val="outset" w:color="111111" w:sz="6" w:space="0"/>
              <w:left w:val="outset" w:color="111111" w:sz="6" w:space="0"/>
              <w:bottom w:val="single" w:color="auto" w:sz="2" w:space="0"/>
              <w:right w:val="outset" w:color="111111" w:sz="6" w:space="0"/>
            </w:tcBorders>
            <w:vAlign w:val="center"/>
          </w:tcPr>
          <w:p w14:paraId="4346FEFE">
            <w:pPr>
              <w:adjustRightInd w:val="0"/>
              <w:snapToGrid w:val="0"/>
              <w:spacing w:line="240" w:lineRule="exact"/>
              <w:rPr>
                <w:rFonts w:ascii="宋体" w:hAnsi="宋体" w:cs="宋体"/>
              </w:rPr>
            </w:pPr>
            <w:r>
              <w:rPr>
                <w:rFonts w:hint="eastAsia" w:ascii="宋体" w:hAnsi="宋体" w:cs="宋体"/>
              </w:rPr>
              <w:t xml:space="preserve">□通过 </w:t>
            </w:r>
          </w:p>
          <w:p w14:paraId="47584099">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vAlign w:val="center"/>
          </w:tcPr>
          <w:p w14:paraId="189328EC">
            <w:pPr>
              <w:adjustRightInd w:val="0"/>
              <w:snapToGrid w:val="0"/>
              <w:spacing w:line="240" w:lineRule="exact"/>
              <w:jc w:val="center"/>
              <w:rPr>
                <w:rFonts w:ascii="宋体" w:hAnsi="宋体" w:cs="宋体"/>
              </w:rPr>
            </w:pPr>
            <w:r>
              <w:rPr>
                <w:rFonts w:hint="eastAsia" w:ascii="宋体" w:hAnsi="宋体" w:cs="宋体"/>
              </w:rPr>
              <w:t>第（ ）页-（  ）页</w:t>
            </w:r>
          </w:p>
        </w:tc>
      </w:tr>
      <w:tr w14:paraId="37E31BF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14:paraId="2DB3D7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vAlign w:val="center"/>
          </w:tcPr>
          <w:p w14:paraId="590AA871">
            <w:pPr>
              <w:adjustRightInd w:val="0"/>
              <w:snapToGrid w:val="0"/>
              <w:spacing w:line="240" w:lineRule="exact"/>
              <w:rPr>
                <w:rFonts w:hint="eastAsia" w:ascii="宋体" w:hAnsi="宋体" w:eastAsia="宋体" w:cs="宋体"/>
                <w:lang w:eastAsia="zh-CN"/>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r>
              <w:rPr>
                <w:rFonts w:hint="eastAsia" w:ascii="宋体" w:hAnsi="宋体" w:cs="宋体"/>
                <w:lang w:eastAsia="zh-CN"/>
              </w:rPr>
              <w:t>。</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14:paraId="62A1C17E">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vAlign w:val="center"/>
          </w:tcPr>
          <w:p w14:paraId="57396F59">
            <w:pPr>
              <w:adjustRightInd w:val="0"/>
              <w:snapToGrid w:val="0"/>
              <w:spacing w:line="240" w:lineRule="exact"/>
              <w:jc w:val="center"/>
              <w:rPr>
                <w:rFonts w:ascii="宋体" w:hAnsi="宋体" w:cs="宋体"/>
              </w:rPr>
            </w:pPr>
            <w:r>
              <w:rPr>
                <w:rFonts w:hint="eastAsia" w:ascii="宋体" w:hAnsi="宋体" w:cs="宋体"/>
              </w:rPr>
              <w:t>第（ ）页</w:t>
            </w:r>
          </w:p>
        </w:tc>
      </w:tr>
      <w:tr w14:paraId="442C85E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14:paraId="1B7264A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vAlign w:val="center"/>
          </w:tcPr>
          <w:p w14:paraId="0B12344F">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14:paraId="28EF546A">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vAlign w:val="center"/>
          </w:tcPr>
          <w:p w14:paraId="2A30ED58">
            <w:pPr>
              <w:adjustRightInd w:val="0"/>
              <w:snapToGrid w:val="0"/>
              <w:spacing w:line="240" w:lineRule="exact"/>
              <w:jc w:val="center"/>
              <w:rPr>
                <w:rFonts w:ascii="宋体" w:hAnsi="宋体" w:cs="宋体"/>
              </w:rPr>
            </w:pPr>
            <w:r>
              <w:rPr>
                <w:rFonts w:hint="eastAsia" w:ascii="宋体" w:hAnsi="宋体" w:cs="宋体"/>
              </w:rPr>
              <w:t>第（ ）页-（  ）页</w:t>
            </w:r>
          </w:p>
        </w:tc>
      </w:tr>
      <w:tr w14:paraId="1B30A48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14:paraId="5F74A7F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74350F6A">
            <w:pPr>
              <w:adjustRightInd w:val="0"/>
              <w:snapToGrid w:val="0"/>
              <w:rPr>
                <w:rFonts w:ascii="宋体" w:hAnsi="宋体" w:cs="宋体"/>
              </w:rPr>
            </w:pPr>
            <w:r>
              <w:rPr>
                <w:rFonts w:hint="eastAsia" w:ascii="宋体" w:hAnsi="宋体" w:cs="宋体"/>
                <w:szCs w:val="20"/>
              </w:rPr>
              <w:t>4.</w:t>
            </w:r>
            <w:r>
              <w:rPr>
                <w:rFonts w:hint="eastAsia" w:ascii="宋体" w:hAnsi="宋体"/>
              </w:rPr>
              <w:t>本项目属于专门面向中小企业采购的项目，</w:t>
            </w:r>
            <w:r>
              <w:rPr>
                <w:rFonts w:hint="eastAsia" w:ascii="宋体" w:hAnsi="宋体"/>
                <w:lang w:eastAsia="zh-CN"/>
              </w:rPr>
              <w:t>供应商</w:t>
            </w:r>
            <w:r>
              <w:rPr>
                <w:rFonts w:hint="eastAsia" w:ascii="宋体" w:hAnsi="宋体"/>
              </w:rPr>
              <w:t>应为符合《政府采购促进中小企业发展管理办法》（财库﹝2020﹞46 号）规定的中小企业（其中，小微企业包括视同为小型、微型企业的监狱企业、残疾人福利性单位。）</w:t>
            </w:r>
            <w:r>
              <w:rPr>
                <w:rFonts w:hint="eastAsia" w:ascii="宋体" w:hAnsi="宋体" w:cs="宋体"/>
                <w:szCs w:val="20"/>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7AF6800E">
            <w:pPr>
              <w:adjustRightInd w:val="0"/>
              <w:snapToGrid w:val="0"/>
              <w:spacing w:line="240" w:lineRule="exact"/>
              <w:rPr>
                <w:rFonts w:ascii="宋体" w:hAnsi="宋体" w:cs="宋体"/>
              </w:rPr>
            </w:pPr>
            <w:r>
              <w:rPr>
                <w:rFonts w:hint="eastAsia" w:ascii="宋体" w:hAnsi="宋体" w:cs="宋体"/>
              </w:rPr>
              <w:t xml:space="preserve">□通过 </w:t>
            </w:r>
          </w:p>
          <w:p w14:paraId="7D1ED33D">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54B9A594">
            <w:pPr>
              <w:adjustRightInd w:val="0"/>
              <w:snapToGrid w:val="0"/>
              <w:spacing w:line="240" w:lineRule="exact"/>
              <w:jc w:val="center"/>
              <w:rPr>
                <w:rFonts w:ascii="宋体" w:hAnsi="宋体" w:cs="宋体"/>
              </w:rPr>
            </w:pPr>
            <w:r>
              <w:rPr>
                <w:rFonts w:hint="eastAsia" w:ascii="宋体" w:hAnsi="宋体" w:cs="宋体"/>
              </w:rPr>
              <w:t>第（ ）页-（  ）页</w:t>
            </w:r>
          </w:p>
        </w:tc>
      </w:tr>
      <w:tr w14:paraId="14F724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5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14:paraId="7040178D">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061611EF">
            <w:pPr>
              <w:adjustRightInd w:val="0"/>
              <w:snapToGrid w:val="0"/>
              <w:spacing w:line="240" w:lineRule="exact"/>
              <w:rPr>
                <w:rFonts w:ascii="宋体" w:hAnsi="宋体" w:cs="宋体"/>
              </w:rPr>
            </w:pPr>
            <w:r>
              <w:rPr>
                <w:rFonts w:hint="eastAsia" w:ascii="宋体" w:hAnsi="宋体" w:cs="宋体"/>
              </w:rPr>
              <w:t>5.</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45EF959B">
            <w:pPr>
              <w:adjustRightInd w:val="0"/>
              <w:snapToGrid w:val="0"/>
              <w:spacing w:line="240" w:lineRule="exact"/>
              <w:rPr>
                <w:rFonts w:ascii="宋体" w:hAnsi="宋体" w:cs="宋体"/>
              </w:rPr>
            </w:pPr>
            <w:r>
              <w:rPr>
                <w:rFonts w:hint="eastAsia" w:ascii="宋体" w:hAnsi="宋体" w:cs="宋体"/>
              </w:rPr>
              <w:t>□通过</w:t>
            </w:r>
          </w:p>
          <w:p w14:paraId="2424EF24">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12F4DBF6">
            <w:pPr>
              <w:adjustRightInd w:val="0"/>
              <w:snapToGrid w:val="0"/>
              <w:spacing w:line="240" w:lineRule="exact"/>
              <w:jc w:val="center"/>
              <w:rPr>
                <w:rFonts w:ascii="宋体" w:hAnsi="宋体" w:cs="宋体"/>
              </w:rPr>
            </w:pPr>
            <w:r>
              <w:rPr>
                <w:rFonts w:hint="eastAsia" w:ascii="宋体" w:hAnsi="宋体" w:cs="宋体"/>
              </w:rPr>
              <w:t>第（ ）页</w:t>
            </w:r>
          </w:p>
        </w:tc>
      </w:tr>
      <w:tr w14:paraId="13C25CD6">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20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14:paraId="7982AB62">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513F3408">
            <w:pPr>
              <w:adjustRightInd w:val="0"/>
              <w:snapToGrid w:val="0"/>
              <w:spacing w:line="240" w:lineRule="exact"/>
              <w:rPr>
                <w:rFonts w:ascii="宋体" w:hAnsi="宋体" w:cs="宋体"/>
              </w:rPr>
            </w:pPr>
            <w:r>
              <w:rPr>
                <w:rFonts w:hint="eastAsia" w:ascii="宋体" w:hAnsi="宋体" w:cs="宋体"/>
              </w:rPr>
              <w:t>6.</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40FEFF9A">
            <w:pPr>
              <w:adjustRightInd w:val="0"/>
              <w:snapToGrid w:val="0"/>
              <w:spacing w:line="240" w:lineRule="exact"/>
              <w:rPr>
                <w:rFonts w:ascii="宋体" w:hAnsi="宋体" w:cs="宋体"/>
              </w:rPr>
            </w:pPr>
            <w:r>
              <w:rPr>
                <w:rFonts w:hint="eastAsia" w:ascii="宋体" w:hAnsi="宋体" w:cs="宋体"/>
              </w:rPr>
              <w:t xml:space="preserve">□通过 </w:t>
            </w:r>
          </w:p>
          <w:p w14:paraId="35766AED">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5E943332">
            <w:pPr>
              <w:adjustRightInd w:val="0"/>
              <w:snapToGrid w:val="0"/>
              <w:spacing w:line="240" w:lineRule="exact"/>
              <w:jc w:val="center"/>
              <w:rPr>
                <w:rFonts w:ascii="宋体" w:hAnsi="宋体" w:cs="宋体"/>
              </w:rPr>
            </w:pPr>
            <w:r>
              <w:rPr>
                <w:rFonts w:hint="eastAsia" w:ascii="宋体" w:hAnsi="宋体" w:cs="宋体"/>
              </w:rPr>
              <w:t>第（ ）页</w:t>
            </w:r>
          </w:p>
        </w:tc>
      </w:tr>
      <w:tr w14:paraId="099B75C0">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14:paraId="1C71B92F">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14:paraId="0FB6A136">
            <w:pPr>
              <w:adjustRightInd w:val="0"/>
              <w:snapToGrid w:val="0"/>
              <w:spacing w:line="240" w:lineRule="exact"/>
              <w:rPr>
                <w:rFonts w:ascii="宋体" w:hAnsi="宋体" w:cs="宋体"/>
              </w:rPr>
            </w:pPr>
            <w:r>
              <w:rPr>
                <w:rFonts w:hint="eastAsia" w:ascii="宋体" w:hAnsi="宋体" w:cs="宋体"/>
              </w:rPr>
              <w:t>6.</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vAlign w:val="center"/>
          </w:tcPr>
          <w:p w14:paraId="2B4B32EE">
            <w:pPr>
              <w:adjustRightInd w:val="0"/>
              <w:snapToGrid w:val="0"/>
              <w:spacing w:line="240" w:lineRule="exact"/>
              <w:rPr>
                <w:rFonts w:ascii="宋体" w:hAnsi="宋体" w:cs="宋体"/>
              </w:rPr>
            </w:pPr>
            <w:r>
              <w:rPr>
                <w:rFonts w:hint="eastAsia" w:ascii="宋体" w:hAnsi="宋体" w:cs="宋体"/>
              </w:rPr>
              <w:t xml:space="preserve">□通过 </w:t>
            </w:r>
          </w:p>
          <w:p w14:paraId="14E5C321">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14:paraId="527AFCAB">
            <w:pPr>
              <w:adjustRightInd w:val="0"/>
              <w:snapToGrid w:val="0"/>
              <w:spacing w:line="240" w:lineRule="exact"/>
              <w:jc w:val="center"/>
              <w:rPr>
                <w:rFonts w:ascii="宋体" w:hAnsi="宋体" w:cs="宋体"/>
              </w:rPr>
            </w:pPr>
            <w:r>
              <w:rPr>
                <w:rFonts w:hint="eastAsia" w:ascii="宋体" w:hAnsi="宋体" w:cs="宋体"/>
              </w:rPr>
              <w:t>第（ ）页</w:t>
            </w:r>
          </w:p>
        </w:tc>
      </w:tr>
    </w:tbl>
    <w:p w14:paraId="6E19620E">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2DD1EA9A">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3B218A74">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18131082">
      <w:pPr>
        <w:spacing w:line="360" w:lineRule="auto"/>
        <w:ind w:firstLine="420" w:firstLineChars="200"/>
        <w:rPr>
          <w:rFonts w:hint="eastAsia" w:ascii="宋体" w:hAnsi="宋体" w:cs="宋体"/>
        </w:rPr>
      </w:pPr>
      <w:r>
        <w:rPr>
          <w:rFonts w:hint="eastAsia" w:ascii="宋体" w:hAnsi="宋体" w:cs="宋体"/>
        </w:rPr>
        <w:t xml:space="preserve">                                                                  年  月  日</w:t>
      </w:r>
    </w:p>
    <w:p w14:paraId="5A1BB1C8">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308132">
      <w:pPr>
        <w:snapToGrid w:val="0"/>
        <w:spacing w:beforeLines="50" w:after="50"/>
        <w:jc w:val="center"/>
        <w:rPr>
          <w:rFonts w:ascii="宋体" w:hAnsi="宋体" w:cs="宋体"/>
          <w:sz w:val="28"/>
          <w:szCs w:val="28"/>
        </w:rPr>
      </w:pPr>
      <w:r>
        <w:rPr>
          <w:rFonts w:hint="eastAsia" w:ascii="宋体" w:hAnsi="宋体" w:cs="宋体"/>
          <w:sz w:val="28"/>
          <w:szCs w:val="28"/>
        </w:rPr>
        <w:t>磋商声明书</w:t>
      </w:r>
    </w:p>
    <w:p w14:paraId="3509A755">
      <w:pPr>
        <w:snapToGrid w:val="0"/>
        <w:spacing w:beforeLines="50" w:after="50"/>
        <w:rPr>
          <w:rFonts w:ascii="宋体" w:hAnsi="宋体" w:cs="宋体"/>
        </w:rPr>
      </w:pPr>
    </w:p>
    <w:p w14:paraId="335BE1AE">
      <w:pPr>
        <w:snapToGrid w:val="0"/>
        <w:spacing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487C95F1">
      <w:pPr>
        <w:snapToGrid w:val="0"/>
        <w:spacing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35D74046">
      <w:pPr>
        <w:numPr>
          <w:ilvl w:val="0"/>
          <w:numId w:val="9"/>
        </w:numPr>
        <w:snapToGrid w:val="0"/>
        <w:spacing w:line="360" w:lineRule="auto"/>
        <w:ind w:firstLine="424" w:firstLineChars="202"/>
        <w:rPr>
          <w:rFonts w:ascii="宋体" w:hAnsi="宋体" w:cs="宋体"/>
          <w:bCs/>
        </w:rPr>
      </w:pPr>
      <w:r>
        <w:rPr>
          <w:rFonts w:hint="eastAsia" w:ascii="宋体" w:hAnsi="宋体" w:cs="宋体"/>
        </w:rPr>
        <w:t>我方具备</w:t>
      </w:r>
      <w:r>
        <w:rPr>
          <w:rFonts w:hint="eastAsia" w:ascii="宋体" w:hAnsi="宋体" w:cs="宋体"/>
          <w:bCs/>
        </w:rPr>
        <w:t>《中华人民共和国政府采购法》第二十二条规定资格条件：</w:t>
      </w:r>
    </w:p>
    <w:p w14:paraId="4AA2E57A">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16E7F362">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C71BC1E">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1E0BE494">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124B4C75">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38ABA0FD">
      <w:pPr>
        <w:snapToGrid w:val="0"/>
        <w:spacing w:line="360" w:lineRule="auto"/>
        <w:ind w:left="425"/>
        <w:rPr>
          <w:rFonts w:hAnsi="宋体" w:cs="宋体"/>
          <w:b/>
          <w:color w:val="000000"/>
        </w:rPr>
      </w:pPr>
    </w:p>
    <w:p w14:paraId="62B6D60E">
      <w:pPr>
        <w:snapToGrid w:val="0"/>
        <w:spacing w:line="360" w:lineRule="auto"/>
        <w:ind w:left="425"/>
        <w:rPr>
          <w:rFonts w:hAnsi="宋体" w:cs="宋体"/>
          <w:b/>
          <w:color w:val="000000"/>
        </w:rPr>
      </w:pPr>
    </w:p>
    <w:p w14:paraId="144AA390">
      <w:pPr>
        <w:snapToGrid w:val="0"/>
        <w:spacing w:line="360" w:lineRule="auto"/>
        <w:ind w:left="425"/>
        <w:rPr>
          <w:rFonts w:hAnsi="宋体" w:cs="宋体"/>
          <w:color w:val="000000"/>
          <w:spacing w:val="4"/>
        </w:rPr>
      </w:pPr>
      <w:r>
        <w:rPr>
          <w:rFonts w:hint="eastAsia" w:hAnsi="宋体" w:cs="宋体"/>
          <w:b/>
          <w:color w:val="000000"/>
        </w:rPr>
        <w:t>特此声明！</w:t>
      </w:r>
    </w:p>
    <w:p w14:paraId="7DCACA8D">
      <w:pPr>
        <w:pStyle w:val="10"/>
        <w:tabs>
          <w:tab w:val="left" w:pos="939"/>
        </w:tabs>
        <w:snapToGrid w:val="0"/>
        <w:spacing w:line="360" w:lineRule="auto"/>
        <w:ind w:left="716" w:leftChars="150" w:hanging="401" w:hangingChars="191"/>
        <w:rPr>
          <w:rFonts w:ascii="宋体" w:hAnsi="宋体" w:cs="宋体"/>
          <w:sz w:val="21"/>
        </w:rPr>
      </w:pPr>
    </w:p>
    <w:p w14:paraId="5783F7B2">
      <w:pPr>
        <w:pStyle w:val="35"/>
        <w:snapToGrid w:val="0"/>
        <w:spacing w:beforeLines="50"/>
        <w:ind w:firstLine="200"/>
        <w:rPr>
          <w:rFonts w:ascii="宋体" w:hAnsi="宋体" w:cs="宋体"/>
          <w:sz w:val="21"/>
          <w:szCs w:val="21"/>
        </w:rPr>
      </w:pPr>
    </w:p>
    <w:p w14:paraId="4C06BC7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496981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241FEE44">
      <w:pPr>
        <w:adjustRightInd w:val="0"/>
        <w:snapToGrid w:val="0"/>
        <w:spacing w:line="440" w:lineRule="exact"/>
        <w:jc w:val="right"/>
        <w:rPr>
          <w:rFonts w:ascii="宋体" w:hAnsi="宋体" w:cs="宋体"/>
        </w:rPr>
      </w:pPr>
      <w:r>
        <w:rPr>
          <w:rFonts w:hint="eastAsia" w:ascii="宋体" w:hAnsi="宋体" w:cs="宋体"/>
        </w:rPr>
        <w:t xml:space="preserve">                                                              年  月  日</w:t>
      </w:r>
    </w:p>
    <w:p w14:paraId="5DB7EF12">
      <w:pPr>
        <w:snapToGrid w:val="0"/>
        <w:spacing w:line="360" w:lineRule="auto"/>
        <w:jc w:val="left"/>
        <w:rPr>
          <w:rFonts w:ascii="宋体" w:hAnsi="宋体" w:cs="宋体"/>
        </w:rPr>
        <w:sectPr>
          <w:pgSz w:w="11906" w:h="16838"/>
          <w:pgMar w:top="1474" w:right="1174" w:bottom="1247" w:left="1174" w:header="851" w:footer="851" w:gutter="0"/>
          <w:pgNumType w:fmt="decimal"/>
          <w:cols w:space="720" w:num="1"/>
          <w:titlePg/>
          <w:docGrid w:linePitch="312" w:charSpace="0"/>
        </w:sectPr>
      </w:pPr>
    </w:p>
    <w:p w14:paraId="5AAA3A5C">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附件三</w:t>
      </w:r>
    </w:p>
    <w:p w14:paraId="44E58D19">
      <w:pPr>
        <w:snapToGrid w:val="0"/>
        <w:spacing w:line="360" w:lineRule="auto"/>
        <w:jc w:val="left"/>
        <w:rPr>
          <w:rFonts w:ascii="宋体" w:hAnsi="宋体" w:cs="宋体"/>
        </w:rPr>
      </w:pPr>
    </w:p>
    <w:p w14:paraId="60916A34">
      <w:pPr>
        <w:jc w:val="center"/>
        <w:rPr>
          <w:rFonts w:ascii="宋体" w:hAnsi="宋体" w:cs="宋体"/>
          <w:b/>
        </w:rPr>
      </w:pPr>
      <w:r>
        <w:rPr>
          <w:rFonts w:hint="eastAsia" w:ascii="宋体" w:hAnsi="宋体" w:cs="宋体"/>
          <w:b/>
        </w:rPr>
        <w:t>符合性自查表</w:t>
      </w:r>
    </w:p>
    <w:p w14:paraId="2CEFBC98">
      <w:pPr>
        <w:jc w:val="center"/>
        <w:rPr>
          <w:rFonts w:ascii="宋体" w:hAnsi="宋体" w:cs="宋体"/>
          <w:b/>
        </w:rPr>
      </w:pPr>
    </w:p>
    <w:tbl>
      <w:tblPr>
        <w:tblStyle w:val="24"/>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14:paraId="4D0AD59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6D21A645">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14:paraId="20EBB523">
            <w:pPr>
              <w:spacing w:line="240" w:lineRule="exact"/>
              <w:jc w:val="center"/>
              <w:rPr>
                <w:rFonts w:ascii="宋体" w:hAnsi="宋体" w:cs="宋体"/>
              </w:rPr>
            </w:pPr>
            <w:r>
              <w:rPr>
                <w:rFonts w:hint="eastAsia" w:ascii="宋体" w:hAnsi="宋体" w:cs="宋体"/>
              </w:rPr>
              <w:t>磋商采购文件要求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14:paraId="0E657B26">
            <w:pPr>
              <w:spacing w:line="240" w:lineRule="exact"/>
              <w:jc w:val="center"/>
              <w:rPr>
                <w:rFonts w:ascii="宋体" w:hAnsi="宋体" w:cs="宋体"/>
              </w:rPr>
            </w:pPr>
            <w:r>
              <w:rPr>
                <w:rFonts w:hint="eastAsia" w:ascii="宋体" w:hAnsi="宋体" w:cs="宋体"/>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14:paraId="1BB4D42A">
            <w:pPr>
              <w:spacing w:line="240" w:lineRule="exact"/>
              <w:jc w:val="center"/>
              <w:rPr>
                <w:rFonts w:ascii="宋体" w:hAnsi="宋体" w:cs="宋体"/>
              </w:rPr>
            </w:pPr>
            <w:r>
              <w:rPr>
                <w:rFonts w:hint="eastAsia" w:ascii="宋体" w:hAnsi="宋体" w:cs="宋体"/>
              </w:rPr>
              <w:t>证明资料</w:t>
            </w:r>
          </w:p>
        </w:tc>
      </w:tr>
      <w:tr w14:paraId="1372AF2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vAlign w:val="center"/>
          </w:tcPr>
          <w:p w14:paraId="201E1125">
            <w:pPr>
              <w:pStyle w:val="34"/>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14:paraId="761C2046">
            <w:pPr>
              <w:spacing w:line="240" w:lineRule="exact"/>
              <w:rPr>
                <w:rFonts w:hint="eastAsia" w:ascii="宋体" w:hAnsi="宋体" w:eastAsia="宋体" w:cs="宋体"/>
                <w:lang w:eastAsia="zh-CN"/>
              </w:rPr>
            </w:pPr>
            <w:r>
              <w:rPr>
                <w:rFonts w:hint="eastAsia" w:ascii="宋体" w:hAnsi="宋体" w:cs="宋体"/>
              </w:rPr>
              <w:t>1、磋商响应文件完全满足磋商采购文件的实质性条款（即标注▲号条款）无负偏离的</w:t>
            </w:r>
            <w:r>
              <w:rPr>
                <w:rFonts w:hint="eastAsia" w:ascii="宋体" w:hAnsi="宋体" w:cs="宋体"/>
                <w:lang w:eastAsia="zh-CN"/>
              </w:rPr>
              <w:t>；</w:t>
            </w:r>
          </w:p>
        </w:tc>
        <w:tc>
          <w:tcPr>
            <w:tcW w:w="1270" w:type="dxa"/>
            <w:tcBorders>
              <w:top w:val="outset" w:color="111111" w:sz="6" w:space="0"/>
              <w:left w:val="outset" w:color="111111" w:sz="6" w:space="0"/>
              <w:bottom w:val="outset" w:color="111111" w:sz="6" w:space="0"/>
              <w:right w:val="outset" w:color="111111" w:sz="6" w:space="0"/>
            </w:tcBorders>
            <w:vAlign w:val="center"/>
          </w:tcPr>
          <w:p w14:paraId="27DACADF">
            <w:pPr>
              <w:spacing w:line="240" w:lineRule="exact"/>
              <w:rPr>
                <w:rFonts w:ascii="宋体" w:hAnsi="宋体" w:cs="宋体"/>
              </w:rPr>
            </w:pPr>
            <w:r>
              <w:rPr>
                <w:rFonts w:hint="eastAsia" w:ascii="宋体" w:hAnsi="宋体" w:cs="宋体"/>
              </w:rPr>
              <w:t xml:space="preserve">□通过 </w:t>
            </w:r>
          </w:p>
          <w:p w14:paraId="010B6B0C">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0C19AE87">
            <w:pPr>
              <w:spacing w:line="240" w:lineRule="exact"/>
              <w:rPr>
                <w:rFonts w:ascii="宋体" w:hAnsi="宋体" w:cs="宋体"/>
              </w:rPr>
            </w:pPr>
            <w:r>
              <w:rPr>
                <w:rFonts w:hint="eastAsia" w:ascii="宋体" w:hAnsi="宋体" w:cs="宋体"/>
              </w:rPr>
              <w:t>第（ ）页</w:t>
            </w:r>
          </w:p>
        </w:tc>
      </w:tr>
      <w:tr w14:paraId="75110D66">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18C0170F">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3126654">
            <w:pPr>
              <w:spacing w:line="240" w:lineRule="exact"/>
              <w:rPr>
                <w:rFonts w:hint="eastAsia" w:ascii="宋体" w:hAnsi="宋体" w:eastAsia="宋体" w:cs="宋体"/>
                <w:lang w:eastAsia="zh-CN"/>
              </w:rPr>
            </w:pPr>
            <w:r>
              <w:rPr>
                <w:rFonts w:hint="eastAsia" w:ascii="宋体" w:hAnsi="宋体" w:cs="宋体"/>
              </w:rPr>
              <w:t>2、法定代表人证明书/法定代表人授权委托书</w:t>
            </w:r>
            <w:r>
              <w:rPr>
                <w:rFonts w:hint="eastAsia" w:ascii="宋体" w:hAnsi="宋体" w:cs="宋体"/>
                <w:lang w:eastAsia="zh-CN"/>
              </w:rPr>
              <w:t>；</w:t>
            </w:r>
          </w:p>
        </w:tc>
        <w:tc>
          <w:tcPr>
            <w:tcW w:w="1270" w:type="dxa"/>
            <w:tcBorders>
              <w:top w:val="outset" w:color="111111" w:sz="6" w:space="0"/>
              <w:left w:val="outset" w:color="111111" w:sz="6" w:space="0"/>
              <w:bottom w:val="outset" w:color="111111" w:sz="6" w:space="0"/>
              <w:right w:val="outset" w:color="111111" w:sz="6" w:space="0"/>
            </w:tcBorders>
            <w:vAlign w:val="center"/>
          </w:tcPr>
          <w:p w14:paraId="3F9375A8">
            <w:pPr>
              <w:spacing w:line="240" w:lineRule="exact"/>
              <w:rPr>
                <w:rFonts w:ascii="宋体" w:hAnsi="宋体" w:cs="宋体"/>
              </w:rPr>
            </w:pPr>
            <w:r>
              <w:rPr>
                <w:rFonts w:hint="eastAsia" w:ascii="宋体" w:hAnsi="宋体" w:cs="宋体"/>
              </w:rPr>
              <w:t xml:space="preserve">□通过 </w:t>
            </w:r>
          </w:p>
          <w:p w14:paraId="668C7AF0">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26FF4D4C">
            <w:pPr>
              <w:spacing w:line="240" w:lineRule="exact"/>
              <w:rPr>
                <w:rFonts w:ascii="宋体" w:hAnsi="宋体" w:cs="宋体"/>
              </w:rPr>
            </w:pPr>
            <w:r>
              <w:rPr>
                <w:rFonts w:hint="eastAsia" w:ascii="宋体" w:hAnsi="宋体" w:cs="宋体"/>
              </w:rPr>
              <w:t>第（ ）页</w:t>
            </w:r>
          </w:p>
        </w:tc>
      </w:tr>
      <w:tr w14:paraId="0BD17695">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2FBE2EAC">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1B22487D">
            <w:pPr>
              <w:spacing w:line="240" w:lineRule="exact"/>
              <w:rPr>
                <w:rFonts w:hint="eastAsia" w:ascii="宋体" w:hAnsi="宋体" w:eastAsia="宋体" w:cs="宋体"/>
                <w:lang w:eastAsia="zh-CN"/>
              </w:rPr>
            </w:pPr>
            <w:r>
              <w:rPr>
                <w:rFonts w:hint="eastAsia" w:ascii="宋体" w:hAnsi="宋体" w:cs="宋体"/>
              </w:rPr>
              <w:t>3、没有其他未实质性响应文件要求的</w:t>
            </w:r>
            <w:r>
              <w:rPr>
                <w:rFonts w:hint="eastAsia" w:ascii="宋体" w:hAnsi="宋体" w:cs="宋体"/>
                <w:lang w:eastAsia="zh-CN"/>
              </w:rPr>
              <w:t>；</w:t>
            </w:r>
          </w:p>
        </w:tc>
        <w:tc>
          <w:tcPr>
            <w:tcW w:w="1270" w:type="dxa"/>
            <w:tcBorders>
              <w:top w:val="outset" w:color="111111" w:sz="6" w:space="0"/>
              <w:left w:val="outset" w:color="111111" w:sz="6" w:space="0"/>
              <w:bottom w:val="outset" w:color="111111" w:sz="6" w:space="0"/>
              <w:right w:val="outset" w:color="111111" w:sz="6" w:space="0"/>
            </w:tcBorders>
            <w:vAlign w:val="center"/>
          </w:tcPr>
          <w:p w14:paraId="4810848B">
            <w:pPr>
              <w:spacing w:line="240" w:lineRule="exact"/>
              <w:rPr>
                <w:rFonts w:ascii="宋体" w:hAnsi="宋体" w:cs="宋体"/>
              </w:rPr>
            </w:pPr>
            <w:r>
              <w:rPr>
                <w:rFonts w:hint="eastAsia" w:ascii="宋体" w:hAnsi="宋体" w:cs="宋体"/>
              </w:rPr>
              <w:t xml:space="preserve">□通过 </w:t>
            </w:r>
          </w:p>
          <w:p w14:paraId="43BC1B39">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38C20EE0">
            <w:pPr>
              <w:spacing w:line="240" w:lineRule="exact"/>
              <w:rPr>
                <w:rFonts w:ascii="宋体" w:hAnsi="宋体" w:cs="宋体"/>
              </w:rPr>
            </w:pPr>
            <w:r>
              <w:rPr>
                <w:rFonts w:hint="eastAsia" w:ascii="宋体" w:hAnsi="宋体" w:cs="宋体"/>
              </w:rPr>
              <w:t>第（ ）页</w:t>
            </w:r>
          </w:p>
        </w:tc>
      </w:tr>
      <w:tr w14:paraId="0E7AF34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0A6A7695">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6E993022">
            <w:pPr>
              <w:spacing w:line="240" w:lineRule="exact"/>
              <w:rPr>
                <w:rFonts w:hint="eastAsia" w:ascii="宋体" w:hAnsi="宋体" w:eastAsia="宋体" w:cs="宋体"/>
                <w:lang w:eastAsia="zh-CN"/>
              </w:rPr>
            </w:pPr>
            <w:r>
              <w:rPr>
                <w:rFonts w:hint="eastAsia" w:ascii="宋体" w:hAnsi="宋体" w:cs="宋体"/>
              </w:rPr>
              <w:t>4、磋商响应文件没有磋商采购文件中规定的其它无效磋商条款的</w:t>
            </w:r>
            <w:r>
              <w:rPr>
                <w:rFonts w:hint="eastAsia" w:ascii="宋体" w:hAnsi="宋体" w:cs="宋体"/>
                <w:lang w:eastAsia="zh-CN"/>
              </w:rPr>
              <w:t>；</w:t>
            </w:r>
          </w:p>
        </w:tc>
        <w:tc>
          <w:tcPr>
            <w:tcW w:w="1270" w:type="dxa"/>
            <w:tcBorders>
              <w:top w:val="outset" w:color="111111" w:sz="6" w:space="0"/>
              <w:left w:val="outset" w:color="111111" w:sz="6" w:space="0"/>
              <w:bottom w:val="outset" w:color="111111" w:sz="6" w:space="0"/>
              <w:right w:val="outset" w:color="111111" w:sz="6" w:space="0"/>
            </w:tcBorders>
            <w:vAlign w:val="center"/>
          </w:tcPr>
          <w:p w14:paraId="029972C2">
            <w:pPr>
              <w:spacing w:line="240" w:lineRule="exact"/>
              <w:rPr>
                <w:rFonts w:ascii="宋体" w:hAnsi="宋体" w:cs="宋体"/>
              </w:rPr>
            </w:pPr>
            <w:r>
              <w:rPr>
                <w:rFonts w:hint="eastAsia" w:ascii="宋体" w:hAnsi="宋体" w:cs="宋体"/>
              </w:rPr>
              <w:t xml:space="preserve">□通过 </w:t>
            </w:r>
          </w:p>
          <w:p w14:paraId="0ECB2D15">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161DA135">
            <w:pPr>
              <w:spacing w:line="240" w:lineRule="exact"/>
              <w:rPr>
                <w:rFonts w:ascii="宋体" w:hAnsi="宋体" w:cs="宋体"/>
              </w:rPr>
            </w:pPr>
            <w:r>
              <w:rPr>
                <w:rFonts w:hint="eastAsia" w:ascii="宋体" w:hAnsi="宋体" w:cs="宋体"/>
              </w:rPr>
              <w:t>第（ ）页</w:t>
            </w:r>
          </w:p>
        </w:tc>
      </w:tr>
      <w:tr w14:paraId="57F83F0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14:paraId="06F2F7BF">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209E9956">
            <w:pPr>
              <w:spacing w:line="240" w:lineRule="exact"/>
              <w:rPr>
                <w:rFonts w:ascii="宋体" w:hAnsi="宋体" w:cs="宋体"/>
              </w:rPr>
            </w:pPr>
            <w:r>
              <w:rPr>
                <w:rFonts w:hint="eastAsia" w:ascii="宋体" w:hAnsi="宋体" w:cs="宋体"/>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0C0B1191">
            <w:pPr>
              <w:spacing w:line="240" w:lineRule="exact"/>
              <w:rPr>
                <w:rFonts w:ascii="宋体" w:hAnsi="宋体" w:cs="宋体"/>
              </w:rPr>
            </w:pPr>
            <w:r>
              <w:rPr>
                <w:rFonts w:hint="eastAsia" w:ascii="宋体" w:hAnsi="宋体" w:cs="宋体"/>
              </w:rPr>
              <w:t xml:space="preserve">□通过 </w:t>
            </w:r>
          </w:p>
          <w:p w14:paraId="7DAB3160">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14:paraId="129C2903">
            <w:pPr>
              <w:spacing w:line="240" w:lineRule="exact"/>
              <w:rPr>
                <w:rFonts w:ascii="宋体" w:hAnsi="宋体" w:cs="宋体"/>
              </w:rPr>
            </w:pPr>
            <w:r>
              <w:rPr>
                <w:rFonts w:hint="eastAsia" w:ascii="宋体" w:hAnsi="宋体" w:cs="宋体"/>
              </w:rPr>
              <w:t>第（ ）页</w:t>
            </w:r>
          </w:p>
        </w:tc>
      </w:tr>
    </w:tbl>
    <w:p w14:paraId="470D9C1E">
      <w:pPr>
        <w:pStyle w:val="23"/>
        <w:ind w:firstLine="480"/>
        <w:rPr>
          <w:rFonts w:eastAsia="宋体"/>
          <w:sz w:val="24"/>
        </w:rPr>
      </w:pPr>
    </w:p>
    <w:p w14:paraId="31DF4F99">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16F0EF6">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F759011">
      <w:pPr>
        <w:pStyle w:val="23"/>
        <w:rPr>
          <w:sz w:val="24"/>
        </w:rPr>
      </w:pPr>
      <w:r>
        <w:rPr>
          <w:rFonts w:hint="eastAsia" w:ascii="宋体" w:hAnsi="宋体" w:cs="宋体"/>
        </w:rPr>
        <w:t xml:space="preserve">                                                                年  月   日</w:t>
      </w:r>
    </w:p>
    <w:p w14:paraId="5DA03367">
      <w:pPr>
        <w:pStyle w:val="23"/>
        <w:ind w:firstLine="480"/>
        <w:rPr>
          <w:rFonts w:eastAsia="宋体"/>
          <w:sz w:val="24"/>
        </w:rPr>
      </w:pPr>
    </w:p>
    <w:p w14:paraId="6A8F9226">
      <w:pPr>
        <w:pStyle w:val="23"/>
        <w:ind w:firstLine="480"/>
        <w:rPr>
          <w:rFonts w:eastAsia="宋体"/>
          <w:sz w:val="24"/>
        </w:rPr>
      </w:pPr>
    </w:p>
    <w:p w14:paraId="1BFC5D73">
      <w:pPr>
        <w:pStyle w:val="23"/>
        <w:ind w:firstLine="480"/>
        <w:rPr>
          <w:rFonts w:eastAsia="宋体"/>
          <w:sz w:val="24"/>
        </w:rPr>
      </w:pPr>
    </w:p>
    <w:p w14:paraId="4BCBD4CE">
      <w:pPr>
        <w:rPr>
          <w:sz w:val="24"/>
        </w:rPr>
      </w:pPr>
    </w:p>
    <w:p w14:paraId="550C1652">
      <w:pPr>
        <w:pStyle w:val="8"/>
        <w:rPr>
          <w:sz w:val="24"/>
        </w:rPr>
      </w:pPr>
    </w:p>
    <w:p w14:paraId="35B32382">
      <w:pPr>
        <w:pStyle w:val="22"/>
        <w:ind w:firstLine="240"/>
        <w:rPr>
          <w:sz w:val="24"/>
        </w:rPr>
      </w:pPr>
    </w:p>
    <w:p w14:paraId="2670AE31">
      <w:pPr>
        <w:rPr>
          <w:sz w:val="24"/>
        </w:rPr>
      </w:pPr>
    </w:p>
    <w:p w14:paraId="239C6EDD">
      <w:pPr>
        <w:pStyle w:val="8"/>
        <w:rPr>
          <w:sz w:val="24"/>
        </w:rPr>
      </w:pPr>
    </w:p>
    <w:p w14:paraId="5F8B258A">
      <w:pPr>
        <w:pStyle w:val="22"/>
        <w:ind w:firstLine="240"/>
        <w:rPr>
          <w:sz w:val="24"/>
        </w:rPr>
      </w:pPr>
    </w:p>
    <w:p w14:paraId="1694F1B0">
      <w:pPr>
        <w:rPr>
          <w:sz w:val="24"/>
        </w:rPr>
      </w:pPr>
    </w:p>
    <w:p w14:paraId="1529D08C">
      <w:pPr>
        <w:pStyle w:val="8"/>
      </w:pPr>
    </w:p>
    <w:p w14:paraId="38CEB721">
      <w:pPr>
        <w:pStyle w:val="8"/>
        <w:rPr>
          <w:sz w:val="24"/>
        </w:rPr>
      </w:pPr>
    </w:p>
    <w:p w14:paraId="4940853A">
      <w:pPr>
        <w:pStyle w:val="22"/>
        <w:ind w:firstLine="240"/>
        <w:rPr>
          <w:sz w:val="24"/>
        </w:rPr>
      </w:pPr>
    </w:p>
    <w:p w14:paraId="5374C16F">
      <w:pPr>
        <w:pStyle w:val="9"/>
        <w:spacing w:line="440" w:lineRule="exact"/>
        <w:ind w:firstLine="0"/>
        <w:rPr>
          <w:rFonts w:ascii="宋体" w:hAnsi="宋体" w:eastAsia="宋体" w:cs="宋体"/>
          <w:b/>
          <w:bCs/>
          <w:color w:val="000000"/>
          <w:sz w:val="21"/>
          <w:szCs w:val="21"/>
        </w:rPr>
      </w:pPr>
      <w:r>
        <w:rPr>
          <w:rFonts w:hint="eastAsia" w:ascii="宋体" w:hAnsi="宋体" w:eastAsia="宋体" w:cs="宋体"/>
          <w:b/>
          <w:bCs/>
          <w:color w:val="000000"/>
          <w:sz w:val="21"/>
          <w:szCs w:val="21"/>
        </w:rPr>
        <w:t>附件四</w:t>
      </w:r>
    </w:p>
    <w:p w14:paraId="04F6D21D">
      <w:pPr>
        <w:jc w:val="center"/>
        <w:rPr>
          <w:rFonts w:ascii="宋体" w:hAnsi="宋体" w:cs="宋体"/>
          <w:b/>
          <w:sz w:val="32"/>
          <w:szCs w:val="32"/>
        </w:rPr>
      </w:pPr>
      <w:r>
        <w:rPr>
          <w:rFonts w:hint="eastAsia" w:ascii="宋体" w:hAnsi="宋体" w:cs="宋体"/>
          <w:b/>
          <w:sz w:val="32"/>
          <w:szCs w:val="32"/>
        </w:rPr>
        <w:t>供应商响应表</w:t>
      </w:r>
    </w:p>
    <w:p w14:paraId="6FA6FE71">
      <w:pPr>
        <w:rPr>
          <w:rFonts w:ascii="宋体" w:hAnsi="宋体" w:cs="宋体"/>
        </w:rPr>
      </w:pPr>
    </w:p>
    <w:p w14:paraId="039E114B">
      <w:pPr>
        <w:rPr>
          <w:rFonts w:ascii="宋体" w:hAnsi="宋体" w:cs="宋体"/>
        </w:rPr>
      </w:pPr>
      <w:r>
        <w:rPr>
          <w:rFonts w:hint="eastAsia" w:ascii="宋体" w:hAnsi="宋体" w:cs="宋体"/>
        </w:rPr>
        <w:t xml:space="preserve">项目编号：                       项目名称：     </w:t>
      </w:r>
    </w:p>
    <w:p w14:paraId="4D26540D">
      <w:pPr>
        <w:rPr>
          <w:rFonts w:ascii="宋体" w:hAnsi="宋体" w:cs="宋体"/>
        </w:rPr>
      </w:pPr>
      <w:r>
        <w:rPr>
          <w:rFonts w:hint="eastAsia" w:ascii="宋体" w:hAnsi="宋体" w:cs="宋体"/>
        </w:rPr>
        <w:t xml:space="preserve">        </w:t>
      </w:r>
    </w:p>
    <w:tbl>
      <w:tblPr>
        <w:tblStyle w:val="24"/>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5D622E05">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vAlign w:val="center"/>
          </w:tcPr>
          <w:p w14:paraId="21B0D94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vAlign w:val="center"/>
          </w:tcPr>
          <w:p w14:paraId="1261FA62">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vAlign w:val="center"/>
          </w:tcPr>
          <w:p w14:paraId="605EF0DE">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vAlign w:val="center"/>
          </w:tcPr>
          <w:p w14:paraId="24483F06">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vAlign w:val="center"/>
          </w:tcPr>
          <w:p w14:paraId="67EC78BA">
            <w:pPr>
              <w:jc w:val="center"/>
              <w:rPr>
                <w:rFonts w:ascii="宋体" w:hAnsi="宋体" w:cs="宋体"/>
              </w:rPr>
            </w:pPr>
            <w:r>
              <w:rPr>
                <w:rFonts w:hint="eastAsia" w:ascii="宋体" w:hAnsi="宋体" w:cs="宋体"/>
              </w:rPr>
              <w:t>证明文件</w:t>
            </w:r>
          </w:p>
        </w:tc>
      </w:tr>
      <w:tr w14:paraId="3641CDC6">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vAlign w:val="center"/>
          </w:tcPr>
          <w:p w14:paraId="4633EF36">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14:paraId="4208D76C">
            <w:pPr>
              <w:rPr>
                <w:rFonts w:ascii="宋体" w:hAnsi="宋体" w:cs="宋体"/>
              </w:rPr>
            </w:pPr>
          </w:p>
        </w:tc>
        <w:tc>
          <w:tcPr>
            <w:tcW w:w="1372" w:type="dxa"/>
            <w:tcBorders>
              <w:top w:val="nil"/>
              <w:left w:val="nil"/>
              <w:bottom w:val="single" w:color="auto" w:sz="4" w:space="0"/>
              <w:right w:val="single" w:color="auto" w:sz="4" w:space="0"/>
            </w:tcBorders>
            <w:vAlign w:val="center"/>
          </w:tcPr>
          <w:p w14:paraId="78ACEAFE">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11116CA0">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14:paraId="5BE34FAA">
            <w:pPr>
              <w:jc w:val="center"/>
              <w:rPr>
                <w:rFonts w:ascii="宋体" w:hAnsi="宋体" w:cs="宋体"/>
              </w:rPr>
            </w:pPr>
            <w:r>
              <w:rPr>
                <w:rFonts w:hint="eastAsia" w:ascii="宋体" w:hAnsi="宋体" w:cs="宋体"/>
              </w:rPr>
              <w:t>见（  ）页</w:t>
            </w:r>
          </w:p>
        </w:tc>
      </w:tr>
      <w:tr w14:paraId="69F0840D">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vAlign w:val="center"/>
          </w:tcPr>
          <w:p w14:paraId="73562905">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14:paraId="49BCC795">
            <w:pPr>
              <w:rPr>
                <w:rFonts w:ascii="宋体" w:hAnsi="宋体" w:cs="宋体"/>
              </w:rPr>
            </w:pPr>
          </w:p>
        </w:tc>
        <w:tc>
          <w:tcPr>
            <w:tcW w:w="1372" w:type="dxa"/>
            <w:tcBorders>
              <w:top w:val="nil"/>
              <w:left w:val="nil"/>
              <w:bottom w:val="single" w:color="auto" w:sz="4" w:space="0"/>
              <w:right w:val="single" w:color="auto" w:sz="4" w:space="0"/>
            </w:tcBorders>
            <w:vAlign w:val="center"/>
          </w:tcPr>
          <w:p w14:paraId="61D86C7C">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05F1B50D">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14:paraId="4706EDBE">
            <w:pPr>
              <w:jc w:val="center"/>
              <w:rPr>
                <w:rFonts w:ascii="宋体" w:hAnsi="宋体" w:cs="宋体"/>
              </w:rPr>
            </w:pPr>
            <w:r>
              <w:rPr>
                <w:rFonts w:hint="eastAsia" w:ascii="宋体" w:hAnsi="宋体" w:cs="宋体"/>
              </w:rPr>
              <w:t>见（  ）页</w:t>
            </w:r>
          </w:p>
        </w:tc>
      </w:tr>
      <w:tr w14:paraId="7D93F49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vAlign w:val="center"/>
          </w:tcPr>
          <w:p w14:paraId="06AC680E">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14:paraId="19F39C52">
            <w:pPr>
              <w:rPr>
                <w:rFonts w:ascii="宋体" w:hAnsi="宋体" w:cs="宋体"/>
              </w:rPr>
            </w:pPr>
          </w:p>
        </w:tc>
        <w:tc>
          <w:tcPr>
            <w:tcW w:w="1372" w:type="dxa"/>
            <w:tcBorders>
              <w:top w:val="nil"/>
              <w:left w:val="nil"/>
              <w:bottom w:val="single" w:color="auto" w:sz="4" w:space="0"/>
              <w:right w:val="single" w:color="auto" w:sz="4" w:space="0"/>
            </w:tcBorders>
            <w:vAlign w:val="center"/>
          </w:tcPr>
          <w:p w14:paraId="01A61C22">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7AD7B84F">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14:paraId="3993A01C">
            <w:pPr>
              <w:jc w:val="center"/>
              <w:rPr>
                <w:rFonts w:ascii="宋体" w:hAnsi="宋体" w:cs="宋体"/>
              </w:rPr>
            </w:pPr>
            <w:r>
              <w:rPr>
                <w:rFonts w:hint="eastAsia" w:ascii="宋体" w:hAnsi="宋体" w:cs="宋体"/>
              </w:rPr>
              <w:t>见（  ）页</w:t>
            </w:r>
          </w:p>
        </w:tc>
      </w:tr>
      <w:tr w14:paraId="09FBF027">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vAlign w:val="center"/>
          </w:tcPr>
          <w:p w14:paraId="640B1E38">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14:paraId="06DD466B">
            <w:pPr>
              <w:rPr>
                <w:rFonts w:ascii="宋体" w:hAnsi="宋体" w:cs="宋体"/>
              </w:rPr>
            </w:pPr>
          </w:p>
        </w:tc>
        <w:tc>
          <w:tcPr>
            <w:tcW w:w="1372" w:type="dxa"/>
            <w:tcBorders>
              <w:top w:val="nil"/>
              <w:left w:val="nil"/>
              <w:bottom w:val="single" w:color="auto" w:sz="4" w:space="0"/>
              <w:right w:val="single" w:color="auto" w:sz="4" w:space="0"/>
            </w:tcBorders>
            <w:vAlign w:val="center"/>
          </w:tcPr>
          <w:p w14:paraId="7B993FCE">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3C7E2C10">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14:paraId="31D5499B">
            <w:pPr>
              <w:jc w:val="center"/>
              <w:rPr>
                <w:rFonts w:ascii="宋体" w:hAnsi="宋体" w:cs="宋体"/>
              </w:rPr>
            </w:pPr>
            <w:r>
              <w:rPr>
                <w:rFonts w:hint="eastAsia" w:ascii="宋体" w:hAnsi="宋体" w:cs="宋体"/>
              </w:rPr>
              <w:t>见（  ）页</w:t>
            </w:r>
          </w:p>
        </w:tc>
      </w:tr>
      <w:tr w14:paraId="6AD460D9">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1235122D">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048C713F">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DBA897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18F63F3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7693ECB1">
            <w:pPr>
              <w:jc w:val="center"/>
              <w:rPr>
                <w:rFonts w:ascii="宋体" w:hAnsi="宋体" w:cs="宋体"/>
              </w:rPr>
            </w:pPr>
            <w:r>
              <w:rPr>
                <w:rFonts w:hint="eastAsia" w:ascii="宋体" w:hAnsi="宋体" w:cs="宋体"/>
              </w:rPr>
              <w:t>见（  ）页</w:t>
            </w:r>
          </w:p>
        </w:tc>
      </w:tr>
      <w:tr w14:paraId="2639CBF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7B95A2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7BD35E1A">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17235F2">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30D5C3B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5B3C368C">
            <w:pPr>
              <w:jc w:val="center"/>
              <w:rPr>
                <w:rFonts w:ascii="宋体" w:hAnsi="宋体" w:cs="宋体"/>
              </w:rPr>
            </w:pPr>
            <w:r>
              <w:rPr>
                <w:rFonts w:hint="eastAsia" w:ascii="宋体" w:hAnsi="宋体" w:cs="宋体"/>
              </w:rPr>
              <w:t>见（  ）页</w:t>
            </w:r>
          </w:p>
        </w:tc>
      </w:tr>
      <w:tr w14:paraId="42D4E3F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571B5CC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44B2BE51">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2AFCDD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684EEEA3">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731BEFBA">
            <w:pPr>
              <w:jc w:val="center"/>
              <w:rPr>
                <w:rFonts w:ascii="宋体" w:hAnsi="宋体" w:cs="宋体"/>
              </w:rPr>
            </w:pPr>
            <w:r>
              <w:rPr>
                <w:rFonts w:hint="eastAsia" w:ascii="宋体" w:hAnsi="宋体" w:cs="宋体"/>
              </w:rPr>
              <w:t>见（  ）页</w:t>
            </w:r>
          </w:p>
        </w:tc>
      </w:tr>
      <w:tr w14:paraId="75CF8C26">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1DC93E1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359FFF6E">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B5F5412">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10969FB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68ED6CB1">
            <w:pPr>
              <w:jc w:val="center"/>
              <w:rPr>
                <w:rFonts w:ascii="宋体" w:hAnsi="宋体" w:cs="宋体"/>
              </w:rPr>
            </w:pPr>
            <w:r>
              <w:rPr>
                <w:rFonts w:hint="eastAsia" w:ascii="宋体" w:hAnsi="宋体" w:cs="宋体"/>
              </w:rPr>
              <w:t>见（  ）页</w:t>
            </w:r>
          </w:p>
        </w:tc>
      </w:tr>
      <w:tr w14:paraId="44D7D56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2EF106F2">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5AC4C6BC">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08ED3995">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2AB0500E">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77FB431F">
            <w:pPr>
              <w:jc w:val="center"/>
              <w:rPr>
                <w:rFonts w:ascii="宋体" w:hAnsi="宋体" w:cs="宋体"/>
              </w:rPr>
            </w:pPr>
            <w:r>
              <w:rPr>
                <w:rFonts w:hint="eastAsia" w:ascii="宋体" w:hAnsi="宋体" w:cs="宋体"/>
              </w:rPr>
              <w:t>见（  ）页</w:t>
            </w:r>
          </w:p>
        </w:tc>
      </w:tr>
      <w:tr w14:paraId="411D556E">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183802F4">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074C7DDA">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5898A9F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09597EE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34074744">
            <w:pPr>
              <w:jc w:val="center"/>
              <w:rPr>
                <w:rFonts w:ascii="宋体" w:hAnsi="宋体" w:cs="宋体"/>
              </w:rPr>
            </w:pPr>
            <w:r>
              <w:rPr>
                <w:rFonts w:hint="eastAsia" w:ascii="宋体" w:hAnsi="宋体" w:cs="宋体"/>
              </w:rPr>
              <w:t>见（  ）页</w:t>
            </w:r>
          </w:p>
        </w:tc>
      </w:tr>
      <w:tr w14:paraId="63407CBB">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2DDAFADF">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2302B106">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492A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26CB2B78">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6B8840EF">
            <w:pPr>
              <w:jc w:val="center"/>
              <w:rPr>
                <w:rFonts w:ascii="宋体" w:hAnsi="宋体" w:cs="宋体"/>
              </w:rPr>
            </w:pPr>
            <w:r>
              <w:rPr>
                <w:rFonts w:hint="eastAsia" w:ascii="宋体" w:hAnsi="宋体" w:cs="宋体"/>
              </w:rPr>
              <w:t>见（  ）页</w:t>
            </w:r>
          </w:p>
        </w:tc>
      </w:tr>
      <w:tr w14:paraId="1BD04E4F">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vAlign w:val="center"/>
          </w:tcPr>
          <w:p w14:paraId="1666E2E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14:paraId="44494969">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AF56BB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0E3FB13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14:paraId="4A1EC776">
            <w:pPr>
              <w:jc w:val="center"/>
              <w:rPr>
                <w:rFonts w:ascii="宋体" w:hAnsi="宋体" w:cs="宋体"/>
              </w:rPr>
            </w:pPr>
            <w:r>
              <w:rPr>
                <w:rFonts w:hint="eastAsia" w:ascii="宋体" w:hAnsi="宋体" w:cs="宋体"/>
              </w:rPr>
              <w:t>见（  ）页</w:t>
            </w:r>
          </w:p>
        </w:tc>
      </w:tr>
    </w:tbl>
    <w:p w14:paraId="5C09759C">
      <w:pPr>
        <w:spacing w:line="400" w:lineRule="exact"/>
        <w:rPr>
          <w:rFonts w:ascii="宋体" w:hAnsi="宋体" w:cs="宋体"/>
          <w:b/>
        </w:rPr>
      </w:pPr>
      <w:r>
        <w:rPr>
          <w:rFonts w:hint="eastAsia" w:ascii="宋体" w:hAnsi="宋体" w:cs="宋体"/>
          <w:b/>
        </w:rPr>
        <w:t>根据评分标准逐条填写（价格部分除外）</w:t>
      </w:r>
    </w:p>
    <w:p w14:paraId="4D70782F">
      <w:pPr>
        <w:spacing w:line="400" w:lineRule="exact"/>
        <w:rPr>
          <w:rFonts w:ascii="宋体" w:hAnsi="宋体" w:cs="宋体"/>
          <w:b/>
        </w:rPr>
      </w:pPr>
    </w:p>
    <w:p w14:paraId="65CD1DAA">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3CA4EC20">
      <w:pPr>
        <w:spacing w:line="360" w:lineRule="auto"/>
        <w:rPr>
          <w:rFonts w:ascii="宋体" w:hAnsi="宋体" w:cs="宋体"/>
        </w:rPr>
      </w:pPr>
    </w:p>
    <w:p w14:paraId="560D5CF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357CBD7C">
      <w:pPr>
        <w:spacing w:line="400" w:lineRule="exact"/>
        <w:ind w:left="525" w:leftChars="250" w:firstLine="1470" w:firstLineChars="700"/>
        <w:rPr>
          <w:rFonts w:ascii="宋体" w:hAnsi="宋体" w:cs="宋体"/>
        </w:rPr>
      </w:pPr>
    </w:p>
    <w:p w14:paraId="171CC009">
      <w:pPr>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0B31DAC">
      <w:pPr>
        <w:pStyle w:val="8"/>
        <w:rPr>
          <w:rFonts w:ascii="宋体" w:hAnsi="宋体" w:cs="宋体"/>
          <w:szCs w:val="21"/>
        </w:rPr>
      </w:pPr>
    </w:p>
    <w:p w14:paraId="6FBAACA1">
      <w:pPr>
        <w:pStyle w:val="22"/>
        <w:ind w:firstLine="210"/>
        <w:rPr>
          <w:rFonts w:ascii="宋体" w:hAnsi="宋体" w:cs="宋体"/>
        </w:rPr>
      </w:pPr>
    </w:p>
    <w:p w14:paraId="6DEE2EB4">
      <w:pPr>
        <w:rPr>
          <w:rFonts w:ascii="宋体" w:hAnsi="宋体" w:cs="宋体"/>
        </w:rPr>
      </w:pPr>
    </w:p>
    <w:p w14:paraId="5D20BDA7">
      <w:pPr>
        <w:pStyle w:val="8"/>
        <w:rPr>
          <w:rFonts w:ascii="宋体" w:hAnsi="宋体" w:cs="宋体"/>
          <w:szCs w:val="21"/>
        </w:rPr>
      </w:pPr>
    </w:p>
    <w:p w14:paraId="0C4EFF57">
      <w:pPr>
        <w:pStyle w:val="22"/>
        <w:ind w:firstLine="210"/>
        <w:rPr>
          <w:rFonts w:ascii="宋体" w:hAnsi="宋体" w:cs="宋体"/>
        </w:rPr>
      </w:pPr>
    </w:p>
    <w:p w14:paraId="78C43629">
      <w:pPr>
        <w:pStyle w:val="9"/>
        <w:spacing w:line="440" w:lineRule="exact"/>
        <w:ind w:firstLine="0"/>
        <w:rPr>
          <w:rFonts w:ascii="宋体" w:hAnsi="宋体" w:eastAsia="宋体" w:cs="宋体"/>
          <w:b/>
          <w:bCs/>
          <w:color w:val="000000"/>
          <w:sz w:val="21"/>
          <w:szCs w:val="21"/>
        </w:rPr>
      </w:pPr>
      <w:r>
        <w:rPr>
          <w:rFonts w:hint="eastAsia" w:ascii="宋体" w:hAnsi="宋体" w:eastAsia="宋体" w:cs="宋体"/>
          <w:b/>
          <w:bCs/>
          <w:color w:val="000000"/>
          <w:sz w:val="21"/>
          <w:szCs w:val="21"/>
        </w:rPr>
        <w:t>附件五</w:t>
      </w:r>
    </w:p>
    <w:p w14:paraId="4D24A9CF">
      <w:pPr>
        <w:rPr>
          <w:rFonts w:ascii="宋体" w:hAnsi="宋体" w:cs="宋体"/>
          <w:b/>
          <w:bCs/>
          <w:color w:val="000000"/>
        </w:rPr>
      </w:pPr>
    </w:p>
    <w:p w14:paraId="74DF347A">
      <w:pPr>
        <w:snapToGrid w:val="0"/>
        <w:spacing w:before="50" w:afterLines="50"/>
        <w:jc w:val="center"/>
        <w:rPr>
          <w:rFonts w:ascii="宋体" w:hAnsi="宋体" w:cs="宋体"/>
          <w:sz w:val="28"/>
          <w:szCs w:val="28"/>
        </w:rPr>
      </w:pPr>
      <w:r>
        <w:rPr>
          <w:rFonts w:hint="eastAsia" w:ascii="宋体" w:hAnsi="宋体" w:cs="宋体"/>
          <w:sz w:val="28"/>
          <w:szCs w:val="28"/>
        </w:rPr>
        <w:t>供应商一般情况</w:t>
      </w:r>
    </w:p>
    <w:tbl>
      <w:tblPr>
        <w:tblStyle w:val="2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0F7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193D1F1">
            <w:pPr>
              <w:spacing w:line="360" w:lineRule="auto"/>
              <w:jc w:val="center"/>
              <w:rPr>
                <w:rFonts w:ascii="宋体" w:hAnsi="宋体" w:cs="宋体"/>
              </w:rPr>
            </w:pPr>
            <w:r>
              <w:rPr>
                <w:rFonts w:hint="eastAsia" w:ascii="宋体" w:hAnsi="宋体" w:cs="宋体"/>
              </w:rPr>
              <w:t>供应商名称</w:t>
            </w:r>
          </w:p>
        </w:tc>
        <w:tc>
          <w:tcPr>
            <w:tcW w:w="7302" w:type="dxa"/>
            <w:gridSpan w:val="10"/>
            <w:vAlign w:val="center"/>
          </w:tcPr>
          <w:p w14:paraId="6B36418E">
            <w:pPr>
              <w:spacing w:line="360" w:lineRule="auto"/>
              <w:jc w:val="center"/>
              <w:rPr>
                <w:rFonts w:ascii="宋体" w:hAnsi="宋体" w:cs="宋体"/>
              </w:rPr>
            </w:pPr>
          </w:p>
        </w:tc>
      </w:tr>
      <w:tr w14:paraId="333D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D10B69A">
            <w:pPr>
              <w:spacing w:line="360" w:lineRule="auto"/>
              <w:jc w:val="center"/>
              <w:rPr>
                <w:rFonts w:ascii="宋体" w:hAnsi="宋体" w:cs="宋体"/>
              </w:rPr>
            </w:pPr>
            <w:r>
              <w:rPr>
                <w:rFonts w:hint="eastAsia" w:ascii="宋体" w:hAnsi="宋体" w:cs="宋体"/>
              </w:rPr>
              <w:t>注册地址</w:t>
            </w:r>
          </w:p>
        </w:tc>
        <w:tc>
          <w:tcPr>
            <w:tcW w:w="3647" w:type="dxa"/>
            <w:gridSpan w:val="4"/>
            <w:vAlign w:val="center"/>
          </w:tcPr>
          <w:p w14:paraId="12B6DCEA">
            <w:pPr>
              <w:spacing w:line="360" w:lineRule="auto"/>
              <w:jc w:val="center"/>
              <w:rPr>
                <w:rFonts w:ascii="宋体" w:hAnsi="宋体" w:cs="宋体"/>
              </w:rPr>
            </w:pPr>
          </w:p>
        </w:tc>
        <w:tc>
          <w:tcPr>
            <w:tcW w:w="1602" w:type="dxa"/>
            <w:gridSpan w:val="3"/>
            <w:vAlign w:val="center"/>
          </w:tcPr>
          <w:p w14:paraId="770BDC5F">
            <w:pPr>
              <w:spacing w:line="360" w:lineRule="auto"/>
              <w:jc w:val="center"/>
              <w:rPr>
                <w:rFonts w:ascii="宋体" w:hAnsi="宋体" w:cs="宋体"/>
              </w:rPr>
            </w:pPr>
            <w:r>
              <w:rPr>
                <w:rFonts w:hint="eastAsia" w:ascii="宋体" w:hAnsi="宋体" w:cs="宋体"/>
              </w:rPr>
              <w:t>邮政编码</w:t>
            </w:r>
          </w:p>
        </w:tc>
        <w:tc>
          <w:tcPr>
            <w:tcW w:w="2053" w:type="dxa"/>
            <w:gridSpan w:val="3"/>
            <w:vAlign w:val="center"/>
          </w:tcPr>
          <w:p w14:paraId="3A294BE5">
            <w:pPr>
              <w:spacing w:line="360" w:lineRule="auto"/>
              <w:jc w:val="center"/>
              <w:rPr>
                <w:rFonts w:ascii="宋体" w:hAnsi="宋体" w:cs="宋体"/>
              </w:rPr>
            </w:pPr>
          </w:p>
        </w:tc>
      </w:tr>
      <w:tr w14:paraId="4737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14:paraId="7F70F99F">
            <w:pPr>
              <w:spacing w:line="360" w:lineRule="auto"/>
              <w:jc w:val="center"/>
              <w:rPr>
                <w:rFonts w:ascii="宋体" w:hAnsi="宋体" w:cs="宋体"/>
              </w:rPr>
            </w:pPr>
            <w:r>
              <w:rPr>
                <w:rFonts w:hint="eastAsia" w:ascii="宋体" w:hAnsi="宋体" w:cs="宋体"/>
              </w:rPr>
              <w:t>联系方式</w:t>
            </w:r>
          </w:p>
        </w:tc>
        <w:tc>
          <w:tcPr>
            <w:tcW w:w="1283" w:type="dxa"/>
            <w:gridSpan w:val="2"/>
            <w:vAlign w:val="center"/>
          </w:tcPr>
          <w:p w14:paraId="07C4BEF0">
            <w:pPr>
              <w:spacing w:line="360" w:lineRule="auto"/>
              <w:jc w:val="center"/>
              <w:rPr>
                <w:rFonts w:ascii="宋体" w:hAnsi="宋体" w:cs="宋体"/>
              </w:rPr>
            </w:pPr>
            <w:r>
              <w:rPr>
                <w:rFonts w:hint="eastAsia" w:ascii="宋体" w:hAnsi="宋体" w:cs="宋体"/>
              </w:rPr>
              <w:t>联系人</w:t>
            </w:r>
          </w:p>
        </w:tc>
        <w:tc>
          <w:tcPr>
            <w:tcW w:w="2364" w:type="dxa"/>
            <w:gridSpan w:val="2"/>
            <w:vAlign w:val="center"/>
          </w:tcPr>
          <w:p w14:paraId="61703790">
            <w:pPr>
              <w:spacing w:line="360" w:lineRule="auto"/>
              <w:jc w:val="center"/>
              <w:rPr>
                <w:rFonts w:ascii="宋体" w:hAnsi="宋体" w:cs="宋体"/>
              </w:rPr>
            </w:pPr>
          </w:p>
        </w:tc>
        <w:tc>
          <w:tcPr>
            <w:tcW w:w="1602" w:type="dxa"/>
            <w:gridSpan w:val="3"/>
            <w:vAlign w:val="center"/>
          </w:tcPr>
          <w:p w14:paraId="74A5B7C1">
            <w:pPr>
              <w:spacing w:line="360" w:lineRule="auto"/>
              <w:jc w:val="center"/>
              <w:rPr>
                <w:rFonts w:ascii="宋体" w:hAnsi="宋体" w:cs="宋体"/>
              </w:rPr>
            </w:pPr>
            <w:r>
              <w:rPr>
                <w:rFonts w:hint="eastAsia" w:ascii="宋体" w:hAnsi="宋体" w:cs="宋体"/>
              </w:rPr>
              <w:t>电话</w:t>
            </w:r>
          </w:p>
        </w:tc>
        <w:tc>
          <w:tcPr>
            <w:tcW w:w="2053" w:type="dxa"/>
            <w:gridSpan w:val="3"/>
            <w:vAlign w:val="center"/>
          </w:tcPr>
          <w:p w14:paraId="7A952067">
            <w:pPr>
              <w:spacing w:line="360" w:lineRule="auto"/>
              <w:jc w:val="center"/>
              <w:rPr>
                <w:rFonts w:ascii="宋体" w:hAnsi="宋体" w:cs="宋体"/>
              </w:rPr>
            </w:pPr>
          </w:p>
        </w:tc>
      </w:tr>
      <w:tr w14:paraId="22D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14:paraId="491B911C">
            <w:pPr>
              <w:spacing w:line="360" w:lineRule="auto"/>
              <w:jc w:val="center"/>
              <w:rPr>
                <w:rFonts w:ascii="宋体" w:hAnsi="宋体" w:cs="宋体"/>
              </w:rPr>
            </w:pPr>
          </w:p>
        </w:tc>
        <w:tc>
          <w:tcPr>
            <w:tcW w:w="1283" w:type="dxa"/>
            <w:gridSpan w:val="2"/>
            <w:vAlign w:val="center"/>
          </w:tcPr>
          <w:p w14:paraId="199BAE6D">
            <w:pPr>
              <w:spacing w:line="360" w:lineRule="auto"/>
              <w:jc w:val="center"/>
              <w:rPr>
                <w:rFonts w:ascii="宋体" w:hAnsi="宋体" w:cs="宋体"/>
              </w:rPr>
            </w:pPr>
            <w:r>
              <w:rPr>
                <w:rFonts w:hint="eastAsia" w:ascii="宋体" w:hAnsi="宋体" w:cs="宋体"/>
              </w:rPr>
              <w:t>传真</w:t>
            </w:r>
          </w:p>
        </w:tc>
        <w:tc>
          <w:tcPr>
            <w:tcW w:w="2364" w:type="dxa"/>
            <w:gridSpan w:val="2"/>
            <w:vAlign w:val="center"/>
          </w:tcPr>
          <w:p w14:paraId="3F89754E">
            <w:pPr>
              <w:spacing w:line="360" w:lineRule="auto"/>
              <w:jc w:val="center"/>
              <w:rPr>
                <w:rFonts w:ascii="宋体" w:hAnsi="宋体" w:cs="宋体"/>
              </w:rPr>
            </w:pPr>
          </w:p>
        </w:tc>
        <w:tc>
          <w:tcPr>
            <w:tcW w:w="1602" w:type="dxa"/>
            <w:gridSpan w:val="3"/>
            <w:vAlign w:val="center"/>
          </w:tcPr>
          <w:p w14:paraId="1DA27AA4">
            <w:pPr>
              <w:spacing w:line="360" w:lineRule="auto"/>
              <w:jc w:val="center"/>
              <w:rPr>
                <w:rFonts w:ascii="宋体" w:hAnsi="宋体" w:cs="宋体"/>
              </w:rPr>
            </w:pPr>
            <w:r>
              <w:rPr>
                <w:rFonts w:hint="eastAsia" w:ascii="宋体" w:hAnsi="宋体" w:cs="宋体"/>
              </w:rPr>
              <w:t>网址</w:t>
            </w:r>
          </w:p>
        </w:tc>
        <w:tc>
          <w:tcPr>
            <w:tcW w:w="2053" w:type="dxa"/>
            <w:gridSpan w:val="3"/>
            <w:vAlign w:val="center"/>
          </w:tcPr>
          <w:p w14:paraId="3866009C">
            <w:pPr>
              <w:spacing w:line="360" w:lineRule="auto"/>
              <w:jc w:val="center"/>
              <w:rPr>
                <w:rFonts w:ascii="宋体" w:hAnsi="宋体" w:cs="宋体"/>
              </w:rPr>
            </w:pPr>
          </w:p>
        </w:tc>
      </w:tr>
      <w:tr w14:paraId="17F0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6317E78">
            <w:pPr>
              <w:spacing w:line="360" w:lineRule="auto"/>
              <w:jc w:val="center"/>
              <w:rPr>
                <w:rFonts w:ascii="宋体" w:hAnsi="宋体" w:cs="宋体"/>
              </w:rPr>
            </w:pPr>
            <w:r>
              <w:rPr>
                <w:rFonts w:hint="eastAsia" w:ascii="宋体" w:hAnsi="宋体" w:cs="宋体"/>
              </w:rPr>
              <w:t>组织结构</w:t>
            </w:r>
          </w:p>
        </w:tc>
        <w:tc>
          <w:tcPr>
            <w:tcW w:w="7302" w:type="dxa"/>
            <w:gridSpan w:val="10"/>
            <w:vAlign w:val="center"/>
          </w:tcPr>
          <w:p w14:paraId="0713A2C8">
            <w:pPr>
              <w:spacing w:line="360" w:lineRule="auto"/>
              <w:jc w:val="center"/>
              <w:rPr>
                <w:rFonts w:ascii="宋体" w:hAnsi="宋体" w:cs="宋体"/>
              </w:rPr>
            </w:pPr>
          </w:p>
        </w:tc>
      </w:tr>
      <w:tr w14:paraId="384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077A3B4">
            <w:pPr>
              <w:spacing w:line="360" w:lineRule="auto"/>
              <w:jc w:val="center"/>
              <w:rPr>
                <w:rFonts w:ascii="宋体" w:hAnsi="宋体" w:cs="宋体"/>
              </w:rPr>
            </w:pPr>
            <w:r>
              <w:rPr>
                <w:rFonts w:hint="eastAsia" w:ascii="宋体" w:hAnsi="宋体" w:cs="宋体"/>
              </w:rPr>
              <w:t>法定代表人</w:t>
            </w:r>
          </w:p>
        </w:tc>
        <w:tc>
          <w:tcPr>
            <w:tcW w:w="974" w:type="dxa"/>
            <w:vAlign w:val="center"/>
          </w:tcPr>
          <w:p w14:paraId="00AD5D8F">
            <w:pPr>
              <w:spacing w:line="360" w:lineRule="auto"/>
              <w:jc w:val="center"/>
              <w:rPr>
                <w:rFonts w:ascii="宋体" w:hAnsi="宋体" w:cs="宋体"/>
              </w:rPr>
            </w:pPr>
            <w:r>
              <w:rPr>
                <w:rFonts w:hint="eastAsia" w:ascii="宋体" w:hAnsi="宋体" w:cs="宋体"/>
              </w:rPr>
              <w:t>姓名</w:t>
            </w:r>
          </w:p>
        </w:tc>
        <w:tc>
          <w:tcPr>
            <w:tcW w:w="1661" w:type="dxa"/>
            <w:gridSpan w:val="2"/>
            <w:vAlign w:val="center"/>
          </w:tcPr>
          <w:p w14:paraId="0FBB80EC">
            <w:pPr>
              <w:spacing w:line="360" w:lineRule="auto"/>
              <w:jc w:val="center"/>
              <w:rPr>
                <w:rFonts w:ascii="宋体" w:hAnsi="宋体" w:cs="宋体"/>
              </w:rPr>
            </w:pPr>
          </w:p>
        </w:tc>
        <w:tc>
          <w:tcPr>
            <w:tcW w:w="1361" w:type="dxa"/>
            <w:gridSpan w:val="2"/>
            <w:vAlign w:val="center"/>
          </w:tcPr>
          <w:p w14:paraId="41D153D3">
            <w:pPr>
              <w:spacing w:line="360" w:lineRule="auto"/>
              <w:jc w:val="center"/>
              <w:rPr>
                <w:rFonts w:ascii="宋体" w:hAnsi="宋体" w:cs="宋体"/>
              </w:rPr>
            </w:pPr>
            <w:r>
              <w:rPr>
                <w:rFonts w:hint="eastAsia" w:ascii="宋体" w:hAnsi="宋体" w:cs="宋体"/>
              </w:rPr>
              <w:t>技术职称</w:t>
            </w:r>
          </w:p>
        </w:tc>
        <w:tc>
          <w:tcPr>
            <w:tcW w:w="1074" w:type="dxa"/>
            <w:vAlign w:val="center"/>
          </w:tcPr>
          <w:p w14:paraId="5B05BB55">
            <w:pPr>
              <w:spacing w:line="360" w:lineRule="auto"/>
              <w:jc w:val="center"/>
              <w:rPr>
                <w:rFonts w:ascii="宋体" w:hAnsi="宋体" w:cs="宋体"/>
              </w:rPr>
            </w:pPr>
          </w:p>
        </w:tc>
        <w:tc>
          <w:tcPr>
            <w:tcW w:w="816" w:type="dxa"/>
            <w:gridSpan w:val="3"/>
            <w:vAlign w:val="center"/>
          </w:tcPr>
          <w:p w14:paraId="55887ED7">
            <w:pPr>
              <w:spacing w:line="360" w:lineRule="auto"/>
              <w:jc w:val="center"/>
              <w:rPr>
                <w:rFonts w:ascii="宋体" w:hAnsi="宋体" w:cs="宋体"/>
              </w:rPr>
            </w:pPr>
            <w:r>
              <w:rPr>
                <w:rFonts w:hint="eastAsia" w:ascii="宋体" w:hAnsi="宋体" w:cs="宋体"/>
              </w:rPr>
              <w:t>电话</w:t>
            </w:r>
          </w:p>
        </w:tc>
        <w:tc>
          <w:tcPr>
            <w:tcW w:w="1416" w:type="dxa"/>
            <w:vAlign w:val="center"/>
          </w:tcPr>
          <w:p w14:paraId="2A6156F8">
            <w:pPr>
              <w:spacing w:line="360" w:lineRule="auto"/>
              <w:jc w:val="center"/>
              <w:rPr>
                <w:rFonts w:ascii="宋体" w:hAnsi="宋体" w:cs="宋体"/>
              </w:rPr>
            </w:pPr>
          </w:p>
        </w:tc>
      </w:tr>
      <w:tr w14:paraId="5885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0D1AA4BE">
            <w:pPr>
              <w:spacing w:line="360" w:lineRule="auto"/>
              <w:jc w:val="center"/>
              <w:rPr>
                <w:rFonts w:ascii="宋体" w:hAnsi="宋体" w:cs="宋体"/>
              </w:rPr>
            </w:pPr>
            <w:r>
              <w:rPr>
                <w:rFonts w:hint="eastAsia" w:ascii="宋体" w:hAnsi="宋体" w:cs="宋体"/>
              </w:rPr>
              <w:t>技术负责人</w:t>
            </w:r>
          </w:p>
        </w:tc>
        <w:tc>
          <w:tcPr>
            <w:tcW w:w="974" w:type="dxa"/>
            <w:vAlign w:val="center"/>
          </w:tcPr>
          <w:p w14:paraId="0DD8A2D4">
            <w:pPr>
              <w:spacing w:line="360" w:lineRule="auto"/>
              <w:jc w:val="center"/>
              <w:rPr>
                <w:rFonts w:ascii="宋体" w:hAnsi="宋体" w:cs="宋体"/>
              </w:rPr>
            </w:pPr>
            <w:r>
              <w:rPr>
                <w:rFonts w:hint="eastAsia" w:ascii="宋体" w:hAnsi="宋体" w:cs="宋体"/>
              </w:rPr>
              <w:t>姓名</w:t>
            </w:r>
          </w:p>
        </w:tc>
        <w:tc>
          <w:tcPr>
            <w:tcW w:w="1661" w:type="dxa"/>
            <w:gridSpan w:val="2"/>
            <w:vAlign w:val="center"/>
          </w:tcPr>
          <w:p w14:paraId="388D7108">
            <w:pPr>
              <w:spacing w:line="360" w:lineRule="auto"/>
              <w:jc w:val="center"/>
              <w:rPr>
                <w:rFonts w:ascii="宋体" w:hAnsi="宋体" w:cs="宋体"/>
              </w:rPr>
            </w:pPr>
          </w:p>
        </w:tc>
        <w:tc>
          <w:tcPr>
            <w:tcW w:w="1361" w:type="dxa"/>
            <w:gridSpan w:val="2"/>
            <w:vAlign w:val="center"/>
          </w:tcPr>
          <w:p w14:paraId="1F501BD3">
            <w:pPr>
              <w:spacing w:line="360" w:lineRule="auto"/>
              <w:jc w:val="center"/>
              <w:rPr>
                <w:rFonts w:ascii="宋体" w:hAnsi="宋体" w:cs="宋体"/>
              </w:rPr>
            </w:pPr>
            <w:r>
              <w:rPr>
                <w:rFonts w:hint="eastAsia" w:ascii="宋体" w:hAnsi="宋体" w:cs="宋体"/>
              </w:rPr>
              <w:t>技术职称</w:t>
            </w:r>
          </w:p>
        </w:tc>
        <w:tc>
          <w:tcPr>
            <w:tcW w:w="1074" w:type="dxa"/>
            <w:vAlign w:val="center"/>
          </w:tcPr>
          <w:p w14:paraId="1A1BB29D">
            <w:pPr>
              <w:spacing w:line="360" w:lineRule="auto"/>
              <w:jc w:val="center"/>
              <w:rPr>
                <w:rFonts w:ascii="宋体" w:hAnsi="宋体" w:cs="宋体"/>
              </w:rPr>
            </w:pPr>
          </w:p>
        </w:tc>
        <w:tc>
          <w:tcPr>
            <w:tcW w:w="816" w:type="dxa"/>
            <w:gridSpan w:val="3"/>
            <w:vAlign w:val="center"/>
          </w:tcPr>
          <w:p w14:paraId="61A8DB93">
            <w:pPr>
              <w:spacing w:line="360" w:lineRule="auto"/>
              <w:jc w:val="center"/>
              <w:rPr>
                <w:rFonts w:ascii="宋体" w:hAnsi="宋体" w:cs="宋体"/>
              </w:rPr>
            </w:pPr>
            <w:r>
              <w:rPr>
                <w:rFonts w:hint="eastAsia" w:ascii="宋体" w:hAnsi="宋体" w:cs="宋体"/>
              </w:rPr>
              <w:t>电话</w:t>
            </w:r>
          </w:p>
        </w:tc>
        <w:tc>
          <w:tcPr>
            <w:tcW w:w="1416" w:type="dxa"/>
            <w:vAlign w:val="center"/>
          </w:tcPr>
          <w:p w14:paraId="256789A0">
            <w:pPr>
              <w:spacing w:line="360" w:lineRule="auto"/>
              <w:jc w:val="center"/>
              <w:rPr>
                <w:rFonts w:ascii="宋体" w:hAnsi="宋体" w:cs="宋体"/>
              </w:rPr>
            </w:pPr>
          </w:p>
        </w:tc>
      </w:tr>
      <w:tr w14:paraId="60B2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EC52B3F">
            <w:pPr>
              <w:spacing w:line="360" w:lineRule="auto"/>
              <w:jc w:val="center"/>
              <w:rPr>
                <w:rFonts w:ascii="宋体" w:hAnsi="宋体" w:cs="宋体"/>
              </w:rPr>
            </w:pPr>
            <w:r>
              <w:rPr>
                <w:rFonts w:hint="eastAsia" w:ascii="宋体" w:hAnsi="宋体" w:cs="宋体"/>
              </w:rPr>
              <w:t>成立时间</w:t>
            </w:r>
          </w:p>
        </w:tc>
        <w:tc>
          <w:tcPr>
            <w:tcW w:w="2635" w:type="dxa"/>
            <w:gridSpan w:val="3"/>
            <w:vAlign w:val="center"/>
          </w:tcPr>
          <w:p w14:paraId="2FAB1508">
            <w:pPr>
              <w:spacing w:line="360" w:lineRule="auto"/>
              <w:jc w:val="center"/>
              <w:rPr>
                <w:rFonts w:ascii="宋体" w:hAnsi="宋体" w:cs="宋体"/>
              </w:rPr>
            </w:pPr>
          </w:p>
        </w:tc>
        <w:tc>
          <w:tcPr>
            <w:tcW w:w="4667" w:type="dxa"/>
            <w:gridSpan w:val="7"/>
            <w:vAlign w:val="center"/>
          </w:tcPr>
          <w:p w14:paraId="7C45C25C">
            <w:pPr>
              <w:spacing w:line="360" w:lineRule="auto"/>
              <w:jc w:val="center"/>
              <w:rPr>
                <w:rFonts w:ascii="宋体" w:hAnsi="宋体" w:cs="宋体"/>
              </w:rPr>
            </w:pPr>
            <w:r>
              <w:rPr>
                <w:rFonts w:hint="eastAsia" w:ascii="宋体" w:hAnsi="宋体" w:cs="宋体"/>
              </w:rPr>
              <w:t>员工总人数：</w:t>
            </w:r>
          </w:p>
        </w:tc>
      </w:tr>
      <w:tr w14:paraId="1314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39E6E94">
            <w:pPr>
              <w:spacing w:line="360" w:lineRule="auto"/>
              <w:jc w:val="center"/>
              <w:rPr>
                <w:rFonts w:ascii="宋体" w:hAnsi="宋体" w:cs="宋体"/>
              </w:rPr>
            </w:pPr>
            <w:r>
              <w:rPr>
                <w:rFonts w:hint="eastAsia" w:ascii="宋体" w:hAnsi="宋体" w:cs="宋体"/>
              </w:rPr>
              <w:t>企业资质等级</w:t>
            </w:r>
          </w:p>
        </w:tc>
        <w:tc>
          <w:tcPr>
            <w:tcW w:w="2635" w:type="dxa"/>
            <w:gridSpan w:val="3"/>
            <w:vAlign w:val="center"/>
          </w:tcPr>
          <w:p w14:paraId="52B158AB">
            <w:pPr>
              <w:spacing w:line="360" w:lineRule="auto"/>
              <w:jc w:val="center"/>
              <w:rPr>
                <w:rFonts w:ascii="宋体" w:hAnsi="宋体" w:cs="宋体"/>
              </w:rPr>
            </w:pPr>
          </w:p>
        </w:tc>
        <w:tc>
          <w:tcPr>
            <w:tcW w:w="1012" w:type="dxa"/>
            <w:vMerge w:val="restart"/>
            <w:vAlign w:val="center"/>
          </w:tcPr>
          <w:p w14:paraId="09B111B5">
            <w:pPr>
              <w:spacing w:line="360" w:lineRule="auto"/>
              <w:jc w:val="center"/>
              <w:rPr>
                <w:rFonts w:ascii="宋体" w:hAnsi="宋体" w:cs="宋体"/>
              </w:rPr>
            </w:pPr>
            <w:r>
              <w:rPr>
                <w:rFonts w:hint="eastAsia" w:ascii="宋体" w:hAnsi="宋体" w:cs="宋体"/>
              </w:rPr>
              <w:t>其中</w:t>
            </w:r>
          </w:p>
        </w:tc>
        <w:tc>
          <w:tcPr>
            <w:tcW w:w="1954" w:type="dxa"/>
            <w:gridSpan w:val="4"/>
            <w:vAlign w:val="center"/>
          </w:tcPr>
          <w:p w14:paraId="1F6912C1">
            <w:pPr>
              <w:spacing w:line="360" w:lineRule="auto"/>
              <w:jc w:val="center"/>
              <w:rPr>
                <w:rFonts w:ascii="宋体" w:hAnsi="宋体" w:cs="宋体"/>
              </w:rPr>
            </w:pPr>
            <w:r>
              <w:rPr>
                <w:rFonts w:hint="eastAsia" w:ascii="宋体" w:hAnsi="宋体" w:cs="宋体"/>
              </w:rPr>
              <w:t>高级职称人员</w:t>
            </w:r>
          </w:p>
        </w:tc>
        <w:tc>
          <w:tcPr>
            <w:tcW w:w="1701" w:type="dxa"/>
            <w:gridSpan w:val="2"/>
            <w:vAlign w:val="center"/>
          </w:tcPr>
          <w:p w14:paraId="3A6E5F9F">
            <w:pPr>
              <w:spacing w:line="360" w:lineRule="auto"/>
              <w:jc w:val="center"/>
              <w:rPr>
                <w:rFonts w:ascii="宋体" w:hAnsi="宋体" w:cs="宋体"/>
              </w:rPr>
            </w:pPr>
          </w:p>
        </w:tc>
      </w:tr>
      <w:tr w14:paraId="36A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242141A">
            <w:pPr>
              <w:spacing w:line="360" w:lineRule="auto"/>
              <w:jc w:val="center"/>
              <w:rPr>
                <w:rFonts w:ascii="宋体" w:hAnsi="宋体" w:cs="宋体"/>
              </w:rPr>
            </w:pPr>
            <w:r>
              <w:rPr>
                <w:rFonts w:hint="eastAsia" w:ascii="宋体" w:hAnsi="宋体" w:cs="宋体"/>
              </w:rPr>
              <w:t>营业执照号</w:t>
            </w:r>
          </w:p>
        </w:tc>
        <w:tc>
          <w:tcPr>
            <w:tcW w:w="2635" w:type="dxa"/>
            <w:gridSpan w:val="3"/>
            <w:vAlign w:val="center"/>
          </w:tcPr>
          <w:p w14:paraId="5278E037">
            <w:pPr>
              <w:spacing w:line="360" w:lineRule="auto"/>
              <w:jc w:val="center"/>
              <w:rPr>
                <w:rFonts w:ascii="宋体" w:hAnsi="宋体" w:cs="宋体"/>
              </w:rPr>
            </w:pPr>
          </w:p>
        </w:tc>
        <w:tc>
          <w:tcPr>
            <w:tcW w:w="1012" w:type="dxa"/>
            <w:vMerge w:val="continue"/>
            <w:vAlign w:val="center"/>
          </w:tcPr>
          <w:p w14:paraId="4252237B">
            <w:pPr>
              <w:spacing w:line="360" w:lineRule="auto"/>
              <w:jc w:val="center"/>
              <w:rPr>
                <w:rFonts w:ascii="宋体" w:hAnsi="宋体" w:cs="宋体"/>
              </w:rPr>
            </w:pPr>
          </w:p>
        </w:tc>
        <w:tc>
          <w:tcPr>
            <w:tcW w:w="1954" w:type="dxa"/>
            <w:gridSpan w:val="4"/>
            <w:vAlign w:val="center"/>
          </w:tcPr>
          <w:p w14:paraId="19F8A85A">
            <w:pPr>
              <w:spacing w:line="360" w:lineRule="auto"/>
              <w:jc w:val="center"/>
              <w:rPr>
                <w:rFonts w:ascii="宋体" w:hAnsi="宋体" w:cs="宋体"/>
              </w:rPr>
            </w:pPr>
            <w:r>
              <w:rPr>
                <w:rFonts w:hint="eastAsia" w:ascii="宋体" w:hAnsi="宋体" w:cs="宋体"/>
              </w:rPr>
              <w:t>中级职称人员</w:t>
            </w:r>
          </w:p>
        </w:tc>
        <w:tc>
          <w:tcPr>
            <w:tcW w:w="1701" w:type="dxa"/>
            <w:gridSpan w:val="2"/>
            <w:vAlign w:val="center"/>
          </w:tcPr>
          <w:p w14:paraId="1216B295">
            <w:pPr>
              <w:spacing w:line="360" w:lineRule="auto"/>
              <w:jc w:val="center"/>
              <w:rPr>
                <w:rFonts w:ascii="宋体" w:hAnsi="宋体" w:cs="宋体"/>
              </w:rPr>
            </w:pPr>
          </w:p>
        </w:tc>
      </w:tr>
      <w:tr w14:paraId="70F8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22B569E">
            <w:pPr>
              <w:spacing w:line="360" w:lineRule="auto"/>
              <w:jc w:val="center"/>
              <w:rPr>
                <w:rFonts w:ascii="宋体" w:hAnsi="宋体" w:cs="宋体"/>
              </w:rPr>
            </w:pPr>
            <w:r>
              <w:rPr>
                <w:rFonts w:hint="eastAsia" w:ascii="宋体" w:hAnsi="宋体" w:cs="宋体"/>
              </w:rPr>
              <w:t>注册资金</w:t>
            </w:r>
          </w:p>
        </w:tc>
        <w:tc>
          <w:tcPr>
            <w:tcW w:w="2635" w:type="dxa"/>
            <w:gridSpan w:val="3"/>
            <w:vAlign w:val="center"/>
          </w:tcPr>
          <w:p w14:paraId="0CFAFE91">
            <w:pPr>
              <w:spacing w:line="360" w:lineRule="auto"/>
              <w:jc w:val="center"/>
              <w:rPr>
                <w:rFonts w:ascii="宋体" w:hAnsi="宋体" w:cs="宋体"/>
              </w:rPr>
            </w:pPr>
          </w:p>
        </w:tc>
        <w:tc>
          <w:tcPr>
            <w:tcW w:w="1012" w:type="dxa"/>
            <w:vMerge w:val="continue"/>
            <w:vAlign w:val="center"/>
          </w:tcPr>
          <w:p w14:paraId="30CCFF8A">
            <w:pPr>
              <w:spacing w:line="360" w:lineRule="auto"/>
              <w:jc w:val="center"/>
              <w:rPr>
                <w:rFonts w:ascii="宋体" w:hAnsi="宋体" w:cs="宋体"/>
              </w:rPr>
            </w:pPr>
          </w:p>
        </w:tc>
        <w:tc>
          <w:tcPr>
            <w:tcW w:w="1954" w:type="dxa"/>
            <w:gridSpan w:val="4"/>
            <w:vAlign w:val="center"/>
          </w:tcPr>
          <w:p w14:paraId="0C3A980E">
            <w:pPr>
              <w:spacing w:line="360" w:lineRule="auto"/>
              <w:jc w:val="center"/>
              <w:rPr>
                <w:rFonts w:ascii="宋体" w:hAnsi="宋体" w:cs="宋体"/>
              </w:rPr>
            </w:pPr>
            <w:r>
              <w:rPr>
                <w:rFonts w:hint="eastAsia" w:ascii="宋体" w:hAnsi="宋体" w:cs="宋体"/>
              </w:rPr>
              <w:t>初级职称人员</w:t>
            </w:r>
          </w:p>
        </w:tc>
        <w:tc>
          <w:tcPr>
            <w:tcW w:w="1701" w:type="dxa"/>
            <w:gridSpan w:val="2"/>
            <w:vAlign w:val="center"/>
          </w:tcPr>
          <w:p w14:paraId="54F7FD8D">
            <w:pPr>
              <w:spacing w:line="360" w:lineRule="auto"/>
              <w:jc w:val="center"/>
              <w:rPr>
                <w:rFonts w:ascii="宋体" w:hAnsi="宋体" w:cs="宋体"/>
              </w:rPr>
            </w:pPr>
          </w:p>
        </w:tc>
      </w:tr>
      <w:tr w14:paraId="2BAC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754B381">
            <w:pPr>
              <w:spacing w:line="360" w:lineRule="auto"/>
              <w:jc w:val="center"/>
              <w:rPr>
                <w:rFonts w:ascii="宋体" w:hAnsi="宋体" w:cs="宋体"/>
              </w:rPr>
            </w:pPr>
            <w:r>
              <w:rPr>
                <w:rFonts w:hint="eastAsia" w:ascii="宋体" w:hAnsi="宋体" w:cs="宋体"/>
              </w:rPr>
              <w:t>开户银行</w:t>
            </w:r>
          </w:p>
        </w:tc>
        <w:tc>
          <w:tcPr>
            <w:tcW w:w="2635" w:type="dxa"/>
            <w:gridSpan w:val="3"/>
            <w:vAlign w:val="center"/>
          </w:tcPr>
          <w:p w14:paraId="4B3B9775">
            <w:pPr>
              <w:spacing w:line="360" w:lineRule="auto"/>
              <w:jc w:val="center"/>
              <w:rPr>
                <w:rFonts w:ascii="宋体" w:hAnsi="宋体" w:cs="宋体"/>
              </w:rPr>
            </w:pPr>
          </w:p>
        </w:tc>
        <w:tc>
          <w:tcPr>
            <w:tcW w:w="1012" w:type="dxa"/>
            <w:vMerge w:val="continue"/>
            <w:vAlign w:val="center"/>
          </w:tcPr>
          <w:p w14:paraId="3952DA21">
            <w:pPr>
              <w:spacing w:line="360" w:lineRule="auto"/>
              <w:jc w:val="center"/>
              <w:rPr>
                <w:rFonts w:ascii="宋体" w:hAnsi="宋体" w:cs="宋体"/>
              </w:rPr>
            </w:pPr>
          </w:p>
        </w:tc>
        <w:tc>
          <w:tcPr>
            <w:tcW w:w="1954" w:type="dxa"/>
            <w:gridSpan w:val="4"/>
            <w:vAlign w:val="center"/>
          </w:tcPr>
          <w:p w14:paraId="7D47D92F">
            <w:pPr>
              <w:spacing w:line="360" w:lineRule="auto"/>
              <w:jc w:val="center"/>
              <w:rPr>
                <w:rFonts w:ascii="宋体" w:hAnsi="宋体" w:cs="宋体"/>
              </w:rPr>
            </w:pPr>
          </w:p>
        </w:tc>
        <w:tc>
          <w:tcPr>
            <w:tcW w:w="1701" w:type="dxa"/>
            <w:gridSpan w:val="2"/>
            <w:vAlign w:val="center"/>
          </w:tcPr>
          <w:p w14:paraId="7247862D">
            <w:pPr>
              <w:spacing w:line="360" w:lineRule="auto"/>
              <w:jc w:val="center"/>
              <w:rPr>
                <w:rFonts w:ascii="宋体" w:hAnsi="宋体" w:cs="宋体"/>
              </w:rPr>
            </w:pPr>
          </w:p>
        </w:tc>
      </w:tr>
      <w:tr w14:paraId="68A0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E78628D">
            <w:pPr>
              <w:spacing w:line="360" w:lineRule="auto"/>
              <w:jc w:val="center"/>
              <w:rPr>
                <w:rFonts w:ascii="宋体" w:hAnsi="宋体" w:cs="宋体"/>
              </w:rPr>
            </w:pPr>
            <w:r>
              <w:rPr>
                <w:rFonts w:hint="eastAsia" w:ascii="宋体" w:hAnsi="宋体" w:cs="宋体"/>
              </w:rPr>
              <w:t>账号</w:t>
            </w:r>
          </w:p>
        </w:tc>
        <w:tc>
          <w:tcPr>
            <w:tcW w:w="2635" w:type="dxa"/>
            <w:gridSpan w:val="3"/>
            <w:vAlign w:val="center"/>
          </w:tcPr>
          <w:p w14:paraId="4A97F7B3">
            <w:pPr>
              <w:spacing w:line="360" w:lineRule="auto"/>
              <w:jc w:val="center"/>
              <w:rPr>
                <w:rFonts w:ascii="宋体" w:hAnsi="宋体" w:cs="宋体"/>
              </w:rPr>
            </w:pPr>
          </w:p>
        </w:tc>
        <w:tc>
          <w:tcPr>
            <w:tcW w:w="1012" w:type="dxa"/>
            <w:vMerge w:val="continue"/>
            <w:vAlign w:val="center"/>
          </w:tcPr>
          <w:p w14:paraId="662006A8">
            <w:pPr>
              <w:spacing w:line="360" w:lineRule="auto"/>
              <w:jc w:val="center"/>
              <w:rPr>
                <w:rFonts w:ascii="宋体" w:hAnsi="宋体" w:cs="宋体"/>
              </w:rPr>
            </w:pPr>
          </w:p>
        </w:tc>
        <w:tc>
          <w:tcPr>
            <w:tcW w:w="1954" w:type="dxa"/>
            <w:gridSpan w:val="4"/>
            <w:vAlign w:val="center"/>
          </w:tcPr>
          <w:p w14:paraId="262A5895">
            <w:pPr>
              <w:spacing w:line="360" w:lineRule="auto"/>
              <w:jc w:val="center"/>
              <w:rPr>
                <w:rFonts w:ascii="宋体" w:hAnsi="宋体" w:cs="宋体"/>
              </w:rPr>
            </w:pPr>
          </w:p>
        </w:tc>
        <w:tc>
          <w:tcPr>
            <w:tcW w:w="1701" w:type="dxa"/>
            <w:gridSpan w:val="2"/>
            <w:vAlign w:val="center"/>
          </w:tcPr>
          <w:p w14:paraId="5CDB05EB">
            <w:pPr>
              <w:spacing w:line="360" w:lineRule="auto"/>
              <w:jc w:val="center"/>
              <w:rPr>
                <w:rFonts w:ascii="宋体" w:hAnsi="宋体" w:cs="宋体"/>
              </w:rPr>
            </w:pPr>
          </w:p>
        </w:tc>
      </w:tr>
      <w:tr w14:paraId="0240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14:paraId="6F3FE36C">
            <w:pPr>
              <w:spacing w:line="360" w:lineRule="auto"/>
              <w:jc w:val="center"/>
              <w:rPr>
                <w:rFonts w:ascii="宋体" w:hAnsi="宋体" w:cs="宋体"/>
              </w:rPr>
            </w:pPr>
            <w:r>
              <w:rPr>
                <w:rFonts w:hint="eastAsia" w:ascii="宋体" w:hAnsi="宋体" w:cs="宋体"/>
              </w:rPr>
              <w:t>经营范围</w:t>
            </w:r>
          </w:p>
        </w:tc>
        <w:tc>
          <w:tcPr>
            <w:tcW w:w="7302" w:type="dxa"/>
            <w:gridSpan w:val="10"/>
            <w:vAlign w:val="center"/>
          </w:tcPr>
          <w:p w14:paraId="776DC104">
            <w:pPr>
              <w:spacing w:line="360" w:lineRule="auto"/>
              <w:rPr>
                <w:rFonts w:ascii="宋体" w:hAnsi="宋体" w:cs="宋体"/>
              </w:rPr>
            </w:pPr>
          </w:p>
        </w:tc>
      </w:tr>
      <w:tr w14:paraId="757C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Align w:val="center"/>
          </w:tcPr>
          <w:p w14:paraId="6D477E9F">
            <w:pPr>
              <w:spacing w:line="360" w:lineRule="auto"/>
              <w:jc w:val="center"/>
              <w:rPr>
                <w:rFonts w:ascii="宋体" w:hAnsi="宋体" w:cs="宋体"/>
              </w:rPr>
            </w:pPr>
            <w:r>
              <w:rPr>
                <w:rFonts w:hint="eastAsia" w:ascii="宋体" w:hAnsi="宋体" w:cs="宋体"/>
              </w:rPr>
              <w:t>备注</w:t>
            </w:r>
          </w:p>
        </w:tc>
        <w:tc>
          <w:tcPr>
            <w:tcW w:w="7302" w:type="dxa"/>
            <w:gridSpan w:val="10"/>
            <w:vAlign w:val="center"/>
          </w:tcPr>
          <w:p w14:paraId="7C215062">
            <w:pPr>
              <w:spacing w:line="360" w:lineRule="auto"/>
              <w:jc w:val="center"/>
              <w:rPr>
                <w:rFonts w:ascii="宋体" w:hAnsi="宋体" w:cs="宋体"/>
              </w:rPr>
            </w:pPr>
          </w:p>
        </w:tc>
      </w:tr>
    </w:tbl>
    <w:p w14:paraId="21D4FCDC">
      <w:pPr>
        <w:spacing w:line="400" w:lineRule="exact"/>
        <w:ind w:firstLine="3150" w:firstLineChars="1500"/>
        <w:jc w:val="right"/>
        <w:rPr>
          <w:rFonts w:ascii="宋体" w:hAnsi="宋体" w:cs="宋体"/>
        </w:rPr>
      </w:pPr>
    </w:p>
    <w:p w14:paraId="42A00CA2">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749C508B">
      <w:pPr>
        <w:spacing w:line="360" w:lineRule="auto"/>
        <w:rPr>
          <w:rFonts w:ascii="宋体" w:hAnsi="宋体" w:cs="宋体"/>
        </w:rPr>
      </w:pPr>
    </w:p>
    <w:p w14:paraId="7D20553A">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08E49D7B">
      <w:pPr>
        <w:spacing w:line="400" w:lineRule="exact"/>
        <w:ind w:left="525" w:leftChars="250" w:firstLine="1470" w:firstLineChars="700"/>
        <w:rPr>
          <w:rFonts w:ascii="宋体" w:hAnsi="宋体" w:cs="宋体"/>
        </w:rPr>
      </w:pPr>
    </w:p>
    <w:p w14:paraId="02813C12">
      <w:pPr>
        <w:pStyle w:val="8"/>
        <w:rPr>
          <w:rFonts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28B39A84">
      <w:pPr>
        <w:pStyle w:val="22"/>
        <w:ind w:firstLine="210"/>
        <w:rPr>
          <w:rFonts w:ascii="宋体" w:hAnsi="宋体" w:cs="宋体"/>
        </w:rPr>
      </w:pPr>
    </w:p>
    <w:p w14:paraId="5E581449">
      <w:pPr>
        <w:rPr>
          <w:rFonts w:ascii="宋体" w:hAnsi="宋体" w:cs="宋体"/>
        </w:rPr>
      </w:pPr>
    </w:p>
    <w:p w14:paraId="3CBF899B">
      <w:pPr>
        <w:rPr>
          <w:rFonts w:ascii="宋体" w:hAnsi="宋体" w:cs="宋体"/>
          <w:b/>
          <w:bCs/>
          <w:color w:val="000000"/>
        </w:rPr>
      </w:pPr>
      <w:r>
        <w:rPr>
          <w:rFonts w:hint="eastAsia" w:ascii="宋体" w:hAnsi="宋体" w:cs="宋体"/>
          <w:b/>
          <w:bCs/>
          <w:color w:val="000000"/>
        </w:rPr>
        <w:t>附件六</w:t>
      </w:r>
    </w:p>
    <w:p w14:paraId="648BD281">
      <w:pPr>
        <w:pStyle w:val="8"/>
        <w:rPr>
          <w:rFonts w:ascii="宋体" w:hAnsi="宋体" w:cs="宋体"/>
          <w:b/>
          <w:bCs/>
          <w:color w:val="000000"/>
          <w:sz w:val="21"/>
          <w:szCs w:val="21"/>
        </w:rPr>
      </w:pPr>
    </w:p>
    <w:p w14:paraId="2300A035">
      <w:pPr>
        <w:pStyle w:val="9"/>
        <w:spacing w:line="400" w:lineRule="exact"/>
        <w:ind w:firstLine="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供应商单位授权书</w:t>
      </w:r>
    </w:p>
    <w:p w14:paraId="16ECD850">
      <w:pPr>
        <w:jc w:val="center"/>
      </w:pPr>
      <w:r>
        <w:rPr>
          <w:rFonts w:hint="eastAsia" w:ascii="宋体" w:hAnsi="宋体" w:cs="宋体"/>
          <w:bCs/>
          <w:sz w:val="18"/>
          <w:szCs w:val="18"/>
        </w:rPr>
        <w:t>（法定代表人来磋商的，此表不用）</w:t>
      </w:r>
    </w:p>
    <w:p w14:paraId="291E2732">
      <w:pPr>
        <w:pStyle w:val="9"/>
        <w:spacing w:line="400" w:lineRule="exact"/>
        <w:ind w:firstLine="0"/>
        <w:jc w:val="center"/>
        <w:rPr>
          <w:rFonts w:ascii="宋体" w:hAnsi="宋体" w:eastAsia="宋体"/>
          <w:color w:val="000000"/>
          <w:sz w:val="21"/>
          <w:szCs w:val="21"/>
        </w:rPr>
      </w:pPr>
    </w:p>
    <w:p w14:paraId="2CFC36B5">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7E27CCA3">
      <w:pPr>
        <w:pStyle w:val="9"/>
        <w:spacing w:line="400" w:lineRule="exact"/>
        <w:ind w:firstLine="0"/>
        <w:rPr>
          <w:rFonts w:ascii="宋体" w:hAnsi="宋体" w:eastAsia="宋体"/>
          <w:color w:val="000000"/>
          <w:sz w:val="21"/>
          <w:szCs w:val="21"/>
        </w:rPr>
      </w:pPr>
    </w:p>
    <w:p w14:paraId="2ECDE78F">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79E79F79">
      <w:pPr>
        <w:pStyle w:val="9"/>
        <w:spacing w:line="400" w:lineRule="exact"/>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37932DFE">
      <w:pPr>
        <w:pStyle w:val="9"/>
        <w:spacing w:line="400" w:lineRule="exact"/>
        <w:ind w:firstLine="0"/>
        <w:rPr>
          <w:rFonts w:ascii="宋体" w:hAnsi="宋体" w:eastAsia="宋体"/>
          <w:color w:val="000000"/>
          <w:sz w:val="21"/>
          <w:szCs w:val="21"/>
        </w:rPr>
      </w:pPr>
    </w:p>
    <w:p w14:paraId="1893B663">
      <w:pPr>
        <w:pStyle w:val="9"/>
        <w:spacing w:line="400" w:lineRule="exact"/>
        <w:ind w:firstLine="0"/>
        <w:rPr>
          <w:rFonts w:ascii="宋体" w:hAnsi="宋体" w:eastAsia="宋体"/>
          <w:color w:val="000000"/>
          <w:sz w:val="21"/>
          <w:szCs w:val="21"/>
        </w:rPr>
      </w:pPr>
    </w:p>
    <w:p w14:paraId="1AD10BC1">
      <w:pPr>
        <w:pStyle w:val="9"/>
        <w:spacing w:line="400" w:lineRule="exact"/>
        <w:ind w:firstLine="0"/>
        <w:rPr>
          <w:rFonts w:ascii="宋体" w:hAnsi="宋体" w:eastAsia="宋体"/>
          <w:color w:val="000000"/>
          <w:sz w:val="21"/>
          <w:szCs w:val="21"/>
        </w:rPr>
      </w:pPr>
    </w:p>
    <w:p w14:paraId="0BC695DF">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47C91160">
      <w:pPr>
        <w:pStyle w:val="9"/>
        <w:spacing w:line="400" w:lineRule="exact"/>
        <w:ind w:firstLine="0"/>
        <w:rPr>
          <w:rFonts w:ascii="宋体" w:hAnsi="宋体" w:eastAsia="宋体"/>
          <w:color w:val="000000"/>
          <w:sz w:val="21"/>
          <w:szCs w:val="21"/>
        </w:rPr>
      </w:pPr>
    </w:p>
    <w:p w14:paraId="60B85C01">
      <w:pPr>
        <w:pStyle w:val="9"/>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37F175B2">
      <w:pPr>
        <w:pStyle w:val="9"/>
        <w:spacing w:line="400" w:lineRule="exact"/>
        <w:ind w:firstLine="0"/>
        <w:rPr>
          <w:rFonts w:ascii="宋体" w:hAnsi="宋体" w:eastAsia="宋体"/>
          <w:color w:val="000000"/>
          <w:sz w:val="21"/>
          <w:szCs w:val="21"/>
        </w:rPr>
      </w:pPr>
    </w:p>
    <w:p w14:paraId="466CC5F1">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259B88F9">
      <w:pPr>
        <w:pStyle w:val="9"/>
        <w:spacing w:line="400" w:lineRule="exact"/>
        <w:ind w:firstLine="0"/>
        <w:rPr>
          <w:rFonts w:ascii="宋体" w:hAnsi="宋体" w:eastAsia="宋体"/>
          <w:color w:val="000000"/>
          <w:sz w:val="21"/>
          <w:szCs w:val="21"/>
        </w:rPr>
      </w:pPr>
    </w:p>
    <w:p w14:paraId="6A70F09C">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3DDFB7FD">
      <w:pPr>
        <w:pStyle w:val="9"/>
        <w:spacing w:line="400" w:lineRule="exact"/>
        <w:ind w:firstLine="0"/>
        <w:rPr>
          <w:rFonts w:ascii="宋体" w:hAnsi="宋体" w:eastAsia="宋体"/>
          <w:color w:val="000000"/>
          <w:sz w:val="21"/>
          <w:szCs w:val="21"/>
        </w:rPr>
      </w:pPr>
    </w:p>
    <w:p w14:paraId="003A02F7">
      <w:pPr>
        <w:pStyle w:val="9"/>
        <w:spacing w:line="400" w:lineRule="exact"/>
        <w:ind w:firstLine="0"/>
        <w:rPr>
          <w:rFonts w:ascii="宋体" w:hAnsi="宋体" w:eastAsia="宋体"/>
          <w:color w:val="000000"/>
          <w:sz w:val="21"/>
          <w:szCs w:val="21"/>
        </w:rPr>
      </w:pPr>
    </w:p>
    <w:p w14:paraId="1A8C3CFE">
      <w:pPr>
        <w:pStyle w:val="9"/>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1AA30202">
      <w:pPr>
        <w:pStyle w:val="9"/>
        <w:spacing w:line="40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313280C5">
      <w:r>
        <w:rPr>
          <w:rFonts w:hint="eastAsia" w:ascii="宋体" w:hAnsi="宋体" w:cs="宋体"/>
          <w:color w:val="000000"/>
        </w:rPr>
        <w:t xml:space="preserve">    2、被授权代表在提交首次磋商响应文件截止日前三个月内任一月的社保证明</w:t>
      </w:r>
    </w:p>
    <w:p w14:paraId="3A512C41">
      <w:pPr>
        <w:pStyle w:val="9"/>
        <w:spacing w:line="400" w:lineRule="exact"/>
        <w:ind w:firstLine="0"/>
        <w:rPr>
          <w:rFonts w:ascii="宋体" w:hAnsi="宋体" w:eastAsia="宋体"/>
          <w:color w:val="000000"/>
          <w:sz w:val="21"/>
          <w:szCs w:val="21"/>
        </w:rPr>
      </w:pPr>
    </w:p>
    <w:p w14:paraId="548CF735">
      <w:pPr>
        <w:pStyle w:val="9"/>
        <w:spacing w:line="400" w:lineRule="exact"/>
        <w:ind w:firstLine="0"/>
        <w:rPr>
          <w:rFonts w:ascii="宋体" w:hAnsi="宋体" w:eastAsia="宋体"/>
          <w:color w:val="000000"/>
          <w:sz w:val="21"/>
          <w:szCs w:val="21"/>
        </w:rPr>
      </w:pPr>
    </w:p>
    <w:p w14:paraId="48F5F3A9">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2EF236E1">
      <w:pPr>
        <w:spacing w:line="480" w:lineRule="exact"/>
        <w:jc w:val="center"/>
        <w:rPr>
          <w:rFonts w:ascii="宋体" w:hAnsi="宋体" w:cs="宋体"/>
          <w:b/>
          <w:sz w:val="28"/>
        </w:rPr>
      </w:pPr>
    </w:p>
    <w:p w14:paraId="3959EE31">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C1CA706">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02F85F05">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06B94536">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4694E2">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2F8AC98D">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03F752CA">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45743AD">
      <w:pPr>
        <w:spacing w:line="960" w:lineRule="exact"/>
        <w:rPr>
          <w:rFonts w:ascii="宋体" w:hAnsi="宋体" w:cs="宋体"/>
          <w:sz w:val="24"/>
        </w:rPr>
      </w:pPr>
    </w:p>
    <w:p w14:paraId="495F3FE7">
      <w:pPr>
        <w:spacing w:line="960" w:lineRule="exact"/>
        <w:rPr>
          <w:rFonts w:ascii="宋体" w:hAnsi="宋体" w:cs="宋体"/>
          <w:sz w:val="24"/>
        </w:rPr>
      </w:pPr>
      <w:r>
        <w:rPr>
          <w:rFonts w:hint="eastAsia" w:ascii="宋体" w:hAnsi="宋体" w:cs="宋体"/>
          <w:sz w:val="24"/>
        </w:rPr>
        <w:t>特此证明。</w:t>
      </w:r>
    </w:p>
    <w:p w14:paraId="27D52BFE">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60EEC196">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F58A19">
      <w:pPr>
        <w:snapToGrid w:val="0"/>
        <w:spacing w:before="50" w:afterLines="50"/>
        <w:jc w:val="left"/>
        <w:rPr>
          <w:rFonts w:ascii="宋体" w:hAnsi="宋体" w:cs="宋体"/>
          <w:b/>
          <w:bCs/>
          <w:sz w:val="30"/>
          <w:szCs w:val="30"/>
        </w:rPr>
      </w:pPr>
    </w:p>
    <w:p w14:paraId="77CD3C64">
      <w:pPr>
        <w:snapToGrid w:val="0"/>
        <w:spacing w:line="360" w:lineRule="auto"/>
        <w:jc w:val="left"/>
        <w:rPr>
          <w:rFonts w:ascii="宋体" w:hAnsi="宋体" w:cs="宋体"/>
        </w:rPr>
      </w:pPr>
      <w:r>
        <w:rPr>
          <w:rFonts w:hint="eastAsia" w:ascii="宋体" w:hAnsi="宋体" w:cs="宋体"/>
          <w:b/>
        </w:rPr>
        <w:t>附法定代表人身份证复印件（正反面）</w:t>
      </w:r>
    </w:p>
    <w:p w14:paraId="05E86909">
      <w:pPr>
        <w:pStyle w:val="9"/>
        <w:spacing w:line="440" w:lineRule="exact"/>
        <w:ind w:firstLine="0"/>
        <w:rPr>
          <w:rFonts w:ascii="宋体" w:hAnsi="宋体" w:eastAsia="宋体"/>
          <w:color w:val="000000"/>
          <w:sz w:val="21"/>
          <w:szCs w:val="21"/>
        </w:rPr>
      </w:pPr>
    </w:p>
    <w:p w14:paraId="009408C1">
      <w:pPr>
        <w:pStyle w:val="9"/>
        <w:spacing w:line="440" w:lineRule="exact"/>
        <w:ind w:firstLine="0"/>
        <w:rPr>
          <w:rFonts w:ascii="宋体" w:hAnsi="宋体" w:eastAsia="宋体"/>
          <w:color w:val="000000"/>
          <w:sz w:val="21"/>
          <w:szCs w:val="21"/>
        </w:rPr>
      </w:pPr>
    </w:p>
    <w:p w14:paraId="040B8012">
      <w:pPr>
        <w:pStyle w:val="9"/>
        <w:spacing w:line="440" w:lineRule="exact"/>
        <w:ind w:firstLine="0"/>
        <w:rPr>
          <w:rFonts w:ascii="宋体" w:hAnsi="宋体" w:eastAsia="宋体"/>
          <w:color w:val="000000"/>
          <w:sz w:val="21"/>
          <w:szCs w:val="21"/>
        </w:rPr>
      </w:pPr>
    </w:p>
    <w:p w14:paraId="2CE95274">
      <w:pPr>
        <w:pStyle w:val="9"/>
        <w:spacing w:line="440" w:lineRule="exact"/>
        <w:ind w:firstLine="0"/>
        <w:rPr>
          <w:rFonts w:ascii="宋体" w:hAnsi="宋体" w:eastAsia="宋体"/>
          <w:color w:val="000000"/>
          <w:sz w:val="21"/>
          <w:szCs w:val="21"/>
        </w:rPr>
      </w:pPr>
    </w:p>
    <w:p w14:paraId="5A0D9A20">
      <w:pPr>
        <w:pStyle w:val="9"/>
        <w:spacing w:line="440" w:lineRule="exact"/>
        <w:ind w:firstLine="0"/>
        <w:rPr>
          <w:rFonts w:ascii="宋体" w:hAnsi="宋体" w:eastAsia="宋体"/>
          <w:color w:val="000000"/>
          <w:sz w:val="21"/>
          <w:szCs w:val="21"/>
        </w:rPr>
      </w:pPr>
    </w:p>
    <w:p w14:paraId="61FBF85D">
      <w:pPr>
        <w:pStyle w:val="9"/>
        <w:spacing w:line="440" w:lineRule="exact"/>
        <w:ind w:firstLine="0"/>
        <w:rPr>
          <w:rFonts w:ascii="宋体" w:eastAsia="宋体"/>
          <w:b/>
          <w:bCs/>
          <w:color w:val="000000"/>
        </w:rPr>
      </w:pPr>
      <w:r>
        <w:rPr>
          <w:rFonts w:hint="eastAsia" w:ascii="宋体" w:hAnsi="宋体" w:eastAsia="宋体" w:cs="宋体"/>
          <w:b/>
          <w:bCs/>
          <w:color w:val="000000"/>
          <w:sz w:val="21"/>
          <w:szCs w:val="21"/>
        </w:rPr>
        <w:t>附件七</w:t>
      </w:r>
    </w:p>
    <w:p w14:paraId="51E5171A">
      <w:pPr>
        <w:spacing w:line="400" w:lineRule="exact"/>
        <w:jc w:val="center"/>
        <w:rPr>
          <w:rFonts w:ascii="宋体"/>
          <w:b/>
          <w:bCs/>
          <w:color w:val="000000"/>
        </w:rPr>
      </w:pPr>
      <w:r>
        <w:rPr>
          <w:rFonts w:hint="eastAsia" w:ascii="宋体" w:hAnsi="宋体" w:cs="宋体"/>
          <w:b/>
          <w:bCs/>
          <w:color w:val="000000"/>
        </w:rPr>
        <w:t>商务条款响应（偏离）表</w:t>
      </w:r>
    </w:p>
    <w:p w14:paraId="04BA4165">
      <w:pPr>
        <w:spacing w:line="400" w:lineRule="exact"/>
        <w:ind w:left="540"/>
        <w:jc w:val="center"/>
        <w:rPr>
          <w:rFonts w:ascii="宋体"/>
          <w:b/>
          <w:bCs/>
          <w:color w:val="000000"/>
        </w:rPr>
      </w:pPr>
    </w:p>
    <w:p w14:paraId="31389E2D">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梅山街道农村污水管网养护项目</w:t>
      </w:r>
    </w:p>
    <w:p w14:paraId="09CEC27D">
      <w:pPr>
        <w:spacing w:line="360" w:lineRule="auto"/>
        <w:rPr>
          <w:rFonts w:hint="eastAsia" w:ascii="宋体" w:hAnsi="宋体" w:eastAsia="宋体" w:cs="宋体"/>
          <w:color w:val="000000"/>
          <w:u w:val="single"/>
          <w:lang w:eastAsia="zh-CN"/>
        </w:rPr>
      </w:pPr>
      <w:r>
        <w:rPr>
          <w:rFonts w:hint="eastAsia" w:ascii="宋体" w:hAnsi="宋体" w:cs="宋体"/>
          <w:color w:val="000000"/>
        </w:rPr>
        <w:t>项目编号：</w:t>
      </w:r>
      <w:r>
        <w:rPr>
          <w:rFonts w:hint="eastAsia" w:ascii="宋体" w:hAnsi="宋体" w:cs="宋体"/>
          <w:color w:val="000000"/>
          <w:u w:val="single"/>
          <w:lang w:eastAsia="zh-CN"/>
        </w:rPr>
        <w:t>KLDL2024074</w:t>
      </w:r>
    </w:p>
    <w:p w14:paraId="11D92AC9">
      <w:pPr>
        <w:spacing w:line="360" w:lineRule="auto"/>
        <w:rPr>
          <w:rFonts w:ascii="宋体" w:hAnsi="宋体" w:cs="宋体"/>
          <w:color w:val="000000"/>
          <w:u w:val="single"/>
        </w:rPr>
      </w:pPr>
    </w:p>
    <w:tbl>
      <w:tblPr>
        <w:tblStyle w:val="24"/>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3E1562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1CB79651">
            <w:pPr>
              <w:pStyle w:val="33"/>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848" w:type="dxa"/>
            <w:vAlign w:val="center"/>
          </w:tcPr>
          <w:p w14:paraId="0B0E6249">
            <w:pPr>
              <w:pStyle w:val="33"/>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2190" w:type="dxa"/>
            <w:vAlign w:val="center"/>
          </w:tcPr>
          <w:p w14:paraId="1C4525B4">
            <w:pPr>
              <w:pStyle w:val="33"/>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788" w:type="dxa"/>
            <w:vAlign w:val="center"/>
          </w:tcPr>
          <w:p w14:paraId="4EC847F4">
            <w:pPr>
              <w:pStyle w:val="33"/>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66229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4E7B0EE6">
            <w:pPr>
              <w:autoSpaceDE w:val="0"/>
              <w:autoSpaceDN w:val="0"/>
              <w:adjustRightInd w:val="0"/>
              <w:spacing w:line="400" w:lineRule="exact"/>
              <w:jc w:val="center"/>
              <w:rPr>
                <w:rFonts w:ascii="宋体" w:hAnsi="宋体"/>
              </w:rPr>
            </w:pPr>
          </w:p>
        </w:tc>
        <w:tc>
          <w:tcPr>
            <w:tcW w:w="3848" w:type="dxa"/>
            <w:vAlign w:val="center"/>
          </w:tcPr>
          <w:p w14:paraId="6972740C">
            <w:pPr>
              <w:rPr>
                <w:rFonts w:ascii="宋体" w:hAnsi="宋体" w:cs="宋体"/>
              </w:rPr>
            </w:pPr>
          </w:p>
        </w:tc>
        <w:tc>
          <w:tcPr>
            <w:tcW w:w="2190" w:type="dxa"/>
            <w:vAlign w:val="center"/>
          </w:tcPr>
          <w:p w14:paraId="2206D2DD">
            <w:pPr>
              <w:adjustRightInd w:val="0"/>
              <w:snapToGrid w:val="0"/>
              <w:spacing w:line="600" w:lineRule="exact"/>
              <w:jc w:val="center"/>
              <w:rPr>
                <w:rFonts w:ascii="宋体" w:hAnsi="宋体"/>
                <w:color w:val="000000"/>
              </w:rPr>
            </w:pPr>
          </w:p>
        </w:tc>
        <w:tc>
          <w:tcPr>
            <w:tcW w:w="2788" w:type="dxa"/>
            <w:vAlign w:val="center"/>
          </w:tcPr>
          <w:p w14:paraId="37E33C96">
            <w:pPr>
              <w:adjustRightInd w:val="0"/>
              <w:snapToGrid w:val="0"/>
              <w:spacing w:line="600" w:lineRule="exact"/>
              <w:jc w:val="center"/>
              <w:rPr>
                <w:rFonts w:ascii="宋体" w:hAnsi="宋体"/>
                <w:color w:val="000000"/>
              </w:rPr>
            </w:pPr>
          </w:p>
        </w:tc>
      </w:tr>
      <w:tr w14:paraId="7A074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49048313">
            <w:pPr>
              <w:autoSpaceDE w:val="0"/>
              <w:autoSpaceDN w:val="0"/>
              <w:adjustRightInd w:val="0"/>
              <w:spacing w:line="400" w:lineRule="exact"/>
              <w:jc w:val="center"/>
              <w:rPr>
                <w:rFonts w:ascii="宋体" w:hAnsi="宋体"/>
              </w:rPr>
            </w:pPr>
          </w:p>
        </w:tc>
        <w:tc>
          <w:tcPr>
            <w:tcW w:w="3848" w:type="dxa"/>
            <w:vAlign w:val="center"/>
          </w:tcPr>
          <w:p w14:paraId="4BB06DDB">
            <w:pPr>
              <w:spacing w:line="320" w:lineRule="exact"/>
              <w:rPr>
                <w:rFonts w:ascii="宋体" w:hAnsi="宋体" w:cs="宋体"/>
              </w:rPr>
            </w:pPr>
          </w:p>
        </w:tc>
        <w:tc>
          <w:tcPr>
            <w:tcW w:w="2190" w:type="dxa"/>
            <w:vAlign w:val="center"/>
          </w:tcPr>
          <w:p w14:paraId="5B7D162C">
            <w:pPr>
              <w:adjustRightInd w:val="0"/>
              <w:snapToGrid w:val="0"/>
              <w:spacing w:line="600" w:lineRule="exact"/>
              <w:jc w:val="center"/>
              <w:rPr>
                <w:rFonts w:ascii="宋体" w:hAnsi="宋体"/>
                <w:color w:val="000000"/>
              </w:rPr>
            </w:pPr>
          </w:p>
        </w:tc>
        <w:tc>
          <w:tcPr>
            <w:tcW w:w="2788" w:type="dxa"/>
            <w:vAlign w:val="center"/>
          </w:tcPr>
          <w:p w14:paraId="530FE9DE">
            <w:pPr>
              <w:adjustRightInd w:val="0"/>
              <w:snapToGrid w:val="0"/>
              <w:spacing w:line="600" w:lineRule="exact"/>
              <w:jc w:val="center"/>
              <w:rPr>
                <w:rFonts w:ascii="宋体" w:hAnsi="宋体"/>
                <w:color w:val="000000"/>
              </w:rPr>
            </w:pPr>
          </w:p>
        </w:tc>
      </w:tr>
      <w:tr w14:paraId="29D75F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5903FE8F">
            <w:pPr>
              <w:autoSpaceDE w:val="0"/>
              <w:autoSpaceDN w:val="0"/>
              <w:adjustRightInd w:val="0"/>
              <w:spacing w:line="400" w:lineRule="exact"/>
              <w:jc w:val="center"/>
              <w:rPr>
                <w:rFonts w:ascii="宋体" w:hAnsi="宋体"/>
              </w:rPr>
            </w:pPr>
          </w:p>
        </w:tc>
        <w:tc>
          <w:tcPr>
            <w:tcW w:w="3848" w:type="dxa"/>
            <w:vAlign w:val="center"/>
          </w:tcPr>
          <w:p w14:paraId="1C44472F">
            <w:pPr>
              <w:spacing w:line="320" w:lineRule="exact"/>
              <w:rPr>
                <w:rFonts w:ascii="宋体" w:hAnsi="宋体" w:cs="宋体"/>
              </w:rPr>
            </w:pPr>
          </w:p>
        </w:tc>
        <w:tc>
          <w:tcPr>
            <w:tcW w:w="2190" w:type="dxa"/>
            <w:vAlign w:val="center"/>
          </w:tcPr>
          <w:p w14:paraId="52F7E8C8">
            <w:pPr>
              <w:adjustRightInd w:val="0"/>
              <w:snapToGrid w:val="0"/>
              <w:spacing w:line="600" w:lineRule="exact"/>
              <w:jc w:val="center"/>
              <w:rPr>
                <w:rFonts w:ascii="宋体" w:hAnsi="宋体"/>
                <w:color w:val="000000"/>
              </w:rPr>
            </w:pPr>
          </w:p>
        </w:tc>
        <w:tc>
          <w:tcPr>
            <w:tcW w:w="2788" w:type="dxa"/>
            <w:vAlign w:val="center"/>
          </w:tcPr>
          <w:p w14:paraId="4B4E2E80">
            <w:pPr>
              <w:adjustRightInd w:val="0"/>
              <w:snapToGrid w:val="0"/>
              <w:spacing w:line="600" w:lineRule="exact"/>
              <w:jc w:val="center"/>
              <w:rPr>
                <w:rFonts w:ascii="宋体" w:hAnsi="宋体"/>
                <w:color w:val="000000"/>
              </w:rPr>
            </w:pPr>
          </w:p>
        </w:tc>
      </w:tr>
      <w:tr w14:paraId="3F745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6069A3A2">
            <w:pPr>
              <w:autoSpaceDE w:val="0"/>
              <w:autoSpaceDN w:val="0"/>
              <w:adjustRightInd w:val="0"/>
              <w:spacing w:line="400" w:lineRule="exact"/>
              <w:jc w:val="center"/>
              <w:rPr>
                <w:rFonts w:ascii="宋体" w:hAnsi="宋体"/>
              </w:rPr>
            </w:pPr>
          </w:p>
        </w:tc>
        <w:tc>
          <w:tcPr>
            <w:tcW w:w="3848" w:type="dxa"/>
            <w:vAlign w:val="center"/>
          </w:tcPr>
          <w:p w14:paraId="735BC1D7">
            <w:pPr>
              <w:spacing w:line="320" w:lineRule="exact"/>
              <w:rPr>
                <w:rFonts w:ascii="宋体" w:hAnsi="宋体" w:cs="宋体"/>
              </w:rPr>
            </w:pPr>
          </w:p>
        </w:tc>
        <w:tc>
          <w:tcPr>
            <w:tcW w:w="2190" w:type="dxa"/>
            <w:vAlign w:val="center"/>
          </w:tcPr>
          <w:p w14:paraId="0EC5D4FE">
            <w:pPr>
              <w:adjustRightInd w:val="0"/>
              <w:snapToGrid w:val="0"/>
              <w:spacing w:line="600" w:lineRule="exact"/>
              <w:jc w:val="center"/>
              <w:rPr>
                <w:rFonts w:ascii="宋体" w:hAnsi="宋体"/>
                <w:color w:val="000000"/>
              </w:rPr>
            </w:pPr>
          </w:p>
        </w:tc>
        <w:tc>
          <w:tcPr>
            <w:tcW w:w="2788" w:type="dxa"/>
            <w:vAlign w:val="center"/>
          </w:tcPr>
          <w:p w14:paraId="17E94A96">
            <w:pPr>
              <w:adjustRightInd w:val="0"/>
              <w:snapToGrid w:val="0"/>
              <w:spacing w:line="600" w:lineRule="exact"/>
              <w:jc w:val="center"/>
              <w:rPr>
                <w:rFonts w:ascii="宋体" w:hAnsi="宋体"/>
                <w:color w:val="000000"/>
              </w:rPr>
            </w:pPr>
          </w:p>
        </w:tc>
      </w:tr>
      <w:tr w14:paraId="22A7D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019D1CF8">
            <w:pPr>
              <w:autoSpaceDE w:val="0"/>
              <w:autoSpaceDN w:val="0"/>
              <w:adjustRightInd w:val="0"/>
              <w:spacing w:line="400" w:lineRule="exact"/>
              <w:jc w:val="center"/>
              <w:rPr>
                <w:rFonts w:ascii="宋体" w:hAnsi="宋体"/>
              </w:rPr>
            </w:pPr>
          </w:p>
        </w:tc>
        <w:tc>
          <w:tcPr>
            <w:tcW w:w="3848" w:type="dxa"/>
            <w:vAlign w:val="center"/>
          </w:tcPr>
          <w:p w14:paraId="50E3FE62">
            <w:pPr>
              <w:spacing w:line="320" w:lineRule="exact"/>
              <w:rPr>
                <w:rFonts w:ascii="宋体" w:hAnsi="宋体" w:cs="宋体"/>
              </w:rPr>
            </w:pPr>
          </w:p>
        </w:tc>
        <w:tc>
          <w:tcPr>
            <w:tcW w:w="2190" w:type="dxa"/>
            <w:vAlign w:val="center"/>
          </w:tcPr>
          <w:p w14:paraId="6069666C">
            <w:pPr>
              <w:adjustRightInd w:val="0"/>
              <w:snapToGrid w:val="0"/>
              <w:spacing w:line="600" w:lineRule="exact"/>
              <w:jc w:val="center"/>
              <w:rPr>
                <w:rFonts w:ascii="宋体" w:hAnsi="宋体"/>
                <w:color w:val="000000"/>
              </w:rPr>
            </w:pPr>
          </w:p>
        </w:tc>
        <w:tc>
          <w:tcPr>
            <w:tcW w:w="2788" w:type="dxa"/>
            <w:vAlign w:val="center"/>
          </w:tcPr>
          <w:p w14:paraId="7D24EB72">
            <w:pPr>
              <w:adjustRightInd w:val="0"/>
              <w:snapToGrid w:val="0"/>
              <w:spacing w:line="600" w:lineRule="exact"/>
              <w:jc w:val="center"/>
              <w:rPr>
                <w:rFonts w:ascii="宋体" w:hAnsi="宋体"/>
                <w:color w:val="000000"/>
              </w:rPr>
            </w:pPr>
          </w:p>
        </w:tc>
      </w:tr>
      <w:tr w14:paraId="0D323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02CDF2C6">
            <w:pPr>
              <w:autoSpaceDE w:val="0"/>
              <w:autoSpaceDN w:val="0"/>
              <w:adjustRightInd w:val="0"/>
              <w:spacing w:line="400" w:lineRule="exact"/>
              <w:jc w:val="center"/>
              <w:rPr>
                <w:rFonts w:ascii="宋体" w:hAnsi="宋体"/>
              </w:rPr>
            </w:pPr>
          </w:p>
        </w:tc>
        <w:tc>
          <w:tcPr>
            <w:tcW w:w="3848" w:type="dxa"/>
            <w:vAlign w:val="center"/>
          </w:tcPr>
          <w:p w14:paraId="4EDDCF6E">
            <w:pPr>
              <w:spacing w:line="320" w:lineRule="exact"/>
              <w:rPr>
                <w:rFonts w:ascii="宋体" w:hAnsi="宋体" w:cs="宋体"/>
              </w:rPr>
            </w:pPr>
          </w:p>
        </w:tc>
        <w:tc>
          <w:tcPr>
            <w:tcW w:w="2190" w:type="dxa"/>
            <w:vAlign w:val="center"/>
          </w:tcPr>
          <w:p w14:paraId="57C03F4E">
            <w:pPr>
              <w:adjustRightInd w:val="0"/>
              <w:snapToGrid w:val="0"/>
              <w:spacing w:line="600" w:lineRule="exact"/>
              <w:jc w:val="center"/>
              <w:rPr>
                <w:rFonts w:ascii="宋体" w:hAnsi="宋体"/>
                <w:color w:val="000000"/>
              </w:rPr>
            </w:pPr>
          </w:p>
        </w:tc>
        <w:tc>
          <w:tcPr>
            <w:tcW w:w="2788" w:type="dxa"/>
            <w:vAlign w:val="center"/>
          </w:tcPr>
          <w:p w14:paraId="5225D202">
            <w:pPr>
              <w:adjustRightInd w:val="0"/>
              <w:snapToGrid w:val="0"/>
              <w:spacing w:line="600" w:lineRule="exact"/>
              <w:jc w:val="center"/>
              <w:rPr>
                <w:rFonts w:ascii="宋体" w:hAnsi="宋体"/>
                <w:color w:val="000000"/>
              </w:rPr>
            </w:pPr>
          </w:p>
        </w:tc>
      </w:tr>
      <w:tr w14:paraId="7B47B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14:paraId="19999218">
            <w:pPr>
              <w:autoSpaceDE w:val="0"/>
              <w:autoSpaceDN w:val="0"/>
              <w:adjustRightInd w:val="0"/>
              <w:spacing w:line="400" w:lineRule="exact"/>
              <w:jc w:val="center"/>
              <w:rPr>
                <w:rFonts w:ascii="宋体" w:hAnsi="宋体"/>
              </w:rPr>
            </w:pPr>
          </w:p>
        </w:tc>
        <w:tc>
          <w:tcPr>
            <w:tcW w:w="3848" w:type="dxa"/>
            <w:vAlign w:val="center"/>
          </w:tcPr>
          <w:p w14:paraId="6F595984">
            <w:pPr>
              <w:autoSpaceDE w:val="0"/>
              <w:autoSpaceDN w:val="0"/>
              <w:adjustRightInd w:val="0"/>
              <w:spacing w:line="400" w:lineRule="exact"/>
              <w:rPr>
                <w:rFonts w:ascii="宋体" w:hAnsi="宋体"/>
                <w:lang w:val="zh-CN"/>
              </w:rPr>
            </w:pPr>
          </w:p>
        </w:tc>
        <w:tc>
          <w:tcPr>
            <w:tcW w:w="2190" w:type="dxa"/>
            <w:vAlign w:val="center"/>
          </w:tcPr>
          <w:p w14:paraId="124B0CD6">
            <w:pPr>
              <w:adjustRightInd w:val="0"/>
              <w:snapToGrid w:val="0"/>
              <w:spacing w:line="600" w:lineRule="exact"/>
              <w:jc w:val="center"/>
              <w:rPr>
                <w:rFonts w:ascii="宋体" w:hAnsi="宋体"/>
                <w:color w:val="000000"/>
              </w:rPr>
            </w:pPr>
          </w:p>
        </w:tc>
        <w:tc>
          <w:tcPr>
            <w:tcW w:w="2788" w:type="dxa"/>
            <w:vAlign w:val="center"/>
          </w:tcPr>
          <w:p w14:paraId="20DDFB11">
            <w:pPr>
              <w:adjustRightInd w:val="0"/>
              <w:snapToGrid w:val="0"/>
              <w:spacing w:line="600" w:lineRule="exact"/>
              <w:jc w:val="center"/>
              <w:rPr>
                <w:rFonts w:ascii="宋体" w:hAnsi="宋体"/>
                <w:color w:val="000000"/>
              </w:rPr>
            </w:pPr>
          </w:p>
        </w:tc>
      </w:tr>
      <w:tr w14:paraId="7C238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vAlign w:val="center"/>
          </w:tcPr>
          <w:p w14:paraId="0AB7769C">
            <w:pPr>
              <w:autoSpaceDE w:val="0"/>
              <w:autoSpaceDN w:val="0"/>
              <w:adjustRightInd w:val="0"/>
              <w:spacing w:line="400" w:lineRule="exact"/>
              <w:jc w:val="center"/>
              <w:rPr>
                <w:rFonts w:ascii="宋体" w:hAnsi="宋体"/>
              </w:rPr>
            </w:pPr>
          </w:p>
        </w:tc>
        <w:tc>
          <w:tcPr>
            <w:tcW w:w="3848" w:type="dxa"/>
            <w:vAlign w:val="center"/>
          </w:tcPr>
          <w:p w14:paraId="2B0A0F01">
            <w:pPr>
              <w:autoSpaceDE w:val="0"/>
              <w:autoSpaceDN w:val="0"/>
              <w:adjustRightInd w:val="0"/>
              <w:spacing w:line="400" w:lineRule="exact"/>
              <w:rPr>
                <w:rFonts w:ascii="宋体" w:hAnsi="宋体"/>
                <w:lang w:val="zh-CN"/>
              </w:rPr>
            </w:pPr>
          </w:p>
        </w:tc>
        <w:tc>
          <w:tcPr>
            <w:tcW w:w="2190" w:type="dxa"/>
            <w:vAlign w:val="center"/>
          </w:tcPr>
          <w:p w14:paraId="4A0AC528">
            <w:pPr>
              <w:adjustRightInd w:val="0"/>
              <w:snapToGrid w:val="0"/>
              <w:spacing w:line="600" w:lineRule="exact"/>
              <w:jc w:val="center"/>
              <w:rPr>
                <w:rFonts w:ascii="宋体" w:hAnsi="宋体"/>
                <w:color w:val="000000"/>
              </w:rPr>
            </w:pPr>
          </w:p>
        </w:tc>
        <w:tc>
          <w:tcPr>
            <w:tcW w:w="2788" w:type="dxa"/>
            <w:vAlign w:val="center"/>
          </w:tcPr>
          <w:p w14:paraId="01A2BEEA">
            <w:pPr>
              <w:adjustRightInd w:val="0"/>
              <w:snapToGrid w:val="0"/>
              <w:spacing w:line="600" w:lineRule="exact"/>
              <w:jc w:val="center"/>
              <w:rPr>
                <w:rFonts w:ascii="宋体" w:hAnsi="宋体"/>
                <w:color w:val="000000"/>
              </w:rPr>
            </w:pPr>
          </w:p>
        </w:tc>
      </w:tr>
    </w:tbl>
    <w:p w14:paraId="5F602642">
      <w:pPr>
        <w:pStyle w:val="6"/>
        <w:spacing w:line="360" w:lineRule="auto"/>
        <w:ind w:firstLine="0" w:firstLineChars="0"/>
        <w:rPr>
          <w:sz w:val="21"/>
          <w:szCs w:val="21"/>
        </w:rPr>
      </w:pPr>
      <w:r>
        <w:rPr>
          <w:rFonts w:hint="eastAsia"/>
          <w:sz w:val="21"/>
          <w:szCs w:val="21"/>
        </w:rPr>
        <w:t>1、商务条款内容主要是针对</w:t>
      </w:r>
      <w:r>
        <w:rPr>
          <w:rFonts w:hint="eastAsia"/>
          <w:sz w:val="21"/>
          <w:szCs w:val="21"/>
          <w:lang w:val="en-US" w:eastAsia="zh-CN"/>
        </w:rPr>
        <w:t>采购</w:t>
      </w:r>
      <w:r>
        <w:rPr>
          <w:rFonts w:hint="eastAsia"/>
          <w:sz w:val="21"/>
          <w:szCs w:val="21"/>
        </w:rPr>
        <w:t>文件有关的付款条件、服务期、合同主要条款等内容。</w:t>
      </w:r>
    </w:p>
    <w:p w14:paraId="46471E51">
      <w:pPr>
        <w:pStyle w:val="6"/>
        <w:spacing w:line="360" w:lineRule="auto"/>
        <w:ind w:firstLine="0" w:firstLineChars="0"/>
        <w:rPr>
          <w:sz w:val="21"/>
          <w:szCs w:val="21"/>
        </w:rPr>
      </w:pPr>
      <w:r>
        <w:rPr>
          <w:rFonts w:hint="eastAsia"/>
          <w:sz w:val="21"/>
          <w:szCs w:val="21"/>
        </w:rPr>
        <w:t>2、无偏离应在本表“响应文件的响应条款“无商务条款偏离”的字样。</w:t>
      </w:r>
    </w:p>
    <w:p w14:paraId="00EA09D6">
      <w:pPr>
        <w:pStyle w:val="9"/>
        <w:ind w:firstLine="0"/>
        <w:rPr>
          <w:rFonts w:hAnsi="宋体" w:cs="宋体"/>
          <w:color w:val="000000"/>
          <w:sz w:val="21"/>
          <w:szCs w:val="21"/>
        </w:rPr>
      </w:pPr>
    </w:p>
    <w:p w14:paraId="69471EE3">
      <w:pPr>
        <w:pStyle w:val="9"/>
        <w:ind w:firstLine="0"/>
        <w:rPr>
          <w:rFonts w:hAnsi="宋体" w:cs="宋体"/>
          <w:color w:val="000000"/>
          <w:sz w:val="21"/>
          <w:szCs w:val="21"/>
        </w:rPr>
      </w:pPr>
    </w:p>
    <w:p w14:paraId="2FB1839D">
      <w:pPr>
        <w:pStyle w:val="9"/>
        <w:ind w:firstLine="0"/>
        <w:rPr>
          <w:rFonts w:hAnsi="宋体" w:cs="宋体"/>
          <w:color w:val="000000"/>
          <w:sz w:val="21"/>
          <w:szCs w:val="21"/>
        </w:rPr>
      </w:pPr>
    </w:p>
    <w:p w14:paraId="3A524AAB">
      <w:pPr>
        <w:pStyle w:val="9"/>
        <w:ind w:firstLine="0"/>
        <w:rPr>
          <w:rFonts w:hAnsi="宋体" w:cs="宋体"/>
          <w:color w:val="000000"/>
          <w:sz w:val="21"/>
          <w:szCs w:val="21"/>
        </w:rPr>
      </w:pPr>
      <w:r>
        <w:rPr>
          <w:rFonts w:hint="eastAsia" w:hAnsi="宋体" w:cs="宋体"/>
          <w:color w:val="000000"/>
          <w:sz w:val="21"/>
          <w:szCs w:val="21"/>
        </w:rPr>
        <w:t xml:space="preserve">供应商全称（盖章）：                  </w:t>
      </w:r>
    </w:p>
    <w:p w14:paraId="07A09B5C">
      <w:pPr>
        <w:pStyle w:val="9"/>
        <w:ind w:firstLine="0"/>
        <w:rPr>
          <w:rFonts w:hAnsi="宋体" w:cs="宋体"/>
          <w:color w:val="000000"/>
          <w:sz w:val="21"/>
          <w:szCs w:val="21"/>
        </w:rPr>
      </w:pPr>
      <w:r>
        <w:rPr>
          <w:rFonts w:hint="eastAsia" w:hAnsi="宋体" w:cs="宋体"/>
          <w:color w:val="000000"/>
          <w:sz w:val="21"/>
          <w:szCs w:val="21"/>
        </w:rPr>
        <w:t>法定代表人（单位负责人）或委托代理人签字：</w:t>
      </w:r>
    </w:p>
    <w:p w14:paraId="02C09DCF">
      <w:pPr>
        <w:pStyle w:val="9"/>
        <w:ind w:firstLine="0"/>
        <w:rPr>
          <w:rFonts w:hAnsi="宋体" w:cs="宋体"/>
          <w:color w:val="000000"/>
          <w:szCs w:val="21"/>
        </w:rPr>
      </w:pPr>
      <w:r>
        <w:rPr>
          <w:rFonts w:hint="eastAsia" w:hAnsi="宋体" w:cs="宋体"/>
          <w:color w:val="000000"/>
          <w:sz w:val="21"/>
          <w:szCs w:val="21"/>
        </w:rPr>
        <w:t>日期：     年   月   日</w:t>
      </w:r>
    </w:p>
    <w:p w14:paraId="5F884556">
      <w:pPr>
        <w:spacing w:line="400" w:lineRule="exact"/>
        <w:ind w:firstLine="4095" w:firstLineChars="1950"/>
        <w:jc w:val="left"/>
        <w:rPr>
          <w:rFonts w:ascii="宋体"/>
          <w:color w:val="000000"/>
        </w:rPr>
      </w:pPr>
    </w:p>
    <w:p w14:paraId="2D0236C4">
      <w:pPr>
        <w:spacing w:line="400" w:lineRule="exact"/>
        <w:rPr>
          <w:rStyle w:val="36"/>
          <w:rFonts w:ascii="宋体"/>
          <w:bCs/>
          <w:color w:val="000000"/>
          <w:sz w:val="21"/>
        </w:rPr>
      </w:pPr>
      <w:r>
        <w:rPr>
          <w:rStyle w:val="36"/>
          <w:rFonts w:ascii="宋体"/>
          <w:bCs/>
          <w:color w:val="000000"/>
          <w:sz w:val="21"/>
        </w:rPr>
        <w:br w:type="page"/>
      </w:r>
      <w:r>
        <w:rPr>
          <w:rStyle w:val="36"/>
          <w:rFonts w:hint="eastAsia" w:ascii="宋体"/>
          <w:bCs/>
          <w:color w:val="000000"/>
          <w:sz w:val="21"/>
        </w:rPr>
        <w:t>附件八</w:t>
      </w:r>
    </w:p>
    <w:p w14:paraId="1D3E9A23">
      <w:pPr>
        <w:jc w:val="center"/>
        <w:rPr>
          <w:rFonts w:ascii="宋体" w:hAnsi="宋体" w:cs="宋体"/>
          <w:b/>
          <w:color w:val="000000"/>
        </w:rPr>
      </w:pPr>
    </w:p>
    <w:p w14:paraId="26BCD666">
      <w:pPr>
        <w:jc w:val="center"/>
        <w:rPr>
          <w:rFonts w:ascii="宋体" w:hAnsi="宋体" w:cs="宋体"/>
          <w:b/>
          <w:color w:val="000000"/>
        </w:rPr>
      </w:pPr>
      <w:r>
        <w:rPr>
          <w:rFonts w:hint="eastAsia" w:ascii="宋体" w:hAnsi="宋体" w:cs="宋体"/>
          <w:b/>
          <w:color w:val="000000"/>
        </w:rPr>
        <w:t>技术服务条款响应（偏离）表</w:t>
      </w:r>
    </w:p>
    <w:p w14:paraId="174816B7">
      <w:pPr>
        <w:pStyle w:val="37"/>
        <w:rPr>
          <w:rFonts w:hAnsi="宋体" w:cs="宋体"/>
          <w:b/>
          <w:color w:val="000000"/>
          <w:szCs w:val="21"/>
        </w:rPr>
      </w:pPr>
    </w:p>
    <w:p w14:paraId="23F4AF97">
      <w:pPr>
        <w:pStyle w:val="37"/>
        <w:rPr>
          <w:rFonts w:hAnsi="宋体" w:cs="宋体"/>
          <w:b/>
          <w:color w:val="000000"/>
          <w:szCs w:val="21"/>
        </w:rPr>
      </w:pPr>
    </w:p>
    <w:p w14:paraId="3E25264C">
      <w:pPr>
        <w:ind w:right="25" w:rightChars="12"/>
        <w:rPr>
          <w:rFonts w:ascii="宋体" w:hAnsi="宋体" w:cs="宋体"/>
          <w:color w:val="000000"/>
          <w:u w:val="single"/>
          <w:lang w:val="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p>
    <w:p w14:paraId="07421E51">
      <w:pPr>
        <w:pStyle w:val="37"/>
        <w:ind w:left="0" w:firstLine="0"/>
      </w:pPr>
    </w:p>
    <w:tbl>
      <w:tblPr>
        <w:tblStyle w:val="24"/>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6159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2354ED80">
            <w:pPr>
              <w:pStyle w:val="33"/>
              <w:adjustRightInd w:val="0"/>
              <w:spacing w:line="400" w:lineRule="exact"/>
              <w:jc w:val="center"/>
              <w:textAlignment w:val="baseline"/>
              <w:rPr>
                <w:rFonts w:hAnsi="宋体" w:eastAsia="宋体" w:cs="宋体"/>
                <w:b/>
              </w:rPr>
            </w:pPr>
            <w:r>
              <w:rPr>
                <w:rFonts w:hint="eastAsia" w:hAnsi="宋体" w:eastAsia="宋体" w:cs="宋体"/>
                <w:b/>
              </w:rPr>
              <w:t>序号</w:t>
            </w:r>
          </w:p>
        </w:tc>
        <w:tc>
          <w:tcPr>
            <w:tcW w:w="3224" w:type="dxa"/>
            <w:vAlign w:val="center"/>
          </w:tcPr>
          <w:p w14:paraId="5EBAAC62">
            <w:pPr>
              <w:pStyle w:val="33"/>
              <w:adjustRightInd w:val="0"/>
              <w:spacing w:line="400" w:lineRule="exact"/>
              <w:jc w:val="center"/>
              <w:textAlignment w:val="baseline"/>
              <w:rPr>
                <w:rFonts w:hAnsi="宋体" w:eastAsia="宋体" w:cs="宋体"/>
                <w:b/>
              </w:rPr>
            </w:pPr>
            <w:r>
              <w:rPr>
                <w:rFonts w:hint="eastAsia" w:hAnsi="宋体" w:eastAsia="宋体" w:cs="宋体"/>
                <w:b/>
              </w:rPr>
              <w:t>采购文件的需求条款</w:t>
            </w:r>
          </w:p>
        </w:tc>
        <w:tc>
          <w:tcPr>
            <w:tcW w:w="3080" w:type="dxa"/>
            <w:vAlign w:val="center"/>
          </w:tcPr>
          <w:p w14:paraId="5BCC2A38">
            <w:pPr>
              <w:pStyle w:val="33"/>
              <w:adjustRightInd w:val="0"/>
              <w:spacing w:line="400" w:lineRule="exact"/>
              <w:jc w:val="center"/>
              <w:textAlignment w:val="baseline"/>
              <w:rPr>
                <w:rFonts w:hAnsi="宋体" w:eastAsia="宋体" w:cs="宋体"/>
                <w:b/>
              </w:rPr>
            </w:pPr>
            <w:r>
              <w:rPr>
                <w:rFonts w:hint="eastAsia" w:hAnsi="宋体" w:eastAsia="宋体" w:cs="宋体"/>
                <w:b/>
              </w:rPr>
              <w:t>响应文件的响应条款</w:t>
            </w:r>
          </w:p>
        </w:tc>
        <w:tc>
          <w:tcPr>
            <w:tcW w:w="2290" w:type="dxa"/>
            <w:vAlign w:val="center"/>
          </w:tcPr>
          <w:p w14:paraId="15E9DA41">
            <w:pPr>
              <w:pStyle w:val="33"/>
              <w:adjustRightInd w:val="0"/>
              <w:spacing w:line="400" w:lineRule="exact"/>
              <w:jc w:val="center"/>
              <w:textAlignment w:val="baseline"/>
              <w:rPr>
                <w:rFonts w:hAnsi="宋体" w:eastAsia="宋体" w:cs="宋体"/>
                <w:b/>
              </w:rPr>
            </w:pPr>
            <w:r>
              <w:rPr>
                <w:rFonts w:hint="eastAsia" w:hAnsi="宋体" w:eastAsia="宋体" w:cs="宋体"/>
                <w:b/>
              </w:rPr>
              <w:t>说明（填写：正偏离/负偏离/响应）</w:t>
            </w:r>
          </w:p>
        </w:tc>
      </w:tr>
      <w:tr w14:paraId="5A7FB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2C9F3088">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1</w:t>
            </w:r>
          </w:p>
        </w:tc>
        <w:tc>
          <w:tcPr>
            <w:tcW w:w="3224" w:type="dxa"/>
            <w:vAlign w:val="center"/>
          </w:tcPr>
          <w:p w14:paraId="52A1E5C1">
            <w:pPr>
              <w:pStyle w:val="33"/>
              <w:adjustRightInd w:val="0"/>
              <w:snapToGrid w:val="0"/>
              <w:spacing w:line="400" w:lineRule="exact"/>
              <w:textAlignment w:val="baseline"/>
              <w:rPr>
                <w:rFonts w:hAnsi="宋体" w:eastAsia="宋体" w:cs="宋体"/>
                <w:spacing w:val="-4"/>
              </w:rPr>
            </w:pPr>
          </w:p>
        </w:tc>
        <w:tc>
          <w:tcPr>
            <w:tcW w:w="3080" w:type="dxa"/>
          </w:tcPr>
          <w:p w14:paraId="52D7554F">
            <w:pPr>
              <w:pStyle w:val="33"/>
              <w:adjustRightInd w:val="0"/>
              <w:snapToGrid w:val="0"/>
              <w:spacing w:line="400" w:lineRule="exact"/>
              <w:textAlignment w:val="baseline"/>
              <w:rPr>
                <w:rFonts w:hAnsi="宋体" w:eastAsia="宋体" w:cs="宋体"/>
                <w:u w:val="single"/>
              </w:rPr>
            </w:pPr>
          </w:p>
        </w:tc>
        <w:tc>
          <w:tcPr>
            <w:tcW w:w="2290" w:type="dxa"/>
          </w:tcPr>
          <w:p w14:paraId="7B1C9014">
            <w:pPr>
              <w:pStyle w:val="33"/>
              <w:adjustRightInd w:val="0"/>
              <w:snapToGrid w:val="0"/>
              <w:spacing w:line="400" w:lineRule="exact"/>
              <w:textAlignment w:val="baseline"/>
              <w:rPr>
                <w:rFonts w:hAnsi="宋体" w:eastAsia="宋体" w:cs="宋体"/>
                <w:u w:val="single"/>
              </w:rPr>
            </w:pPr>
          </w:p>
        </w:tc>
      </w:tr>
      <w:tr w14:paraId="5B04F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27B0E9D7">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2</w:t>
            </w:r>
          </w:p>
        </w:tc>
        <w:tc>
          <w:tcPr>
            <w:tcW w:w="3224" w:type="dxa"/>
            <w:vAlign w:val="center"/>
          </w:tcPr>
          <w:p w14:paraId="25FC0C5E">
            <w:pPr>
              <w:pStyle w:val="33"/>
              <w:adjustRightInd w:val="0"/>
              <w:snapToGrid w:val="0"/>
              <w:spacing w:line="400" w:lineRule="exact"/>
              <w:textAlignment w:val="baseline"/>
              <w:rPr>
                <w:rFonts w:hAnsi="宋体" w:eastAsia="宋体" w:cs="宋体"/>
                <w:spacing w:val="-4"/>
              </w:rPr>
            </w:pPr>
          </w:p>
        </w:tc>
        <w:tc>
          <w:tcPr>
            <w:tcW w:w="3080" w:type="dxa"/>
          </w:tcPr>
          <w:p w14:paraId="6B30B8DF">
            <w:pPr>
              <w:pStyle w:val="33"/>
              <w:adjustRightInd w:val="0"/>
              <w:snapToGrid w:val="0"/>
              <w:spacing w:line="400" w:lineRule="exact"/>
              <w:textAlignment w:val="baseline"/>
              <w:rPr>
                <w:rFonts w:hAnsi="宋体" w:eastAsia="宋体" w:cs="宋体"/>
                <w:u w:val="single"/>
              </w:rPr>
            </w:pPr>
          </w:p>
        </w:tc>
        <w:tc>
          <w:tcPr>
            <w:tcW w:w="2290" w:type="dxa"/>
          </w:tcPr>
          <w:p w14:paraId="789BCB41">
            <w:pPr>
              <w:pStyle w:val="33"/>
              <w:adjustRightInd w:val="0"/>
              <w:snapToGrid w:val="0"/>
              <w:spacing w:line="400" w:lineRule="exact"/>
              <w:textAlignment w:val="baseline"/>
              <w:rPr>
                <w:rFonts w:hAnsi="宋体" w:eastAsia="宋体" w:cs="宋体"/>
                <w:u w:val="single"/>
              </w:rPr>
            </w:pPr>
          </w:p>
        </w:tc>
      </w:tr>
      <w:tr w14:paraId="1B44E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7A265142">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3</w:t>
            </w:r>
          </w:p>
        </w:tc>
        <w:tc>
          <w:tcPr>
            <w:tcW w:w="3224" w:type="dxa"/>
            <w:vAlign w:val="center"/>
          </w:tcPr>
          <w:p w14:paraId="428DE51F">
            <w:pPr>
              <w:pStyle w:val="33"/>
              <w:adjustRightInd w:val="0"/>
              <w:snapToGrid w:val="0"/>
              <w:spacing w:line="400" w:lineRule="exact"/>
              <w:textAlignment w:val="baseline"/>
              <w:rPr>
                <w:rFonts w:hAnsi="宋体" w:eastAsia="宋体" w:cs="宋体"/>
                <w:spacing w:val="-4"/>
              </w:rPr>
            </w:pPr>
          </w:p>
        </w:tc>
        <w:tc>
          <w:tcPr>
            <w:tcW w:w="3080" w:type="dxa"/>
          </w:tcPr>
          <w:p w14:paraId="7DD8B23C">
            <w:pPr>
              <w:pStyle w:val="33"/>
              <w:adjustRightInd w:val="0"/>
              <w:snapToGrid w:val="0"/>
              <w:spacing w:line="400" w:lineRule="exact"/>
              <w:textAlignment w:val="baseline"/>
              <w:rPr>
                <w:rFonts w:hAnsi="宋体" w:eastAsia="宋体" w:cs="宋体"/>
                <w:u w:val="single"/>
              </w:rPr>
            </w:pPr>
          </w:p>
        </w:tc>
        <w:tc>
          <w:tcPr>
            <w:tcW w:w="2290" w:type="dxa"/>
          </w:tcPr>
          <w:p w14:paraId="6EFBB0CA">
            <w:pPr>
              <w:pStyle w:val="33"/>
              <w:adjustRightInd w:val="0"/>
              <w:snapToGrid w:val="0"/>
              <w:spacing w:line="400" w:lineRule="exact"/>
              <w:textAlignment w:val="baseline"/>
              <w:rPr>
                <w:rFonts w:hAnsi="宋体" w:eastAsia="宋体" w:cs="宋体"/>
                <w:u w:val="single"/>
              </w:rPr>
            </w:pPr>
          </w:p>
        </w:tc>
      </w:tr>
      <w:tr w14:paraId="01493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46317B8D">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4</w:t>
            </w:r>
          </w:p>
        </w:tc>
        <w:tc>
          <w:tcPr>
            <w:tcW w:w="3224" w:type="dxa"/>
            <w:vAlign w:val="center"/>
          </w:tcPr>
          <w:p w14:paraId="7A10D0ED">
            <w:pPr>
              <w:pStyle w:val="33"/>
              <w:adjustRightInd w:val="0"/>
              <w:snapToGrid w:val="0"/>
              <w:spacing w:line="400" w:lineRule="exact"/>
              <w:textAlignment w:val="baseline"/>
              <w:rPr>
                <w:rFonts w:hAnsi="宋体" w:eastAsia="宋体" w:cs="宋体"/>
                <w:spacing w:val="-4"/>
              </w:rPr>
            </w:pPr>
          </w:p>
        </w:tc>
        <w:tc>
          <w:tcPr>
            <w:tcW w:w="3080" w:type="dxa"/>
          </w:tcPr>
          <w:p w14:paraId="43F024B4">
            <w:pPr>
              <w:pStyle w:val="33"/>
              <w:adjustRightInd w:val="0"/>
              <w:snapToGrid w:val="0"/>
              <w:spacing w:line="400" w:lineRule="exact"/>
              <w:textAlignment w:val="baseline"/>
              <w:rPr>
                <w:rFonts w:hAnsi="宋体" w:eastAsia="宋体" w:cs="宋体"/>
                <w:u w:val="single"/>
              </w:rPr>
            </w:pPr>
          </w:p>
        </w:tc>
        <w:tc>
          <w:tcPr>
            <w:tcW w:w="2290" w:type="dxa"/>
          </w:tcPr>
          <w:p w14:paraId="318ECB11">
            <w:pPr>
              <w:pStyle w:val="33"/>
              <w:adjustRightInd w:val="0"/>
              <w:snapToGrid w:val="0"/>
              <w:spacing w:line="400" w:lineRule="exact"/>
              <w:textAlignment w:val="baseline"/>
              <w:rPr>
                <w:rFonts w:hAnsi="宋体" w:eastAsia="宋体" w:cs="宋体"/>
                <w:u w:val="single"/>
              </w:rPr>
            </w:pPr>
          </w:p>
        </w:tc>
      </w:tr>
      <w:tr w14:paraId="53614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01C12478">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5</w:t>
            </w:r>
          </w:p>
        </w:tc>
        <w:tc>
          <w:tcPr>
            <w:tcW w:w="3224" w:type="dxa"/>
            <w:vAlign w:val="center"/>
          </w:tcPr>
          <w:p w14:paraId="4F4C5C07">
            <w:pPr>
              <w:pStyle w:val="33"/>
              <w:adjustRightInd w:val="0"/>
              <w:snapToGrid w:val="0"/>
              <w:spacing w:line="400" w:lineRule="exact"/>
              <w:textAlignment w:val="baseline"/>
              <w:rPr>
                <w:rFonts w:hAnsi="宋体" w:eastAsia="宋体" w:cs="宋体"/>
                <w:spacing w:val="-4"/>
              </w:rPr>
            </w:pPr>
          </w:p>
        </w:tc>
        <w:tc>
          <w:tcPr>
            <w:tcW w:w="3080" w:type="dxa"/>
          </w:tcPr>
          <w:p w14:paraId="3D411658">
            <w:pPr>
              <w:pStyle w:val="33"/>
              <w:adjustRightInd w:val="0"/>
              <w:snapToGrid w:val="0"/>
              <w:spacing w:line="400" w:lineRule="exact"/>
              <w:textAlignment w:val="baseline"/>
              <w:rPr>
                <w:rFonts w:hAnsi="宋体" w:eastAsia="宋体" w:cs="宋体"/>
                <w:u w:val="single"/>
              </w:rPr>
            </w:pPr>
          </w:p>
        </w:tc>
        <w:tc>
          <w:tcPr>
            <w:tcW w:w="2290" w:type="dxa"/>
          </w:tcPr>
          <w:p w14:paraId="42346DBB">
            <w:pPr>
              <w:pStyle w:val="33"/>
              <w:adjustRightInd w:val="0"/>
              <w:snapToGrid w:val="0"/>
              <w:spacing w:line="400" w:lineRule="exact"/>
              <w:textAlignment w:val="baseline"/>
              <w:rPr>
                <w:rFonts w:hAnsi="宋体" w:eastAsia="宋体" w:cs="宋体"/>
                <w:u w:val="single"/>
              </w:rPr>
            </w:pPr>
          </w:p>
        </w:tc>
      </w:tr>
      <w:tr w14:paraId="15EFD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6F0D6C74">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6</w:t>
            </w:r>
          </w:p>
        </w:tc>
        <w:tc>
          <w:tcPr>
            <w:tcW w:w="3224" w:type="dxa"/>
            <w:vAlign w:val="center"/>
          </w:tcPr>
          <w:p w14:paraId="3E1CF000">
            <w:pPr>
              <w:pStyle w:val="33"/>
              <w:adjustRightInd w:val="0"/>
              <w:snapToGrid w:val="0"/>
              <w:spacing w:line="400" w:lineRule="exact"/>
              <w:textAlignment w:val="baseline"/>
              <w:rPr>
                <w:rFonts w:hAnsi="宋体" w:eastAsia="宋体" w:cs="宋体"/>
                <w:spacing w:val="-4"/>
              </w:rPr>
            </w:pPr>
          </w:p>
        </w:tc>
        <w:tc>
          <w:tcPr>
            <w:tcW w:w="3080" w:type="dxa"/>
          </w:tcPr>
          <w:p w14:paraId="2D848931">
            <w:pPr>
              <w:pStyle w:val="33"/>
              <w:adjustRightInd w:val="0"/>
              <w:snapToGrid w:val="0"/>
              <w:spacing w:line="400" w:lineRule="exact"/>
              <w:textAlignment w:val="baseline"/>
              <w:rPr>
                <w:rFonts w:hAnsi="宋体" w:eastAsia="宋体" w:cs="宋体"/>
                <w:u w:val="single"/>
              </w:rPr>
            </w:pPr>
          </w:p>
        </w:tc>
        <w:tc>
          <w:tcPr>
            <w:tcW w:w="2290" w:type="dxa"/>
          </w:tcPr>
          <w:p w14:paraId="2BFE804A">
            <w:pPr>
              <w:pStyle w:val="33"/>
              <w:adjustRightInd w:val="0"/>
              <w:snapToGrid w:val="0"/>
              <w:spacing w:line="400" w:lineRule="exact"/>
              <w:textAlignment w:val="baseline"/>
              <w:rPr>
                <w:rFonts w:hAnsi="宋体" w:eastAsia="宋体" w:cs="宋体"/>
                <w:u w:val="single"/>
              </w:rPr>
            </w:pPr>
          </w:p>
        </w:tc>
      </w:tr>
      <w:tr w14:paraId="48D3B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1034A2A4">
            <w:pPr>
              <w:pStyle w:val="33"/>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vAlign w:val="center"/>
          </w:tcPr>
          <w:p w14:paraId="5B99B56B">
            <w:pPr>
              <w:pStyle w:val="33"/>
              <w:adjustRightInd w:val="0"/>
              <w:snapToGrid w:val="0"/>
              <w:spacing w:line="400" w:lineRule="exact"/>
              <w:textAlignment w:val="baseline"/>
              <w:rPr>
                <w:rFonts w:hAnsi="宋体" w:eastAsia="宋体" w:cs="宋体"/>
                <w:spacing w:val="-4"/>
              </w:rPr>
            </w:pPr>
          </w:p>
        </w:tc>
        <w:tc>
          <w:tcPr>
            <w:tcW w:w="3080" w:type="dxa"/>
          </w:tcPr>
          <w:p w14:paraId="18DDBF54">
            <w:pPr>
              <w:pStyle w:val="33"/>
              <w:adjustRightInd w:val="0"/>
              <w:snapToGrid w:val="0"/>
              <w:spacing w:line="400" w:lineRule="exact"/>
              <w:textAlignment w:val="baseline"/>
              <w:rPr>
                <w:rFonts w:hAnsi="宋体" w:eastAsia="宋体" w:cs="宋体"/>
                <w:u w:val="single"/>
              </w:rPr>
            </w:pPr>
          </w:p>
        </w:tc>
        <w:tc>
          <w:tcPr>
            <w:tcW w:w="2290" w:type="dxa"/>
          </w:tcPr>
          <w:p w14:paraId="367BC5B0">
            <w:pPr>
              <w:pStyle w:val="33"/>
              <w:adjustRightInd w:val="0"/>
              <w:snapToGrid w:val="0"/>
              <w:spacing w:line="400" w:lineRule="exact"/>
              <w:textAlignment w:val="baseline"/>
              <w:rPr>
                <w:rFonts w:hAnsi="宋体" w:eastAsia="宋体" w:cs="宋体"/>
                <w:u w:val="single"/>
              </w:rPr>
            </w:pPr>
          </w:p>
        </w:tc>
      </w:tr>
    </w:tbl>
    <w:p w14:paraId="5F611610">
      <w:pPr>
        <w:snapToGrid w:val="0"/>
        <w:rPr>
          <w:rFonts w:ascii="宋体" w:hAnsi="宋体" w:cs="宋体"/>
          <w:color w:val="000000"/>
        </w:rPr>
      </w:pPr>
    </w:p>
    <w:p w14:paraId="009DB91D">
      <w:pPr>
        <w:pStyle w:val="6"/>
        <w:spacing w:line="360" w:lineRule="auto"/>
        <w:rPr>
          <w:sz w:val="21"/>
          <w:szCs w:val="21"/>
        </w:rPr>
      </w:pPr>
      <w:r>
        <w:rPr>
          <w:rFonts w:hint="eastAsia"/>
          <w:sz w:val="21"/>
          <w:szCs w:val="21"/>
        </w:rPr>
        <w:t>1、技术服务条款内容主要是针对第五部分采购内容及具体要求的内容进行响应。</w:t>
      </w:r>
    </w:p>
    <w:p w14:paraId="1A4F2318">
      <w:pPr>
        <w:snapToGrid w:val="0"/>
        <w:spacing w:line="360" w:lineRule="auto"/>
        <w:ind w:firstLine="420" w:firstLineChars="200"/>
        <w:rPr>
          <w:rFonts w:ascii="宋体" w:hAnsi="宋体"/>
          <w:b/>
          <w:bCs/>
          <w:color w:val="000000"/>
        </w:rPr>
      </w:pPr>
      <w:r>
        <w:rPr>
          <w:rFonts w:hint="eastAsia"/>
        </w:rPr>
        <w:t>2、无偏离应在本表“响应文件的响应条款”栏注明“无技术及服务条款偏离”的字样。</w:t>
      </w:r>
    </w:p>
    <w:p w14:paraId="4C05F962">
      <w:pPr>
        <w:spacing w:line="400" w:lineRule="exact"/>
        <w:rPr>
          <w:rStyle w:val="36"/>
          <w:rFonts w:ascii="宋体" w:hAnsi="宋体" w:cs="宋体"/>
          <w:bCs/>
          <w:color w:val="000000"/>
          <w:sz w:val="21"/>
        </w:rPr>
      </w:pPr>
    </w:p>
    <w:p w14:paraId="1DCB221B">
      <w:pPr>
        <w:spacing w:line="400" w:lineRule="exact"/>
        <w:rPr>
          <w:rStyle w:val="36"/>
          <w:rFonts w:ascii="宋体" w:hAnsi="宋体" w:cs="宋体"/>
          <w:bCs/>
          <w:color w:val="000000"/>
          <w:sz w:val="21"/>
        </w:rPr>
      </w:pPr>
    </w:p>
    <w:p w14:paraId="3A9FCEB8">
      <w:pPr>
        <w:pStyle w:val="9"/>
        <w:ind w:firstLine="0"/>
        <w:rPr>
          <w:rFonts w:hAnsi="宋体" w:cs="宋体"/>
          <w:color w:val="000000"/>
          <w:sz w:val="21"/>
          <w:szCs w:val="21"/>
        </w:rPr>
      </w:pPr>
      <w:r>
        <w:rPr>
          <w:rFonts w:hint="eastAsia" w:hAnsi="宋体" w:cs="宋体"/>
          <w:color w:val="000000"/>
          <w:sz w:val="21"/>
          <w:szCs w:val="21"/>
        </w:rPr>
        <w:t xml:space="preserve">供应商全称（盖章）：                  </w:t>
      </w:r>
    </w:p>
    <w:p w14:paraId="5024C6D8">
      <w:pPr>
        <w:pStyle w:val="9"/>
        <w:ind w:firstLine="0"/>
        <w:rPr>
          <w:rFonts w:hAnsi="宋体" w:cs="宋体"/>
          <w:color w:val="000000"/>
          <w:sz w:val="21"/>
          <w:szCs w:val="21"/>
        </w:rPr>
      </w:pPr>
      <w:r>
        <w:rPr>
          <w:rFonts w:hint="eastAsia" w:hAnsi="宋体" w:cs="宋体"/>
          <w:color w:val="000000"/>
          <w:sz w:val="21"/>
          <w:szCs w:val="21"/>
        </w:rPr>
        <w:t>法定代表人（单位负责人）或委托代理人签字：</w:t>
      </w:r>
    </w:p>
    <w:p w14:paraId="6C23F28B">
      <w:pPr>
        <w:pStyle w:val="9"/>
        <w:ind w:firstLine="0"/>
        <w:rPr>
          <w:rFonts w:hAnsi="宋体" w:cs="宋体"/>
          <w:color w:val="000000"/>
          <w:szCs w:val="21"/>
        </w:rPr>
      </w:pPr>
      <w:r>
        <w:rPr>
          <w:rFonts w:hint="eastAsia" w:hAnsi="宋体" w:cs="宋体"/>
          <w:color w:val="000000"/>
          <w:sz w:val="21"/>
          <w:szCs w:val="21"/>
        </w:rPr>
        <w:t>日期：     年   月   日</w:t>
      </w:r>
    </w:p>
    <w:p w14:paraId="2A61EF1E">
      <w:pPr>
        <w:spacing w:line="400" w:lineRule="exact"/>
        <w:rPr>
          <w:rStyle w:val="36"/>
          <w:rFonts w:ascii="宋体" w:hAnsi="宋体" w:cs="宋体"/>
          <w:bCs/>
          <w:color w:val="000000"/>
          <w:sz w:val="21"/>
        </w:rPr>
      </w:pPr>
    </w:p>
    <w:p w14:paraId="71BDAD12">
      <w:pPr>
        <w:spacing w:line="400" w:lineRule="exact"/>
        <w:rPr>
          <w:rStyle w:val="36"/>
          <w:rFonts w:ascii="宋体" w:hAnsi="宋体" w:cs="宋体"/>
          <w:bCs/>
          <w:color w:val="000000"/>
          <w:sz w:val="21"/>
        </w:rPr>
      </w:pPr>
    </w:p>
    <w:p w14:paraId="45D6AE2D">
      <w:pPr>
        <w:spacing w:line="400" w:lineRule="exact"/>
        <w:rPr>
          <w:rStyle w:val="36"/>
          <w:rFonts w:ascii="宋体" w:hAnsi="宋体" w:cs="宋体"/>
          <w:bCs/>
          <w:color w:val="000000"/>
          <w:sz w:val="21"/>
        </w:rPr>
      </w:pPr>
    </w:p>
    <w:p w14:paraId="0F9CA2DA">
      <w:pPr>
        <w:spacing w:line="400" w:lineRule="exact"/>
        <w:rPr>
          <w:rStyle w:val="36"/>
          <w:rFonts w:ascii="宋体" w:hAnsi="宋体" w:cs="宋体"/>
          <w:bCs/>
          <w:color w:val="000000"/>
          <w:sz w:val="21"/>
        </w:rPr>
      </w:pPr>
    </w:p>
    <w:p w14:paraId="7A455C6F">
      <w:pPr>
        <w:spacing w:line="400" w:lineRule="exact"/>
        <w:rPr>
          <w:rStyle w:val="36"/>
          <w:rFonts w:ascii="宋体" w:hAnsi="宋体" w:cs="宋体"/>
          <w:bCs/>
          <w:color w:val="000000"/>
          <w:sz w:val="21"/>
        </w:rPr>
      </w:pPr>
    </w:p>
    <w:p w14:paraId="647BA4F5">
      <w:pPr>
        <w:spacing w:line="400" w:lineRule="exact"/>
        <w:rPr>
          <w:rStyle w:val="36"/>
          <w:rFonts w:ascii="宋体" w:hAnsi="宋体" w:cs="宋体"/>
          <w:bCs/>
          <w:color w:val="000000"/>
          <w:sz w:val="21"/>
        </w:rPr>
      </w:pPr>
    </w:p>
    <w:p w14:paraId="59DA5A92">
      <w:pPr>
        <w:spacing w:line="400" w:lineRule="exact"/>
        <w:rPr>
          <w:rStyle w:val="36"/>
          <w:rFonts w:ascii="宋体" w:hAnsi="宋体" w:cs="宋体"/>
          <w:bCs/>
          <w:color w:val="000000"/>
          <w:sz w:val="21"/>
        </w:rPr>
      </w:pPr>
    </w:p>
    <w:p w14:paraId="66070076">
      <w:pPr>
        <w:spacing w:line="400" w:lineRule="exact"/>
        <w:rPr>
          <w:rStyle w:val="36"/>
          <w:rFonts w:ascii="宋体" w:hAnsi="宋体" w:cs="宋体"/>
          <w:bCs/>
          <w:color w:val="000000"/>
          <w:sz w:val="21"/>
        </w:rPr>
      </w:pPr>
    </w:p>
    <w:p w14:paraId="3DC22EDF">
      <w:pPr>
        <w:spacing w:line="400" w:lineRule="exact"/>
        <w:rPr>
          <w:rStyle w:val="36"/>
          <w:rFonts w:ascii="宋体" w:hAnsi="宋体" w:cs="宋体"/>
          <w:bCs/>
          <w:color w:val="000000"/>
          <w:sz w:val="21"/>
        </w:rPr>
      </w:pPr>
      <w:r>
        <w:rPr>
          <w:rStyle w:val="36"/>
          <w:rFonts w:hint="eastAsia" w:ascii="宋体" w:hAnsi="宋体" w:cs="宋体"/>
          <w:bCs/>
          <w:color w:val="000000"/>
          <w:sz w:val="21"/>
        </w:rPr>
        <w:t>附件九</w:t>
      </w:r>
    </w:p>
    <w:p w14:paraId="7722B73F">
      <w:pPr>
        <w:pStyle w:val="3"/>
        <w:spacing w:before="120" w:after="120"/>
        <w:rPr>
          <w:rStyle w:val="36"/>
          <w:b w:val="0"/>
          <w:color w:val="000000"/>
          <w:sz w:val="21"/>
        </w:rPr>
      </w:pPr>
    </w:p>
    <w:p w14:paraId="4BAC75CC">
      <w:pPr>
        <w:pStyle w:val="38"/>
        <w:ind w:firstLine="0" w:firstLineChars="0"/>
        <w:jc w:val="center"/>
        <w:rPr>
          <w:b/>
          <w:bCs/>
          <w:sz w:val="36"/>
          <w:szCs w:val="36"/>
        </w:rPr>
      </w:pPr>
      <w:r>
        <w:rPr>
          <w:rFonts w:hint="eastAsia"/>
          <w:b/>
          <w:bCs/>
          <w:sz w:val="28"/>
          <w:szCs w:val="28"/>
        </w:rPr>
        <w:t>项目</w:t>
      </w:r>
      <w:r>
        <w:rPr>
          <w:rFonts w:hint="eastAsia"/>
          <w:b/>
          <w:bCs/>
          <w:sz w:val="28"/>
          <w:szCs w:val="28"/>
          <w:lang w:val="en-US" w:eastAsia="zh-CN"/>
        </w:rPr>
        <w:t>运维</w:t>
      </w:r>
      <w:r>
        <w:rPr>
          <w:rFonts w:hint="eastAsia"/>
          <w:b/>
          <w:bCs/>
          <w:sz w:val="28"/>
          <w:szCs w:val="28"/>
        </w:rPr>
        <w:t>人员一览表</w:t>
      </w:r>
    </w:p>
    <w:p w14:paraId="3ED160E2"/>
    <w:p w14:paraId="53611497">
      <w:pPr>
        <w:pStyle w:val="38"/>
        <w:ind w:firstLine="420"/>
      </w:pPr>
    </w:p>
    <w:p w14:paraId="3859B898">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eastAsia="zh-CN"/>
        </w:rPr>
        <w:t>项目编号</w:t>
      </w:r>
      <w:r>
        <w:rPr>
          <w:rFonts w:ascii="宋体" w:hAnsi="宋体"/>
          <w:color w:val="000000"/>
        </w:rPr>
        <w:t>：</w:t>
      </w:r>
      <w:r>
        <w:rPr>
          <w:rFonts w:ascii="宋体" w:hAnsi="宋体"/>
          <w:color w:val="000000"/>
          <w:u w:val="single"/>
        </w:rPr>
        <w:t xml:space="preserve">             </w:t>
      </w:r>
      <w:r>
        <w:rPr>
          <w:rFonts w:ascii="宋体" w:hAnsi="宋体"/>
          <w:color w:val="000000"/>
        </w:rPr>
        <w:t xml:space="preserve"> </w:t>
      </w:r>
    </w:p>
    <w:tbl>
      <w:tblPr>
        <w:tblStyle w:val="24"/>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56"/>
        <w:gridCol w:w="876"/>
        <w:gridCol w:w="972"/>
        <w:gridCol w:w="1260"/>
        <w:gridCol w:w="1596"/>
        <w:gridCol w:w="1797"/>
        <w:gridCol w:w="1797"/>
      </w:tblGrid>
      <w:tr w14:paraId="708A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vAlign w:val="center"/>
          </w:tcPr>
          <w:p w14:paraId="2E5F3770">
            <w:pPr>
              <w:spacing w:line="400" w:lineRule="exact"/>
              <w:jc w:val="center"/>
              <w:rPr>
                <w:rFonts w:ascii="宋体" w:hAnsi="宋体"/>
                <w:b/>
                <w:bCs/>
              </w:rPr>
            </w:pPr>
            <w:r>
              <w:rPr>
                <w:rFonts w:hint="eastAsia" w:ascii="宋体" w:hAnsi="宋体"/>
                <w:b/>
                <w:bCs/>
              </w:rPr>
              <w:t>序号</w:t>
            </w:r>
          </w:p>
        </w:tc>
        <w:tc>
          <w:tcPr>
            <w:tcW w:w="1356" w:type="dxa"/>
            <w:vAlign w:val="center"/>
          </w:tcPr>
          <w:p w14:paraId="395780BD">
            <w:pPr>
              <w:spacing w:line="400" w:lineRule="exact"/>
              <w:jc w:val="center"/>
              <w:rPr>
                <w:rFonts w:ascii="宋体" w:hAnsi="宋体"/>
                <w:b/>
                <w:bCs/>
              </w:rPr>
            </w:pPr>
            <w:r>
              <w:rPr>
                <w:rFonts w:hint="eastAsia" w:ascii="宋体" w:hAnsi="宋体"/>
                <w:b/>
                <w:bCs/>
              </w:rPr>
              <w:t>岗位</w:t>
            </w:r>
          </w:p>
        </w:tc>
        <w:tc>
          <w:tcPr>
            <w:tcW w:w="876" w:type="dxa"/>
            <w:vAlign w:val="center"/>
          </w:tcPr>
          <w:p w14:paraId="7F4CC425">
            <w:pPr>
              <w:spacing w:line="400" w:lineRule="exact"/>
              <w:jc w:val="center"/>
              <w:rPr>
                <w:rFonts w:ascii="宋体" w:hAnsi="宋体"/>
                <w:b/>
                <w:bCs/>
              </w:rPr>
            </w:pPr>
            <w:r>
              <w:rPr>
                <w:rFonts w:hint="eastAsia" w:ascii="宋体" w:hAnsi="宋体"/>
                <w:b/>
                <w:bCs/>
              </w:rPr>
              <w:t>姓名</w:t>
            </w:r>
          </w:p>
        </w:tc>
        <w:tc>
          <w:tcPr>
            <w:tcW w:w="972" w:type="dxa"/>
            <w:vAlign w:val="center"/>
          </w:tcPr>
          <w:p w14:paraId="1D3801CA">
            <w:pPr>
              <w:spacing w:line="400" w:lineRule="exact"/>
              <w:jc w:val="center"/>
              <w:rPr>
                <w:rFonts w:ascii="宋体" w:hAnsi="宋体"/>
                <w:b/>
                <w:bCs/>
              </w:rPr>
            </w:pPr>
            <w:r>
              <w:rPr>
                <w:rFonts w:hint="eastAsia" w:ascii="宋体" w:hAnsi="宋体"/>
                <w:b/>
                <w:bCs/>
              </w:rPr>
              <w:t>性别</w:t>
            </w:r>
          </w:p>
        </w:tc>
        <w:tc>
          <w:tcPr>
            <w:tcW w:w="1260" w:type="dxa"/>
            <w:vAlign w:val="center"/>
          </w:tcPr>
          <w:p w14:paraId="3DF2F719">
            <w:pPr>
              <w:spacing w:line="400" w:lineRule="exact"/>
              <w:jc w:val="center"/>
              <w:rPr>
                <w:rFonts w:ascii="宋体" w:hAnsi="宋体"/>
                <w:b/>
                <w:bCs/>
              </w:rPr>
            </w:pPr>
            <w:r>
              <w:rPr>
                <w:rFonts w:hint="eastAsia" w:ascii="宋体" w:hAnsi="宋体"/>
                <w:b/>
                <w:bCs/>
              </w:rPr>
              <w:t>年龄</w:t>
            </w:r>
          </w:p>
        </w:tc>
        <w:tc>
          <w:tcPr>
            <w:tcW w:w="1596" w:type="dxa"/>
            <w:vAlign w:val="center"/>
          </w:tcPr>
          <w:p w14:paraId="07E1DFBA">
            <w:pPr>
              <w:spacing w:line="400" w:lineRule="exact"/>
              <w:jc w:val="center"/>
              <w:rPr>
                <w:rFonts w:ascii="宋体" w:hAnsi="宋体"/>
                <w:b/>
                <w:bCs/>
              </w:rPr>
            </w:pPr>
            <w:r>
              <w:rPr>
                <w:rFonts w:hint="eastAsia" w:ascii="宋体" w:hAnsi="宋体"/>
                <w:b/>
                <w:bCs/>
              </w:rPr>
              <w:t>职称/资质</w:t>
            </w:r>
          </w:p>
        </w:tc>
        <w:tc>
          <w:tcPr>
            <w:tcW w:w="1797" w:type="dxa"/>
            <w:vAlign w:val="center"/>
          </w:tcPr>
          <w:p w14:paraId="57B04EF8">
            <w:pPr>
              <w:spacing w:line="400" w:lineRule="exact"/>
              <w:jc w:val="center"/>
              <w:rPr>
                <w:rFonts w:ascii="宋体" w:hAnsi="宋体"/>
                <w:b/>
                <w:bCs/>
              </w:rPr>
            </w:pPr>
            <w:r>
              <w:rPr>
                <w:rFonts w:hint="eastAsia" w:ascii="宋体" w:hAnsi="宋体"/>
                <w:b/>
                <w:bCs/>
              </w:rPr>
              <w:t>相关证书</w:t>
            </w:r>
          </w:p>
        </w:tc>
        <w:tc>
          <w:tcPr>
            <w:tcW w:w="1797" w:type="dxa"/>
            <w:vAlign w:val="center"/>
          </w:tcPr>
          <w:p w14:paraId="33427ECF">
            <w:pPr>
              <w:spacing w:line="400" w:lineRule="exact"/>
              <w:jc w:val="center"/>
              <w:rPr>
                <w:rFonts w:hint="eastAsia" w:ascii="宋体" w:hAnsi="宋体" w:eastAsia="宋体"/>
                <w:b/>
                <w:bCs/>
                <w:lang w:val="en-US" w:eastAsia="zh-CN"/>
              </w:rPr>
            </w:pPr>
            <w:r>
              <w:rPr>
                <w:rFonts w:hint="eastAsia" w:ascii="宋体" w:hAnsi="宋体"/>
                <w:b/>
                <w:bCs/>
                <w:lang w:val="en-US" w:eastAsia="zh-CN"/>
              </w:rPr>
              <w:t>备注</w:t>
            </w:r>
          </w:p>
        </w:tc>
      </w:tr>
      <w:tr w14:paraId="288B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vAlign w:val="center"/>
          </w:tcPr>
          <w:p w14:paraId="694BA9F3">
            <w:pPr>
              <w:spacing w:line="400" w:lineRule="exact"/>
              <w:jc w:val="center"/>
              <w:rPr>
                <w:rFonts w:hint="eastAsia" w:ascii="宋体" w:hAnsi="宋体"/>
                <w:b/>
                <w:lang w:val="en-US" w:eastAsia="zh-CN"/>
              </w:rPr>
            </w:pPr>
            <w:r>
              <w:rPr>
                <w:rFonts w:hint="eastAsia" w:ascii="宋体" w:hAnsi="宋体"/>
                <w:b/>
                <w:lang w:val="en-US" w:eastAsia="zh-CN"/>
              </w:rPr>
              <w:t>1</w:t>
            </w:r>
          </w:p>
        </w:tc>
        <w:tc>
          <w:tcPr>
            <w:tcW w:w="1356" w:type="dxa"/>
            <w:vAlign w:val="center"/>
          </w:tcPr>
          <w:p w14:paraId="205053D0">
            <w:pPr>
              <w:spacing w:line="400" w:lineRule="exact"/>
              <w:rPr>
                <w:rFonts w:hint="eastAsia" w:ascii="宋体" w:hAnsi="宋体"/>
                <w:b/>
                <w:lang w:val="en-US" w:eastAsia="zh-CN"/>
              </w:rPr>
            </w:pPr>
            <w:r>
              <w:rPr>
                <w:rFonts w:hint="eastAsia" w:ascii="宋体" w:hAnsi="宋体"/>
                <w:b/>
                <w:lang w:val="en-US" w:eastAsia="zh-CN"/>
              </w:rPr>
              <w:t>项目负责人</w:t>
            </w:r>
          </w:p>
        </w:tc>
        <w:tc>
          <w:tcPr>
            <w:tcW w:w="876" w:type="dxa"/>
            <w:vAlign w:val="center"/>
          </w:tcPr>
          <w:p w14:paraId="5D7F7D08">
            <w:pPr>
              <w:spacing w:line="400" w:lineRule="exact"/>
              <w:jc w:val="center"/>
              <w:rPr>
                <w:rFonts w:ascii="宋体" w:hAnsi="宋体"/>
                <w:bCs/>
              </w:rPr>
            </w:pPr>
          </w:p>
        </w:tc>
        <w:tc>
          <w:tcPr>
            <w:tcW w:w="972" w:type="dxa"/>
            <w:vAlign w:val="center"/>
          </w:tcPr>
          <w:p w14:paraId="56F3FD31">
            <w:pPr>
              <w:spacing w:line="400" w:lineRule="exact"/>
              <w:jc w:val="center"/>
              <w:rPr>
                <w:rFonts w:ascii="宋体" w:hAnsi="宋体"/>
                <w:bCs/>
              </w:rPr>
            </w:pPr>
          </w:p>
        </w:tc>
        <w:tc>
          <w:tcPr>
            <w:tcW w:w="1260" w:type="dxa"/>
            <w:vAlign w:val="center"/>
          </w:tcPr>
          <w:p w14:paraId="1B1F8CA4">
            <w:pPr>
              <w:spacing w:line="400" w:lineRule="exact"/>
              <w:jc w:val="center"/>
              <w:rPr>
                <w:rFonts w:ascii="宋体" w:hAnsi="宋体"/>
                <w:bCs/>
              </w:rPr>
            </w:pPr>
          </w:p>
        </w:tc>
        <w:tc>
          <w:tcPr>
            <w:tcW w:w="1596" w:type="dxa"/>
            <w:vAlign w:val="center"/>
          </w:tcPr>
          <w:p w14:paraId="329E8407">
            <w:pPr>
              <w:spacing w:line="400" w:lineRule="exact"/>
              <w:jc w:val="center"/>
              <w:rPr>
                <w:rFonts w:ascii="宋体" w:hAnsi="宋体"/>
                <w:bCs/>
              </w:rPr>
            </w:pPr>
          </w:p>
        </w:tc>
        <w:tc>
          <w:tcPr>
            <w:tcW w:w="1797" w:type="dxa"/>
          </w:tcPr>
          <w:p w14:paraId="7CC06D05">
            <w:pPr>
              <w:spacing w:line="400" w:lineRule="exact"/>
              <w:jc w:val="center"/>
              <w:rPr>
                <w:rFonts w:ascii="宋体" w:hAnsi="宋体"/>
              </w:rPr>
            </w:pPr>
          </w:p>
        </w:tc>
        <w:tc>
          <w:tcPr>
            <w:tcW w:w="1797" w:type="dxa"/>
          </w:tcPr>
          <w:p w14:paraId="467E020D">
            <w:pPr>
              <w:spacing w:line="400" w:lineRule="exact"/>
              <w:jc w:val="center"/>
              <w:rPr>
                <w:rFonts w:ascii="宋体" w:hAnsi="宋体"/>
              </w:rPr>
            </w:pPr>
          </w:p>
        </w:tc>
      </w:tr>
      <w:tr w14:paraId="1B96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vAlign w:val="center"/>
          </w:tcPr>
          <w:p w14:paraId="4F874989">
            <w:pPr>
              <w:spacing w:line="400" w:lineRule="exact"/>
              <w:jc w:val="center"/>
              <w:rPr>
                <w:rFonts w:hint="eastAsia" w:ascii="宋体" w:hAnsi="宋体"/>
                <w:b/>
                <w:lang w:val="en-US" w:eastAsia="zh-CN"/>
              </w:rPr>
            </w:pPr>
            <w:r>
              <w:rPr>
                <w:rFonts w:hint="eastAsia" w:ascii="宋体" w:hAnsi="宋体"/>
                <w:b/>
                <w:lang w:val="en-US" w:eastAsia="zh-CN"/>
              </w:rPr>
              <w:t>2</w:t>
            </w:r>
          </w:p>
        </w:tc>
        <w:tc>
          <w:tcPr>
            <w:tcW w:w="1356" w:type="dxa"/>
            <w:vAlign w:val="center"/>
          </w:tcPr>
          <w:p w14:paraId="3D20333B">
            <w:pPr>
              <w:spacing w:line="400" w:lineRule="exact"/>
              <w:rPr>
                <w:rFonts w:hint="eastAsia" w:ascii="宋体" w:hAnsi="宋体"/>
                <w:b/>
                <w:lang w:val="en-US" w:eastAsia="zh-CN"/>
              </w:rPr>
            </w:pPr>
            <w:r>
              <w:rPr>
                <w:rFonts w:hint="eastAsia" w:ascii="宋体" w:hAnsi="宋体"/>
                <w:b/>
                <w:lang w:val="en-US" w:eastAsia="zh-CN"/>
              </w:rPr>
              <w:t>安全员</w:t>
            </w:r>
          </w:p>
        </w:tc>
        <w:tc>
          <w:tcPr>
            <w:tcW w:w="876" w:type="dxa"/>
            <w:vAlign w:val="center"/>
          </w:tcPr>
          <w:p w14:paraId="61488010">
            <w:pPr>
              <w:spacing w:line="400" w:lineRule="exact"/>
              <w:jc w:val="center"/>
              <w:rPr>
                <w:rFonts w:ascii="宋体" w:hAnsi="宋体"/>
                <w:bCs/>
              </w:rPr>
            </w:pPr>
          </w:p>
        </w:tc>
        <w:tc>
          <w:tcPr>
            <w:tcW w:w="972" w:type="dxa"/>
            <w:vAlign w:val="center"/>
          </w:tcPr>
          <w:p w14:paraId="55C95017">
            <w:pPr>
              <w:spacing w:line="400" w:lineRule="exact"/>
              <w:jc w:val="center"/>
              <w:rPr>
                <w:rFonts w:ascii="宋体" w:hAnsi="宋体"/>
                <w:bCs/>
              </w:rPr>
            </w:pPr>
          </w:p>
        </w:tc>
        <w:tc>
          <w:tcPr>
            <w:tcW w:w="1260" w:type="dxa"/>
            <w:vAlign w:val="center"/>
          </w:tcPr>
          <w:p w14:paraId="4A227E91">
            <w:pPr>
              <w:spacing w:line="400" w:lineRule="exact"/>
              <w:jc w:val="center"/>
              <w:rPr>
                <w:rFonts w:ascii="宋体" w:hAnsi="宋体"/>
                <w:bCs/>
              </w:rPr>
            </w:pPr>
          </w:p>
        </w:tc>
        <w:tc>
          <w:tcPr>
            <w:tcW w:w="1596" w:type="dxa"/>
            <w:vAlign w:val="center"/>
          </w:tcPr>
          <w:p w14:paraId="5F03037B">
            <w:pPr>
              <w:spacing w:line="400" w:lineRule="exact"/>
              <w:jc w:val="center"/>
              <w:rPr>
                <w:rFonts w:ascii="宋体" w:hAnsi="宋体"/>
                <w:bCs/>
              </w:rPr>
            </w:pPr>
          </w:p>
        </w:tc>
        <w:tc>
          <w:tcPr>
            <w:tcW w:w="1797" w:type="dxa"/>
          </w:tcPr>
          <w:p w14:paraId="3C07ACCE">
            <w:pPr>
              <w:spacing w:line="400" w:lineRule="exact"/>
              <w:jc w:val="center"/>
              <w:rPr>
                <w:rFonts w:ascii="宋体" w:hAnsi="宋体"/>
              </w:rPr>
            </w:pPr>
          </w:p>
        </w:tc>
        <w:tc>
          <w:tcPr>
            <w:tcW w:w="1797" w:type="dxa"/>
          </w:tcPr>
          <w:p w14:paraId="66FA4BA7">
            <w:pPr>
              <w:spacing w:line="400" w:lineRule="exact"/>
              <w:jc w:val="center"/>
              <w:rPr>
                <w:rFonts w:ascii="宋体" w:hAnsi="宋体"/>
              </w:rPr>
            </w:pPr>
          </w:p>
        </w:tc>
      </w:tr>
      <w:tr w14:paraId="7879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vAlign w:val="center"/>
          </w:tcPr>
          <w:p w14:paraId="2EA172DA">
            <w:pPr>
              <w:spacing w:line="400" w:lineRule="exact"/>
              <w:jc w:val="center"/>
              <w:rPr>
                <w:rFonts w:hint="default" w:ascii="宋体" w:hAnsi="宋体"/>
                <w:b/>
                <w:lang w:val="en-US" w:eastAsia="zh-CN"/>
              </w:rPr>
            </w:pPr>
            <w:r>
              <w:rPr>
                <w:rFonts w:hint="eastAsia" w:ascii="宋体" w:hAnsi="宋体"/>
                <w:b/>
                <w:lang w:val="en-US" w:eastAsia="zh-CN"/>
              </w:rPr>
              <w:t>3</w:t>
            </w:r>
          </w:p>
        </w:tc>
        <w:tc>
          <w:tcPr>
            <w:tcW w:w="1356" w:type="dxa"/>
            <w:vAlign w:val="center"/>
          </w:tcPr>
          <w:p w14:paraId="39E48002">
            <w:pPr>
              <w:spacing w:line="400" w:lineRule="exact"/>
              <w:rPr>
                <w:rFonts w:hint="default" w:ascii="宋体" w:hAnsi="宋体"/>
                <w:b/>
                <w:lang w:val="en-US" w:eastAsia="zh-CN"/>
              </w:rPr>
            </w:pPr>
            <w:r>
              <w:rPr>
                <w:rFonts w:hint="eastAsia" w:ascii="宋体" w:hAnsi="宋体"/>
                <w:b/>
                <w:lang w:val="en-US" w:eastAsia="zh-CN"/>
              </w:rPr>
              <w:t>养护人员1</w:t>
            </w:r>
          </w:p>
        </w:tc>
        <w:tc>
          <w:tcPr>
            <w:tcW w:w="876" w:type="dxa"/>
            <w:vAlign w:val="center"/>
          </w:tcPr>
          <w:p w14:paraId="36076D51">
            <w:pPr>
              <w:spacing w:line="400" w:lineRule="exact"/>
              <w:jc w:val="center"/>
              <w:rPr>
                <w:rFonts w:ascii="宋体" w:hAnsi="宋体"/>
                <w:bCs/>
              </w:rPr>
            </w:pPr>
          </w:p>
        </w:tc>
        <w:tc>
          <w:tcPr>
            <w:tcW w:w="972" w:type="dxa"/>
            <w:vAlign w:val="center"/>
          </w:tcPr>
          <w:p w14:paraId="558E3145">
            <w:pPr>
              <w:spacing w:line="400" w:lineRule="exact"/>
              <w:jc w:val="center"/>
              <w:rPr>
                <w:rFonts w:ascii="宋体" w:hAnsi="宋体"/>
                <w:bCs/>
              </w:rPr>
            </w:pPr>
          </w:p>
        </w:tc>
        <w:tc>
          <w:tcPr>
            <w:tcW w:w="1260" w:type="dxa"/>
            <w:vAlign w:val="center"/>
          </w:tcPr>
          <w:p w14:paraId="43B7EB1A">
            <w:pPr>
              <w:spacing w:line="400" w:lineRule="exact"/>
              <w:jc w:val="center"/>
              <w:rPr>
                <w:rFonts w:ascii="宋体" w:hAnsi="宋体"/>
                <w:bCs/>
              </w:rPr>
            </w:pPr>
          </w:p>
        </w:tc>
        <w:tc>
          <w:tcPr>
            <w:tcW w:w="1596" w:type="dxa"/>
            <w:vAlign w:val="center"/>
          </w:tcPr>
          <w:p w14:paraId="65B82945">
            <w:pPr>
              <w:spacing w:line="400" w:lineRule="exact"/>
              <w:jc w:val="center"/>
              <w:rPr>
                <w:rFonts w:ascii="宋体" w:hAnsi="宋体"/>
                <w:bCs/>
              </w:rPr>
            </w:pPr>
          </w:p>
        </w:tc>
        <w:tc>
          <w:tcPr>
            <w:tcW w:w="1797" w:type="dxa"/>
          </w:tcPr>
          <w:p w14:paraId="7DEA1A9D">
            <w:pPr>
              <w:spacing w:line="400" w:lineRule="exact"/>
              <w:jc w:val="center"/>
              <w:rPr>
                <w:rFonts w:ascii="宋体" w:hAnsi="宋体"/>
              </w:rPr>
            </w:pPr>
          </w:p>
        </w:tc>
        <w:tc>
          <w:tcPr>
            <w:tcW w:w="1797" w:type="dxa"/>
          </w:tcPr>
          <w:p w14:paraId="3A088C84">
            <w:pPr>
              <w:spacing w:line="400" w:lineRule="exact"/>
              <w:jc w:val="center"/>
              <w:rPr>
                <w:rFonts w:ascii="宋体" w:hAnsi="宋体"/>
              </w:rPr>
            </w:pPr>
          </w:p>
        </w:tc>
      </w:tr>
      <w:tr w14:paraId="59AB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shd w:val="clear" w:color="auto" w:fill="auto"/>
            <w:vAlign w:val="center"/>
          </w:tcPr>
          <w:p w14:paraId="635A6C03">
            <w:pPr>
              <w:spacing w:line="400" w:lineRule="exact"/>
              <w:jc w:val="center"/>
              <w:rPr>
                <w:rFonts w:hint="default" w:ascii="宋体" w:hAnsi="宋体"/>
                <w:b/>
                <w:lang w:val="en-US" w:eastAsia="zh-CN"/>
              </w:rPr>
            </w:pPr>
            <w:r>
              <w:rPr>
                <w:rFonts w:hint="eastAsia" w:ascii="宋体" w:hAnsi="宋体"/>
                <w:b/>
                <w:lang w:val="en-US" w:eastAsia="zh-CN"/>
              </w:rPr>
              <w:t>4</w:t>
            </w:r>
          </w:p>
        </w:tc>
        <w:tc>
          <w:tcPr>
            <w:tcW w:w="1356" w:type="dxa"/>
            <w:vAlign w:val="center"/>
          </w:tcPr>
          <w:p w14:paraId="701E603E">
            <w:pPr>
              <w:spacing w:line="400" w:lineRule="exact"/>
              <w:rPr>
                <w:rFonts w:hint="default" w:ascii="宋体" w:hAnsi="宋体"/>
                <w:b/>
                <w:lang w:val="en-US" w:eastAsia="zh-CN"/>
              </w:rPr>
            </w:pPr>
            <w:r>
              <w:rPr>
                <w:rFonts w:hint="eastAsia" w:ascii="宋体" w:hAnsi="宋体"/>
                <w:b/>
                <w:lang w:val="en-US" w:eastAsia="zh-CN"/>
              </w:rPr>
              <w:t>养护人员2</w:t>
            </w:r>
          </w:p>
        </w:tc>
        <w:tc>
          <w:tcPr>
            <w:tcW w:w="876" w:type="dxa"/>
            <w:vAlign w:val="center"/>
          </w:tcPr>
          <w:p w14:paraId="5AFD2A10">
            <w:pPr>
              <w:spacing w:line="400" w:lineRule="exact"/>
              <w:jc w:val="center"/>
              <w:rPr>
                <w:rFonts w:ascii="宋体" w:hAnsi="宋体"/>
                <w:bCs/>
              </w:rPr>
            </w:pPr>
          </w:p>
        </w:tc>
        <w:tc>
          <w:tcPr>
            <w:tcW w:w="972" w:type="dxa"/>
            <w:vAlign w:val="center"/>
          </w:tcPr>
          <w:p w14:paraId="0B2FFC86">
            <w:pPr>
              <w:spacing w:line="400" w:lineRule="exact"/>
              <w:jc w:val="center"/>
              <w:rPr>
                <w:rFonts w:ascii="宋体" w:hAnsi="宋体"/>
                <w:bCs/>
              </w:rPr>
            </w:pPr>
          </w:p>
        </w:tc>
        <w:tc>
          <w:tcPr>
            <w:tcW w:w="1260" w:type="dxa"/>
            <w:vAlign w:val="center"/>
          </w:tcPr>
          <w:p w14:paraId="50761316">
            <w:pPr>
              <w:spacing w:line="400" w:lineRule="exact"/>
              <w:jc w:val="center"/>
              <w:rPr>
                <w:rFonts w:ascii="宋体" w:hAnsi="宋体"/>
                <w:bCs/>
              </w:rPr>
            </w:pPr>
          </w:p>
        </w:tc>
        <w:tc>
          <w:tcPr>
            <w:tcW w:w="1596" w:type="dxa"/>
            <w:vAlign w:val="center"/>
          </w:tcPr>
          <w:p w14:paraId="0A79CEC8">
            <w:pPr>
              <w:spacing w:line="400" w:lineRule="exact"/>
              <w:jc w:val="center"/>
              <w:rPr>
                <w:rFonts w:ascii="宋体" w:hAnsi="宋体"/>
                <w:bCs/>
              </w:rPr>
            </w:pPr>
          </w:p>
        </w:tc>
        <w:tc>
          <w:tcPr>
            <w:tcW w:w="1797" w:type="dxa"/>
          </w:tcPr>
          <w:p w14:paraId="20FCCE37">
            <w:pPr>
              <w:spacing w:line="400" w:lineRule="exact"/>
              <w:jc w:val="center"/>
              <w:rPr>
                <w:rFonts w:ascii="宋体" w:hAnsi="宋体"/>
              </w:rPr>
            </w:pPr>
          </w:p>
        </w:tc>
        <w:tc>
          <w:tcPr>
            <w:tcW w:w="1797" w:type="dxa"/>
          </w:tcPr>
          <w:p w14:paraId="2C711B90">
            <w:pPr>
              <w:spacing w:line="400" w:lineRule="exact"/>
              <w:jc w:val="center"/>
              <w:rPr>
                <w:rFonts w:ascii="宋体" w:hAnsi="宋体"/>
              </w:rPr>
            </w:pPr>
          </w:p>
        </w:tc>
      </w:tr>
      <w:tr w14:paraId="030D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shd w:val="clear" w:color="auto" w:fill="auto"/>
            <w:vAlign w:val="center"/>
          </w:tcPr>
          <w:p w14:paraId="3D6A2B64">
            <w:pPr>
              <w:spacing w:line="400" w:lineRule="exact"/>
              <w:jc w:val="center"/>
              <w:rPr>
                <w:rFonts w:hint="default" w:ascii="宋体" w:hAnsi="宋体"/>
                <w:b/>
                <w:lang w:val="en-US" w:eastAsia="zh-CN"/>
              </w:rPr>
            </w:pPr>
            <w:r>
              <w:rPr>
                <w:rFonts w:hint="eastAsia" w:ascii="宋体" w:hAnsi="宋体"/>
                <w:b/>
                <w:lang w:val="en-US" w:eastAsia="zh-CN"/>
              </w:rPr>
              <w:t>5</w:t>
            </w:r>
          </w:p>
        </w:tc>
        <w:tc>
          <w:tcPr>
            <w:tcW w:w="1356" w:type="dxa"/>
            <w:vAlign w:val="center"/>
          </w:tcPr>
          <w:p w14:paraId="517F0C8E">
            <w:pPr>
              <w:spacing w:line="400" w:lineRule="exact"/>
              <w:rPr>
                <w:rFonts w:hint="default" w:ascii="宋体" w:hAnsi="宋体"/>
                <w:b/>
                <w:lang w:val="en-US" w:eastAsia="zh-CN"/>
              </w:rPr>
            </w:pPr>
            <w:r>
              <w:rPr>
                <w:rFonts w:hint="eastAsia" w:ascii="宋体" w:hAnsi="宋体"/>
                <w:b/>
                <w:lang w:val="en-US" w:eastAsia="zh-CN"/>
              </w:rPr>
              <w:t>养护人员3</w:t>
            </w:r>
          </w:p>
        </w:tc>
        <w:tc>
          <w:tcPr>
            <w:tcW w:w="876" w:type="dxa"/>
            <w:vAlign w:val="center"/>
          </w:tcPr>
          <w:p w14:paraId="12B9E713">
            <w:pPr>
              <w:spacing w:line="400" w:lineRule="exact"/>
              <w:jc w:val="center"/>
              <w:rPr>
                <w:rFonts w:ascii="宋体" w:hAnsi="宋体"/>
                <w:bCs/>
              </w:rPr>
            </w:pPr>
          </w:p>
        </w:tc>
        <w:tc>
          <w:tcPr>
            <w:tcW w:w="972" w:type="dxa"/>
            <w:vAlign w:val="center"/>
          </w:tcPr>
          <w:p w14:paraId="6809800E">
            <w:pPr>
              <w:spacing w:line="400" w:lineRule="exact"/>
              <w:jc w:val="center"/>
              <w:rPr>
                <w:rFonts w:ascii="宋体" w:hAnsi="宋体"/>
                <w:bCs/>
              </w:rPr>
            </w:pPr>
          </w:p>
        </w:tc>
        <w:tc>
          <w:tcPr>
            <w:tcW w:w="1260" w:type="dxa"/>
            <w:vAlign w:val="center"/>
          </w:tcPr>
          <w:p w14:paraId="378B5C1B">
            <w:pPr>
              <w:spacing w:line="400" w:lineRule="exact"/>
              <w:jc w:val="center"/>
              <w:rPr>
                <w:rFonts w:ascii="宋体" w:hAnsi="宋体"/>
                <w:bCs/>
              </w:rPr>
            </w:pPr>
          </w:p>
        </w:tc>
        <w:tc>
          <w:tcPr>
            <w:tcW w:w="1596" w:type="dxa"/>
            <w:vAlign w:val="center"/>
          </w:tcPr>
          <w:p w14:paraId="17407A94">
            <w:pPr>
              <w:spacing w:line="400" w:lineRule="exact"/>
              <w:jc w:val="center"/>
              <w:rPr>
                <w:rFonts w:ascii="宋体" w:hAnsi="宋体"/>
                <w:bCs/>
              </w:rPr>
            </w:pPr>
          </w:p>
        </w:tc>
        <w:tc>
          <w:tcPr>
            <w:tcW w:w="1797" w:type="dxa"/>
          </w:tcPr>
          <w:p w14:paraId="5567B4EF">
            <w:pPr>
              <w:spacing w:line="400" w:lineRule="exact"/>
              <w:jc w:val="center"/>
              <w:rPr>
                <w:rFonts w:ascii="宋体" w:hAnsi="宋体"/>
              </w:rPr>
            </w:pPr>
          </w:p>
        </w:tc>
        <w:tc>
          <w:tcPr>
            <w:tcW w:w="1797" w:type="dxa"/>
          </w:tcPr>
          <w:p w14:paraId="469C73A7">
            <w:pPr>
              <w:spacing w:line="400" w:lineRule="exact"/>
              <w:jc w:val="center"/>
              <w:rPr>
                <w:rFonts w:ascii="宋体" w:hAnsi="宋体"/>
              </w:rPr>
            </w:pPr>
          </w:p>
        </w:tc>
      </w:tr>
      <w:tr w14:paraId="6169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shd w:val="clear" w:color="auto" w:fill="auto"/>
            <w:vAlign w:val="center"/>
          </w:tcPr>
          <w:p w14:paraId="0BCD2891">
            <w:pPr>
              <w:spacing w:line="400" w:lineRule="exact"/>
              <w:jc w:val="center"/>
              <w:rPr>
                <w:rFonts w:hint="default" w:ascii="宋体" w:hAnsi="宋体"/>
                <w:b/>
                <w:lang w:val="en-US" w:eastAsia="zh-CN"/>
              </w:rPr>
            </w:pPr>
            <w:r>
              <w:rPr>
                <w:rFonts w:hint="eastAsia" w:ascii="宋体" w:hAnsi="宋体"/>
                <w:b/>
                <w:lang w:val="en-US" w:eastAsia="zh-CN"/>
              </w:rPr>
              <w:t>6</w:t>
            </w:r>
          </w:p>
        </w:tc>
        <w:tc>
          <w:tcPr>
            <w:tcW w:w="1356" w:type="dxa"/>
            <w:vAlign w:val="center"/>
          </w:tcPr>
          <w:p w14:paraId="370102B6">
            <w:pPr>
              <w:spacing w:line="400" w:lineRule="exact"/>
              <w:rPr>
                <w:rFonts w:hint="default" w:ascii="宋体" w:hAnsi="宋体"/>
                <w:b/>
                <w:lang w:val="en-US" w:eastAsia="zh-CN"/>
              </w:rPr>
            </w:pPr>
            <w:r>
              <w:rPr>
                <w:rFonts w:hint="eastAsia" w:ascii="宋体" w:hAnsi="宋体"/>
                <w:b/>
                <w:lang w:val="en-US" w:eastAsia="zh-CN"/>
              </w:rPr>
              <w:t>养护人员4</w:t>
            </w:r>
          </w:p>
        </w:tc>
        <w:tc>
          <w:tcPr>
            <w:tcW w:w="876" w:type="dxa"/>
            <w:vAlign w:val="center"/>
          </w:tcPr>
          <w:p w14:paraId="1D9B7E2F">
            <w:pPr>
              <w:spacing w:line="400" w:lineRule="exact"/>
              <w:jc w:val="center"/>
              <w:rPr>
                <w:rFonts w:ascii="宋体" w:hAnsi="宋体"/>
                <w:bCs/>
              </w:rPr>
            </w:pPr>
          </w:p>
        </w:tc>
        <w:tc>
          <w:tcPr>
            <w:tcW w:w="972" w:type="dxa"/>
            <w:vAlign w:val="center"/>
          </w:tcPr>
          <w:p w14:paraId="576CF654">
            <w:pPr>
              <w:spacing w:line="400" w:lineRule="exact"/>
              <w:jc w:val="center"/>
              <w:rPr>
                <w:rFonts w:ascii="宋体" w:hAnsi="宋体"/>
                <w:bCs/>
              </w:rPr>
            </w:pPr>
          </w:p>
        </w:tc>
        <w:tc>
          <w:tcPr>
            <w:tcW w:w="1260" w:type="dxa"/>
            <w:vAlign w:val="center"/>
          </w:tcPr>
          <w:p w14:paraId="1757A816">
            <w:pPr>
              <w:spacing w:line="400" w:lineRule="exact"/>
              <w:jc w:val="center"/>
              <w:rPr>
                <w:rFonts w:ascii="宋体" w:hAnsi="宋体"/>
                <w:bCs/>
              </w:rPr>
            </w:pPr>
          </w:p>
        </w:tc>
        <w:tc>
          <w:tcPr>
            <w:tcW w:w="1596" w:type="dxa"/>
            <w:vAlign w:val="center"/>
          </w:tcPr>
          <w:p w14:paraId="2A1C7BD4">
            <w:pPr>
              <w:spacing w:line="400" w:lineRule="exact"/>
              <w:jc w:val="center"/>
              <w:rPr>
                <w:rFonts w:ascii="宋体" w:hAnsi="宋体"/>
                <w:bCs/>
              </w:rPr>
            </w:pPr>
          </w:p>
        </w:tc>
        <w:tc>
          <w:tcPr>
            <w:tcW w:w="1797" w:type="dxa"/>
          </w:tcPr>
          <w:p w14:paraId="4E74B3EE">
            <w:pPr>
              <w:spacing w:line="400" w:lineRule="exact"/>
              <w:jc w:val="center"/>
              <w:rPr>
                <w:rFonts w:ascii="宋体" w:hAnsi="宋体"/>
              </w:rPr>
            </w:pPr>
          </w:p>
        </w:tc>
        <w:tc>
          <w:tcPr>
            <w:tcW w:w="1797" w:type="dxa"/>
          </w:tcPr>
          <w:p w14:paraId="411BE01C">
            <w:pPr>
              <w:spacing w:line="400" w:lineRule="exact"/>
              <w:jc w:val="center"/>
              <w:rPr>
                <w:rFonts w:ascii="宋体" w:hAnsi="宋体"/>
              </w:rPr>
            </w:pPr>
          </w:p>
        </w:tc>
      </w:tr>
      <w:tr w14:paraId="50D0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shd w:val="clear" w:color="auto" w:fill="auto"/>
            <w:vAlign w:val="center"/>
          </w:tcPr>
          <w:p w14:paraId="5224627C">
            <w:pPr>
              <w:spacing w:line="400" w:lineRule="exact"/>
              <w:jc w:val="center"/>
              <w:rPr>
                <w:rFonts w:hint="eastAsia" w:ascii="宋体" w:hAnsi="宋体"/>
                <w:b/>
                <w:lang w:val="en-US" w:eastAsia="zh-CN"/>
              </w:rPr>
            </w:pPr>
            <w:r>
              <w:rPr>
                <w:rFonts w:hint="eastAsia" w:ascii="宋体" w:hAnsi="宋体"/>
                <w:b/>
                <w:lang w:val="en-US" w:eastAsia="zh-CN"/>
              </w:rPr>
              <w:t>7</w:t>
            </w:r>
          </w:p>
        </w:tc>
        <w:tc>
          <w:tcPr>
            <w:tcW w:w="1356" w:type="dxa"/>
            <w:vAlign w:val="center"/>
          </w:tcPr>
          <w:p w14:paraId="563E6CCE">
            <w:pPr>
              <w:spacing w:line="400" w:lineRule="exact"/>
              <w:rPr>
                <w:rFonts w:hint="default" w:ascii="宋体" w:hAnsi="宋体"/>
                <w:b/>
                <w:lang w:val="en-US" w:eastAsia="zh-CN"/>
              </w:rPr>
            </w:pPr>
            <w:r>
              <w:rPr>
                <w:rFonts w:hint="eastAsia" w:ascii="宋体" w:hAnsi="宋体"/>
                <w:b/>
                <w:lang w:val="en-US" w:eastAsia="zh-CN"/>
              </w:rPr>
              <w:t>智慧平台案件处置员</w:t>
            </w:r>
          </w:p>
        </w:tc>
        <w:tc>
          <w:tcPr>
            <w:tcW w:w="876" w:type="dxa"/>
            <w:vAlign w:val="center"/>
          </w:tcPr>
          <w:p w14:paraId="328E96EE">
            <w:pPr>
              <w:spacing w:line="400" w:lineRule="exact"/>
              <w:jc w:val="center"/>
              <w:rPr>
                <w:rFonts w:ascii="宋体" w:hAnsi="宋体"/>
                <w:bCs/>
              </w:rPr>
            </w:pPr>
          </w:p>
        </w:tc>
        <w:tc>
          <w:tcPr>
            <w:tcW w:w="972" w:type="dxa"/>
            <w:vAlign w:val="center"/>
          </w:tcPr>
          <w:p w14:paraId="165BCC37">
            <w:pPr>
              <w:spacing w:line="400" w:lineRule="exact"/>
              <w:jc w:val="center"/>
              <w:rPr>
                <w:rFonts w:ascii="宋体" w:hAnsi="宋体"/>
                <w:bCs/>
              </w:rPr>
            </w:pPr>
          </w:p>
        </w:tc>
        <w:tc>
          <w:tcPr>
            <w:tcW w:w="1260" w:type="dxa"/>
            <w:vAlign w:val="center"/>
          </w:tcPr>
          <w:p w14:paraId="6918BD5D">
            <w:pPr>
              <w:spacing w:line="400" w:lineRule="exact"/>
              <w:jc w:val="center"/>
              <w:rPr>
                <w:rFonts w:ascii="宋体" w:hAnsi="宋体"/>
                <w:bCs/>
              </w:rPr>
            </w:pPr>
          </w:p>
        </w:tc>
        <w:tc>
          <w:tcPr>
            <w:tcW w:w="1596" w:type="dxa"/>
            <w:vAlign w:val="center"/>
          </w:tcPr>
          <w:p w14:paraId="5F434C6A">
            <w:pPr>
              <w:spacing w:line="400" w:lineRule="exact"/>
              <w:jc w:val="center"/>
              <w:rPr>
                <w:rFonts w:ascii="宋体" w:hAnsi="宋体"/>
                <w:bCs/>
              </w:rPr>
            </w:pPr>
          </w:p>
        </w:tc>
        <w:tc>
          <w:tcPr>
            <w:tcW w:w="1797" w:type="dxa"/>
          </w:tcPr>
          <w:p w14:paraId="1FC3F4A3">
            <w:pPr>
              <w:spacing w:line="400" w:lineRule="exact"/>
              <w:jc w:val="center"/>
              <w:rPr>
                <w:rFonts w:ascii="宋体" w:hAnsi="宋体"/>
              </w:rPr>
            </w:pPr>
          </w:p>
        </w:tc>
        <w:tc>
          <w:tcPr>
            <w:tcW w:w="1797" w:type="dxa"/>
          </w:tcPr>
          <w:p w14:paraId="6126D682">
            <w:pPr>
              <w:spacing w:line="400" w:lineRule="exact"/>
              <w:jc w:val="center"/>
              <w:rPr>
                <w:rFonts w:ascii="宋体" w:hAnsi="宋体"/>
              </w:rPr>
            </w:pPr>
          </w:p>
        </w:tc>
      </w:tr>
      <w:tr w14:paraId="54F9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7" w:type="dxa"/>
            <w:vAlign w:val="center"/>
          </w:tcPr>
          <w:p w14:paraId="10E3BA7A">
            <w:pPr>
              <w:spacing w:line="400" w:lineRule="exact"/>
              <w:jc w:val="center"/>
              <w:rPr>
                <w:rFonts w:hint="default" w:ascii="宋体" w:hAnsi="宋体"/>
                <w:b/>
                <w:lang w:val="en-US" w:eastAsia="zh-CN"/>
              </w:rPr>
            </w:pPr>
            <w:r>
              <w:rPr>
                <w:rFonts w:hint="eastAsia" w:ascii="宋体" w:hAnsi="宋体"/>
                <w:b/>
                <w:lang w:val="en-US" w:eastAsia="zh-CN"/>
              </w:rPr>
              <w:t>8</w:t>
            </w:r>
          </w:p>
        </w:tc>
        <w:tc>
          <w:tcPr>
            <w:tcW w:w="1356" w:type="dxa"/>
            <w:vAlign w:val="center"/>
          </w:tcPr>
          <w:p w14:paraId="69C2A373">
            <w:pPr>
              <w:spacing w:line="400" w:lineRule="exact"/>
              <w:rPr>
                <w:rFonts w:hint="default" w:ascii="宋体" w:hAnsi="宋体"/>
                <w:b/>
                <w:lang w:val="en-US" w:eastAsia="zh-CN"/>
              </w:rPr>
            </w:pPr>
            <w:r>
              <w:rPr>
                <w:rFonts w:hint="eastAsia" w:ascii="宋体" w:hAnsi="宋体"/>
                <w:b/>
                <w:lang w:val="en-US" w:eastAsia="zh-CN"/>
              </w:rPr>
              <w:t>内勤资料档案员</w:t>
            </w:r>
          </w:p>
        </w:tc>
        <w:tc>
          <w:tcPr>
            <w:tcW w:w="876" w:type="dxa"/>
            <w:vAlign w:val="center"/>
          </w:tcPr>
          <w:p w14:paraId="706EE8FF">
            <w:pPr>
              <w:spacing w:line="400" w:lineRule="exact"/>
              <w:jc w:val="center"/>
              <w:rPr>
                <w:rFonts w:ascii="宋体" w:hAnsi="宋体"/>
                <w:bCs/>
              </w:rPr>
            </w:pPr>
          </w:p>
        </w:tc>
        <w:tc>
          <w:tcPr>
            <w:tcW w:w="972" w:type="dxa"/>
            <w:vAlign w:val="center"/>
          </w:tcPr>
          <w:p w14:paraId="6E36FFA2">
            <w:pPr>
              <w:spacing w:line="400" w:lineRule="exact"/>
              <w:jc w:val="center"/>
              <w:rPr>
                <w:rFonts w:ascii="宋体" w:hAnsi="宋体"/>
                <w:bCs/>
              </w:rPr>
            </w:pPr>
          </w:p>
        </w:tc>
        <w:tc>
          <w:tcPr>
            <w:tcW w:w="1260" w:type="dxa"/>
            <w:vAlign w:val="center"/>
          </w:tcPr>
          <w:p w14:paraId="4488F987">
            <w:pPr>
              <w:spacing w:line="400" w:lineRule="exact"/>
              <w:jc w:val="center"/>
              <w:rPr>
                <w:rFonts w:ascii="宋体" w:hAnsi="宋体"/>
                <w:bCs/>
              </w:rPr>
            </w:pPr>
          </w:p>
        </w:tc>
        <w:tc>
          <w:tcPr>
            <w:tcW w:w="1596" w:type="dxa"/>
            <w:vAlign w:val="center"/>
          </w:tcPr>
          <w:p w14:paraId="27DE5CED">
            <w:pPr>
              <w:spacing w:line="400" w:lineRule="exact"/>
              <w:jc w:val="center"/>
              <w:rPr>
                <w:rFonts w:ascii="宋体" w:hAnsi="宋体"/>
                <w:bCs/>
              </w:rPr>
            </w:pPr>
          </w:p>
        </w:tc>
        <w:tc>
          <w:tcPr>
            <w:tcW w:w="1797" w:type="dxa"/>
          </w:tcPr>
          <w:p w14:paraId="1E267875">
            <w:pPr>
              <w:spacing w:line="400" w:lineRule="exact"/>
              <w:jc w:val="center"/>
              <w:rPr>
                <w:rFonts w:ascii="宋体" w:hAnsi="宋体"/>
              </w:rPr>
            </w:pPr>
          </w:p>
        </w:tc>
        <w:tc>
          <w:tcPr>
            <w:tcW w:w="1797" w:type="dxa"/>
          </w:tcPr>
          <w:p w14:paraId="2FB867FE">
            <w:pPr>
              <w:spacing w:line="400" w:lineRule="exact"/>
              <w:jc w:val="center"/>
              <w:rPr>
                <w:rFonts w:ascii="宋体" w:hAnsi="宋体"/>
              </w:rPr>
            </w:pPr>
          </w:p>
        </w:tc>
      </w:tr>
      <w:tr w14:paraId="3ECB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7" w:type="dxa"/>
            <w:vAlign w:val="center"/>
          </w:tcPr>
          <w:p w14:paraId="6B997CC9">
            <w:pPr>
              <w:spacing w:line="400" w:lineRule="exact"/>
              <w:jc w:val="center"/>
              <w:rPr>
                <w:rFonts w:hint="default" w:ascii="宋体" w:hAnsi="宋体"/>
                <w:b/>
                <w:lang w:val="en-US" w:eastAsia="zh-CN"/>
              </w:rPr>
            </w:pPr>
            <w:r>
              <w:rPr>
                <w:rFonts w:hint="eastAsia" w:ascii="宋体" w:hAnsi="宋体"/>
                <w:b/>
                <w:lang w:val="en-US" w:eastAsia="zh-CN"/>
              </w:rPr>
              <w:t>9</w:t>
            </w:r>
          </w:p>
        </w:tc>
        <w:tc>
          <w:tcPr>
            <w:tcW w:w="1356" w:type="dxa"/>
            <w:vAlign w:val="center"/>
          </w:tcPr>
          <w:p w14:paraId="1C6D3C69">
            <w:pPr>
              <w:spacing w:line="400" w:lineRule="exact"/>
              <w:rPr>
                <w:rFonts w:hint="default" w:ascii="宋体" w:hAnsi="宋体"/>
                <w:b/>
                <w:lang w:val="en-US" w:eastAsia="zh-CN"/>
              </w:rPr>
            </w:pPr>
            <w:r>
              <w:rPr>
                <w:rFonts w:hint="eastAsia" w:ascii="宋体" w:hAnsi="宋体"/>
                <w:b/>
                <w:lang w:val="en-US" w:eastAsia="zh-CN"/>
              </w:rPr>
              <w:t>电工</w:t>
            </w:r>
          </w:p>
        </w:tc>
        <w:tc>
          <w:tcPr>
            <w:tcW w:w="876" w:type="dxa"/>
            <w:vAlign w:val="center"/>
          </w:tcPr>
          <w:p w14:paraId="36C5D726">
            <w:pPr>
              <w:spacing w:line="400" w:lineRule="exact"/>
              <w:jc w:val="center"/>
              <w:rPr>
                <w:rFonts w:ascii="宋体" w:hAnsi="宋体"/>
                <w:bCs/>
              </w:rPr>
            </w:pPr>
          </w:p>
        </w:tc>
        <w:tc>
          <w:tcPr>
            <w:tcW w:w="972" w:type="dxa"/>
            <w:vAlign w:val="center"/>
          </w:tcPr>
          <w:p w14:paraId="510E3B99">
            <w:pPr>
              <w:spacing w:line="400" w:lineRule="exact"/>
              <w:jc w:val="center"/>
              <w:rPr>
                <w:rFonts w:ascii="宋体" w:hAnsi="宋体"/>
                <w:bCs/>
              </w:rPr>
            </w:pPr>
          </w:p>
        </w:tc>
        <w:tc>
          <w:tcPr>
            <w:tcW w:w="1260" w:type="dxa"/>
            <w:vAlign w:val="center"/>
          </w:tcPr>
          <w:p w14:paraId="29EC2771">
            <w:pPr>
              <w:spacing w:line="400" w:lineRule="exact"/>
              <w:jc w:val="center"/>
              <w:rPr>
                <w:rFonts w:ascii="宋体" w:hAnsi="宋体"/>
                <w:bCs/>
              </w:rPr>
            </w:pPr>
          </w:p>
        </w:tc>
        <w:tc>
          <w:tcPr>
            <w:tcW w:w="1596" w:type="dxa"/>
            <w:vAlign w:val="center"/>
          </w:tcPr>
          <w:p w14:paraId="404516FA">
            <w:pPr>
              <w:spacing w:line="400" w:lineRule="exact"/>
              <w:jc w:val="center"/>
              <w:rPr>
                <w:rFonts w:ascii="宋体" w:hAnsi="宋体"/>
                <w:bCs/>
              </w:rPr>
            </w:pPr>
          </w:p>
        </w:tc>
        <w:tc>
          <w:tcPr>
            <w:tcW w:w="1797" w:type="dxa"/>
          </w:tcPr>
          <w:p w14:paraId="44A792E0">
            <w:pPr>
              <w:spacing w:line="400" w:lineRule="exact"/>
              <w:jc w:val="center"/>
              <w:rPr>
                <w:rFonts w:ascii="宋体" w:hAnsi="宋体"/>
              </w:rPr>
            </w:pPr>
          </w:p>
        </w:tc>
        <w:tc>
          <w:tcPr>
            <w:tcW w:w="1797" w:type="dxa"/>
          </w:tcPr>
          <w:p w14:paraId="0F4E4274">
            <w:pPr>
              <w:spacing w:line="400" w:lineRule="exact"/>
              <w:jc w:val="center"/>
              <w:rPr>
                <w:rFonts w:ascii="宋体" w:hAnsi="宋体"/>
              </w:rPr>
            </w:pPr>
          </w:p>
        </w:tc>
      </w:tr>
      <w:tr w14:paraId="6413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7" w:type="dxa"/>
            <w:vAlign w:val="center"/>
          </w:tcPr>
          <w:p w14:paraId="29818949">
            <w:pPr>
              <w:spacing w:line="400" w:lineRule="exact"/>
              <w:jc w:val="center"/>
              <w:rPr>
                <w:rFonts w:hint="default" w:ascii="宋体" w:hAnsi="宋体"/>
                <w:b/>
                <w:lang w:val="en-US" w:eastAsia="zh-CN"/>
              </w:rPr>
            </w:pPr>
            <w:r>
              <w:rPr>
                <w:rFonts w:hint="eastAsia" w:ascii="宋体" w:hAnsi="宋体"/>
                <w:b/>
                <w:lang w:val="en-US" w:eastAsia="zh-CN"/>
              </w:rPr>
              <w:t>...</w:t>
            </w:r>
          </w:p>
        </w:tc>
        <w:tc>
          <w:tcPr>
            <w:tcW w:w="1356" w:type="dxa"/>
            <w:vAlign w:val="center"/>
          </w:tcPr>
          <w:p w14:paraId="1D85092D">
            <w:pPr>
              <w:spacing w:line="400" w:lineRule="exact"/>
              <w:rPr>
                <w:rFonts w:hint="default" w:ascii="宋体" w:hAnsi="宋体"/>
                <w:b/>
                <w:lang w:val="en-US" w:eastAsia="zh-CN"/>
              </w:rPr>
            </w:pPr>
            <w:r>
              <w:rPr>
                <w:rFonts w:hint="eastAsia" w:ascii="宋体" w:hAnsi="宋体"/>
                <w:b/>
                <w:lang w:val="en-US" w:eastAsia="zh-CN"/>
              </w:rPr>
              <w:t>....</w:t>
            </w:r>
          </w:p>
        </w:tc>
        <w:tc>
          <w:tcPr>
            <w:tcW w:w="876" w:type="dxa"/>
            <w:vAlign w:val="center"/>
          </w:tcPr>
          <w:p w14:paraId="600F22A9">
            <w:pPr>
              <w:spacing w:line="400" w:lineRule="exact"/>
              <w:jc w:val="center"/>
              <w:rPr>
                <w:rFonts w:ascii="宋体" w:hAnsi="宋体"/>
                <w:bCs/>
              </w:rPr>
            </w:pPr>
          </w:p>
        </w:tc>
        <w:tc>
          <w:tcPr>
            <w:tcW w:w="972" w:type="dxa"/>
            <w:vAlign w:val="center"/>
          </w:tcPr>
          <w:p w14:paraId="2F2284E4">
            <w:pPr>
              <w:spacing w:line="400" w:lineRule="exact"/>
              <w:jc w:val="center"/>
              <w:rPr>
                <w:rFonts w:ascii="宋体" w:hAnsi="宋体"/>
                <w:bCs/>
              </w:rPr>
            </w:pPr>
          </w:p>
        </w:tc>
        <w:tc>
          <w:tcPr>
            <w:tcW w:w="1260" w:type="dxa"/>
            <w:vAlign w:val="center"/>
          </w:tcPr>
          <w:p w14:paraId="713CF106">
            <w:pPr>
              <w:spacing w:line="400" w:lineRule="exact"/>
              <w:jc w:val="center"/>
              <w:rPr>
                <w:rFonts w:ascii="宋体" w:hAnsi="宋体"/>
                <w:bCs/>
              </w:rPr>
            </w:pPr>
          </w:p>
        </w:tc>
        <w:tc>
          <w:tcPr>
            <w:tcW w:w="1596" w:type="dxa"/>
            <w:vAlign w:val="center"/>
          </w:tcPr>
          <w:p w14:paraId="0853220E">
            <w:pPr>
              <w:spacing w:line="400" w:lineRule="exact"/>
              <w:jc w:val="center"/>
              <w:rPr>
                <w:rFonts w:ascii="宋体" w:hAnsi="宋体"/>
                <w:bCs/>
              </w:rPr>
            </w:pPr>
          </w:p>
        </w:tc>
        <w:tc>
          <w:tcPr>
            <w:tcW w:w="1797" w:type="dxa"/>
          </w:tcPr>
          <w:p w14:paraId="17D576D3">
            <w:pPr>
              <w:spacing w:line="400" w:lineRule="exact"/>
              <w:jc w:val="center"/>
              <w:rPr>
                <w:rFonts w:ascii="宋体" w:hAnsi="宋体"/>
              </w:rPr>
            </w:pPr>
          </w:p>
        </w:tc>
        <w:tc>
          <w:tcPr>
            <w:tcW w:w="1797" w:type="dxa"/>
          </w:tcPr>
          <w:p w14:paraId="7421B737">
            <w:pPr>
              <w:spacing w:line="400" w:lineRule="exact"/>
              <w:jc w:val="center"/>
              <w:rPr>
                <w:rFonts w:ascii="宋体" w:hAnsi="宋体"/>
              </w:rPr>
            </w:pPr>
          </w:p>
        </w:tc>
      </w:tr>
      <w:tr w14:paraId="4DE1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7" w:type="dxa"/>
            <w:vAlign w:val="center"/>
          </w:tcPr>
          <w:p w14:paraId="1FAFE348">
            <w:pPr>
              <w:spacing w:line="400" w:lineRule="exact"/>
              <w:jc w:val="center"/>
              <w:rPr>
                <w:rFonts w:hint="eastAsia" w:ascii="宋体" w:hAnsi="宋体"/>
                <w:b/>
                <w:lang w:val="en-US" w:eastAsia="zh-CN"/>
              </w:rPr>
            </w:pPr>
          </w:p>
        </w:tc>
        <w:tc>
          <w:tcPr>
            <w:tcW w:w="1356" w:type="dxa"/>
            <w:vAlign w:val="center"/>
          </w:tcPr>
          <w:p w14:paraId="67FFEC8C">
            <w:pPr>
              <w:spacing w:line="400" w:lineRule="exact"/>
              <w:rPr>
                <w:rFonts w:hint="eastAsia" w:ascii="宋体" w:hAnsi="宋体"/>
                <w:b/>
                <w:lang w:val="en-US" w:eastAsia="zh-CN"/>
              </w:rPr>
            </w:pPr>
          </w:p>
        </w:tc>
        <w:tc>
          <w:tcPr>
            <w:tcW w:w="876" w:type="dxa"/>
            <w:vAlign w:val="center"/>
          </w:tcPr>
          <w:p w14:paraId="19091AC4">
            <w:pPr>
              <w:spacing w:line="400" w:lineRule="exact"/>
              <w:jc w:val="center"/>
              <w:rPr>
                <w:rFonts w:ascii="宋体" w:hAnsi="宋体"/>
                <w:bCs/>
              </w:rPr>
            </w:pPr>
          </w:p>
        </w:tc>
        <w:tc>
          <w:tcPr>
            <w:tcW w:w="972" w:type="dxa"/>
            <w:vAlign w:val="center"/>
          </w:tcPr>
          <w:p w14:paraId="0F75AE60">
            <w:pPr>
              <w:spacing w:line="400" w:lineRule="exact"/>
              <w:jc w:val="center"/>
              <w:rPr>
                <w:rFonts w:ascii="宋体" w:hAnsi="宋体"/>
                <w:bCs/>
              </w:rPr>
            </w:pPr>
          </w:p>
        </w:tc>
        <w:tc>
          <w:tcPr>
            <w:tcW w:w="1260" w:type="dxa"/>
            <w:vAlign w:val="center"/>
          </w:tcPr>
          <w:p w14:paraId="351BF26D">
            <w:pPr>
              <w:spacing w:line="400" w:lineRule="exact"/>
              <w:jc w:val="center"/>
              <w:rPr>
                <w:rFonts w:ascii="宋体" w:hAnsi="宋体"/>
                <w:bCs/>
              </w:rPr>
            </w:pPr>
          </w:p>
        </w:tc>
        <w:tc>
          <w:tcPr>
            <w:tcW w:w="1596" w:type="dxa"/>
            <w:vAlign w:val="center"/>
          </w:tcPr>
          <w:p w14:paraId="7A9C93DB">
            <w:pPr>
              <w:spacing w:line="400" w:lineRule="exact"/>
              <w:jc w:val="center"/>
              <w:rPr>
                <w:rFonts w:ascii="宋体" w:hAnsi="宋体"/>
                <w:bCs/>
              </w:rPr>
            </w:pPr>
          </w:p>
        </w:tc>
        <w:tc>
          <w:tcPr>
            <w:tcW w:w="1797" w:type="dxa"/>
          </w:tcPr>
          <w:p w14:paraId="63BB88F4">
            <w:pPr>
              <w:spacing w:line="400" w:lineRule="exact"/>
              <w:jc w:val="center"/>
              <w:rPr>
                <w:rFonts w:ascii="宋体" w:hAnsi="宋体"/>
              </w:rPr>
            </w:pPr>
          </w:p>
        </w:tc>
        <w:tc>
          <w:tcPr>
            <w:tcW w:w="1797" w:type="dxa"/>
          </w:tcPr>
          <w:p w14:paraId="4902F70F">
            <w:pPr>
              <w:spacing w:line="400" w:lineRule="exact"/>
              <w:jc w:val="center"/>
              <w:rPr>
                <w:rFonts w:ascii="宋体" w:hAnsi="宋体"/>
              </w:rPr>
            </w:pPr>
          </w:p>
        </w:tc>
      </w:tr>
    </w:tbl>
    <w:p w14:paraId="6756DEFB"/>
    <w:p w14:paraId="5119B6D9">
      <w:pPr>
        <w:pStyle w:val="3"/>
        <w:spacing w:before="120" w:after="120"/>
        <w:rPr>
          <w:rFonts w:hint="eastAsia" w:ascii="宋体" w:hAnsi="宋体" w:eastAsia="宋体" w:cs="宋体"/>
        </w:rPr>
      </w:pPr>
      <w:r>
        <w:rPr>
          <w:rFonts w:hint="eastAsia"/>
        </w:rPr>
        <w:t>注：1、以上人员一经确认，不得随意更换，如需更换，必须征得采购人同意。擅自更换或不到位属违约行为。</w:t>
      </w:r>
    </w:p>
    <w:p w14:paraId="5AC901E0">
      <w:pPr>
        <w:pStyle w:val="3"/>
        <w:spacing w:before="120" w:after="120"/>
        <w:ind w:firstLine="422" w:firstLineChars="20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表格不够用时可自行扩展。</w:t>
      </w:r>
    </w:p>
    <w:p w14:paraId="1A3A3518"/>
    <w:p w14:paraId="43645FB0">
      <w:pPr>
        <w:pStyle w:val="8"/>
        <w:rPr>
          <w:rStyle w:val="36"/>
          <w:rFonts w:ascii="宋体" w:hAnsi="宋体" w:cs="宋体"/>
          <w:bCs/>
          <w:color w:val="000000"/>
          <w:sz w:val="21"/>
        </w:rPr>
      </w:pPr>
    </w:p>
    <w:p w14:paraId="68E757B7">
      <w:pPr>
        <w:pStyle w:val="22"/>
        <w:ind w:firstLine="207"/>
        <w:rPr>
          <w:rStyle w:val="36"/>
          <w:rFonts w:ascii="宋体" w:hAnsi="宋体" w:cs="宋体"/>
          <w:bCs/>
          <w:color w:val="000000"/>
          <w:sz w:val="21"/>
        </w:rPr>
      </w:pPr>
    </w:p>
    <w:p w14:paraId="3079BAA7">
      <w:pPr>
        <w:pStyle w:val="9"/>
        <w:ind w:firstLine="0"/>
        <w:rPr>
          <w:rFonts w:hAnsi="宋体" w:cs="宋体"/>
          <w:color w:val="000000"/>
          <w:sz w:val="21"/>
          <w:szCs w:val="21"/>
        </w:rPr>
      </w:pPr>
      <w:r>
        <w:rPr>
          <w:rFonts w:hint="eastAsia" w:hAnsi="宋体" w:cs="宋体"/>
          <w:color w:val="000000"/>
          <w:sz w:val="21"/>
          <w:szCs w:val="21"/>
        </w:rPr>
        <w:t xml:space="preserve">供应商全称（盖章）：                  </w:t>
      </w:r>
    </w:p>
    <w:p w14:paraId="78423495">
      <w:pPr>
        <w:pStyle w:val="9"/>
        <w:ind w:firstLine="0"/>
        <w:rPr>
          <w:rFonts w:hAnsi="宋体" w:cs="宋体"/>
          <w:color w:val="000000"/>
          <w:sz w:val="21"/>
          <w:szCs w:val="21"/>
        </w:rPr>
      </w:pPr>
      <w:r>
        <w:rPr>
          <w:rFonts w:hint="eastAsia" w:hAnsi="宋体" w:cs="宋体"/>
          <w:color w:val="000000"/>
          <w:sz w:val="21"/>
          <w:szCs w:val="21"/>
        </w:rPr>
        <w:t>法定代表人（单位负责人）或委托代理人签字：</w:t>
      </w:r>
    </w:p>
    <w:p w14:paraId="367D8338">
      <w:pPr>
        <w:pStyle w:val="9"/>
        <w:ind w:firstLine="0"/>
        <w:rPr>
          <w:rFonts w:hAnsi="宋体" w:cs="宋体"/>
          <w:color w:val="000000"/>
          <w:szCs w:val="21"/>
        </w:rPr>
      </w:pPr>
      <w:r>
        <w:rPr>
          <w:rFonts w:hint="eastAsia" w:hAnsi="宋体" w:cs="宋体"/>
          <w:color w:val="000000"/>
          <w:sz w:val="21"/>
          <w:szCs w:val="21"/>
        </w:rPr>
        <w:t>日期：     年   月   日</w:t>
      </w:r>
    </w:p>
    <w:p w14:paraId="5C59812C">
      <w:pPr>
        <w:rPr>
          <w:rStyle w:val="36"/>
          <w:rFonts w:ascii="宋体" w:hAnsi="宋体" w:cs="宋体"/>
          <w:bCs/>
          <w:color w:val="000000"/>
          <w:sz w:val="21"/>
        </w:rPr>
      </w:pPr>
    </w:p>
    <w:p w14:paraId="71322BD1">
      <w:pPr>
        <w:pStyle w:val="3"/>
        <w:spacing w:before="120" w:after="120"/>
        <w:rPr>
          <w:rStyle w:val="36"/>
          <w:b w:val="0"/>
          <w:color w:val="000000"/>
          <w:sz w:val="21"/>
        </w:rPr>
      </w:pPr>
    </w:p>
    <w:p w14:paraId="7CE8C9B6">
      <w:pPr>
        <w:rPr>
          <w:rStyle w:val="36"/>
          <w:rFonts w:ascii="宋体" w:hAnsi="宋体" w:cs="宋体"/>
          <w:bCs/>
          <w:color w:val="000000"/>
          <w:sz w:val="21"/>
        </w:rPr>
      </w:pPr>
    </w:p>
    <w:p w14:paraId="7C2FFA99">
      <w:pPr>
        <w:spacing w:line="400" w:lineRule="exact"/>
        <w:rPr>
          <w:rStyle w:val="36"/>
          <w:rFonts w:ascii="宋体" w:hAnsi="宋体" w:cs="宋体"/>
          <w:bCs/>
          <w:color w:val="000000"/>
          <w:sz w:val="21"/>
          <w:szCs w:val="22"/>
        </w:rPr>
      </w:pPr>
      <w:r>
        <w:rPr>
          <w:rStyle w:val="36"/>
          <w:rFonts w:hint="eastAsia" w:ascii="宋体" w:hAnsi="宋体" w:cs="宋体"/>
          <w:bCs/>
          <w:color w:val="000000"/>
          <w:sz w:val="21"/>
          <w:szCs w:val="22"/>
        </w:rPr>
        <w:t>附件十</w:t>
      </w:r>
    </w:p>
    <w:p w14:paraId="6D2F76AB">
      <w:pPr>
        <w:spacing w:before="120" w:after="120"/>
        <w:jc w:val="center"/>
        <w:rPr>
          <w:rFonts w:ascii="宋体" w:hAnsi="宋体"/>
          <w:b/>
          <w:bCs/>
          <w:color w:val="000000"/>
          <w:spacing w:val="20"/>
          <w:sz w:val="24"/>
        </w:rPr>
      </w:pPr>
      <w:r>
        <w:rPr>
          <w:rFonts w:hint="eastAsia" w:ascii="宋体" w:hAnsi="宋体"/>
          <w:b/>
          <w:bCs/>
          <w:color w:val="000000"/>
          <w:spacing w:val="20"/>
          <w:sz w:val="24"/>
          <w:lang w:val="en-US" w:eastAsia="zh-CN"/>
        </w:rPr>
        <w:t>项目拟投入运维设备一览表</w:t>
      </w:r>
    </w:p>
    <w:p w14:paraId="17003A73">
      <w:pPr>
        <w:rPr>
          <w:rFonts w:ascii="宋体" w:hAnsi="宋体"/>
          <w:color w:val="000000"/>
          <w:sz w:val="28"/>
        </w:rPr>
      </w:pPr>
    </w:p>
    <w:p w14:paraId="7B12DF61">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eastAsia="zh-CN"/>
        </w:rPr>
        <w:t>项目编号</w:t>
      </w:r>
      <w:r>
        <w:rPr>
          <w:rFonts w:ascii="宋体" w:hAnsi="宋体"/>
          <w:color w:val="000000"/>
        </w:rPr>
        <w:t>：</w:t>
      </w:r>
      <w:r>
        <w:rPr>
          <w:rFonts w:ascii="宋体" w:hAnsi="宋体"/>
          <w:color w:val="000000"/>
          <w:u w:val="single"/>
        </w:rPr>
        <w:t xml:space="preserve">             </w:t>
      </w:r>
      <w:r>
        <w:rPr>
          <w:rFonts w:ascii="宋体" w:hAnsi="宋体"/>
          <w:color w:val="000000"/>
        </w:rPr>
        <w:t xml:space="preserve"> </w:t>
      </w:r>
    </w:p>
    <w:p w14:paraId="5370574C">
      <w:pPr>
        <w:spacing w:line="0" w:lineRule="atLeast"/>
        <w:rPr>
          <w:rFonts w:ascii="宋体" w:hAnsi="宋体"/>
          <w:color w:val="000000"/>
          <w:sz w:val="24"/>
        </w:rPr>
      </w:pPr>
    </w:p>
    <w:tbl>
      <w:tblPr>
        <w:tblStyle w:val="24"/>
        <w:tblpPr w:leftFromText="180" w:rightFromText="180" w:vertAnchor="text" w:horzAnchor="page" w:tblpX="1268" w:tblpY="172"/>
        <w:tblOverlap w:val="never"/>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37"/>
        <w:gridCol w:w="730"/>
        <w:gridCol w:w="730"/>
        <w:gridCol w:w="936"/>
        <w:gridCol w:w="936"/>
        <w:gridCol w:w="1413"/>
        <w:gridCol w:w="1388"/>
        <w:gridCol w:w="1388"/>
      </w:tblGrid>
      <w:tr w14:paraId="3DF1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97" w:type="dxa"/>
            <w:tcBorders>
              <w:top w:val="single" w:color="auto" w:sz="4" w:space="0"/>
              <w:left w:val="single" w:color="auto" w:sz="4" w:space="0"/>
              <w:bottom w:val="single" w:color="auto" w:sz="4" w:space="0"/>
              <w:right w:val="single" w:color="auto" w:sz="4" w:space="0"/>
            </w:tcBorders>
            <w:vAlign w:val="center"/>
          </w:tcPr>
          <w:p w14:paraId="5518BF69">
            <w:pPr>
              <w:tabs>
                <w:tab w:val="left" w:pos="4500"/>
              </w:tabs>
              <w:spacing w:line="400" w:lineRule="exact"/>
              <w:jc w:val="center"/>
              <w:rPr>
                <w:rFonts w:hAnsi="宋体" w:cs="宋体"/>
              </w:rPr>
            </w:pPr>
            <w:r>
              <w:rPr>
                <w:rFonts w:hint="eastAsia" w:hAnsi="宋体" w:cs="宋体"/>
              </w:rPr>
              <w:t>序号</w:t>
            </w:r>
          </w:p>
        </w:tc>
        <w:tc>
          <w:tcPr>
            <w:tcW w:w="1437" w:type="dxa"/>
            <w:tcBorders>
              <w:top w:val="single" w:color="auto" w:sz="4" w:space="0"/>
              <w:left w:val="single" w:color="auto" w:sz="4" w:space="0"/>
              <w:bottom w:val="single" w:color="auto" w:sz="4" w:space="0"/>
              <w:right w:val="single" w:color="auto" w:sz="4" w:space="0"/>
            </w:tcBorders>
            <w:vAlign w:val="center"/>
          </w:tcPr>
          <w:p w14:paraId="52599622">
            <w:pPr>
              <w:tabs>
                <w:tab w:val="left" w:pos="4500"/>
              </w:tabs>
              <w:spacing w:line="400" w:lineRule="exact"/>
              <w:jc w:val="center"/>
              <w:rPr>
                <w:rFonts w:hAnsi="宋体" w:cs="宋体"/>
              </w:rPr>
            </w:pPr>
            <w:r>
              <w:rPr>
                <w:rFonts w:hint="eastAsia" w:hAnsi="宋体" w:cs="宋体"/>
                <w:lang w:val="en-US" w:eastAsia="zh-CN"/>
              </w:rPr>
              <w:t>设备</w:t>
            </w:r>
            <w:r>
              <w:rPr>
                <w:rFonts w:hint="eastAsia" w:hAnsi="宋体" w:cs="宋体"/>
              </w:rPr>
              <w:t>名称</w:t>
            </w:r>
          </w:p>
        </w:tc>
        <w:tc>
          <w:tcPr>
            <w:tcW w:w="730" w:type="dxa"/>
            <w:tcBorders>
              <w:top w:val="single" w:color="auto" w:sz="4" w:space="0"/>
              <w:left w:val="single" w:color="auto" w:sz="4" w:space="0"/>
              <w:bottom w:val="single" w:color="auto" w:sz="4" w:space="0"/>
              <w:right w:val="single" w:color="auto" w:sz="4" w:space="0"/>
            </w:tcBorders>
            <w:vAlign w:val="center"/>
          </w:tcPr>
          <w:p w14:paraId="55F645A8">
            <w:pPr>
              <w:tabs>
                <w:tab w:val="left" w:pos="4500"/>
              </w:tabs>
              <w:spacing w:line="400" w:lineRule="exact"/>
              <w:jc w:val="center"/>
              <w:rPr>
                <w:rFonts w:hint="default" w:hAnsi="宋体" w:eastAsia="宋体" w:cs="宋体"/>
                <w:lang w:val="en-US" w:eastAsia="zh-CN"/>
              </w:rPr>
            </w:pPr>
            <w:r>
              <w:rPr>
                <w:rFonts w:hint="eastAsia" w:hAnsi="宋体" w:cs="宋体"/>
                <w:lang w:val="en-US" w:eastAsia="zh-CN"/>
              </w:rPr>
              <w:t>型号规格</w:t>
            </w:r>
          </w:p>
        </w:tc>
        <w:tc>
          <w:tcPr>
            <w:tcW w:w="730" w:type="dxa"/>
            <w:tcBorders>
              <w:top w:val="single" w:color="auto" w:sz="4" w:space="0"/>
              <w:left w:val="single" w:color="auto" w:sz="4" w:space="0"/>
              <w:bottom w:val="single" w:color="auto" w:sz="4" w:space="0"/>
              <w:right w:val="single" w:color="auto" w:sz="4" w:space="0"/>
            </w:tcBorders>
            <w:vAlign w:val="center"/>
          </w:tcPr>
          <w:p w14:paraId="3BB449C0">
            <w:pPr>
              <w:tabs>
                <w:tab w:val="left" w:pos="4500"/>
              </w:tabs>
              <w:spacing w:line="400" w:lineRule="exact"/>
              <w:jc w:val="center"/>
              <w:rPr>
                <w:rFonts w:hint="eastAsia" w:hAnsi="宋体" w:eastAsia="宋体" w:cs="宋体"/>
                <w:lang w:val="en-US" w:eastAsia="zh-CN"/>
              </w:rPr>
            </w:pPr>
            <w:r>
              <w:rPr>
                <w:rFonts w:hint="eastAsia" w:hAnsi="宋体" w:cs="宋体"/>
                <w:lang w:val="en-US" w:eastAsia="zh-CN"/>
              </w:rPr>
              <w:t>数量</w:t>
            </w:r>
          </w:p>
        </w:tc>
        <w:tc>
          <w:tcPr>
            <w:tcW w:w="936" w:type="dxa"/>
            <w:tcBorders>
              <w:top w:val="single" w:color="auto" w:sz="4" w:space="0"/>
              <w:left w:val="single" w:color="auto" w:sz="4" w:space="0"/>
              <w:bottom w:val="single" w:color="auto" w:sz="4" w:space="0"/>
              <w:right w:val="single" w:color="auto" w:sz="4" w:space="0"/>
            </w:tcBorders>
            <w:vAlign w:val="center"/>
          </w:tcPr>
          <w:p w14:paraId="3DDF0C9E">
            <w:pPr>
              <w:tabs>
                <w:tab w:val="left" w:pos="4500"/>
              </w:tabs>
              <w:spacing w:line="400" w:lineRule="exact"/>
              <w:jc w:val="center"/>
              <w:rPr>
                <w:rFonts w:hint="default" w:hAnsi="宋体" w:cs="宋体"/>
                <w:lang w:val="en-US" w:eastAsia="zh-CN"/>
              </w:rPr>
            </w:pPr>
            <w:r>
              <w:rPr>
                <w:rFonts w:hint="eastAsia" w:hAnsi="宋体" w:cs="宋体"/>
                <w:lang w:val="en-US" w:eastAsia="zh-CN"/>
              </w:rPr>
              <w:t>国别产地</w:t>
            </w:r>
          </w:p>
        </w:tc>
        <w:tc>
          <w:tcPr>
            <w:tcW w:w="936" w:type="dxa"/>
            <w:tcBorders>
              <w:top w:val="single" w:color="auto" w:sz="4" w:space="0"/>
              <w:left w:val="single" w:color="auto" w:sz="4" w:space="0"/>
              <w:bottom w:val="single" w:color="auto" w:sz="4" w:space="0"/>
              <w:right w:val="single" w:color="auto" w:sz="4" w:space="0"/>
            </w:tcBorders>
            <w:vAlign w:val="center"/>
          </w:tcPr>
          <w:p w14:paraId="088A50FF">
            <w:pPr>
              <w:tabs>
                <w:tab w:val="left" w:pos="4500"/>
              </w:tabs>
              <w:spacing w:line="400" w:lineRule="exact"/>
              <w:jc w:val="center"/>
              <w:rPr>
                <w:rFonts w:hint="default" w:hAnsi="宋体" w:cs="宋体"/>
                <w:lang w:val="en-US" w:eastAsia="zh-CN"/>
              </w:rPr>
            </w:pPr>
            <w:r>
              <w:rPr>
                <w:rFonts w:hint="eastAsia" w:hAnsi="宋体" w:cs="宋体"/>
                <w:lang w:val="en-US" w:eastAsia="zh-CN"/>
              </w:rPr>
              <w:t>制造年份</w:t>
            </w:r>
          </w:p>
        </w:tc>
        <w:tc>
          <w:tcPr>
            <w:tcW w:w="1413" w:type="dxa"/>
            <w:tcBorders>
              <w:top w:val="single" w:color="auto" w:sz="4" w:space="0"/>
              <w:left w:val="single" w:color="auto" w:sz="4" w:space="0"/>
              <w:bottom w:val="single" w:color="auto" w:sz="4" w:space="0"/>
              <w:right w:val="single" w:color="auto" w:sz="4" w:space="0"/>
            </w:tcBorders>
            <w:vAlign w:val="center"/>
          </w:tcPr>
          <w:p w14:paraId="7736D0B9">
            <w:pPr>
              <w:tabs>
                <w:tab w:val="left" w:pos="4500"/>
              </w:tabs>
              <w:spacing w:line="400" w:lineRule="exact"/>
              <w:jc w:val="center"/>
              <w:rPr>
                <w:rFonts w:hint="eastAsia" w:hAnsi="宋体" w:cs="宋体"/>
              </w:rPr>
            </w:pPr>
            <w:r>
              <w:rPr>
                <w:rFonts w:hint="eastAsia" w:hAnsi="宋体" w:cs="宋体"/>
                <w:lang w:val="en-US" w:eastAsia="zh-CN"/>
              </w:rPr>
              <w:t xml:space="preserve">生产 </w:t>
            </w:r>
          </w:p>
          <w:p w14:paraId="2CB05D3B">
            <w:pPr>
              <w:tabs>
                <w:tab w:val="left" w:pos="4500"/>
              </w:tabs>
              <w:spacing w:line="400" w:lineRule="exact"/>
              <w:jc w:val="center"/>
              <w:rPr>
                <w:rFonts w:hint="eastAsia" w:hAnsi="宋体" w:cs="宋体"/>
              </w:rPr>
            </w:pPr>
            <w:r>
              <w:rPr>
                <w:rFonts w:hint="eastAsia" w:hAnsi="宋体" w:cs="宋体"/>
                <w:lang w:val="en-US" w:eastAsia="zh-CN"/>
              </w:rPr>
              <w:t>能力</w:t>
            </w:r>
          </w:p>
        </w:tc>
        <w:tc>
          <w:tcPr>
            <w:tcW w:w="1388" w:type="dxa"/>
            <w:tcBorders>
              <w:top w:val="single" w:color="auto" w:sz="4" w:space="0"/>
              <w:left w:val="single" w:color="auto" w:sz="4" w:space="0"/>
              <w:bottom w:val="single" w:color="auto" w:sz="4" w:space="0"/>
              <w:right w:val="single" w:color="auto" w:sz="4" w:space="0"/>
            </w:tcBorders>
            <w:vAlign w:val="center"/>
          </w:tcPr>
          <w:p w14:paraId="3AFF368E">
            <w:pPr>
              <w:tabs>
                <w:tab w:val="left" w:pos="4500"/>
              </w:tabs>
              <w:spacing w:line="400" w:lineRule="exact"/>
              <w:jc w:val="center"/>
              <w:rPr>
                <w:rFonts w:hint="eastAsia" w:hAnsi="宋体" w:cs="宋体"/>
              </w:rPr>
            </w:pPr>
            <w:r>
              <w:rPr>
                <w:rFonts w:hint="eastAsia" w:hAnsi="宋体" w:cs="宋体"/>
              </w:rPr>
              <w:t>用于施</w:t>
            </w:r>
          </w:p>
          <w:p w14:paraId="0CE1E0E6">
            <w:pPr>
              <w:tabs>
                <w:tab w:val="left" w:pos="4500"/>
              </w:tabs>
              <w:spacing w:line="400" w:lineRule="exact"/>
              <w:jc w:val="center"/>
              <w:rPr>
                <w:rFonts w:hint="eastAsia" w:hAnsi="宋体" w:cs="宋体"/>
              </w:rPr>
            </w:pPr>
            <w:r>
              <w:rPr>
                <w:rFonts w:hint="eastAsia" w:hAnsi="宋体" w:cs="宋体"/>
              </w:rPr>
              <w:t>工部位</w:t>
            </w:r>
          </w:p>
        </w:tc>
        <w:tc>
          <w:tcPr>
            <w:tcW w:w="1388" w:type="dxa"/>
            <w:tcBorders>
              <w:top w:val="single" w:color="auto" w:sz="4" w:space="0"/>
              <w:left w:val="single" w:color="auto" w:sz="4" w:space="0"/>
              <w:bottom w:val="single" w:color="auto" w:sz="4" w:space="0"/>
              <w:right w:val="single" w:color="auto" w:sz="4" w:space="0"/>
            </w:tcBorders>
            <w:vAlign w:val="center"/>
          </w:tcPr>
          <w:p w14:paraId="36643329">
            <w:pPr>
              <w:tabs>
                <w:tab w:val="left" w:pos="4500"/>
              </w:tabs>
              <w:spacing w:line="400" w:lineRule="exact"/>
              <w:jc w:val="center"/>
              <w:rPr>
                <w:rFonts w:hint="eastAsia" w:hAnsi="宋体" w:cs="宋体"/>
              </w:rPr>
            </w:pPr>
            <w:r>
              <w:rPr>
                <w:rFonts w:hint="eastAsia" w:hAnsi="宋体" w:cs="宋体"/>
              </w:rPr>
              <w:t>备注</w:t>
            </w:r>
          </w:p>
        </w:tc>
      </w:tr>
      <w:tr w14:paraId="0971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97" w:type="dxa"/>
            <w:tcBorders>
              <w:top w:val="single" w:color="auto" w:sz="4" w:space="0"/>
              <w:left w:val="single" w:color="auto" w:sz="4" w:space="0"/>
              <w:bottom w:val="single" w:color="auto" w:sz="4" w:space="0"/>
              <w:right w:val="single" w:color="auto" w:sz="4" w:space="0"/>
            </w:tcBorders>
          </w:tcPr>
          <w:p w14:paraId="69E2A569">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51137BBE">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1D7337FC">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2D791606">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4FEAACB2">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D2E12C9">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7D0C15E7">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74D58C62">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110CC1BB">
            <w:pPr>
              <w:tabs>
                <w:tab w:val="left" w:pos="4500"/>
              </w:tabs>
              <w:spacing w:line="400" w:lineRule="exact"/>
              <w:rPr>
                <w:rFonts w:hAnsi="宋体" w:cs="宋体"/>
                <w:sz w:val="24"/>
              </w:rPr>
            </w:pPr>
          </w:p>
        </w:tc>
      </w:tr>
      <w:tr w14:paraId="2291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97" w:type="dxa"/>
            <w:tcBorders>
              <w:top w:val="single" w:color="auto" w:sz="4" w:space="0"/>
              <w:left w:val="single" w:color="auto" w:sz="4" w:space="0"/>
              <w:bottom w:val="single" w:color="auto" w:sz="4" w:space="0"/>
              <w:right w:val="single" w:color="auto" w:sz="4" w:space="0"/>
            </w:tcBorders>
          </w:tcPr>
          <w:p w14:paraId="737E4526">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6E0C614F">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88F8A9C">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50043FBE">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7572BABB">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72D009E0">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327B43FB">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7BCFA282">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40962E5E">
            <w:pPr>
              <w:tabs>
                <w:tab w:val="left" w:pos="4500"/>
              </w:tabs>
              <w:spacing w:line="400" w:lineRule="exact"/>
              <w:rPr>
                <w:rFonts w:hAnsi="宋体" w:cs="宋体"/>
                <w:sz w:val="24"/>
              </w:rPr>
            </w:pPr>
          </w:p>
        </w:tc>
      </w:tr>
      <w:tr w14:paraId="295F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310CD7BF">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106D9A80">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520CB3F6">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317A3807">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5036EDDF">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4A138771">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40D20BC5">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5915240F">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0D6E4EB2">
            <w:pPr>
              <w:tabs>
                <w:tab w:val="left" w:pos="4500"/>
              </w:tabs>
              <w:spacing w:line="400" w:lineRule="exact"/>
              <w:rPr>
                <w:rFonts w:hAnsi="宋体" w:cs="宋体"/>
                <w:sz w:val="24"/>
              </w:rPr>
            </w:pPr>
          </w:p>
        </w:tc>
      </w:tr>
      <w:tr w14:paraId="7B85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27EA46C7">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5128412E">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1ECB6E54">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634696EA">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5F64EA5F">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435C288">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1B1A37C1">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2687DB60">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69DC0FA4">
            <w:pPr>
              <w:tabs>
                <w:tab w:val="left" w:pos="4500"/>
              </w:tabs>
              <w:spacing w:line="400" w:lineRule="exact"/>
              <w:rPr>
                <w:rFonts w:hAnsi="宋体" w:cs="宋体"/>
                <w:sz w:val="24"/>
              </w:rPr>
            </w:pPr>
          </w:p>
        </w:tc>
      </w:tr>
      <w:tr w14:paraId="027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2934B0BE">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1FAEA161">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152B9F70">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5F1F92C0">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7B6B0C40">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77285E69">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46EAD9C9">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179B2A36">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23ABC3B9">
            <w:pPr>
              <w:tabs>
                <w:tab w:val="left" w:pos="4500"/>
              </w:tabs>
              <w:spacing w:line="400" w:lineRule="exact"/>
              <w:rPr>
                <w:rFonts w:hAnsi="宋体" w:cs="宋体"/>
                <w:sz w:val="24"/>
              </w:rPr>
            </w:pPr>
          </w:p>
        </w:tc>
      </w:tr>
      <w:tr w14:paraId="3CBA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79B11158">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6CB30704">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7974C106">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6C368CA">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24DEB2A8">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098911E">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2BDA06C6">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281377E3">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061D6F17">
            <w:pPr>
              <w:tabs>
                <w:tab w:val="left" w:pos="4500"/>
              </w:tabs>
              <w:spacing w:line="400" w:lineRule="exact"/>
              <w:rPr>
                <w:rFonts w:hAnsi="宋体" w:cs="宋体"/>
                <w:sz w:val="24"/>
              </w:rPr>
            </w:pPr>
          </w:p>
        </w:tc>
      </w:tr>
      <w:tr w14:paraId="218C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5EEC625C">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2CCF9CF5">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5B749910">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27BE4ABA">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1EB12DF7">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95D2E7B">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3EDDE84E">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506B81BC">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77330567">
            <w:pPr>
              <w:tabs>
                <w:tab w:val="left" w:pos="4500"/>
              </w:tabs>
              <w:spacing w:line="400" w:lineRule="exact"/>
              <w:rPr>
                <w:rFonts w:hAnsi="宋体" w:cs="宋体"/>
                <w:sz w:val="24"/>
              </w:rPr>
            </w:pPr>
          </w:p>
        </w:tc>
      </w:tr>
      <w:tr w14:paraId="5CCA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3D3BA6E0">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2BB43366">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922E227">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1113753D">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237CD3B5">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6F39965E">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2E086A2C">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500E17FA">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6F682F0D">
            <w:pPr>
              <w:tabs>
                <w:tab w:val="left" w:pos="4500"/>
              </w:tabs>
              <w:spacing w:line="400" w:lineRule="exact"/>
              <w:rPr>
                <w:rFonts w:hAnsi="宋体" w:cs="宋体"/>
                <w:sz w:val="24"/>
              </w:rPr>
            </w:pPr>
          </w:p>
        </w:tc>
      </w:tr>
      <w:tr w14:paraId="4086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65325B2A">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3409AAC1">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2D559733">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39E39C44">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51E3B51">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598D6049">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3BCF85E8">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81E8FF6">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C0896C8">
            <w:pPr>
              <w:tabs>
                <w:tab w:val="left" w:pos="4500"/>
              </w:tabs>
              <w:spacing w:line="400" w:lineRule="exact"/>
              <w:rPr>
                <w:rFonts w:hAnsi="宋体" w:cs="宋体"/>
                <w:sz w:val="24"/>
              </w:rPr>
            </w:pPr>
          </w:p>
        </w:tc>
      </w:tr>
      <w:tr w14:paraId="266D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7D09B723">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5F5C3DFF">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369061A">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269ADCEB">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6F9EBD07">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24A86D53">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5003A730">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E955542">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4684BF55">
            <w:pPr>
              <w:tabs>
                <w:tab w:val="left" w:pos="4500"/>
              </w:tabs>
              <w:spacing w:line="400" w:lineRule="exact"/>
              <w:rPr>
                <w:rFonts w:hAnsi="宋体" w:cs="宋体"/>
                <w:sz w:val="24"/>
              </w:rPr>
            </w:pPr>
          </w:p>
        </w:tc>
      </w:tr>
      <w:tr w14:paraId="4EEC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7B5896B0">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0BDC17CA">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78ABCE9D">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740C9A3C">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0E7CD4B8">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4623E572">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559FE198">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7A9CF3F7">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D26EEE7">
            <w:pPr>
              <w:tabs>
                <w:tab w:val="left" w:pos="4500"/>
              </w:tabs>
              <w:spacing w:line="400" w:lineRule="exact"/>
              <w:rPr>
                <w:rFonts w:hAnsi="宋体" w:cs="宋体"/>
                <w:sz w:val="24"/>
              </w:rPr>
            </w:pPr>
          </w:p>
        </w:tc>
      </w:tr>
      <w:tr w14:paraId="4708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0AD3F12F">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75592AEF">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42DF102">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E83DCA7">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14DCA8F4">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AAB7CC9">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40C7419A">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1BBA19E1">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5EAF7A0">
            <w:pPr>
              <w:tabs>
                <w:tab w:val="left" w:pos="4500"/>
              </w:tabs>
              <w:spacing w:line="400" w:lineRule="exact"/>
              <w:rPr>
                <w:rFonts w:hAnsi="宋体" w:cs="宋体"/>
                <w:sz w:val="24"/>
              </w:rPr>
            </w:pPr>
          </w:p>
        </w:tc>
      </w:tr>
      <w:tr w14:paraId="5E07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702341EF">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7B3DAD4F">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17DE6187">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173FC7E">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2A2B2D1C">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351DE263">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766F5481">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61D8C71">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195C1117">
            <w:pPr>
              <w:tabs>
                <w:tab w:val="left" w:pos="4500"/>
              </w:tabs>
              <w:spacing w:line="400" w:lineRule="exact"/>
              <w:rPr>
                <w:rFonts w:hAnsi="宋体" w:cs="宋体"/>
                <w:sz w:val="24"/>
              </w:rPr>
            </w:pPr>
          </w:p>
        </w:tc>
      </w:tr>
      <w:tr w14:paraId="08B8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7" w:type="dxa"/>
            <w:tcBorders>
              <w:top w:val="single" w:color="auto" w:sz="4" w:space="0"/>
              <w:left w:val="single" w:color="auto" w:sz="4" w:space="0"/>
              <w:bottom w:val="single" w:color="auto" w:sz="4" w:space="0"/>
              <w:right w:val="single" w:color="auto" w:sz="4" w:space="0"/>
            </w:tcBorders>
          </w:tcPr>
          <w:p w14:paraId="23726FBA">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06BCE112">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13493BF2">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4E9A675F">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637180D5">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45F796DC">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0EA1A840">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41A10D8C">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7261668B">
            <w:pPr>
              <w:tabs>
                <w:tab w:val="left" w:pos="4500"/>
              </w:tabs>
              <w:spacing w:line="400" w:lineRule="exact"/>
              <w:rPr>
                <w:rFonts w:hAnsi="宋体" w:cs="宋体"/>
                <w:sz w:val="24"/>
              </w:rPr>
            </w:pPr>
          </w:p>
        </w:tc>
      </w:tr>
      <w:tr w14:paraId="4CD4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97" w:type="dxa"/>
            <w:tcBorders>
              <w:top w:val="single" w:color="auto" w:sz="4" w:space="0"/>
              <w:left w:val="single" w:color="auto" w:sz="4" w:space="0"/>
              <w:bottom w:val="single" w:color="auto" w:sz="4" w:space="0"/>
              <w:right w:val="single" w:color="auto" w:sz="4" w:space="0"/>
            </w:tcBorders>
          </w:tcPr>
          <w:p w14:paraId="49D1DAC8">
            <w:pPr>
              <w:tabs>
                <w:tab w:val="left" w:pos="4500"/>
              </w:tabs>
              <w:spacing w:line="400" w:lineRule="exact"/>
              <w:rPr>
                <w:rFonts w:hAnsi="宋体" w:cs="宋体"/>
                <w:sz w:val="24"/>
              </w:rPr>
            </w:pPr>
          </w:p>
        </w:tc>
        <w:tc>
          <w:tcPr>
            <w:tcW w:w="1437" w:type="dxa"/>
            <w:tcBorders>
              <w:top w:val="single" w:color="auto" w:sz="4" w:space="0"/>
              <w:left w:val="single" w:color="auto" w:sz="4" w:space="0"/>
              <w:bottom w:val="single" w:color="auto" w:sz="4" w:space="0"/>
              <w:right w:val="single" w:color="auto" w:sz="4" w:space="0"/>
            </w:tcBorders>
          </w:tcPr>
          <w:p w14:paraId="7AF7B1DB">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293994F1">
            <w:pPr>
              <w:tabs>
                <w:tab w:val="left" w:pos="4500"/>
              </w:tabs>
              <w:spacing w:line="400" w:lineRule="exact"/>
              <w:rPr>
                <w:rFonts w:hAnsi="宋体" w:cs="宋体"/>
                <w:sz w:val="24"/>
              </w:rPr>
            </w:pPr>
          </w:p>
        </w:tc>
        <w:tc>
          <w:tcPr>
            <w:tcW w:w="730" w:type="dxa"/>
            <w:tcBorders>
              <w:top w:val="single" w:color="auto" w:sz="4" w:space="0"/>
              <w:left w:val="single" w:color="auto" w:sz="4" w:space="0"/>
              <w:bottom w:val="single" w:color="auto" w:sz="4" w:space="0"/>
              <w:right w:val="single" w:color="auto" w:sz="4" w:space="0"/>
            </w:tcBorders>
          </w:tcPr>
          <w:p w14:paraId="0F0D288B">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78D5EA8B">
            <w:pPr>
              <w:tabs>
                <w:tab w:val="left" w:pos="4500"/>
              </w:tabs>
              <w:spacing w:line="400" w:lineRule="exact"/>
              <w:rPr>
                <w:rFonts w:hAnsi="宋体" w:cs="宋体"/>
                <w:sz w:val="24"/>
              </w:rPr>
            </w:pPr>
          </w:p>
        </w:tc>
        <w:tc>
          <w:tcPr>
            <w:tcW w:w="936" w:type="dxa"/>
            <w:tcBorders>
              <w:top w:val="single" w:color="auto" w:sz="4" w:space="0"/>
              <w:left w:val="single" w:color="auto" w:sz="4" w:space="0"/>
              <w:bottom w:val="single" w:color="auto" w:sz="4" w:space="0"/>
              <w:right w:val="single" w:color="auto" w:sz="4" w:space="0"/>
            </w:tcBorders>
          </w:tcPr>
          <w:p w14:paraId="68E6CFB1">
            <w:pPr>
              <w:tabs>
                <w:tab w:val="left" w:pos="4500"/>
              </w:tabs>
              <w:spacing w:line="400" w:lineRule="exact"/>
              <w:rPr>
                <w:rFonts w:hAnsi="宋体" w:cs="宋体"/>
                <w:sz w:val="24"/>
              </w:rPr>
            </w:pPr>
          </w:p>
        </w:tc>
        <w:tc>
          <w:tcPr>
            <w:tcW w:w="1413" w:type="dxa"/>
            <w:tcBorders>
              <w:top w:val="single" w:color="auto" w:sz="4" w:space="0"/>
              <w:left w:val="single" w:color="auto" w:sz="4" w:space="0"/>
              <w:bottom w:val="single" w:color="auto" w:sz="4" w:space="0"/>
              <w:right w:val="single" w:color="auto" w:sz="4" w:space="0"/>
            </w:tcBorders>
          </w:tcPr>
          <w:p w14:paraId="6CC0DE16">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334CB38F">
            <w:pPr>
              <w:tabs>
                <w:tab w:val="left" w:pos="4500"/>
              </w:tabs>
              <w:spacing w:line="400" w:lineRule="exact"/>
              <w:rPr>
                <w:rFonts w:hAnsi="宋体" w:cs="宋体"/>
                <w:sz w:val="24"/>
              </w:rPr>
            </w:pPr>
          </w:p>
        </w:tc>
        <w:tc>
          <w:tcPr>
            <w:tcW w:w="1388" w:type="dxa"/>
            <w:tcBorders>
              <w:top w:val="single" w:color="auto" w:sz="4" w:space="0"/>
              <w:left w:val="single" w:color="auto" w:sz="4" w:space="0"/>
              <w:bottom w:val="single" w:color="auto" w:sz="4" w:space="0"/>
              <w:right w:val="single" w:color="auto" w:sz="4" w:space="0"/>
            </w:tcBorders>
          </w:tcPr>
          <w:p w14:paraId="16E73C5E">
            <w:pPr>
              <w:tabs>
                <w:tab w:val="left" w:pos="4500"/>
              </w:tabs>
              <w:spacing w:line="400" w:lineRule="exact"/>
              <w:rPr>
                <w:rFonts w:hAnsi="宋体" w:cs="宋体"/>
                <w:sz w:val="24"/>
              </w:rPr>
            </w:pPr>
          </w:p>
        </w:tc>
      </w:tr>
    </w:tbl>
    <w:p w14:paraId="26E5C7C8">
      <w:pPr>
        <w:pStyle w:val="3"/>
        <w:spacing w:before="120" w:after="120"/>
        <w:ind w:left="-420" w:leftChars="-200" w:firstLine="422" w:firstLineChars="200"/>
        <w:rPr>
          <w:rFonts w:hint="eastAsia"/>
        </w:rPr>
      </w:pPr>
      <w:r>
        <w:rPr>
          <w:rFonts w:hint="eastAsia"/>
          <w:lang w:val="en-US" w:eastAsia="zh-CN"/>
        </w:rPr>
        <w:t>注：所需车辆或设备为供应商自有的响应文件中须提供购置发票扫描件加盖供应商公章；所需车辆或设备为供应商租赁的响应文件中须提供购置发票扫描件和租赁合同（租赁期若短于服务期限的须提供承诺书，承诺租赁期至合同履约完毕，格式自拟）扫描件加盖供应商公章；供应商中标后配备车辆或设备的，须在响应文件中进行承诺（响应文件中提供承诺书，格式自拟）,并在中标结果公示结束后、签订合同前向采购人提供相应（自有或租赁）的证明材料，如不提供取消其中标资格。</w:t>
      </w:r>
    </w:p>
    <w:p w14:paraId="602D2AC9">
      <w:pPr>
        <w:spacing w:line="0" w:lineRule="atLeast"/>
        <w:rPr>
          <w:rFonts w:ascii="宋体" w:hAnsi="宋体"/>
          <w:color w:val="000000"/>
          <w:sz w:val="24"/>
        </w:rPr>
      </w:pPr>
    </w:p>
    <w:p w14:paraId="170022F9">
      <w:pPr>
        <w:pStyle w:val="9"/>
        <w:ind w:firstLine="0"/>
        <w:rPr>
          <w:rFonts w:hAnsi="宋体" w:cs="宋体"/>
          <w:color w:val="000000"/>
          <w:sz w:val="21"/>
          <w:szCs w:val="21"/>
        </w:rPr>
      </w:pPr>
      <w:r>
        <w:rPr>
          <w:rFonts w:hint="eastAsia" w:hAnsi="宋体" w:cs="宋体"/>
          <w:color w:val="000000"/>
          <w:sz w:val="21"/>
          <w:szCs w:val="21"/>
        </w:rPr>
        <w:t xml:space="preserve">供应商全称（盖章）：                  </w:t>
      </w:r>
    </w:p>
    <w:p w14:paraId="1C6D5364">
      <w:pPr>
        <w:pStyle w:val="9"/>
        <w:ind w:firstLine="0"/>
        <w:rPr>
          <w:rFonts w:hAnsi="宋体" w:cs="宋体"/>
          <w:color w:val="000000"/>
          <w:sz w:val="21"/>
          <w:szCs w:val="21"/>
        </w:rPr>
      </w:pPr>
      <w:r>
        <w:rPr>
          <w:rFonts w:hint="eastAsia" w:hAnsi="宋体" w:cs="宋体"/>
          <w:color w:val="000000"/>
          <w:sz w:val="21"/>
          <w:szCs w:val="21"/>
        </w:rPr>
        <w:t>法定代表人（单位负责人）或委托代理人签字：</w:t>
      </w:r>
    </w:p>
    <w:p w14:paraId="147C960A">
      <w:pPr>
        <w:pStyle w:val="9"/>
        <w:ind w:firstLine="0"/>
        <w:rPr>
          <w:rFonts w:hAnsi="宋体" w:cs="宋体"/>
          <w:color w:val="000000"/>
          <w:szCs w:val="21"/>
        </w:rPr>
      </w:pPr>
      <w:r>
        <w:rPr>
          <w:rFonts w:hint="eastAsia" w:hAnsi="宋体" w:cs="宋体"/>
          <w:color w:val="000000"/>
          <w:sz w:val="21"/>
          <w:szCs w:val="21"/>
        </w:rPr>
        <w:t>日期：     年   月   日</w:t>
      </w:r>
    </w:p>
    <w:p w14:paraId="201F65B8">
      <w:pPr>
        <w:pStyle w:val="3"/>
        <w:spacing w:before="120" w:after="120"/>
      </w:pPr>
      <w:r>
        <w:rPr>
          <w:rFonts w:hint="eastAsia"/>
        </w:rPr>
        <w:t>附件十一</w:t>
      </w:r>
    </w:p>
    <w:p w14:paraId="6CC8E49C">
      <w:pPr>
        <w:snapToGrid w:val="0"/>
        <w:spacing w:beforeLines="50" w:after="50"/>
        <w:jc w:val="center"/>
        <w:rPr>
          <w:rFonts w:ascii="宋体" w:hAnsi="宋体" w:cs="宋体"/>
          <w:b/>
        </w:rPr>
      </w:pPr>
      <w:r>
        <w:rPr>
          <w:rFonts w:hint="eastAsia" w:ascii="宋体" w:hAnsi="宋体" w:cs="宋体"/>
          <w:b/>
        </w:rPr>
        <w:t>磋商响应书</w:t>
      </w:r>
    </w:p>
    <w:p w14:paraId="2393A334">
      <w:pPr>
        <w:spacing w:line="540" w:lineRule="exact"/>
        <w:jc w:val="left"/>
        <w:rPr>
          <w:rFonts w:hint="eastAsia" w:ascii="宋体" w:hAnsi="宋体" w:eastAsia="宋体" w:cs="宋体"/>
          <w:lang w:eastAsia="zh-CN"/>
        </w:rPr>
      </w:pPr>
      <w:r>
        <w:rPr>
          <w:rFonts w:hint="eastAsia" w:ascii="宋体" w:hAnsi="宋体" w:cs="宋体"/>
        </w:rPr>
        <w:t>致：</w:t>
      </w:r>
      <w:r>
        <w:rPr>
          <w:rFonts w:hint="eastAsia" w:ascii="宋体" w:hAnsi="宋体" w:cs="宋体"/>
          <w:lang w:eastAsia="zh-CN"/>
        </w:rPr>
        <w:t>宁波凯立工程管理有限公司</w:t>
      </w:r>
    </w:p>
    <w:p w14:paraId="3D1D6325">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459E382A">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3F26EF3C">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F5214F3">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12462AF6">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666BD05A">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70C95602">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4DDF079E">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0AAAE6C7">
      <w:pPr>
        <w:spacing w:line="540" w:lineRule="exact"/>
        <w:ind w:left="540" w:firstLine="30"/>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4A23F41D">
      <w:pPr>
        <w:spacing w:line="540" w:lineRule="exact"/>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78B1442D">
      <w:pPr>
        <w:spacing w:line="540" w:lineRule="exact"/>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888975F">
      <w:pPr>
        <w:spacing w:line="36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F8333BC">
      <w:pPr>
        <w:rPr>
          <w:rFonts w:ascii="宋体" w:hAnsi="宋体" w:cs="宋体"/>
          <w:b/>
          <w:bCs/>
        </w:rPr>
      </w:pPr>
      <w:r>
        <w:rPr>
          <w:rFonts w:hint="eastAsia" w:ascii="宋体" w:hAnsi="宋体" w:cs="宋体"/>
        </w:rPr>
        <w:br w:type="page"/>
      </w:r>
      <w:r>
        <w:rPr>
          <w:rFonts w:hint="eastAsia" w:ascii="宋体" w:hAnsi="宋体" w:cs="宋体"/>
          <w:b/>
          <w:bCs/>
        </w:rPr>
        <w:t>附件十二</w:t>
      </w:r>
    </w:p>
    <w:p w14:paraId="5DCB44D6">
      <w:pPr>
        <w:pStyle w:val="8"/>
        <w:rPr>
          <w:rFonts w:ascii="宋体" w:hAnsi="宋体" w:cs="宋体"/>
          <w:b/>
          <w:bCs/>
          <w:sz w:val="21"/>
          <w:szCs w:val="21"/>
        </w:rPr>
      </w:pPr>
    </w:p>
    <w:p w14:paraId="23454FD4">
      <w:pPr>
        <w:snapToGrid w:val="0"/>
        <w:spacing w:before="50" w:after="50"/>
        <w:jc w:val="center"/>
        <w:rPr>
          <w:rFonts w:ascii="宋体" w:hAnsi="宋体" w:cs="宋体"/>
          <w:b/>
          <w:sz w:val="28"/>
          <w:szCs w:val="28"/>
        </w:rPr>
      </w:pPr>
      <w:r>
        <w:rPr>
          <w:rFonts w:hint="eastAsia" w:ascii="宋体" w:hAnsi="宋体" w:cs="宋体"/>
          <w:b/>
          <w:sz w:val="28"/>
          <w:szCs w:val="28"/>
        </w:rPr>
        <w:t>初次报价表</w:t>
      </w:r>
    </w:p>
    <w:p w14:paraId="1E25829E">
      <w:pPr>
        <w:pStyle w:val="39"/>
        <w:spacing w:before="120" w:after="120"/>
      </w:pPr>
    </w:p>
    <w:p w14:paraId="65A54902">
      <w:pPr>
        <w:snapToGrid w:val="0"/>
        <w:spacing w:before="50" w:after="50"/>
        <w:ind w:firstLine="210" w:firstLineChars="100"/>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p>
    <w:tbl>
      <w:tblPr>
        <w:tblStyle w:val="24"/>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763"/>
        <w:gridCol w:w="3922"/>
      </w:tblGrid>
      <w:tr w14:paraId="593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37" w:type="dxa"/>
            <w:vAlign w:val="center"/>
          </w:tcPr>
          <w:p w14:paraId="5A422028">
            <w:pPr>
              <w:spacing w:line="460" w:lineRule="exact"/>
              <w:jc w:val="center"/>
              <w:rPr>
                <w:rFonts w:ascii="宋体" w:hAnsi="宋体"/>
                <w:b/>
                <w:bCs/>
              </w:rPr>
            </w:pPr>
            <w:r>
              <w:rPr>
                <w:rFonts w:ascii="宋体" w:hAnsi="宋体"/>
                <w:b/>
                <w:bCs/>
              </w:rPr>
              <w:t>序号</w:t>
            </w:r>
          </w:p>
        </w:tc>
        <w:tc>
          <w:tcPr>
            <w:tcW w:w="4763" w:type="dxa"/>
            <w:vAlign w:val="center"/>
          </w:tcPr>
          <w:p w14:paraId="215BABCD">
            <w:pPr>
              <w:spacing w:line="460" w:lineRule="exact"/>
              <w:jc w:val="center"/>
              <w:rPr>
                <w:rFonts w:ascii="宋体" w:hAnsi="宋体"/>
                <w:b/>
                <w:bCs/>
              </w:rPr>
            </w:pPr>
            <w:r>
              <w:rPr>
                <w:rFonts w:hint="eastAsia" w:ascii="宋体" w:hAnsi="宋体"/>
                <w:b/>
                <w:bCs/>
              </w:rPr>
              <w:t>项目名称</w:t>
            </w:r>
          </w:p>
        </w:tc>
        <w:tc>
          <w:tcPr>
            <w:tcW w:w="3922" w:type="dxa"/>
            <w:vAlign w:val="center"/>
          </w:tcPr>
          <w:p w14:paraId="4E794CEF">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rPr>
              <w:t>元</w:t>
            </w:r>
            <w:r>
              <w:rPr>
                <w:rFonts w:ascii="宋体" w:hAnsi="宋体"/>
                <w:b/>
                <w:bCs/>
              </w:rPr>
              <w:t>）</w:t>
            </w:r>
          </w:p>
        </w:tc>
      </w:tr>
      <w:tr w14:paraId="195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837" w:type="dxa"/>
            <w:vAlign w:val="center"/>
          </w:tcPr>
          <w:p w14:paraId="30C4A5F5">
            <w:pPr>
              <w:spacing w:line="460" w:lineRule="exact"/>
              <w:jc w:val="center"/>
              <w:rPr>
                <w:rFonts w:ascii="宋体" w:hAnsi="宋体"/>
              </w:rPr>
            </w:pPr>
            <w:r>
              <w:rPr>
                <w:rFonts w:ascii="宋体" w:hAnsi="宋体"/>
              </w:rPr>
              <w:t>1</w:t>
            </w:r>
          </w:p>
        </w:tc>
        <w:tc>
          <w:tcPr>
            <w:tcW w:w="4763" w:type="dxa"/>
            <w:vAlign w:val="center"/>
          </w:tcPr>
          <w:p w14:paraId="4DAF445A">
            <w:pPr>
              <w:spacing w:line="460" w:lineRule="exact"/>
              <w:jc w:val="center"/>
              <w:rPr>
                <w:rFonts w:ascii="宋体" w:hAnsi="宋体"/>
              </w:rPr>
            </w:pPr>
          </w:p>
        </w:tc>
        <w:tc>
          <w:tcPr>
            <w:tcW w:w="3922" w:type="dxa"/>
            <w:vAlign w:val="center"/>
          </w:tcPr>
          <w:p w14:paraId="476E1D84">
            <w:pPr>
              <w:spacing w:line="460" w:lineRule="exact"/>
              <w:jc w:val="center"/>
              <w:rPr>
                <w:rFonts w:ascii="宋体" w:hAnsi="宋体"/>
              </w:rPr>
            </w:pPr>
          </w:p>
        </w:tc>
      </w:tr>
      <w:tr w14:paraId="2001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600" w:type="dxa"/>
            <w:gridSpan w:val="2"/>
            <w:vAlign w:val="center"/>
          </w:tcPr>
          <w:p w14:paraId="0218DEA3">
            <w:pPr>
              <w:adjustRightInd w:val="0"/>
              <w:snapToGrid w:val="0"/>
              <w:jc w:val="center"/>
              <w:rPr>
                <w:rFonts w:ascii="宋体" w:hAnsi="宋体"/>
              </w:rPr>
            </w:pPr>
            <w:r>
              <w:rPr>
                <w:rFonts w:hint="eastAsia" w:ascii="宋体" w:hAnsi="宋体"/>
              </w:rPr>
              <w:t>合计（大写）</w:t>
            </w:r>
          </w:p>
        </w:tc>
        <w:tc>
          <w:tcPr>
            <w:tcW w:w="3922" w:type="dxa"/>
          </w:tcPr>
          <w:p w14:paraId="73F24B11">
            <w:pPr>
              <w:spacing w:line="460" w:lineRule="exact"/>
              <w:jc w:val="center"/>
              <w:rPr>
                <w:rFonts w:ascii="宋体" w:hAnsi="宋体"/>
              </w:rPr>
            </w:pPr>
          </w:p>
        </w:tc>
      </w:tr>
    </w:tbl>
    <w:p w14:paraId="661E61A4">
      <w:pPr>
        <w:snapToGrid w:val="0"/>
        <w:spacing w:before="50" w:after="50"/>
        <w:jc w:val="left"/>
        <w:rPr>
          <w:rFonts w:ascii="宋体" w:hAnsi="宋体" w:cs="宋体"/>
        </w:rPr>
      </w:pPr>
    </w:p>
    <w:p w14:paraId="2616EE69">
      <w:pPr>
        <w:snapToGrid w:val="0"/>
        <w:spacing w:before="50" w:after="50" w:line="360" w:lineRule="auto"/>
        <w:jc w:val="left"/>
        <w:rPr>
          <w:rFonts w:ascii="宋体" w:hAnsi="宋体" w:cs="宋体"/>
        </w:rPr>
      </w:pPr>
      <w:r>
        <w:rPr>
          <w:rFonts w:hint="eastAsia" w:ascii="宋体" w:hAnsi="宋体" w:cs="宋体"/>
        </w:rPr>
        <w:t>注: 报价一经涂改，应在涂改处加盖单位公章或者由法定代表人或授权委托人签字或盖章，否则其报作无效处理。</w:t>
      </w:r>
    </w:p>
    <w:p w14:paraId="7F7D4654">
      <w:pPr>
        <w:pStyle w:val="40"/>
        <w:rPr>
          <w:rFonts w:hAnsi="宋体" w:cs="宋体"/>
          <w:szCs w:val="21"/>
        </w:rPr>
      </w:pPr>
    </w:p>
    <w:p w14:paraId="63A90844">
      <w:pPr>
        <w:pStyle w:val="40"/>
        <w:rPr>
          <w:rFonts w:hAnsi="宋体" w:cs="宋体"/>
          <w:szCs w:val="21"/>
        </w:rPr>
      </w:pPr>
    </w:p>
    <w:p w14:paraId="3B178651">
      <w:pPr>
        <w:snapToGrid w:val="0"/>
        <w:spacing w:before="50" w:after="50"/>
        <w:ind w:left="-21" w:leftChars="-72" w:right="-817" w:rightChars="-389" w:hanging="130" w:hangingChars="62"/>
        <w:rPr>
          <w:rFonts w:ascii="宋体" w:hAnsi="宋体" w:cs="宋体"/>
        </w:rPr>
      </w:pPr>
    </w:p>
    <w:p w14:paraId="05C80FC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403B44AB">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7881AB73">
      <w:pPr>
        <w:pStyle w:val="22"/>
        <w:ind w:firstLine="210"/>
        <w:rPr>
          <w:rFonts w:ascii="宋体" w:hAnsi="宋体" w:cs="宋体"/>
          <w:b/>
          <w:bCs/>
          <w:kern w:val="2"/>
        </w:rPr>
      </w:pPr>
      <w:r>
        <w:rPr>
          <w:rFonts w:hint="eastAsia" w:ascii="宋体" w:hAnsi="宋体" w:cs="宋体"/>
        </w:rPr>
        <w:t xml:space="preserve">                                                                   年  月  日</w:t>
      </w:r>
      <w:r>
        <w:rPr>
          <w:rFonts w:hint="eastAsia" w:ascii="宋体" w:hAnsi="宋体" w:cs="宋体"/>
          <w:color w:val="FF0000"/>
        </w:rPr>
        <w:br w:type="page"/>
      </w:r>
      <w:r>
        <w:rPr>
          <w:rFonts w:hint="eastAsia" w:ascii="宋体" w:hAnsi="宋体" w:cs="宋体"/>
          <w:b/>
          <w:bCs/>
          <w:kern w:val="2"/>
        </w:rPr>
        <w:t>附件十三</w:t>
      </w:r>
    </w:p>
    <w:p w14:paraId="2990E033">
      <w:pPr>
        <w:pStyle w:val="8"/>
        <w:rPr>
          <w:rFonts w:ascii="宋体" w:hAnsi="宋体" w:cs="宋体"/>
          <w:b/>
          <w:bCs/>
          <w:i w:val="0"/>
          <w:iCs w:val="0"/>
          <w:sz w:val="21"/>
          <w:szCs w:val="21"/>
        </w:rPr>
      </w:pPr>
    </w:p>
    <w:p w14:paraId="316F5D7D">
      <w:pPr>
        <w:snapToGrid w:val="0"/>
        <w:spacing w:before="50" w:after="50"/>
        <w:jc w:val="center"/>
        <w:rPr>
          <w:rFonts w:hint="eastAsia" w:ascii="宋体" w:hAnsi="宋体" w:eastAsia="宋体" w:cs="宋体"/>
          <w:b/>
          <w:sz w:val="28"/>
          <w:szCs w:val="28"/>
          <w:lang w:eastAsia="zh-CN"/>
        </w:rPr>
      </w:pPr>
      <w:r>
        <w:rPr>
          <w:rFonts w:hint="eastAsia" w:ascii="宋体" w:hAnsi="宋体" w:cs="宋体"/>
          <w:b/>
          <w:sz w:val="28"/>
          <w:szCs w:val="28"/>
          <w:lang w:eastAsia="zh-CN"/>
        </w:rPr>
        <w:t>投标报价明细表</w:t>
      </w:r>
    </w:p>
    <w:p w14:paraId="200E8D32">
      <w:pPr>
        <w:snapToGrid w:val="0"/>
        <w:spacing w:line="440" w:lineRule="exact"/>
        <w:rPr>
          <w:rFonts w:ascii="宋体" w:hAnsi="宋体"/>
          <w:u w:val="single"/>
        </w:rPr>
      </w:pPr>
      <w:r>
        <w:rPr>
          <w:rFonts w:hint="eastAsia" w:ascii="宋体" w:hAnsi="宋体"/>
        </w:rPr>
        <w:t>项目编号：</w:t>
      </w:r>
      <w:r>
        <w:rPr>
          <w:rFonts w:hint="eastAsia" w:ascii="宋体" w:hAnsi="宋体"/>
          <w:u w:val="single"/>
        </w:rPr>
        <w:t xml:space="preserve">                                 </w:t>
      </w:r>
    </w:p>
    <w:p w14:paraId="49672DCA">
      <w:pPr>
        <w:snapToGrid w:val="0"/>
        <w:spacing w:line="440" w:lineRule="exact"/>
        <w:rPr>
          <w:rFonts w:ascii="宋体" w:hAnsi="宋体"/>
          <w:u w:val="single"/>
        </w:rPr>
      </w:pPr>
      <w:r>
        <w:rPr>
          <w:rFonts w:hint="eastAsia" w:ascii="宋体" w:hAnsi="宋体"/>
        </w:rPr>
        <w:t>项目名称：</w:t>
      </w:r>
      <w:r>
        <w:rPr>
          <w:rFonts w:hint="eastAsia" w:ascii="宋体" w:hAnsi="宋体"/>
          <w:u w:val="single"/>
        </w:rPr>
        <w:t xml:space="preserve">                                 </w:t>
      </w:r>
    </w:p>
    <w:p w14:paraId="5F27697D">
      <w:pPr>
        <w:pStyle w:val="12"/>
        <w:snapToGrid w:val="0"/>
        <w:spacing w:line="400" w:lineRule="exact"/>
        <w:ind w:firstLine="6300" w:firstLineChars="3000"/>
        <w:rPr>
          <w:rFonts w:hAnsi="Courier New"/>
          <w:color w:val="auto"/>
          <w:kern w:val="2"/>
          <w:sz w:val="21"/>
          <w:szCs w:val="21"/>
        </w:rPr>
      </w:pPr>
      <w:r>
        <w:rPr>
          <w:rFonts w:hint="eastAsia"/>
          <w:color w:val="auto"/>
          <w:kern w:val="2"/>
          <w:sz w:val="21"/>
          <w:szCs w:val="21"/>
        </w:rPr>
        <w:t>货币单位：人民币（元）</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307"/>
        <w:gridCol w:w="1945"/>
        <w:gridCol w:w="1701"/>
        <w:gridCol w:w="1134"/>
        <w:gridCol w:w="989"/>
      </w:tblGrid>
      <w:tr w14:paraId="094A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30FE621">
            <w:pPr>
              <w:pStyle w:val="9"/>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307" w:type="dxa"/>
            <w:tcBorders>
              <w:top w:val="single" w:color="auto" w:sz="4" w:space="0"/>
              <w:left w:val="single" w:color="auto" w:sz="4" w:space="0"/>
              <w:bottom w:val="single" w:color="auto" w:sz="4" w:space="0"/>
              <w:right w:val="single" w:color="auto" w:sz="4" w:space="0"/>
            </w:tcBorders>
            <w:vAlign w:val="center"/>
          </w:tcPr>
          <w:p w14:paraId="184C17CD">
            <w:pPr>
              <w:pStyle w:val="9"/>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945" w:type="dxa"/>
            <w:tcBorders>
              <w:top w:val="single" w:color="auto" w:sz="4" w:space="0"/>
              <w:left w:val="single" w:color="auto" w:sz="4" w:space="0"/>
              <w:bottom w:val="single" w:color="auto" w:sz="4" w:space="0"/>
              <w:right w:val="single" w:color="auto" w:sz="4" w:space="0"/>
            </w:tcBorders>
            <w:vAlign w:val="center"/>
          </w:tcPr>
          <w:p w14:paraId="78324D65">
            <w:pPr>
              <w:pStyle w:val="9"/>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2B8C863B">
            <w:pPr>
              <w:pStyle w:val="9"/>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3A03EF3">
            <w:pPr>
              <w:pStyle w:val="9"/>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989" w:type="dxa"/>
            <w:tcBorders>
              <w:top w:val="single" w:color="auto" w:sz="4" w:space="0"/>
              <w:left w:val="single" w:color="auto" w:sz="4" w:space="0"/>
              <w:bottom w:val="single" w:color="auto" w:sz="4" w:space="0"/>
              <w:right w:val="single" w:color="auto" w:sz="4" w:space="0"/>
            </w:tcBorders>
            <w:vAlign w:val="center"/>
          </w:tcPr>
          <w:p w14:paraId="0A0BEFEE">
            <w:pPr>
              <w:pStyle w:val="9"/>
              <w:spacing w:line="400" w:lineRule="exact"/>
              <w:ind w:firstLine="0"/>
              <w:rPr>
                <w:rFonts w:ascii="宋体" w:hAnsi="宋体" w:eastAsia="宋体"/>
                <w:sz w:val="21"/>
                <w:szCs w:val="21"/>
              </w:rPr>
            </w:pPr>
            <w:r>
              <w:rPr>
                <w:rFonts w:hint="eastAsia" w:ascii="宋体" w:hAnsi="宋体" w:eastAsia="宋体"/>
                <w:sz w:val="21"/>
                <w:szCs w:val="21"/>
              </w:rPr>
              <w:t>备注</w:t>
            </w:r>
          </w:p>
        </w:tc>
      </w:tr>
      <w:tr w14:paraId="5A1B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D7F9FE5">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307" w:type="dxa"/>
            <w:tcBorders>
              <w:top w:val="single" w:color="auto" w:sz="4" w:space="0"/>
              <w:left w:val="single" w:color="auto" w:sz="4" w:space="0"/>
              <w:bottom w:val="single" w:color="auto" w:sz="4" w:space="0"/>
              <w:right w:val="single" w:color="auto" w:sz="4" w:space="0"/>
            </w:tcBorders>
            <w:vAlign w:val="center"/>
          </w:tcPr>
          <w:p w14:paraId="69F7CCDF">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rPr>
              <w:t>污水处理终端</w:t>
            </w:r>
            <w:r>
              <w:rPr>
                <w:rFonts w:hint="eastAsia" w:ascii="宋体" w:hAnsi="宋体" w:eastAsia="宋体"/>
                <w:sz w:val="21"/>
                <w:szCs w:val="21"/>
                <w:lang w:val="en-US" w:eastAsia="zh-CN"/>
              </w:rPr>
              <w:t>养护</w:t>
            </w:r>
          </w:p>
        </w:tc>
        <w:tc>
          <w:tcPr>
            <w:tcW w:w="1945" w:type="dxa"/>
            <w:tcBorders>
              <w:top w:val="single" w:color="auto" w:sz="4" w:space="0"/>
              <w:left w:val="single" w:color="auto" w:sz="4" w:space="0"/>
              <w:bottom w:val="single" w:color="auto" w:sz="4" w:space="0"/>
              <w:right w:val="single" w:color="auto" w:sz="4" w:space="0"/>
            </w:tcBorders>
            <w:vAlign w:val="center"/>
          </w:tcPr>
          <w:p w14:paraId="48C9EA60">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C738F50">
            <w:pPr>
              <w:pStyle w:val="9"/>
              <w:spacing w:line="400" w:lineRule="exact"/>
              <w:ind w:firstLine="0"/>
              <w:jc w:val="center"/>
              <w:rPr>
                <w:rFonts w:ascii="宋体" w:hAnsi="宋体" w:eastAsia="宋体"/>
                <w:sz w:val="21"/>
                <w:szCs w:val="21"/>
              </w:rPr>
            </w:pPr>
            <w:r>
              <w:rPr>
                <w:rFonts w:hint="eastAsia" w:ascii="宋体" w:hAnsi="宋体" w:eastAsia="宋体"/>
                <w:sz w:val="21"/>
                <w:szCs w:val="21"/>
              </w:rPr>
              <w:t>6座</w:t>
            </w:r>
          </w:p>
        </w:tc>
        <w:tc>
          <w:tcPr>
            <w:tcW w:w="1134" w:type="dxa"/>
            <w:tcBorders>
              <w:top w:val="single" w:color="auto" w:sz="4" w:space="0"/>
              <w:left w:val="single" w:color="auto" w:sz="4" w:space="0"/>
              <w:bottom w:val="single" w:color="auto" w:sz="4" w:space="0"/>
              <w:right w:val="single" w:color="auto" w:sz="4" w:space="0"/>
            </w:tcBorders>
            <w:vAlign w:val="center"/>
          </w:tcPr>
          <w:p w14:paraId="2753E1EE">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CADC5C7">
            <w:pPr>
              <w:pStyle w:val="9"/>
              <w:spacing w:line="400" w:lineRule="exact"/>
              <w:ind w:firstLine="0"/>
              <w:rPr>
                <w:rFonts w:ascii="宋体" w:hAnsi="宋体" w:eastAsia="宋体"/>
                <w:sz w:val="21"/>
                <w:szCs w:val="21"/>
              </w:rPr>
            </w:pPr>
          </w:p>
        </w:tc>
      </w:tr>
      <w:tr w14:paraId="78BC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49BDF66">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307" w:type="dxa"/>
            <w:tcBorders>
              <w:top w:val="single" w:color="auto" w:sz="4" w:space="0"/>
              <w:left w:val="single" w:color="auto" w:sz="4" w:space="0"/>
              <w:bottom w:val="single" w:color="auto" w:sz="4" w:space="0"/>
              <w:right w:val="single" w:color="auto" w:sz="4" w:space="0"/>
            </w:tcBorders>
            <w:vAlign w:val="center"/>
          </w:tcPr>
          <w:p w14:paraId="19F56C40">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rPr>
              <w:t>提升井</w:t>
            </w:r>
            <w:r>
              <w:rPr>
                <w:rFonts w:hint="eastAsia" w:ascii="宋体" w:hAnsi="宋体" w:eastAsia="宋体"/>
                <w:sz w:val="21"/>
                <w:szCs w:val="21"/>
                <w:lang w:val="en-US" w:eastAsia="zh-CN"/>
              </w:rPr>
              <w:t>养护</w:t>
            </w:r>
          </w:p>
        </w:tc>
        <w:tc>
          <w:tcPr>
            <w:tcW w:w="1945" w:type="dxa"/>
            <w:tcBorders>
              <w:top w:val="single" w:color="auto" w:sz="4" w:space="0"/>
              <w:left w:val="single" w:color="auto" w:sz="4" w:space="0"/>
              <w:bottom w:val="single" w:color="auto" w:sz="4" w:space="0"/>
              <w:right w:val="single" w:color="auto" w:sz="4" w:space="0"/>
            </w:tcBorders>
            <w:vAlign w:val="center"/>
          </w:tcPr>
          <w:p w14:paraId="0E63915D">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A10B6ED">
            <w:pPr>
              <w:pStyle w:val="9"/>
              <w:spacing w:line="400" w:lineRule="exact"/>
              <w:ind w:firstLine="0"/>
              <w:jc w:val="center"/>
              <w:rPr>
                <w:rFonts w:ascii="宋体" w:hAnsi="宋体" w:eastAsia="宋体"/>
                <w:sz w:val="21"/>
                <w:szCs w:val="21"/>
              </w:rPr>
            </w:pPr>
            <w:r>
              <w:rPr>
                <w:rFonts w:hint="eastAsia" w:ascii="宋体" w:hAnsi="宋体" w:eastAsia="宋体"/>
                <w:sz w:val="21"/>
                <w:szCs w:val="21"/>
              </w:rPr>
              <w:t>16座</w:t>
            </w:r>
          </w:p>
        </w:tc>
        <w:tc>
          <w:tcPr>
            <w:tcW w:w="1134" w:type="dxa"/>
            <w:tcBorders>
              <w:top w:val="single" w:color="auto" w:sz="4" w:space="0"/>
              <w:left w:val="single" w:color="auto" w:sz="4" w:space="0"/>
              <w:bottom w:val="single" w:color="auto" w:sz="4" w:space="0"/>
              <w:right w:val="single" w:color="auto" w:sz="4" w:space="0"/>
            </w:tcBorders>
            <w:vAlign w:val="center"/>
          </w:tcPr>
          <w:p w14:paraId="2935D858">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565C85DB">
            <w:pPr>
              <w:pStyle w:val="9"/>
              <w:spacing w:line="400" w:lineRule="exact"/>
              <w:ind w:firstLine="0"/>
              <w:rPr>
                <w:rFonts w:ascii="宋体" w:hAnsi="宋体" w:eastAsia="宋体"/>
                <w:sz w:val="21"/>
                <w:szCs w:val="21"/>
              </w:rPr>
            </w:pPr>
          </w:p>
        </w:tc>
      </w:tr>
      <w:tr w14:paraId="0954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BD664FB">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2307" w:type="dxa"/>
            <w:tcBorders>
              <w:top w:val="single" w:color="auto" w:sz="4" w:space="0"/>
              <w:left w:val="single" w:color="auto" w:sz="4" w:space="0"/>
              <w:bottom w:val="single" w:color="auto" w:sz="4" w:space="0"/>
              <w:right w:val="single" w:color="auto" w:sz="4" w:space="0"/>
            </w:tcBorders>
            <w:vAlign w:val="center"/>
          </w:tcPr>
          <w:p w14:paraId="77358A99">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污水管网</w:t>
            </w:r>
          </w:p>
        </w:tc>
        <w:tc>
          <w:tcPr>
            <w:tcW w:w="1945" w:type="dxa"/>
            <w:tcBorders>
              <w:top w:val="single" w:color="auto" w:sz="4" w:space="0"/>
              <w:left w:val="single" w:color="auto" w:sz="4" w:space="0"/>
              <w:bottom w:val="single" w:color="auto" w:sz="4" w:space="0"/>
              <w:right w:val="single" w:color="auto" w:sz="4" w:space="0"/>
            </w:tcBorders>
            <w:vAlign w:val="center"/>
          </w:tcPr>
          <w:p w14:paraId="7CB748E8">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4B0BE0">
            <w:pPr>
              <w:pStyle w:val="9"/>
              <w:spacing w:line="400" w:lineRule="exact"/>
              <w:ind w:firstLine="0"/>
              <w:jc w:val="center"/>
              <w:rPr>
                <w:rFonts w:ascii="宋体" w:hAnsi="宋体" w:eastAsia="宋体"/>
                <w:sz w:val="21"/>
                <w:szCs w:val="21"/>
              </w:rPr>
            </w:pPr>
            <w:r>
              <w:rPr>
                <w:rFonts w:hint="eastAsia" w:ascii="宋体" w:hAnsi="宋体" w:eastAsia="宋体"/>
                <w:sz w:val="21"/>
                <w:szCs w:val="21"/>
              </w:rPr>
              <w:t>45166公里</w:t>
            </w:r>
          </w:p>
        </w:tc>
        <w:tc>
          <w:tcPr>
            <w:tcW w:w="1134" w:type="dxa"/>
            <w:tcBorders>
              <w:top w:val="single" w:color="auto" w:sz="4" w:space="0"/>
              <w:left w:val="single" w:color="auto" w:sz="4" w:space="0"/>
              <w:bottom w:val="single" w:color="auto" w:sz="4" w:space="0"/>
              <w:right w:val="single" w:color="auto" w:sz="4" w:space="0"/>
            </w:tcBorders>
            <w:vAlign w:val="center"/>
          </w:tcPr>
          <w:p w14:paraId="516D6175">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3A793C69">
            <w:pPr>
              <w:pStyle w:val="9"/>
              <w:spacing w:line="400" w:lineRule="exact"/>
              <w:ind w:firstLine="0"/>
              <w:rPr>
                <w:rFonts w:ascii="宋体" w:hAnsi="宋体" w:eastAsia="宋体"/>
                <w:sz w:val="21"/>
                <w:szCs w:val="21"/>
              </w:rPr>
            </w:pPr>
          </w:p>
        </w:tc>
      </w:tr>
      <w:tr w14:paraId="7F97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81D0CB8">
            <w:pPr>
              <w:pStyle w:val="9"/>
              <w:spacing w:line="400" w:lineRule="exact"/>
              <w:ind w:firstLine="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w:t>
            </w:r>
          </w:p>
        </w:tc>
        <w:tc>
          <w:tcPr>
            <w:tcW w:w="2307" w:type="dxa"/>
            <w:tcBorders>
              <w:top w:val="single" w:color="auto" w:sz="4" w:space="0"/>
              <w:left w:val="single" w:color="auto" w:sz="4" w:space="0"/>
              <w:bottom w:val="single" w:color="auto" w:sz="4" w:space="0"/>
              <w:right w:val="single" w:color="auto" w:sz="4" w:space="0"/>
            </w:tcBorders>
            <w:vAlign w:val="center"/>
          </w:tcPr>
          <w:p w14:paraId="0DA77632">
            <w:pPr>
              <w:pStyle w:val="9"/>
              <w:spacing w:line="400" w:lineRule="exact"/>
              <w:ind w:firstLine="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w:t>
            </w:r>
          </w:p>
        </w:tc>
        <w:tc>
          <w:tcPr>
            <w:tcW w:w="1945" w:type="dxa"/>
            <w:tcBorders>
              <w:top w:val="single" w:color="auto" w:sz="4" w:space="0"/>
              <w:left w:val="single" w:color="auto" w:sz="4" w:space="0"/>
              <w:bottom w:val="single" w:color="auto" w:sz="4" w:space="0"/>
              <w:right w:val="single" w:color="auto" w:sz="4" w:space="0"/>
            </w:tcBorders>
            <w:vAlign w:val="center"/>
          </w:tcPr>
          <w:p w14:paraId="0F914225">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8EB5372">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5CC536">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E33BD11">
            <w:pPr>
              <w:pStyle w:val="9"/>
              <w:spacing w:line="400" w:lineRule="exact"/>
              <w:ind w:firstLine="0"/>
              <w:rPr>
                <w:rFonts w:ascii="宋体" w:hAnsi="宋体" w:eastAsia="宋体"/>
                <w:sz w:val="21"/>
                <w:szCs w:val="21"/>
              </w:rPr>
            </w:pPr>
          </w:p>
        </w:tc>
      </w:tr>
      <w:tr w14:paraId="49C7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ECA2E85">
            <w:pPr>
              <w:pStyle w:val="9"/>
              <w:spacing w:line="400" w:lineRule="exact"/>
              <w:ind w:firstLine="0"/>
              <w:jc w:val="center"/>
              <w:rPr>
                <w:rFonts w:ascii="宋体" w:hAnsi="宋体" w:eastAsia="宋体"/>
                <w:sz w:val="21"/>
                <w:szCs w:val="21"/>
              </w:rPr>
            </w:pPr>
          </w:p>
        </w:tc>
        <w:tc>
          <w:tcPr>
            <w:tcW w:w="2307" w:type="dxa"/>
            <w:tcBorders>
              <w:top w:val="single" w:color="auto" w:sz="4" w:space="0"/>
              <w:left w:val="single" w:color="auto" w:sz="4" w:space="0"/>
              <w:bottom w:val="single" w:color="auto" w:sz="4" w:space="0"/>
              <w:right w:val="single" w:color="auto" w:sz="4" w:space="0"/>
            </w:tcBorders>
            <w:vAlign w:val="center"/>
          </w:tcPr>
          <w:p w14:paraId="19470D9F">
            <w:pPr>
              <w:keepNext w:val="0"/>
              <w:keepLines w:val="0"/>
              <w:widowControl/>
              <w:suppressLineNumbers w:val="0"/>
              <w:jc w:val="center"/>
              <w:textAlignment w:val="center"/>
              <w:rPr>
                <w:rFonts w:ascii="宋体" w:hAnsi="宋体" w:eastAsia="宋体"/>
                <w:sz w:val="21"/>
                <w:szCs w:val="21"/>
              </w:rPr>
            </w:pPr>
          </w:p>
        </w:tc>
        <w:tc>
          <w:tcPr>
            <w:tcW w:w="1945" w:type="dxa"/>
            <w:tcBorders>
              <w:top w:val="single" w:color="auto" w:sz="4" w:space="0"/>
              <w:left w:val="single" w:color="auto" w:sz="4" w:space="0"/>
              <w:bottom w:val="single" w:color="auto" w:sz="4" w:space="0"/>
              <w:right w:val="single" w:color="auto" w:sz="4" w:space="0"/>
            </w:tcBorders>
            <w:vAlign w:val="center"/>
          </w:tcPr>
          <w:p w14:paraId="3CD08A98">
            <w:pPr>
              <w:keepNext w:val="0"/>
              <w:keepLines w:val="0"/>
              <w:widowControl/>
              <w:suppressLineNumbers w:val="0"/>
              <w:jc w:val="center"/>
              <w:textAlignment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3910B1C">
            <w:pPr>
              <w:keepNext w:val="0"/>
              <w:keepLines w:val="0"/>
              <w:widowControl/>
              <w:suppressLineNumbers w:val="0"/>
              <w:jc w:val="center"/>
              <w:textAlignment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8BD8C55">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71DD373">
            <w:pPr>
              <w:pStyle w:val="9"/>
              <w:spacing w:line="400" w:lineRule="exact"/>
              <w:ind w:firstLine="0"/>
              <w:rPr>
                <w:rFonts w:ascii="宋体" w:hAnsi="宋体" w:eastAsia="宋体"/>
                <w:sz w:val="21"/>
                <w:szCs w:val="21"/>
              </w:rPr>
            </w:pPr>
          </w:p>
        </w:tc>
      </w:tr>
      <w:tr w14:paraId="69CE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50A92A6">
            <w:pPr>
              <w:pStyle w:val="9"/>
              <w:spacing w:line="400" w:lineRule="exact"/>
              <w:ind w:firstLine="0"/>
              <w:jc w:val="center"/>
              <w:rPr>
                <w:rFonts w:ascii="宋体" w:hAnsi="宋体" w:eastAsia="宋体"/>
                <w:sz w:val="21"/>
                <w:szCs w:val="21"/>
              </w:rPr>
            </w:pPr>
          </w:p>
        </w:tc>
        <w:tc>
          <w:tcPr>
            <w:tcW w:w="2307" w:type="dxa"/>
            <w:tcBorders>
              <w:top w:val="single" w:color="auto" w:sz="4" w:space="0"/>
              <w:left w:val="single" w:color="auto" w:sz="4" w:space="0"/>
              <w:bottom w:val="single" w:color="auto" w:sz="4" w:space="0"/>
              <w:right w:val="single" w:color="auto" w:sz="4" w:space="0"/>
            </w:tcBorders>
            <w:vAlign w:val="center"/>
          </w:tcPr>
          <w:p w14:paraId="76990E26">
            <w:pPr>
              <w:pStyle w:val="9"/>
              <w:spacing w:line="400" w:lineRule="exact"/>
              <w:ind w:firstLine="0"/>
              <w:jc w:val="center"/>
              <w:rPr>
                <w:rFonts w:ascii="宋体" w:hAnsi="宋体" w:eastAsia="宋体"/>
                <w:sz w:val="21"/>
                <w:szCs w:val="21"/>
              </w:rPr>
            </w:pPr>
          </w:p>
        </w:tc>
        <w:tc>
          <w:tcPr>
            <w:tcW w:w="1945" w:type="dxa"/>
            <w:tcBorders>
              <w:top w:val="single" w:color="auto" w:sz="4" w:space="0"/>
              <w:left w:val="single" w:color="auto" w:sz="4" w:space="0"/>
              <w:bottom w:val="single" w:color="auto" w:sz="4" w:space="0"/>
              <w:right w:val="single" w:color="auto" w:sz="4" w:space="0"/>
            </w:tcBorders>
            <w:vAlign w:val="center"/>
          </w:tcPr>
          <w:p w14:paraId="58C3DE33">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146030A">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354843">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9FE3970">
            <w:pPr>
              <w:pStyle w:val="9"/>
              <w:spacing w:line="400" w:lineRule="exact"/>
              <w:ind w:firstLine="0"/>
              <w:rPr>
                <w:rFonts w:ascii="宋体" w:hAnsi="宋体" w:eastAsia="宋体"/>
                <w:sz w:val="21"/>
                <w:szCs w:val="21"/>
              </w:rPr>
            </w:pPr>
          </w:p>
        </w:tc>
      </w:tr>
      <w:tr w14:paraId="6D3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4" w:space="0"/>
              <w:left w:val="single" w:color="auto" w:sz="4" w:space="0"/>
              <w:bottom w:val="single" w:color="auto" w:sz="4" w:space="0"/>
              <w:right w:val="single" w:color="auto" w:sz="4" w:space="0"/>
            </w:tcBorders>
            <w:vAlign w:val="center"/>
          </w:tcPr>
          <w:p w14:paraId="134608D6">
            <w:pPr>
              <w:pStyle w:val="9"/>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4963A531">
      <w:pPr>
        <w:pStyle w:val="9"/>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7A40B7FA">
      <w:pPr>
        <w:pStyle w:val="22"/>
        <w:ind w:firstLine="210"/>
      </w:pPr>
    </w:p>
    <w:p w14:paraId="2AA7AA56">
      <w:pPr>
        <w:pStyle w:val="21"/>
        <w:widowControl w:val="0"/>
        <w:spacing w:beforeAutospacing="0" w:after="120" w:afterAutospacing="0" w:line="520" w:lineRule="exact"/>
        <w:ind w:left="420" w:leftChars="200"/>
        <w:jc w:val="center"/>
        <w:rPr>
          <w:b/>
          <w:kern w:val="2"/>
          <w:sz w:val="28"/>
          <w:szCs w:val="20"/>
        </w:rPr>
      </w:pPr>
    </w:p>
    <w:p w14:paraId="267D07A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5D197F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02759A7">
      <w:pPr>
        <w:pStyle w:val="21"/>
        <w:widowControl w:val="0"/>
        <w:spacing w:beforeAutospacing="0" w:after="120" w:afterAutospacing="0" w:line="520" w:lineRule="exact"/>
        <w:ind w:left="420" w:leftChars="200"/>
        <w:rPr>
          <w:b/>
          <w:kern w:val="2"/>
          <w:sz w:val="28"/>
          <w:szCs w:val="20"/>
        </w:rPr>
      </w:pPr>
      <w:r>
        <w:rPr>
          <w:rFonts w:hint="eastAsia"/>
        </w:rPr>
        <w:t xml:space="preserve">                                                            年  月  日</w:t>
      </w:r>
      <w:r>
        <w:rPr>
          <w:rFonts w:hint="eastAsia"/>
          <w:color w:val="FF0000"/>
          <w:szCs w:val="21"/>
        </w:rPr>
        <w:br w:type="page"/>
      </w:r>
      <w:r>
        <w:rPr>
          <w:rFonts w:hint="eastAsia"/>
          <w:b/>
          <w:bCs/>
          <w:kern w:val="2"/>
          <w:sz w:val="21"/>
          <w:szCs w:val="21"/>
        </w:rPr>
        <w:t>附件十四</w:t>
      </w:r>
    </w:p>
    <w:p w14:paraId="4CC4CC8C">
      <w:pPr>
        <w:pStyle w:val="21"/>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2B55D601">
      <w:pPr>
        <w:spacing w:line="588" w:lineRule="exact"/>
        <w:rPr>
          <w:rFonts w:ascii="宋体" w:hAnsi="宋体" w:cs="宋体"/>
          <w:b/>
          <w:spacing w:val="6"/>
          <w:sz w:val="30"/>
          <w:szCs w:val="30"/>
        </w:rPr>
      </w:pPr>
    </w:p>
    <w:p w14:paraId="054AA520">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14:paraId="46FC911C">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ascii="宋体" w:hAnsi="宋体" w:cs="宋体"/>
          <w:u w:val="single"/>
          <w:lang w:eastAsia="zh-CN"/>
        </w:rPr>
        <w:t>其它未列明行业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（中型企业、小型企业、微型企业）</w:t>
      </w:r>
      <w:r>
        <w:rPr>
          <w:rFonts w:hint="eastAsia" w:ascii="宋体" w:hAnsi="宋体" w:cs="宋体"/>
        </w:rPr>
        <w:t>；</w:t>
      </w:r>
    </w:p>
    <w:p w14:paraId="4D41034D">
      <w:pPr>
        <w:spacing w:line="480" w:lineRule="auto"/>
        <w:ind w:firstLine="420" w:firstLineChars="200"/>
        <w:rPr>
          <w:rFonts w:ascii="宋体" w:hAnsi="宋体" w:cs="宋体"/>
        </w:rPr>
      </w:pPr>
      <w:r>
        <w:rPr>
          <w:rFonts w:hint="eastAsia" w:ascii="宋体" w:hAnsi="宋体" w:cs="宋体"/>
        </w:rPr>
        <w:t>……</w:t>
      </w:r>
    </w:p>
    <w:p w14:paraId="062D4F2F">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38F72BC">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5C07772">
      <w:pPr>
        <w:spacing w:line="500" w:lineRule="exact"/>
        <w:rPr>
          <w:rFonts w:ascii="宋体" w:hAnsi="宋体" w:cs="宋体"/>
        </w:rPr>
      </w:pPr>
      <w:r>
        <w:rPr>
          <w:rFonts w:hint="eastAsia" w:ascii="宋体" w:hAnsi="宋体" w:cs="宋体"/>
        </w:rPr>
        <w:t xml:space="preserve">                        </w:t>
      </w:r>
    </w:p>
    <w:p w14:paraId="297E47CB">
      <w:pPr>
        <w:spacing w:line="500" w:lineRule="exact"/>
        <w:rPr>
          <w:rFonts w:ascii="宋体" w:hAnsi="宋体" w:cs="宋体"/>
        </w:rPr>
      </w:pPr>
    </w:p>
    <w:p w14:paraId="6505575A">
      <w:pPr>
        <w:spacing w:line="500" w:lineRule="exact"/>
        <w:ind w:firstLine="2310" w:firstLineChars="1100"/>
        <w:rPr>
          <w:rFonts w:ascii="宋体" w:hAnsi="宋体" w:cs="宋体"/>
        </w:rPr>
      </w:pPr>
      <w:r>
        <w:rPr>
          <w:rFonts w:hint="eastAsia" w:ascii="宋体" w:hAnsi="宋体" w:cs="宋体"/>
        </w:rPr>
        <w:t>企业名称（盖章）：</w:t>
      </w:r>
    </w:p>
    <w:p w14:paraId="50181847">
      <w:pPr>
        <w:spacing w:line="500" w:lineRule="exact"/>
        <w:rPr>
          <w:rFonts w:ascii="宋体" w:hAnsi="宋体" w:cs="宋体"/>
        </w:rPr>
      </w:pPr>
      <w:r>
        <w:rPr>
          <w:rFonts w:hint="eastAsia" w:ascii="宋体" w:hAnsi="宋体" w:cs="宋体"/>
        </w:rPr>
        <w:t xml:space="preserve">                        日期：</w:t>
      </w:r>
    </w:p>
    <w:p w14:paraId="70ABD78F">
      <w:pPr>
        <w:rPr>
          <w:rFonts w:ascii="宋体" w:hAnsi="宋体" w:cs="宋体"/>
          <w:kern w:val="0"/>
          <w:vertAlign w:val="superscript"/>
        </w:rPr>
      </w:pPr>
    </w:p>
    <w:p w14:paraId="36B63226">
      <w:pPr>
        <w:rPr>
          <w:rFonts w:ascii="宋体" w:hAnsi="宋体" w:cs="宋体"/>
          <w:kern w:val="0"/>
          <w:vertAlign w:val="superscript"/>
        </w:rPr>
      </w:pPr>
    </w:p>
    <w:p w14:paraId="0C688271">
      <w:pPr>
        <w:rPr>
          <w:rFonts w:ascii="宋体" w:hAnsi="宋体" w:cs="宋体"/>
          <w:kern w:val="0"/>
          <w:vertAlign w:val="superscript"/>
        </w:rPr>
      </w:pPr>
    </w:p>
    <w:p w14:paraId="6C0AD277">
      <w:pPr>
        <w:numPr>
          <w:ilvl w:val="0"/>
          <w:numId w:val="10"/>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653A740E">
      <w:pPr>
        <w:pStyle w:val="37"/>
        <w:rPr>
          <w:rFonts w:hAnsi="宋体"/>
          <w:color w:val="000000"/>
        </w:rPr>
      </w:pPr>
    </w:p>
    <w:p w14:paraId="59143D06">
      <w:pPr>
        <w:pStyle w:val="37"/>
        <w:rPr>
          <w:rFonts w:hAnsi="宋体"/>
          <w:color w:val="000000"/>
        </w:rPr>
      </w:pPr>
    </w:p>
    <w:p w14:paraId="58E9F732">
      <w:pPr>
        <w:pStyle w:val="37"/>
        <w:rPr>
          <w:rFonts w:hAnsi="宋体"/>
          <w:color w:val="000000"/>
        </w:rPr>
      </w:pPr>
    </w:p>
    <w:p w14:paraId="638E80C9">
      <w:pPr>
        <w:pStyle w:val="37"/>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w:t>
      </w:r>
      <w:r>
        <w:rPr>
          <w:rFonts w:hint="eastAsia" w:hAnsi="宋体" w:cs="宋体"/>
          <w:sz w:val="18"/>
          <w:szCs w:val="18"/>
          <w:lang w:eastAsia="zh-CN"/>
        </w:rPr>
        <w:t>供应商</w:t>
      </w:r>
      <w:r>
        <w:rPr>
          <w:rFonts w:hAnsi="宋体" w:cs="宋体"/>
          <w:sz w:val="18"/>
          <w:szCs w:val="18"/>
        </w:rPr>
        <w:t>应当对其出具的《中小企业声明函》真实性负责，</w:t>
      </w:r>
      <w:r>
        <w:rPr>
          <w:rFonts w:hint="eastAsia" w:hAnsi="宋体" w:cs="宋体"/>
          <w:sz w:val="18"/>
          <w:szCs w:val="18"/>
          <w:lang w:eastAsia="zh-CN"/>
        </w:rPr>
        <w:t>供应商</w:t>
      </w:r>
      <w:r>
        <w:rPr>
          <w:rFonts w:hAnsi="宋体" w:cs="宋体"/>
          <w:sz w:val="18"/>
          <w:szCs w:val="18"/>
        </w:rPr>
        <w:t>出具的《中小企业声明函》内容不实的，属于提供虚假材料谋取中标。在实际操作中，</w:t>
      </w:r>
      <w:r>
        <w:rPr>
          <w:rFonts w:hint="eastAsia" w:hAnsi="宋体" w:cs="宋体"/>
          <w:sz w:val="18"/>
          <w:szCs w:val="18"/>
          <w:lang w:eastAsia="zh-CN"/>
        </w:rPr>
        <w:t>供应商</w:t>
      </w:r>
      <w:r>
        <w:rPr>
          <w:rFonts w:hAnsi="宋体" w:cs="宋体"/>
          <w:sz w:val="18"/>
          <w:szCs w:val="18"/>
        </w:rPr>
        <w:t>希望获得《办法》规定政策支持的，应从制造商处获得充分、准确的信息。对相关制造商信息了解不充分，或者不能确定相关信息真实、准确的，不建议出具《中小企业声明函》。</w:t>
      </w:r>
    </w:p>
    <w:p w14:paraId="0D4A7303">
      <w:pPr>
        <w:snapToGrid w:val="0"/>
        <w:spacing w:line="400" w:lineRule="exact"/>
        <w:jc w:val="left"/>
        <w:rPr>
          <w:rFonts w:cs="宋体"/>
          <w:color w:val="000000"/>
        </w:rPr>
      </w:pPr>
    </w:p>
    <w:p w14:paraId="223D6554">
      <w:pPr>
        <w:snapToGrid w:val="0"/>
        <w:spacing w:line="400" w:lineRule="exact"/>
        <w:jc w:val="left"/>
        <w:rPr>
          <w:rFonts w:cs="宋体"/>
          <w:color w:val="000000"/>
        </w:rPr>
      </w:pPr>
    </w:p>
    <w:p w14:paraId="71CA9908">
      <w:pPr>
        <w:snapToGrid w:val="0"/>
        <w:spacing w:line="400" w:lineRule="exact"/>
        <w:jc w:val="left"/>
        <w:rPr>
          <w:rStyle w:val="36"/>
          <w:rFonts w:ascii="宋体" w:hAnsi="宋体" w:cs="宋体"/>
          <w:bCs/>
          <w:color w:val="000000"/>
          <w:sz w:val="21"/>
        </w:rPr>
      </w:pPr>
      <w:r>
        <w:rPr>
          <w:rStyle w:val="36"/>
          <w:rFonts w:hint="eastAsia" w:ascii="宋体" w:hAnsi="宋体" w:cs="宋体"/>
          <w:bCs/>
          <w:color w:val="000000"/>
          <w:sz w:val="21"/>
        </w:rPr>
        <w:t>附件十五</w:t>
      </w:r>
    </w:p>
    <w:p w14:paraId="64DFC205">
      <w:pPr>
        <w:spacing w:line="400" w:lineRule="exact"/>
        <w:jc w:val="center"/>
        <w:rPr>
          <w:rStyle w:val="36"/>
          <w:rFonts w:ascii="宋体" w:hAnsi="宋体" w:cs="宋体"/>
          <w:bCs/>
          <w:color w:val="000000"/>
          <w:sz w:val="21"/>
        </w:rPr>
      </w:pPr>
      <w:bookmarkStart w:id="187" w:name="_Toc32246"/>
      <w:r>
        <w:rPr>
          <w:rStyle w:val="36"/>
          <w:rFonts w:hint="eastAsia"/>
          <w:bCs/>
          <w:color w:val="000000"/>
          <w:sz w:val="21"/>
        </w:rPr>
        <w:t>残疾人福利性单位声明函（如有需提供）</w:t>
      </w:r>
      <w:bookmarkEnd w:id="187"/>
    </w:p>
    <w:p w14:paraId="008E56DB">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179BE66C">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1D71BE9C">
      <w:pPr>
        <w:spacing w:line="588" w:lineRule="exact"/>
        <w:ind w:firstLine="420" w:firstLineChars="200"/>
        <w:rPr>
          <w:rFonts w:ascii="宋体" w:hAnsi="宋体"/>
          <w:color w:val="000000"/>
        </w:rPr>
      </w:pPr>
    </w:p>
    <w:p w14:paraId="72728F91">
      <w:pPr>
        <w:spacing w:line="588" w:lineRule="exact"/>
        <w:ind w:firstLine="420" w:firstLineChars="200"/>
        <w:rPr>
          <w:rFonts w:ascii="宋体" w:hAnsi="宋体"/>
          <w:color w:val="000000"/>
        </w:rPr>
      </w:pPr>
    </w:p>
    <w:p w14:paraId="082465F2">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457EC5AD">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6671D15F">
      <w:pPr>
        <w:spacing w:line="400" w:lineRule="exact"/>
        <w:ind w:firstLine="474" w:firstLineChars="200"/>
        <w:jc w:val="left"/>
        <w:rPr>
          <w:rStyle w:val="36"/>
          <w:rFonts w:ascii="宋体"/>
          <w:color w:val="000000"/>
        </w:rPr>
      </w:pPr>
    </w:p>
    <w:p w14:paraId="6DD9D719">
      <w:pPr>
        <w:snapToGrid w:val="0"/>
        <w:spacing w:line="400" w:lineRule="exact"/>
        <w:jc w:val="left"/>
        <w:rPr>
          <w:rFonts w:cs="宋体"/>
          <w:color w:val="000000"/>
        </w:rPr>
      </w:pPr>
    </w:p>
    <w:p w14:paraId="1D40DFE0">
      <w:pPr>
        <w:snapToGrid w:val="0"/>
        <w:spacing w:line="400" w:lineRule="exact"/>
        <w:jc w:val="left"/>
        <w:rPr>
          <w:rFonts w:cs="宋体"/>
          <w:color w:val="000000"/>
        </w:rPr>
      </w:pPr>
    </w:p>
    <w:p w14:paraId="4AF47767">
      <w:pPr>
        <w:snapToGrid w:val="0"/>
        <w:spacing w:line="400" w:lineRule="exact"/>
        <w:jc w:val="left"/>
        <w:rPr>
          <w:rFonts w:cs="宋体"/>
          <w:color w:val="000000"/>
        </w:rPr>
      </w:pPr>
    </w:p>
    <w:p w14:paraId="5515F49A">
      <w:pPr>
        <w:snapToGrid w:val="0"/>
        <w:spacing w:line="400" w:lineRule="exact"/>
        <w:jc w:val="left"/>
        <w:rPr>
          <w:rFonts w:cs="宋体"/>
          <w:color w:val="000000"/>
        </w:rPr>
      </w:pPr>
    </w:p>
    <w:p w14:paraId="28DA3C75">
      <w:pPr>
        <w:snapToGrid w:val="0"/>
        <w:spacing w:line="400" w:lineRule="exact"/>
        <w:jc w:val="left"/>
        <w:rPr>
          <w:rFonts w:cs="宋体"/>
          <w:color w:val="000000"/>
        </w:rPr>
      </w:pPr>
    </w:p>
    <w:p w14:paraId="49F5E027">
      <w:pPr>
        <w:snapToGrid w:val="0"/>
        <w:spacing w:line="400" w:lineRule="exact"/>
        <w:jc w:val="left"/>
        <w:rPr>
          <w:rFonts w:cs="宋体"/>
          <w:b/>
          <w:bCs/>
          <w:color w:val="000000"/>
        </w:rPr>
      </w:pPr>
      <w:r>
        <w:rPr>
          <w:rStyle w:val="36"/>
          <w:rFonts w:ascii="宋体"/>
          <w:bCs/>
          <w:color w:val="000000"/>
          <w:sz w:val="21"/>
        </w:rPr>
        <w:br w:type="page"/>
      </w:r>
      <w:r>
        <w:rPr>
          <w:rFonts w:hint="eastAsia" w:cs="宋体"/>
          <w:b/>
          <w:bCs/>
          <w:color w:val="000000"/>
        </w:rPr>
        <w:t>附件十六</w:t>
      </w:r>
    </w:p>
    <w:p w14:paraId="2AAE8DB8">
      <w:pPr>
        <w:pStyle w:val="8"/>
        <w:rPr>
          <w:rFonts w:cs="宋体"/>
          <w:b/>
          <w:bCs/>
          <w:color w:val="000000"/>
        </w:rPr>
      </w:pPr>
    </w:p>
    <w:p w14:paraId="33CEB0C6">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49453D09">
      <w:pPr>
        <w:spacing w:line="360" w:lineRule="auto"/>
        <w:ind w:left="540"/>
        <w:jc w:val="center"/>
        <w:rPr>
          <w:rFonts w:ascii="宋体" w:hAnsi="宋体" w:cs="宋体"/>
          <w:b/>
          <w:sz w:val="28"/>
          <w:szCs w:val="30"/>
        </w:rPr>
      </w:pPr>
    </w:p>
    <w:p w14:paraId="0E53963E">
      <w:pPr>
        <w:widowControl/>
        <w:spacing w:line="360" w:lineRule="auto"/>
        <w:rPr>
          <w:rFonts w:hint="eastAsia" w:ascii="宋体" w:hAnsi="宋体" w:eastAsia="宋体" w:cs="宋体"/>
          <w:b/>
          <w:spacing w:val="-4"/>
          <w:lang w:eastAsia="zh-CN"/>
        </w:rPr>
      </w:pPr>
      <w:r>
        <w:rPr>
          <w:rFonts w:hint="eastAsia" w:ascii="宋体" w:hAnsi="宋体" w:cs="宋体"/>
          <w:b/>
          <w:spacing w:val="-4"/>
        </w:rPr>
        <w:t>致：</w:t>
      </w:r>
      <w:r>
        <w:rPr>
          <w:rFonts w:hint="eastAsia" w:ascii="宋体" w:hAnsi="宋体" w:cs="宋体"/>
          <w:b/>
          <w:spacing w:val="-4"/>
          <w:lang w:eastAsia="zh-CN"/>
        </w:rPr>
        <w:t>宁波凯立工程管理有限公司</w:t>
      </w:r>
    </w:p>
    <w:p w14:paraId="17CBDC6A">
      <w:pPr>
        <w:widowControl/>
        <w:spacing w:line="360" w:lineRule="auto"/>
        <w:ind w:firstLine="404" w:firstLineChars="200"/>
        <w:rPr>
          <w:rFonts w:ascii="宋体" w:hAnsi="宋体" w:cs="宋体"/>
          <w:bCs/>
          <w:spacing w:val="-4"/>
          <w:u w:val="single"/>
        </w:rPr>
      </w:pPr>
    </w:p>
    <w:p w14:paraId="544BD698">
      <w:pPr>
        <w:widowControl/>
        <w:spacing w:line="36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24E59C76">
      <w:pPr>
        <w:widowControl/>
        <w:spacing w:line="36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2116276D">
      <w:pPr>
        <w:widowControl/>
        <w:spacing w:line="36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2A15B84">
      <w:pPr>
        <w:snapToGrid w:val="0"/>
        <w:spacing w:before="50" w:after="50"/>
        <w:ind w:left="-24" w:leftChars="-22" w:right="-817" w:rightChars="-389" w:hanging="22" w:hangingChars="11"/>
        <w:rPr>
          <w:rFonts w:ascii="宋体" w:hAnsi="宋体" w:cs="宋体"/>
          <w:b/>
          <w:spacing w:val="-4"/>
        </w:rPr>
      </w:pPr>
    </w:p>
    <w:p w14:paraId="7D8EA00D">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002A2DA6">
      <w:pPr>
        <w:snapToGrid w:val="0"/>
        <w:spacing w:before="50" w:after="50"/>
        <w:ind w:left="-23" w:leftChars="-22" w:right="-817" w:rightChars="-389" w:hanging="23" w:hangingChars="11"/>
        <w:rPr>
          <w:rFonts w:ascii="宋体" w:hAnsi="宋体" w:cs="宋体"/>
        </w:rPr>
      </w:pPr>
    </w:p>
    <w:p w14:paraId="1BCF19DF">
      <w:pPr>
        <w:snapToGrid w:val="0"/>
        <w:spacing w:before="50" w:after="50" w:line="360" w:lineRule="auto"/>
        <w:ind w:left="-23" w:leftChars="-22" w:right="-817" w:rightChars="-389" w:hanging="23" w:hangingChars="11"/>
        <w:rPr>
          <w:rFonts w:ascii="宋体" w:hAnsi="宋体" w:cs="宋体"/>
        </w:rPr>
      </w:pPr>
    </w:p>
    <w:p w14:paraId="10E9CF42">
      <w:pPr>
        <w:snapToGrid w:val="0"/>
        <w:spacing w:before="50" w:after="50" w:line="360" w:lineRule="auto"/>
        <w:ind w:left="-23" w:leftChars="-22" w:right="-817" w:rightChars="-389" w:hanging="23" w:hangingChars="11"/>
        <w:rPr>
          <w:rFonts w:ascii="宋体" w:hAnsi="宋体" w:cs="宋体"/>
        </w:rPr>
      </w:pPr>
    </w:p>
    <w:p w14:paraId="2B73A8F6">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03ACE203">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供应商（公章）：                                     </w:t>
      </w:r>
    </w:p>
    <w:p w14:paraId="160B6F83">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日期：    年   月   日</w:t>
      </w:r>
    </w:p>
    <w:p w14:paraId="7DDB71B0">
      <w:pPr>
        <w:snapToGrid w:val="0"/>
        <w:spacing w:before="50" w:after="50" w:line="360" w:lineRule="auto"/>
        <w:ind w:left="-23" w:leftChars="-22" w:right="-817" w:rightChars="-389" w:hanging="23" w:hangingChars="11"/>
        <w:rPr>
          <w:rFonts w:ascii="宋体" w:hAnsi="宋体" w:cs="宋体"/>
        </w:rPr>
      </w:pPr>
    </w:p>
    <w:p w14:paraId="237E1FE1">
      <w:pPr>
        <w:pStyle w:val="22"/>
        <w:ind w:firstLine="211"/>
        <w:rPr>
          <w:rFonts w:cs="宋体"/>
          <w:b/>
          <w:bCs/>
          <w:color w:val="000000"/>
        </w:rPr>
      </w:pPr>
    </w:p>
    <w:p w14:paraId="5E426007">
      <w:pPr>
        <w:rPr>
          <w:rFonts w:cs="宋体"/>
          <w:b/>
          <w:bCs/>
          <w:color w:val="000000"/>
        </w:rPr>
      </w:pPr>
    </w:p>
    <w:p w14:paraId="2E2A5B86">
      <w:pPr>
        <w:pStyle w:val="8"/>
        <w:rPr>
          <w:rFonts w:cs="宋体"/>
          <w:b/>
          <w:bCs/>
          <w:color w:val="000000"/>
        </w:rPr>
      </w:pPr>
    </w:p>
    <w:p w14:paraId="3C295920">
      <w:pPr>
        <w:pStyle w:val="22"/>
        <w:ind w:firstLine="211"/>
        <w:rPr>
          <w:rFonts w:cs="宋体"/>
          <w:b/>
          <w:bCs/>
          <w:color w:val="000000"/>
        </w:rPr>
      </w:pPr>
    </w:p>
    <w:p w14:paraId="6921C9CD">
      <w:pPr>
        <w:rPr>
          <w:rFonts w:cs="宋体"/>
          <w:b/>
          <w:bCs/>
          <w:color w:val="000000"/>
        </w:rPr>
      </w:pPr>
    </w:p>
    <w:p w14:paraId="5D2A9B8D">
      <w:pPr>
        <w:pStyle w:val="8"/>
        <w:rPr>
          <w:rFonts w:cs="宋体"/>
          <w:b/>
          <w:bCs/>
          <w:color w:val="000000"/>
        </w:rPr>
      </w:pPr>
    </w:p>
    <w:p w14:paraId="5C868F1D">
      <w:pPr>
        <w:pStyle w:val="22"/>
        <w:ind w:firstLine="211"/>
        <w:rPr>
          <w:rFonts w:cs="宋体"/>
          <w:b/>
          <w:bCs/>
          <w:color w:val="000000"/>
        </w:rPr>
      </w:pPr>
    </w:p>
    <w:p w14:paraId="185D3780">
      <w:pPr>
        <w:rPr>
          <w:rFonts w:cs="宋体"/>
          <w:b/>
          <w:bCs/>
          <w:color w:val="000000"/>
        </w:rPr>
      </w:pPr>
    </w:p>
    <w:p w14:paraId="775D9390">
      <w:pPr>
        <w:pStyle w:val="8"/>
        <w:rPr>
          <w:rFonts w:cs="宋体"/>
          <w:b/>
          <w:bCs/>
          <w:color w:val="000000"/>
        </w:rPr>
      </w:pPr>
    </w:p>
    <w:p w14:paraId="2F8CD683">
      <w:pPr>
        <w:pStyle w:val="22"/>
        <w:ind w:firstLine="211"/>
        <w:rPr>
          <w:rFonts w:cs="宋体"/>
          <w:b/>
          <w:bCs/>
          <w:color w:val="000000"/>
        </w:rPr>
      </w:pPr>
    </w:p>
    <w:p w14:paraId="1CABC187">
      <w:pPr>
        <w:rPr>
          <w:rFonts w:cs="宋体"/>
          <w:b/>
          <w:bCs/>
          <w:color w:val="000000"/>
        </w:rPr>
      </w:pPr>
    </w:p>
    <w:p w14:paraId="2829B0AA">
      <w:pPr>
        <w:pStyle w:val="8"/>
        <w:rPr>
          <w:rFonts w:cs="宋体"/>
          <w:b/>
          <w:bCs/>
          <w:color w:val="000000"/>
        </w:rPr>
      </w:pPr>
    </w:p>
    <w:p w14:paraId="53703F8F">
      <w:pPr>
        <w:pStyle w:val="22"/>
        <w:ind w:firstLine="211"/>
        <w:rPr>
          <w:rFonts w:cs="宋体"/>
          <w:b/>
          <w:bCs/>
          <w:color w:val="000000"/>
        </w:rPr>
      </w:pPr>
    </w:p>
    <w:p w14:paraId="11496278">
      <w:pPr>
        <w:rPr>
          <w:rFonts w:cs="宋体"/>
          <w:b/>
          <w:bCs/>
          <w:color w:val="000000"/>
        </w:rPr>
      </w:pPr>
    </w:p>
    <w:p w14:paraId="427E3767">
      <w:pPr>
        <w:pStyle w:val="8"/>
        <w:rPr>
          <w:rFonts w:cs="宋体"/>
          <w:b/>
          <w:bCs/>
          <w:color w:val="000000"/>
        </w:rPr>
      </w:pPr>
    </w:p>
    <w:p w14:paraId="3124BAEA">
      <w:pPr>
        <w:pStyle w:val="22"/>
        <w:ind w:firstLine="211"/>
        <w:rPr>
          <w:rFonts w:cs="宋体"/>
          <w:b/>
          <w:bCs/>
          <w:color w:val="000000"/>
        </w:rPr>
      </w:pPr>
    </w:p>
    <w:p w14:paraId="599FEDA4">
      <w:pPr>
        <w:rPr>
          <w:rFonts w:cs="宋体"/>
          <w:b/>
          <w:bCs/>
          <w:color w:val="000000"/>
        </w:rPr>
      </w:pPr>
    </w:p>
    <w:p w14:paraId="67C4F195">
      <w:pPr>
        <w:pStyle w:val="8"/>
      </w:pPr>
    </w:p>
    <w:p w14:paraId="0D0CC6A8">
      <w:pPr>
        <w:rPr>
          <w:rFonts w:cs="宋体"/>
          <w:b/>
          <w:bCs/>
          <w:color w:val="000000"/>
        </w:rPr>
      </w:pPr>
    </w:p>
    <w:p w14:paraId="6D4DC5DC">
      <w:pPr>
        <w:pStyle w:val="8"/>
        <w:rPr>
          <w:rFonts w:cs="宋体"/>
          <w:b/>
          <w:bCs/>
          <w:color w:val="000000"/>
        </w:rPr>
      </w:pPr>
    </w:p>
    <w:p w14:paraId="762579F1">
      <w:pPr>
        <w:pStyle w:val="22"/>
        <w:ind w:firstLine="210"/>
      </w:pPr>
    </w:p>
    <w:p w14:paraId="1C2ABE4E">
      <w:pPr>
        <w:rPr>
          <w:rFonts w:ascii="宋体" w:hAnsi="宋体" w:cs="宋体"/>
        </w:rPr>
      </w:pPr>
      <w:r>
        <w:rPr>
          <w:rFonts w:hint="eastAsia" w:ascii="宋体" w:hAnsi="宋体" w:cs="宋体"/>
        </w:rPr>
        <w:t>电子备份磋商响应文件外包装封面格式：</w:t>
      </w:r>
    </w:p>
    <w:p w14:paraId="58F7487A">
      <w:pPr>
        <w:rPr>
          <w:rFonts w:ascii="宋体" w:hAnsi="宋体" w:cs="宋体"/>
        </w:rPr>
      </w:pPr>
      <w:r>
        <w:rPr>
          <w:rFonts w:hint="eastAsia" w:ascii="宋体" w:hAnsi="宋体" w:cs="宋体"/>
        </w:rPr>
        <w:t xml:space="preserve"> </w:t>
      </w:r>
    </w:p>
    <w:p w14:paraId="155B337F">
      <w:pPr>
        <w:rPr>
          <w:rFonts w:ascii="宋体" w:hAnsi="宋体" w:cs="宋体"/>
        </w:rPr>
      </w:pPr>
      <w:r>
        <w:rPr>
          <w:rFonts w:hint="eastAsia" w:ascii="宋体" w:hAnsi="宋体" w:cs="宋体"/>
        </w:rPr>
        <w:t xml:space="preserve"> </w:t>
      </w:r>
    </w:p>
    <w:p w14:paraId="4B1904BD">
      <w:pPr>
        <w:jc w:val="center"/>
        <w:rPr>
          <w:rFonts w:ascii="宋体" w:hAnsi="宋体" w:cs="宋体"/>
          <w:sz w:val="44"/>
          <w:szCs w:val="44"/>
        </w:rPr>
      </w:pPr>
      <w:r>
        <w:rPr>
          <w:rFonts w:hint="eastAsia" w:ascii="宋体" w:hAnsi="宋体" w:cs="宋体"/>
          <w:sz w:val="44"/>
          <w:szCs w:val="44"/>
        </w:rPr>
        <w:t>电子备份磋商响应文件</w:t>
      </w:r>
    </w:p>
    <w:p w14:paraId="0189A527">
      <w:pPr>
        <w:rPr>
          <w:rFonts w:ascii="宋体" w:hAnsi="宋体" w:cs="宋体"/>
        </w:rPr>
      </w:pPr>
      <w:r>
        <w:rPr>
          <w:rFonts w:hint="eastAsia" w:ascii="宋体" w:hAnsi="宋体" w:cs="宋体"/>
        </w:rPr>
        <w:t xml:space="preserve"> </w:t>
      </w:r>
    </w:p>
    <w:p w14:paraId="12D4022D">
      <w:pPr>
        <w:spacing w:line="360" w:lineRule="auto"/>
        <w:rPr>
          <w:rFonts w:ascii="宋体" w:hAnsi="宋体" w:cs="宋体"/>
        </w:rPr>
      </w:pPr>
    </w:p>
    <w:p w14:paraId="6665C66F">
      <w:pPr>
        <w:spacing w:line="360" w:lineRule="auto"/>
        <w:rPr>
          <w:rFonts w:ascii="宋体" w:hAnsi="宋体" w:cs="宋体"/>
        </w:rPr>
      </w:pPr>
    </w:p>
    <w:p w14:paraId="5C3F717A">
      <w:pPr>
        <w:spacing w:line="360" w:lineRule="auto"/>
        <w:rPr>
          <w:rFonts w:ascii="宋体" w:hAnsi="宋体" w:cs="宋体"/>
        </w:rPr>
      </w:pPr>
      <w:r>
        <w:rPr>
          <w:rFonts w:hint="eastAsia" w:ascii="宋体" w:hAnsi="宋体" w:cs="宋体"/>
        </w:rPr>
        <w:t xml:space="preserve">项目名称：                      </w:t>
      </w:r>
    </w:p>
    <w:p w14:paraId="0091C4F2">
      <w:pPr>
        <w:spacing w:line="360" w:lineRule="auto"/>
        <w:rPr>
          <w:rFonts w:ascii="宋体" w:hAnsi="宋体" w:cs="宋体"/>
        </w:rPr>
      </w:pPr>
      <w:r>
        <w:rPr>
          <w:rFonts w:hint="eastAsia" w:ascii="宋体" w:hAnsi="宋体" w:cs="宋体"/>
        </w:rPr>
        <w:t xml:space="preserve">项目编号： </w:t>
      </w:r>
    </w:p>
    <w:p w14:paraId="0E4D779A">
      <w:pPr>
        <w:spacing w:line="360" w:lineRule="auto"/>
        <w:rPr>
          <w:rFonts w:ascii="宋体" w:hAnsi="宋体" w:cs="宋体"/>
        </w:rPr>
      </w:pPr>
      <w:r>
        <w:rPr>
          <w:rFonts w:hint="eastAsia" w:ascii="宋体" w:hAnsi="宋体" w:cs="宋体"/>
        </w:rPr>
        <w:t>供应商名称：</w:t>
      </w:r>
    </w:p>
    <w:p w14:paraId="4F7EF25F">
      <w:pPr>
        <w:spacing w:line="360" w:lineRule="auto"/>
        <w:rPr>
          <w:rFonts w:ascii="宋体" w:hAnsi="宋体" w:cs="宋体"/>
        </w:rPr>
      </w:pPr>
      <w:r>
        <w:rPr>
          <w:rFonts w:hint="eastAsia" w:ascii="宋体" w:hAnsi="宋体" w:cs="宋体"/>
        </w:rPr>
        <w:t>供应商地址：</w:t>
      </w:r>
    </w:p>
    <w:p w14:paraId="25F533D2">
      <w:pPr>
        <w:spacing w:line="360" w:lineRule="auto"/>
        <w:rPr>
          <w:rFonts w:ascii="宋体" w:hAnsi="宋体" w:cs="宋体"/>
        </w:rPr>
      </w:pPr>
      <w:r>
        <w:rPr>
          <w:rFonts w:hint="eastAsia" w:ascii="宋体" w:hAnsi="宋体" w:cs="宋体"/>
        </w:rPr>
        <w:t>在  年  月  日  时  分之前不得启封</w:t>
      </w:r>
    </w:p>
    <w:p w14:paraId="2BD15EF5">
      <w:pPr>
        <w:spacing w:line="360" w:lineRule="auto"/>
        <w:rPr>
          <w:rFonts w:ascii="宋体" w:hAnsi="宋体" w:cs="宋体"/>
        </w:rPr>
      </w:pPr>
      <w:r>
        <w:rPr>
          <w:rFonts w:hint="eastAsia" w:ascii="宋体" w:hAnsi="宋体" w:cs="宋体"/>
        </w:rPr>
        <w:t xml:space="preserve">      </w:t>
      </w:r>
    </w:p>
    <w:p w14:paraId="5431C16B">
      <w:pPr>
        <w:spacing w:line="360" w:lineRule="auto"/>
        <w:rPr>
          <w:rFonts w:ascii="宋体" w:hAnsi="宋体" w:cs="宋体"/>
        </w:rPr>
      </w:pPr>
      <w:r>
        <w:rPr>
          <w:rFonts w:hint="eastAsia" w:ascii="宋体" w:hAnsi="宋体" w:cs="宋体"/>
        </w:rPr>
        <w:t xml:space="preserve">                                                   </w:t>
      </w:r>
    </w:p>
    <w:p w14:paraId="7B93DCF1">
      <w:pPr>
        <w:spacing w:line="360" w:lineRule="auto"/>
        <w:rPr>
          <w:rFonts w:ascii="宋体" w:hAnsi="宋体" w:cs="宋体"/>
        </w:rPr>
      </w:pPr>
    </w:p>
    <w:p w14:paraId="2071EE49">
      <w:pPr>
        <w:spacing w:line="360" w:lineRule="auto"/>
        <w:ind w:firstLine="5250" w:firstLineChars="2500"/>
        <w:rPr>
          <w:rFonts w:ascii="宋体" w:hAnsi="宋体" w:cs="宋体"/>
        </w:rPr>
      </w:pPr>
      <w:r>
        <w:rPr>
          <w:rFonts w:hint="eastAsia" w:ascii="宋体" w:hAnsi="宋体" w:cs="宋体"/>
        </w:rPr>
        <w:t xml:space="preserve"> （供应商公章）</w:t>
      </w:r>
    </w:p>
    <w:p w14:paraId="45B12B8B">
      <w:pPr>
        <w:spacing w:line="360" w:lineRule="auto"/>
        <w:rPr>
          <w:rFonts w:ascii="宋体" w:hAnsi="宋体" w:cs="宋体"/>
        </w:rPr>
      </w:pPr>
      <w:r>
        <w:rPr>
          <w:rFonts w:hint="eastAsia" w:ascii="宋体" w:hAnsi="宋体" w:cs="宋体"/>
        </w:rPr>
        <w:t xml:space="preserve">                                                      年  月  日</w:t>
      </w:r>
    </w:p>
    <w:p w14:paraId="5529036E">
      <w:pPr>
        <w:rPr>
          <w:color w:val="000000"/>
        </w:rPr>
        <w:sectPr>
          <w:pgSz w:w="11907" w:h="16840"/>
          <w:pgMar w:top="1134" w:right="850" w:bottom="1134" w:left="1474" w:header="1134" w:footer="1134" w:gutter="0"/>
          <w:pgNumType w:fmt="decimal"/>
          <w:cols w:space="720" w:num="1"/>
          <w:docGrid w:linePitch="285" w:charSpace="0"/>
        </w:sectPr>
      </w:pPr>
      <w:r>
        <w:rPr>
          <w:rFonts w:hint="eastAsia" w:ascii="宋体" w:hAnsi="宋体" w:cs="宋体"/>
        </w:rPr>
        <w:t xml:space="preserve"> </w:t>
      </w:r>
    </w:p>
    <w:p w14:paraId="18809487">
      <w:pPr>
        <w:pStyle w:val="13"/>
        <w:tabs>
          <w:tab w:val="left" w:pos="3450"/>
        </w:tabs>
        <w:spacing w:line="260" w:lineRule="exact"/>
        <w:jc w:val="left"/>
        <w:rPr>
          <w:rFonts w:ascii="Times New Roman" w:hAnsi="Times New Roman"/>
        </w:rPr>
      </w:pPr>
      <w:r>
        <w:rPr>
          <w:rFonts w:hint="eastAsia" w:ascii="Times New Roman" w:hAnsi="Times New Roman"/>
        </w:rPr>
        <w:t>附</w:t>
      </w:r>
    </w:p>
    <w:p w14:paraId="032E52CA">
      <w:pPr>
        <w:pStyle w:val="13"/>
        <w:tabs>
          <w:tab w:val="left" w:pos="3450"/>
        </w:tabs>
        <w:spacing w:line="20" w:lineRule="exact"/>
        <w:jc w:val="left"/>
        <w:rPr>
          <w:rFonts w:ascii="Times New Roman" w:hAnsi="Times New Roman"/>
        </w:rPr>
      </w:pPr>
    </w:p>
    <w:p w14:paraId="21223712">
      <w:pPr>
        <w:pStyle w:val="13"/>
        <w:tabs>
          <w:tab w:val="left" w:pos="3450"/>
        </w:tabs>
        <w:spacing w:line="20" w:lineRule="exact"/>
        <w:jc w:val="left"/>
        <w:rPr>
          <w:rFonts w:ascii="Times New Roman" w:hAnsi="Times New Roman"/>
        </w:rPr>
      </w:pPr>
    </w:p>
    <w:p w14:paraId="44EC6C7C">
      <w:pPr>
        <w:pStyle w:val="13"/>
        <w:tabs>
          <w:tab w:val="left" w:pos="3450"/>
        </w:tabs>
        <w:spacing w:line="20" w:lineRule="exact"/>
        <w:jc w:val="left"/>
        <w:rPr>
          <w:rFonts w:hAnsi="宋体"/>
          <w:sz w:val="36"/>
          <w:szCs w:val="36"/>
        </w:rPr>
      </w:pPr>
    </w:p>
    <w:p w14:paraId="16B24D8E">
      <w:pPr>
        <w:jc w:val="center"/>
        <w:rPr>
          <w:rFonts w:ascii="Times New Roman" w:hAnsi="Times New Roman" w:cs="宋体"/>
          <w:b/>
          <w:bCs/>
          <w:sz w:val="24"/>
          <w:szCs w:val="24"/>
        </w:rPr>
      </w:pPr>
      <w:r>
        <w:rPr>
          <w:rFonts w:hint="eastAsia" w:ascii="Times New Roman" w:hAnsi="Times New Roman" w:cs="宋体"/>
          <w:b/>
          <w:bCs/>
          <w:sz w:val="24"/>
          <w:szCs w:val="24"/>
        </w:rPr>
        <w:t>中小企业划型标准规定（工信部联企业[2011]300号）</w:t>
      </w:r>
    </w:p>
    <w:p w14:paraId="0A289473">
      <w:r>
        <w:rPr>
          <w:rFonts w:ascii="Times New Roman" w:hAnsi="Times New Roman"/>
        </w:rPr>
        <w:drawing>
          <wp:inline distT="0" distB="0" distL="114300" distR="114300">
            <wp:extent cx="8489315" cy="5083175"/>
            <wp:effectExtent l="0" t="0" r="1460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stretch>
                      <a:fillRect/>
                    </a:stretch>
                  </pic:blipFill>
                  <pic:spPr>
                    <a:xfrm>
                      <a:off x="0" y="0"/>
                      <a:ext cx="8489315" cy="5083175"/>
                    </a:xfrm>
                    <a:prstGeom prst="rect">
                      <a:avLst/>
                    </a:prstGeom>
                    <a:noFill/>
                    <a:ln>
                      <a:noFill/>
                    </a:ln>
                  </pic:spPr>
                </pic:pic>
              </a:graphicData>
            </a:graphic>
          </wp:inline>
        </w:drawing>
      </w:r>
    </w:p>
    <w:sectPr>
      <w:pgSz w:w="16840" w:h="11907" w:orient="landscape"/>
      <w:pgMar w:top="1474" w:right="1134" w:bottom="850" w:left="1134"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4779">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E192">
                          <w:pPr>
                            <w:pStyle w:val="16"/>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94E192">
                    <w:pPr>
                      <w:pStyle w:val="16"/>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F43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1F45">
    <w:pPr>
      <w:pStyle w:val="16"/>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7AAB8">
                          <w:pPr>
                            <w:pStyle w:val="1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17AAB8">
                    <w:pPr>
                      <w:pStyle w:val="1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929F">
    <w:pPr>
      <w:pStyle w:val="16"/>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80262">
                          <w:pPr>
                            <w:pStyle w:val="1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B80262">
                    <w:pPr>
                      <w:pStyle w:val="1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79FA">
    <w:pPr>
      <w:pStyle w:val="16"/>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AC157">
                          <w:pPr>
                            <w:pStyle w:val="16"/>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EAC157">
                    <w:pPr>
                      <w:pStyle w:val="16"/>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DE74">
    <w:pPr>
      <w:pStyle w:val="16"/>
      <w:jc w:val="center"/>
      <w:rPr>
        <w:rFonts w:asci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8C8CF">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58C8CF">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97E3">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AC99D">
                          <w:pPr>
                            <w:pStyle w:val="16"/>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DAC99D">
                    <w:pPr>
                      <w:pStyle w:val="16"/>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5B02">
    <w:pPr>
      <w:pStyle w:val="1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6900F">
                          <w:pPr>
                            <w:pStyle w:val="1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16900F">
                    <w:pPr>
                      <w:pStyle w:val="1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1988185</wp:posOffset>
              </wp:positionH>
              <wp:positionV relativeFrom="paragraph">
                <wp:posOffset>2670175</wp:posOffset>
              </wp:positionV>
              <wp:extent cx="1673860" cy="4445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3860"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72CA5"/>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6.55pt;margin-top:210.25pt;height:35pt;width:131.8pt;mso-position-horizontal-relative:margin;z-index:251663360;mso-width-relative:page;mso-height-relative:page;" filled="f" stroked="f" coordsize="21600,21600" o:gfxdata="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3JOmrZAAAACwEAAA8AAAAAAAAAAQAgAAAAIgAAAGRycy9kb3du&#10;cmV2LnhtbFBLAQIUABQAAAAIAIdO4kBFFTHjNwIAAGQEAAAOAAAAAAAAAAEAIAAAACgBAABkcnMv&#10;ZTJvRG9jLnhtbFBLBQYAAAAABgAGAFkBAADRBQAAAAA=&#10;">
              <v:fill on="f" focussize="0,0"/>
              <v:stroke on="f" weight="0.5pt"/>
              <v:imagedata o:title=""/>
              <o:lock v:ext="edit" aspectratio="f"/>
              <v:textbox inset="0mm,0mm,0mm,0mm">
                <w:txbxContent>
                  <w:p w14:paraId="07772CA5"/>
                </w:txbxContent>
              </v:textbox>
            </v:shape>
          </w:pict>
        </mc:Fallback>
      </mc:AlternateContent>
    </w:r>
  </w:p>
  <w:p w14:paraId="45AD9A30">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A93B">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AB04">
    <w:pPr>
      <w:pStyle w:val="17"/>
      <w:pBdr>
        <w:bottom w:val="none" w:color="auto" w:sz="0" w:space="1"/>
      </w:pBdr>
      <w:jc w:val="left"/>
      <w:rPr>
        <w:rFonts w:ascii="宋体" w:hAnsi="宋体" w:eastAsia="宋体"/>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D3D17CB5"/>
    <w:multiLevelType w:val="singleLevel"/>
    <w:tmpl w:val="D3D17CB5"/>
    <w:lvl w:ilvl="0" w:tentative="0">
      <w:start w:val="2"/>
      <w:numFmt w:val="chineseCounting"/>
      <w:suff w:val="nothing"/>
      <w:lvlText w:val="%1、"/>
      <w:lvlJc w:val="left"/>
      <w:rPr>
        <w:rFonts w:hint="eastAsia"/>
      </w:rPr>
    </w:lvl>
  </w:abstractNum>
  <w:abstractNum w:abstractNumId="2">
    <w:nsid w:val="EDF1E82E"/>
    <w:multiLevelType w:val="singleLevel"/>
    <w:tmpl w:val="EDF1E82E"/>
    <w:lvl w:ilvl="0" w:tentative="0">
      <w:start w:val="1"/>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5"/>
      <w:lvlText w:val="%1."/>
      <w:lvlJc w:val="left"/>
      <w:pPr>
        <w:tabs>
          <w:tab w:val="left" w:pos="360"/>
        </w:tabs>
        <w:ind w:left="360" w:hanging="360"/>
      </w:pPr>
    </w:lvl>
  </w:abstractNum>
  <w:abstractNum w:abstractNumId="7">
    <w:nsid w:val="3EAA0A72"/>
    <w:multiLevelType w:val="singleLevel"/>
    <w:tmpl w:val="3EAA0A72"/>
    <w:lvl w:ilvl="0" w:tentative="0">
      <w:start w:val="1"/>
      <w:numFmt w:val="decimal"/>
      <w:suff w:val="nothing"/>
      <w:lvlText w:val="%1）"/>
      <w:lvlJc w:val="left"/>
    </w:lvl>
  </w:abstractNum>
  <w:abstractNum w:abstractNumId="8">
    <w:nsid w:val="567CFDD7"/>
    <w:multiLevelType w:val="singleLevel"/>
    <w:tmpl w:val="567CFDD7"/>
    <w:lvl w:ilvl="0" w:tentative="0">
      <w:start w:val="1"/>
      <w:numFmt w:val="decimal"/>
      <w:suff w:val="nothing"/>
      <w:lvlText w:val="%1、"/>
      <w:lvlJc w:val="left"/>
    </w:lvl>
  </w:abstractNum>
  <w:abstractNum w:abstractNumId="9">
    <w:nsid w:val="6E408B81"/>
    <w:multiLevelType w:val="singleLevel"/>
    <w:tmpl w:val="6E408B81"/>
    <w:lvl w:ilvl="0" w:tentative="0">
      <w:start w:val="1"/>
      <w:numFmt w:val="chineseCounting"/>
      <w:suff w:val="nothing"/>
      <w:lvlText w:val="%1、"/>
      <w:lvlJc w:val="left"/>
      <w:rPr>
        <w:rFonts w:hint="eastAsia"/>
      </w:r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7"/>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0D011D"/>
    <w:rsid w:val="00293637"/>
    <w:rsid w:val="003660BF"/>
    <w:rsid w:val="006206E9"/>
    <w:rsid w:val="00660D1C"/>
    <w:rsid w:val="00876A22"/>
    <w:rsid w:val="0091082B"/>
    <w:rsid w:val="00946F2D"/>
    <w:rsid w:val="009D2C01"/>
    <w:rsid w:val="00B2494E"/>
    <w:rsid w:val="00BF454D"/>
    <w:rsid w:val="00C85F21"/>
    <w:rsid w:val="00D8411B"/>
    <w:rsid w:val="00FD5152"/>
    <w:rsid w:val="016146A3"/>
    <w:rsid w:val="021F7DC1"/>
    <w:rsid w:val="02513EEE"/>
    <w:rsid w:val="02B250DA"/>
    <w:rsid w:val="02E22B9D"/>
    <w:rsid w:val="031D766C"/>
    <w:rsid w:val="03AF786B"/>
    <w:rsid w:val="04671EF4"/>
    <w:rsid w:val="04CB2483"/>
    <w:rsid w:val="04E946B7"/>
    <w:rsid w:val="05284B01"/>
    <w:rsid w:val="055661F0"/>
    <w:rsid w:val="05B2719F"/>
    <w:rsid w:val="06622973"/>
    <w:rsid w:val="0667442D"/>
    <w:rsid w:val="066C50FA"/>
    <w:rsid w:val="06C47E35"/>
    <w:rsid w:val="0751266B"/>
    <w:rsid w:val="076D15CF"/>
    <w:rsid w:val="077741FC"/>
    <w:rsid w:val="0782131A"/>
    <w:rsid w:val="079E5C2C"/>
    <w:rsid w:val="07AD2313"/>
    <w:rsid w:val="07CF228A"/>
    <w:rsid w:val="0870581B"/>
    <w:rsid w:val="08764D70"/>
    <w:rsid w:val="08871292"/>
    <w:rsid w:val="088A61B1"/>
    <w:rsid w:val="089808CE"/>
    <w:rsid w:val="092403B3"/>
    <w:rsid w:val="0928170F"/>
    <w:rsid w:val="09ED4C49"/>
    <w:rsid w:val="09FC08BF"/>
    <w:rsid w:val="0A2F768E"/>
    <w:rsid w:val="0A4F1460"/>
    <w:rsid w:val="0A931C92"/>
    <w:rsid w:val="0B09160F"/>
    <w:rsid w:val="0B302F90"/>
    <w:rsid w:val="0BD240F7"/>
    <w:rsid w:val="0BF00A21"/>
    <w:rsid w:val="0C170073"/>
    <w:rsid w:val="0C7F6F36"/>
    <w:rsid w:val="0D4E01B1"/>
    <w:rsid w:val="0D731909"/>
    <w:rsid w:val="0D9A6E96"/>
    <w:rsid w:val="0DD87549"/>
    <w:rsid w:val="0E1140E2"/>
    <w:rsid w:val="0E215363"/>
    <w:rsid w:val="0E981627"/>
    <w:rsid w:val="0EA7186A"/>
    <w:rsid w:val="0ED855C1"/>
    <w:rsid w:val="0ED85EC8"/>
    <w:rsid w:val="0EE84984"/>
    <w:rsid w:val="0F5D017B"/>
    <w:rsid w:val="0F8C0A60"/>
    <w:rsid w:val="10836709"/>
    <w:rsid w:val="118C4D48"/>
    <w:rsid w:val="11BF6B94"/>
    <w:rsid w:val="131950AE"/>
    <w:rsid w:val="134C478E"/>
    <w:rsid w:val="13607A89"/>
    <w:rsid w:val="13912AE9"/>
    <w:rsid w:val="1399374C"/>
    <w:rsid w:val="144E593E"/>
    <w:rsid w:val="14C111AC"/>
    <w:rsid w:val="150C0679"/>
    <w:rsid w:val="153D29A8"/>
    <w:rsid w:val="15460B64"/>
    <w:rsid w:val="15512530"/>
    <w:rsid w:val="159D5775"/>
    <w:rsid w:val="15A46B04"/>
    <w:rsid w:val="15DC29EE"/>
    <w:rsid w:val="15EF7FE1"/>
    <w:rsid w:val="163F1BE5"/>
    <w:rsid w:val="16846935"/>
    <w:rsid w:val="179D1A5D"/>
    <w:rsid w:val="17F673BF"/>
    <w:rsid w:val="18A0491C"/>
    <w:rsid w:val="197856B4"/>
    <w:rsid w:val="19A36744"/>
    <w:rsid w:val="19D13C3F"/>
    <w:rsid w:val="1A22449B"/>
    <w:rsid w:val="1AB71087"/>
    <w:rsid w:val="1AED5B68"/>
    <w:rsid w:val="1AF000F5"/>
    <w:rsid w:val="1B0167A6"/>
    <w:rsid w:val="1B05777B"/>
    <w:rsid w:val="1B9E4562"/>
    <w:rsid w:val="1BBC26CD"/>
    <w:rsid w:val="1BD56CA2"/>
    <w:rsid w:val="1BE43DD7"/>
    <w:rsid w:val="1BF47A84"/>
    <w:rsid w:val="1C63589C"/>
    <w:rsid w:val="1C640D9B"/>
    <w:rsid w:val="1CD75A11"/>
    <w:rsid w:val="1DCF66E8"/>
    <w:rsid w:val="1DFB6C7B"/>
    <w:rsid w:val="1E012619"/>
    <w:rsid w:val="1E334EC9"/>
    <w:rsid w:val="1F442EF1"/>
    <w:rsid w:val="1F8F65E5"/>
    <w:rsid w:val="1FAD3065"/>
    <w:rsid w:val="201279D3"/>
    <w:rsid w:val="204368AA"/>
    <w:rsid w:val="205904EB"/>
    <w:rsid w:val="2061492C"/>
    <w:rsid w:val="20E8720D"/>
    <w:rsid w:val="20FD17BE"/>
    <w:rsid w:val="21442F49"/>
    <w:rsid w:val="21DF308D"/>
    <w:rsid w:val="223926E0"/>
    <w:rsid w:val="22682C67"/>
    <w:rsid w:val="22B8599C"/>
    <w:rsid w:val="233C0197"/>
    <w:rsid w:val="238C6E29"/>
    <w:rsid w:val="243C25FD"/>
    <w:rsid w:val="244D4889"/>
    <w:rsid w:val="247C0AE0"/>
    <w:rsid w:val="256D6C72"/>
    <w:rsid w:val="25755DC7"/>
    <w:rsid w:val="25F36CDB"/>
    <w:rsid w:val="26EC030B"/>
    <w:rsid w:val="27473793"/>
    <w:rsid w:val="27772D4D"/>
    <w:rsid w:val="28546167"/>
    <w:rsid w:val="285F4D52"/>
    <w:rsid w:val="29BB5D72"/>
    <w:rsid w:val="29C17CB3"/>
    <w:rsid w:val="2A293624"/>
    <w:rsid w:val="2A500BB0"/>
    <w:rsid w:val="2A9E7B6E"/>
    <w:rsid w:val="2AC12249"/>
    <w:rsid w:val="2B715282"/>
    <w:rsid w:val="2B9E76FA"/>
    <w:rsid w:val="2C1856FE"/>
    <w:rsid w:val="2C232B24"/>
    <w:rsid w:val="2C251BC9"/>
    <w:rsid w:val="2C6C061B"/>
    <w:rsid w:val="2C752B50"/>
    <w:rsid w:val="2C867F83"/>
    <w:rsid w:val="2CE83322"/>
    <w:rsid w:val="2D085772"/>
    <w:rsid w:val="2D0862B2"/>
    <w:rsid w:val="2D3E73E6"/>
    <w:rsid w:val="2DAF5BEE"/>
    <w:rsid w:val="2DC94A03"/>
    <w:rsid w:val="2E2959A0"/>
    <w:rsid w:val="2E9C2616"/>
    <w:rsid w:val="2EAB0AAB"/>
    <w:rsid w:val="2EFA10EB"/>
    <w:rsid w:val="2F241472"/>
    <w:rsid w:val="2F703B37"/>
    <w:rsid w:val="2FF82703"/>
    <w:rsid w:val="300466C5"/>
    <w:rsid w:val="301E2C0E"/>
    <w:rsid w:val="30544A4A"/>
    <w:rsid w:val="306D74E0"/>
    <w:rsid w:val="30D14E34"/>
    <w:rsid w:val="30E107B4"/>
    <w:rsid w:val="3216623C"/>
    <w:rsid w:val="32312DAF"/>
    <w:rsid w:val="32333292"/>
    <w:rsid w:val="324E10F8"/>
    <w:rsid w:val="325E0512"/>
    <w:rsid w:val="33781580"/>
    <w:rsid w:val="337C3E29"/>
    <w:rsid w:val="3392223A"/>
    <w:rsid w:val="33C341A1"/>
    <w:rsid w:val="33D07DE5"/>
    <w:rsid w:val="33F573FC"/>
    <w:rsid w:val="342B1D46"/>
    <w:rsid w:val="344C030A"/>
    <w:rsid w:val="346F0D60"/>
    <w:rsid w:val="35206B52"/>
    <w:rsid w:val="354F62AF"/>
    <w:rsid w:val="357363B7"/>
    <w:rsid w:val="361433DA"/>
    <w:rsid w:val="3621422B"/>
    <w:rsid w:val="363F708F"/>
    <w:rsid w:val="3683384F"/>
    <w:rsid w:val="36A42113"/>
    <w:rsid w:val="36A850AF"/>
    <w:rsid w:val="36B9188B"/>
    <w:rsid w:val="36EB2481"/>
    <w:rsid w:val="3710594F"/>
    <w:rsid w:val="375C4938"/>
    <w:rsid w:val="37824373"/>
    <w:rsid w:val="3793032E"/>
    <w:rsid w:val="37A9194A"/>
    <w:rsid w:val="37D03331"/>
    <w:rsid w:val="38022BDC"/>
    <w:rsid w:val="385A3F58"/>
    <w:rsid w:val="39231750"/>
    <w:rsid w:val="392F4087"/>
    <w:rsid w:val="39663F4D"/>
    <w:rsid w:val="39761CB6"/>
    <w:rsid w:val="3A322081"/>
    <w:rsid w:val="3A7A72A7"/>
    <w:rsid w:val="3ACE12ED"/>
    <w:rsid w:val="3B135A0E"/>
    <w:rsid w:val="3B697D24"/>
    <w:rsid w:val="3BB23479"/>
    <w:rsid w:val="3BEC625F"/>
    <w:rsid w:val="3C573A8F"/>
    <w:rsid w:val="3C61258C"/>
    <w:rsid w:val="3C74072E"/>
    <w:rsid w:val="3CF655E7"/>
    <w:rsid w:val="3CF67DA0"/>
    <w:rsid w:val="3DCC459A"/>
    <w:rsid w:val="3DD07BE6"/>
    <w:rsid w:val="3E8825E6"/>
    <w:rsid w:val="3EB05EF1"/>
    <w:rsid w:val="3ED2798E"/>
    <w:rsid w:val="3ED90D1D"/>
    <w:rsid w:val="3F08553A"/>
    <w:rsid w:val="3F902155"/>
    <w:rsid w:val="3FEE07F8"/>
    <w:rsid w:val="400B13AA"/>
    <w:rsid w:val="40721429"/>
    <w:rsid w:val="40945FE3"/>
    <w:rsid w:val="409E4689"/>
    <w:rsid w:val="40B41686"/>
    <w:rsid w:val="40D31AFC"/>
    <w:rsid w:val="40E37C31"/>
    <w:rsid w:val="41126768"/>
    <w:rsid w:val="413A1667"/>
    <w:rsid w:val="415B1EBD"/>
    <w:rsid w:val="416B7C26"/>
    <w:rsid w:val="42181B5C"/>
    <w:rsid w:val="421C7859"/>
    <w:rsid w:val="42312C1E"/>
    <w:rsid w:val="426B25D4"/>
    <w:rsid w:val="426B6130"/>
    <w:rsid w:val="42862C08"/>
    <w:rsid w:val="43020867"/>
    <w:rsid w:val="43CF26EE"/>
    <w:rsid w:val="43D910B9"/>
    <w:rsid w:val="43DB0A4C"/>
    <w:rsid w:val="452847AC"/>
    <w:rsid w:val="455C5158"/>
    <w:rsid w:val="4588524B"/>
    <w:rsid w:val="46256F3D"/>
    <w:rsid w:val="46DC6C82"/>
    <w:rsid w:val="474D258F"/>
    <w:rsid w:val="47627C2D"/>
    <w:rsid w:val="47B57E4D"/>
    <w:rsid w:val="47EF7803"/>
    <w:rsid w:val="486C43FC"/>
    <w:rsid w:val="48BD345D"/>
    <w:rsid w:val="497A75A0"/>
    <w:rsid w:val="49C600F0"/>
    <w:rsid w:val="49D56585"/>
    <w:rsid w:val="49F31689"/>
    <w:rsid w:val="4A1B043B"/>
    <w:rsid w:val="4A286FFC"/>
    <w:rsid w:val="4A9D3546"/>
    <w:rsid w:val="4AD11442"/>
    <w:rsid w:val="4B0231CE"/>
    <w:rsid w:val="4B9009B5"/>
    <w:rsid w:val="4BC66ACD"/>
    <w:rsid w:val="4C655AB4"/>
    <w:rsid w:val="4C785A5C"/>
    <w:rsid w:val="4C942727"/>
    <w:rsid w:val="4CDB0356"/>
    <w:rsid w:val="4D697710"/>
    <w:rsid w:val="4D924EB8"/>
    <w:rsid w:val="4D954CF0"/>
    <w:rsid w:val="4DC33B9C"/>
    <w:rsid w:val="4DD73E24"/>
    <w:rsid w:val="4DDA23BB"/>
    <w:rsid w:val="4DDC6134"/>
    <w:rsid w:val="4E393586"/>
    <w:rsid w:val="4E5C1022"/>
    <w:rsid w:val="4F815C1D"/>
    <w:rsid w:val="4F9A62A6"/>
    <w:rsid w:val="508A00C9"/>
    <w:rsid w:val="50D77710"/>
    <w:rsid w:val="511C00C4"/>
    <w:rsid w:val="5133250E"/>
    <w:rsid w:val="519218E0"/>
    <w:rsid w:val="51AF2D32"/>
    <w:rsid w:val="51F82D19"/>
    <w:rsid w:val="52613E14"/>
    <w:rsid w:val="52C711C2"/>
    <w:rsid w:val="535321C1"/>
    <w:rsid w:val="536B6A00"/>
    <w:rsid w:val="53AC65A8"/>
    <w:rsid w:val="53BB7179"/>
    <w:rsid w:val="5435659E"/>
    <w:rsid w:val="54532EC8"/>
    <w:rsid w:val="54EB4EAE"/>
    <w:rsid w:val="54F2448F"/>
    <w:rsid w:val="554C460B"/>
    <w:rsid w:val="556A3723"/>
    <w:rsid w:val="557149C8"/>
    <w:rsid w:val="56B75990"/>
    <w:rsid w:val="58EE31BF"/>
    <w:rsid w:val="58F84A34"/>
    <w:rsid w:val="59590F80"/>
    <w:rsid w:val="596671F9"/>
    <w:rsid w:val="59BD32CB"/>
    <w:rsid w:val="5A1E1882"/>
    <w:rsid w:val="5A410573"/>
    <w:rsid w:val="5A845B89"/>
    <w:rsid w:val="5AAE2C06"/>
    <w:rsid w:val="5AF62A09"/>
    <w:rsid w:val="5B2630E4"/>
    <w:rsid w:val="5B85605C"/>
    <w:rsid w:val="5BC07095"/>
    <w:rsid w:val="5BD668B8"/>
    <w:rsid w:val="5BE3457C"/>
    <w:rsid w:val="5CA52EBA"/>
    <w:rsid w:val="5CB56D39"/>
    <w:rsid w:val="5CCE758F"/>
    <w:rsid w:val="5D0C1038"/>
    <w:rsid w:val="5D5A7075"/>
    <w:rsid w:val="5D7C523D"/>
    <w:rsid w:val="5DEC2341"/>
    <w:rsid w:val="5E1045E0"/>
    <w:rsid w:val="5EE02AF8"/>
    <w:rsid w:val="5F334021"/>
    <w:rsid w:val="5F7F1015"/>
    <w:rsid w:val="604C539B"/>
    <w:rsid w:val="606D70BF"/>
    <w:rsid w:val="610D5315"/>
    <w:rsid w:val="61A60ADB"/>
    <w:rsid w:val="61C35CDA"/>
    <w:rsid w:val="62097CB7"/>
    <w:rsid w:val="624A3B5C"/>
    <w:rsid w:val="62DB6622"/>
    <w:rsid w:val="631B72A6"/>
    <w:rsid w:val="639332E1"/>
    <w:rsid w:val="63CC234F"/>
    <w:rsid w:val="63D556A7"/>
    <w:rsid w:val="643F0D73"/>
    <w:rsid w:val="658469F0"/>
    <w:rsid w:val="659220B2"/>
    <w:rsid w:val="65960E66"/>
    <w:rsid w:val="65CD24E1"/>
    <w:rsid w:val="65F55B8D"/>
    <w:rsid w:val="66D9725C"/>
    <w:rsid w:val="66DE2AC5"/>
    <w:rsid w:val="66DF047B"/>
    <w:rsid w:val="678C2521"/>
    <w:rsid w:val="67CF524B"/>
    <w:rsid w:val="681C1AF7"/>
    <w:rsid w:val="68272FB9"/>
    <w:rsid w:val="68F416C8"/>
    <w:rsid w:val="69605A13"/>
    <w:rsid w:val="69876219"/>
    <w:rsid w:val="69937B96"/>
    <w:rsid w:val="69A27987"/>
    <w:rsid w:val="69AD1FB4"/>
    <w:rsid w:val="69C06201"/>
    <w:rsid w:val="6A1026F9"/>
    <w:rsid w:val="6AB9187F"/>
    <w:rsid w:val="6AB963C6"/>
    <w:rsid w:val="6ABE009D"/>
    <w:rsid w:val="6BE648F5"/>
    <w:rsid w:val="6C726189"/>
    <w:rsid w:val="6C976676"/>
    <w:rsid w:val="6CB92CB3"/>
    <w:rsid w:val="6D317DF2"/>
    <w:rsid w:val="6D323B6A"/>
    <w:rsid w:val="6D4F64CA"/>
    <w:rsid w:val="6D521B67"/>
    <w:rsid w:val="6DAA4E0C"/>
    <w:rsid w:val="6DB77BCC"/>
    <w:rsid w:val="6E3B6A4F"/>
    <w:rsid w:val="6E4072ED"/>
    <w:rsid w:val="6F0D3640"/>
    <w:rsid w:val="6F743FC6"/>
    <w:rsid w:val="701D01BA"/>
    <w:rsid w:val="7040659E"/>
    <w:rsid w:val="70695839"/>
    <w:rsid w:val="706A31E5"/>
    <w:rsid w:val="71153587"/>
    <w:rsid w:val="7129443C"/>
    <w:rsid w:val="71AA1F21"/>
    <w:rsid w:val="71FE401B"/>
    <w:rsid w:val="72007D93"/>
    <w:rsid w:val="72024CCB"/>
    <w:rsid w:val="72153141"/>
    <w:rsid w:val="7270316B"/>
    <w:rsid w:val="7318735E"/>
    <w:rsid w:val="733A5527"/>
    <w:rsid w:val="736A6277"/>
    <w:rsid w:val="73702CF6"/>
    <w:rsid w:val="73CE59C7"/>
    <w:rsid w:val="74143C2D"/>
    <w:rsid w:val="742D43C4"/>
    <w:rsid w:val="74360FA4"/>
    <w:rsid w:val="745F2973"/>
    <w:rsid w:val="74797512"/>
    <w:rsid w:val="74B86703"/>
    <w:rsid w:val="74F01A41"/>
    <w:rsid w:val="765E32DA"/>
    <w:rsid w:val="770E6AAE"/>
    <w:rsid w:val="77530965"/>
    <w:rsid w:val="7769744F"/>
    <w:rsid w:val="779729BE"/>
    <w:rsid w:val="77D45F4A"/>
    <w:rsid w:val="77FE59A4"/>
    <w:rsid w:val="78216FA0"/>
    <w:rsid w:val="78D775F8"/>
    <w:rsid w:val="78D90085"/>
    <w:rsid w:val="796E1A86"/>
    <w:rsid w:val="79877C36"/>
    <w:rsid w:val="798A4DBA"/>
    <w:rsid w:val="79E81839"/>
    <w:rsid w:val="7A111E01"/>
    <w:rsid w:val="7AD87AFF"/>
    <w:rsid w:val="7B373955"/>
    <w:rsid w:val="7B937ECA"/>
    <w:rsid w:val="7BD04C7A"/>
    <w:rsid w:val="7C5B7788"/>
    <w:rsid w:val="7C8E41ED"/>
    <w:rsid w:val="7CDE33C7"/>
    <w:rsid w:val="7CF8678F"/>
    <w:rsid w:val="7D4A49D8"/>
    <w:rsid w:val="7D7013D2"/>
    <w:rsid w:val="7DA80447"/>
    <w:rsid w:val="7DCE343B"/>
    <w:rsid w:val="7DE8020E"/>
    <w:rsid w:val="7E066AC0"/>
    <w:rsid w:val="7E282B4B"/>
    <w:rsid w:val="7E7F72CE"/>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pacing w:line="380" w:lineRule="exact"/>
      <w:jc w:val="center"/>
      <w:outlineLvl w:val="0"/>
    </w:pPr>
    <w:rPr>
      <w:rFonts w:ascii="宋体" w:cs="宋体"/>
      <w:b/>
      <w:bCs/>
      <w:sz w:val="28"/>
      <w:szCs w:val="28"/>
    </w:rPr>
  </w:style>
  <w:style w:type="paragraph" w:styleId="3">
    <w:name w:val="heading 2"/>
    <w:basedOn w:val="1"/>
    <w:next w:val="1"/>
    <w:link w:val="43"/>
    <w:qFormat/>
    <w:uiPriority w:val="0"/>
    <w:pPr>
      <w:keepNext/>
      <w:keepLines/>
      <w:tabs>
        <w:tab w:val="left" w:pos="578"/>
      </w:tabs>
      <w:spacing w:beforeLines="50" w:afterLines="50" w:line="420" w:lineRule="exact"/>
      <w:outlineLvl w:val="1"/>
    </w:pPr>
    <w:rPr>
      <w:rFonts w:ascii="宋体" w:hAnsi="宋体" w:cs="宋体"/>
      <w:b/>
      <w:bCs/>
    </w:rPr>
  </w:style>
  <w:style w:type="paragraph" w:styleId="4">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firstLineChars="200"/>
    </w:pPr>
    <w:rPr>
      <w:sz w:val="24"/>
      <w:szCs w:val="24"/>
    </w:rPr>
  </w:style>
  <w:style w:type="paragraph" w:styleId="7">
    <w:name w:val="index 5"/>
    <w:next w:val="1"/>
    <w:unhideWhenUsed/>
    <w:qFormat/>
    <w:uiPriority w:val="0"/>
    <w:pPr>
      <w:widowControl w:val="0"/>
      <w:ind w:left="800" w:leftChars="800"/>
      <w:jc w:val="both"/>
    </w:pPr>
    <w:rPr>
      <w:rFonts w:ascii="Times New Roman" w:hAnsi="Times New Roman" w:eastAsia="宋体" w:cs="Times New Roman"/>
      <w:kern w:val="2"/>
      <w:sz w:val="21"/>
      <w:lang w:val="en-US" w:eastAsia="zh-CN" w:bidi="ar-SA"/>
    </w:rPr>
  </w:style>
  <w:style w:type="paragraph" w:styleId="8">
    <w:name w:val="Body Text"/>
    <w:basedOn w:val="1"/>
    <w:qFormat/>
    <w:uiPriority w:val="0"/>
    <w:rPr>
      <w:i/>
      <w:iCs/>
      <w:sz w:val="18"/>
      <w:szCs w:val="18"/>
    </w:rPr>
  </w:style>
  <w:style w:type="paragraph" w:styleId="9">
    <w:name w:val="Body Text Indent"/>
    <w:basedOn w:val="1"/>
    <w:next w:val="1"/>
    <w:qFormat/>
    <w:uiPriority w:val="0"/>
    <w:pPr>
      <w:spacing w:line="380" w:lineRule="exact"/>
      <w:ind w:firstLine="480"/>
    </w:pPr>
    <w:rPr>
      <w:rFonts w:eastAsia="方正书宋简体"/>
      <w:sz w:val="24"/>
      <w:szCs w:val="24"/>
    </w:rPr>
  </w:style>
  <w:style w:type="paragraph" w:styleId="10">
    <w:name w:val="List 2"/>
    <w:basedOn w:val="1"/>
    <w:qFormat/>
    <w:uiPriority w:val="0"/>
    <w:pPr>
      <w:ind w:left="100" w:leftChars="200" w:hanging="200" w:hangingChars="200"/>
    </w:pPr>
    <w:rPr>
      <w:sz w:val="28"/>
    </w:rPr>
  </w:style>
  <w:style w:type="paragraph" w:styleId="11">
    <w:name w:val="Block Text"/>
    <w:basedOn w:val="1"/>
    <w:unhideWhenUsed/>
    <w:qFormat/>
    <w:uiPriority w:val="99"/>
    <w:pPr>
      <w:spacing w:after="120"/>
      <w:ind w:left="1440" w:leftChars="700" w:right="1440" w:rightChars="700"/>
    </w:pPr>
    <w:rPr>
      <w:szCs w:val="21"/>
    </w:rPr>
  </w:style>
  <w:style w:type="paragraph" w:styleId="12">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3">
    <w:name w:val="Date"/>
    <w:basedOn w:val="1"/>
    <w:next w:val="1"/>
    <w:qFormat/>
    <w:uiPriority w:val="99"/>
    <w:pPr>
      <w:adjustRightInd w:val="0"/>
      <w:spacing w:line="312" w:lineRule="atLeast"/>
      <w:jc w:val="right"/>
      <w:textAlignment w:val="baseline"/>
    </w:pPr>
    <w:rPr>
      <w:rFonts w:ascii="宋体"/>
      <w:kern w:val="0"/>
      <w:sz w:val="24"/>
    </w:rPr>
  </w:style>
  <w:style w:type="paragraph" w:styleId="14">
    <w:name w:val="Body Text Indent 2"/>
    <w:basedOn w:val="1"/>
    <w:qFormat/>
    <w:uiPriority w:val="0"/>
    <w:pPr>
      <w:spacing w:line="380" w:lineRule="exact"/>
      <w:ind w:left="840" w:hanging="45"/>
    </w:pPr>
    <w:rPr>
      <w:rFonts w:ascii="宋体" w:cs="宋体"/>
      <w:sz w:val="24"/>
      <w:szCs w:val="24"/>
    </w:r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210"/>
      <w:jc w:val="left"/>
    </w:pPr>
    <w:rPr>
      <w:smallCaps/>
      <w:sz w:val="20"/>
    </w:rPr>
  </w:style>
  <w:style w:type="paragraph" w:styleId="20">
    <w:name w:val="Body Text 2"/>
    <w:basedOn w:val="1"/>
    <w:qFormat/>
    <w:uiPriority w:val="99"/>
    <w:pPr>
      <w:spacing w:after="120" w:line="480" w:lineRule="auto"/>
    </w:pPr>
    <w:rPr>
      <w:kern w:val="0"/>
      <w:sz w:val="24"/>
    </w:rPr>
  </w:style>
  <w:style w:type="paragraph" w:styleId="21">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2">
    <w:name w:val="Body Text First Indent"/>
    <w:basedOn w:val="8"/>
    <w:next w:val="1"/>
    <w:qFormat/>
    <w:uiPriority w:val="0"/>
    <w:pPr>
      <w:spacing w:after="120"/>
      <w:ind w:firstLine="420" w:firstLineChars="100"/>
    </w:pPr>
    <w:rPr>
      <w:i w:val="0"/>
      <w:iCs w:val="0"/>
      <w:kern w:val="0"/>
      <w:sz w:val="21"/>
      <w:szCs w:val="21"/>
    </w:rPr>
  </w:style>
  <w:style w:type="paragraph" w:styleId="23">
    <w:name w:val="Body Text First Indent 2"/>
    <w:basedOn w:val="9"/>
    <w:next w:val="1"/>
    <w:unhideWhenUsed/>
    <w:qFormat/>
    <w:uiPriority w:val="99"/>
    <w:pPr>
      <w:spacing w:before="100" w:beforeAutospacing="1"/>
      <w:ind w:left="420" w:firstLine="420" w:firstLineChars="200"/>
    </w:pPr>
    <w:rPr>
      <w:rFonts w:ascii="Times New Roman"/>
      <w:sz w:val="21"/>
      <w:szCs w:val="21"/>
    </w:rPr>
  </w:style>
  <w:style w:type="character" w:styleId="26">
    <w:name w:val="Strong"/>
    <w:basedOn w:val="25"/>
    <w:qFormat/>
    <w:uiPriority w:val="22"/>
    <w:rPr>
      <w:rFonts w:cs="Times New Roman"/>
      <w:b/>
      <w:bCs/>
    </w:rPr>
  </w:style>
  <w:style w:type="character" w:styleId="27">
    <w:name w:val="page number"/>
    <w:basedOn w:val="25"/>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qFormat/>
    <w:uiPriority w:val="0"/>
    <w:rPr>
      <w:sz w:val="21"/>
      <w:szCs w:val="21"/>
    </w:rPr>
  </w:style>
  <w:style w:type="paragraph" w:customStyle="1" w:styleId="30">
    <w:name w:val="A正文"/>
    <w:qFormat/>
    <w:uiPriority w:val="0"/>
    <w:pPr>
      <w:widowControl w:val="0"/>
      <w:topLinePunct/>
      <w:adjustRightInd w:val="0"/>
      <w:snapToGrid w:val="0"/>
      <w:spacing w:line="500" w:lineRule="exact"/>
      <w:ind w:firstLine="200" w:firstLineChars="200"/>
      <w:jc w:val="both"/>
      <w:textAlignment w:val="baseline"/>
    </w:pPr>
    <w:rPr>
      <w:rFonts w:ascii="Times New Roman" w:hAnsi="Times New Roman" w:eastAsia="仿宋" w:cs="Times New Roman"/>
      <w:bCs/>
      <w:snapToGrid w:val="0"/>
      <w:color w:val="000000"/>
      <w:kern w:val="2"/>
      <w:sz w:val="28"/>
      <w:szCs w:val="24"/>
      <w:lang w:val="en-US" w:eastAsia="zh-CN" w:bidi="ar-SA"/>
    </w:rPr>
  </w:style>
  <w:style w:type="paragraph" w:customStyle="1" w:styleId="31">
    <w:name w:val="列出段落1"/>
    <w:basedOn w:val="1"/>
    <w:qFormat/>
    <w:uiPriority w:val="0"/>
    <w:pPr>
      <w:ind w:firstLine="420" w:firstLineChars="200"/>
    </w:pPr>
    <w:rPr>
      <w:rFonts w:ascii="Times New Roman" w:hAnsi="Times New Roman"/>
    </w:rPr>
  </w:style>
  <w:style w:type="paragraph" w:customStyle="1" w:styleId="32">
    <w:name w:val="段落文字"/>
    <w:basedOn w:val="1"/>
    <w:qFormat/>
    <w:uiPriority w:val="0"/>
    <w:pPr>
      <w:spacing w:line="360" w:lineRule="auto"/>
      <w:ind w:firstLine="200" w:firstLineChars="200"/>
    </w:pPr>
    <w:rPr>
      <w:sz w:val="24"/>
    </w:rPr>
  </w:style>
  <w:style w:type="paragraph" w:customStyle="1" w:styleId="33">
    <w:name w:val="纯文本1"/>
    <w:basedOn w:val="1"/>
    <w:qFormat/>
    <w:uiPriority w:val="0"/>
    <w:rPr>
      <w:rFonts w:ascii="宋体" w:hAnsi="Courier New" w:eastAsia="仿宋" w:cs="Courier New"/>
    </w:rPr>
  </w:style>
  <w:style w:type="paragraph" w:customStyle="1" w:styleId="34">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5">
    <w:name w:val="默认段落字体 Para Char Char Char Char Char Char Char Char Char1 Char Char Char Char"/>
    <w:basedOn w:val="1"/>
    <w:qFormat/>
    <w:uiPriority w:val="0"/>
    <w:rPr>
      <w:rFonts w:ascii="Tahoma" w:hAnsi="Tahoma" w:cs="Tahoma"/>
      <w:sz w:val="24"/>
      <w:szCs w:val="24"/>
    </w:rPr>
  </w:style>
  <w:style w:type="character" w:customStyle="1" w:styleId="36">
    <w:name w:val="标题 1 Char Char"/>
    <w:qFormat/>
    <w:uiPriority w:val="0"/>
    <w:rPr>
      <w:rFonts w:eastAsia="宋体"/>
      <w:b/>
      <w:spacing w:val="-2"/>
      <w:sz w:val="24"/>
      <w:lang w:val="en-US" w:eastAsia="zh-CN"/>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9">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40">
    <w:name w:val="正文11"/>
    <w:basedOn w:val="1"/>
    <w:qFormat/>
    <w:uiPriority w:val="0"/>
    <w:pPr>
      <w:adjustRightInd w:val="0"/>
      <w:spacing w:line="318" w:lineRule="atLeast"/>
      <w:ind w:left="369" w:firstLine="369"/>
      <w:textAlignment w:val="baseline"/>
    </w:pPr>
    <w:rPr>
      <w:rFonts w:ascii="宋体"/>
      <w:szCs w:val="20"/>
    </w:rPr>
  </w:style>
  <w:style w:type="character" w:customStyle="1" w:styleId="41">
    <w:name w:val="批注框文本 Char"/>
    <w:basedOn w:val="25"/>
    <w:link w:val="15"/>
    <w:qFormat/>
    <w:uiPriority w:val="0"/>
    <w:rPr>
      <w:rFonts w:ascii="Calibri" w:hAnsi="Calibri"/>
      <w:kern w:val="2"/>
      <w:sz w:val="18"/>
      <w:szCs w:val="18"/>
    </w:rPr>
  </w:style>
  <w:style w:type="paragraph" w:customStyle="1" w:styleId="42">
    <w:name w:val="List Paragraph"/>
    <w:basedOn w:val="1"/>
    <w:qFormat/>
    <w:uiPriority w:val="0"/>
    <w:pPr>
      <w:ind w:firstLine="420" w:firstLineChars="200"/>
    </w:pPr>
    <w:rPr>
      <w:rFonts w:ascii="Times New Roman"/>
      <w:kern w:val="2"/>
      <w:sz w:val="21"/>
      <w:szCs w:val="21"/>
    </w:rPr>
  </w:style>
  <w:style w:type="character" w:customStyle="1" w:styleId="43">
    <w:name w:val="标题 2 Char"/>
    <w:link w:val="3"/>
    <w:qFormat/>
    <w:locked/>
    <w:uiPriority w:val="0"/>
    <w:rPr>
      <w:rFonts w:ascii="宋体" w:hAnsi="宋体" w:cs="宋体"/>
      <w:b/>
      <w:bCs/>
    </w:rPr>
  </w:style>
  <w:style w:type="paragraph" w:customStyle="1" w:styleId="44">
    <w:name w:val="List Paragraph1"/>
    <w:basedOn w:val="1"/>
    <w:qFormat/>
    <w:uiPriority w:val="0"/>
    <w:pPr>
      <w:ind w:firstLine="420" w:firstLineChars="200"/>
    </w:pPr>
  </w:style>
  <w:style w:type="paragraph" w:customStyle="1" w:styleId="45">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character" w:customStyle="1" w:styleId="46">
    <w:name w:val="font01"/>
    <w:basedOn w:val="25"/>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88</Pages>
  <Words>37163</Words>
  <Characters>38486</Characters>
  <Lines>251</Lines>
  <Paragraphs>70</Paragraphs>
  <TotalTime>7</TotalTime>
  <ScaleCrop>false</ScaleCrop>
  <LinksUpToDate>false</LinksUpToDate>
  <CharactersWithSpaces>39678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2023-05-15T10:10:00Z</dcterms:created>
  <dc:creator>石静娜</dc:creator>
  <cp:lastModifiedBy>Tony</cp:lastModifiedBy>
  <cp:lastPrinted>2023-07-14T16:01:00Z</cp:lastPrinted>
  <dcterms:modified xsi:type="dcterms:W3CDTF">2025-01-10T09:08:48Z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C444C01CEEDB44FA9E991ED759D31804_13</vt:lpwstr>
  </property>
  <property fmtid="{D5CDD505-2E9C-101B-9397-08002B2CF9AE}" pid="4" name="KSOTemplateDocerSaveRecord">
    <vt:lpwstr>eyJoZGlkIjoiNDUwYjk4NTNlODhmYjQzMzYxYjY2ZTI2Nzk1YmEzYjAiLCJ1c2VySWQiOiI0NTY3MTU1NjIifQ==</vt:lpwstr>
  </property>
</Properties>
</file>