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28"/>
          <w:szCs w:val="22"/>
          <w:lang w:eastAsia="zh-CN"/>
        </w:rPr>
      </w:pPr>
      <w:r>
        <w:rPr>
          <w:rFonts w:hint="eastAsia"/>
          <w:b/>
          <w:sz w:val="28"/>
          <w:szCs w:val="22"/>
          <w:lang w:eastAsia="zh-CN"/>
        </w:rPr>
        <w:t>宁波新材料创新中心东区A1幢一层局部及二层改造工程</w:t>
      </w:r>
    </w:p>
    <w:p>
      <w:pPr>
        <w:spacing w:line="360" w:lineRule="auto"/>
        <w:jc w:val="center"/>
        <w:rPr>
          <w:rFonts w:hint="eastAsia"/>
          <w:b/>
          <w:sz w:val="32"/>
          <w:szCs w:val="32"/>
        </w:rPr>
      </w:pPr>
      <w:r>
        <w:rPr>
          <w:rFonts w:hint="eastAsia"/>
          <w:b/>
          <w:sz w:val="28"/>
          <w:lang w:eastAsia="zh-CN"/>
        </w:rPr>
        <w:t>工程量清单说明</w:t>
      </w:r>
    </w:p>
    <w:p>
      <w:pPr>
        <w:keepNext w:val="0"/>
        <w:keepLines w:val="0"/>
        <w:pageBreakBefore w:val="0"/>
        <w:kinsoku/>
        <w:wordWrap/>
        <w:overflowPunct/>
        <w:topLinePunct w:val="0"/>
        <w:autoSpaceDE/>
        <w:autoSpaceDN/>
        <w:bidi w:val="0"/>
        <w:adjustRightInd/>
        <w:snapToGrid/>
        <w:spacing w:line="540" w:lineRule="exact"/>
        <w:ind w:firstLine="472" w:firstLineChars="196"/>
        <w:textAlignment w:val="auto"/>
        <w:rPr>
          <w:rFonts w:hint="eastAsia"/>
          <w:b/>
          <w:sz w:val="24"/>
          <w:szCs w:val="24"/>
        </w:rPr>
      </w:pPr>
      <w:r>
        <w:rPr>
          <w:rFonts w:hint="eastAsia"/>
          <w:b/>
          <w:sz w:val="24"/>
          <w:szCs w:val="24"/>
        </w:rPr>
        <w:t>一、工程概况</w:t>
      </w:r>
    </w:p>
    <w:p>
      <w:pPr>
        <w:keepNext w:val="0"/>
        <w:keepLines w:val="0"/>
        <w:pageBreakBefore w:val="0"/>
        <w:widowControl/>
        <w:tabs>
          <w:tab w:val="left" w:pos="3060"/>
          <w:tab w:val="left" w:pos="9180"/>
          <w:tab w:val="left" w:pos="9360"/>
        </w:tabs>
        <w:kinsoku/>
        <w:wordWrap/>
        <w:overflowPunct/>
        <w:topLinePunct w:val="0"/>
        <w:autoSpaceDE/>
        <w:autoSpaceDN/>
        <w:bidi w:val="0"/>
        <w:adjustRightInd/>
        <w:snapToGrid/>
        <w:spacing w:line="540" w:lineRule="exact"/>
        <w:ind w:right="359" w:rightChars="171" w:firstLine="480" w:firstLineChars="200"/>
        <w:jc w:val="left"/>
        <w:textAlignment w:val="auto"/>
        <w:rPr>
          <w:rFonts w:hint="eastAsia" w:ascii="宋体" w:hAnsi="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本工程由</w:t>
      </w:r>
      <w:r>
        <w:rPr>
          <w:rFonts w:hint="eastAsia" w:ascii="宋体" w:hAnsi="宋体"/>
          <w:bCs/>
          <w:color w:val="auto"/>
          <w:sz w:val="24"/>
          <w:szCs w:val="24"/>
          <w:highlight w:val="none"/>
          <w:lang w:val="en-US" w:eastAsia="zh-CN"/>
        </w:rPr>
        <w:t>宁波高新技术产业开发区人民检察院</w:t>
      </w:r>
      <w:r>
        <w:rPr>
          <w:rFonts w:hint="eastAsia" w:ascii="宋体" w:hAnsi="宋体" w:eastAsia="宋体" w:cs="宋体"/>
          <w:kern w:val="0"/>
          <w:sz w:val="24"/>
          <w:szCs w:val="24"/>
          <w:highlight w:val="none"/>
          <w:lang w:val="en-US" w:eastAsia="zh-CN"/>
        </w:rPr>
        <w:t>负责建设，由宁波市城建设计研究院有限公司负责施工图设计</w:t>
      </w:r>
      <w:r>
        <w:rPr>
          <w:rFonts w:hint="eastAsia" w:ascii="宋体" w:hAnsi="宋体" w:cs="宋体"/>
          <w:kern w:val="0"/>
          <w:sz w:val="24"/>
          <w:szCs w:val="24"/>
          <w:highlight w:val="none"/>
          <w:lang w:val="en-US" w:eastAsia="zh-CN"/>
        </w:rPr>
        <w:t>。工程建设地点位于宁波市高新区。</w:t>
      </w:r>
    </w:p>
    <w:p>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b/>
          <w:sz w:val="24"/>
          <w:szCs w:val="24"/>
        </w:rPr>
      </w:pPr>
      <w:r>
        <w:rPr>
          <w:rFonts w:hint="eastAsia" w:ascii="宋体" w:hAnsi="宋体"/>
          <w:b/>
          <w:sz w:val="24"/>
          <w:szCs w:val="24"/>
        </w:rPr>
        <w:t>二、编制范围</w:t>
      </w:r>
    </w:p>
    <w:p>
      <w:pPr>
        <w:keepNext w:val="0"/>
        <w:keepLines w:val="0"/>
        <w:pageBreakBefore w:val="0"/>
        <w:widowControl/>
        <w:tabs>
          <w:tab w:val="left" w:pos="3060"/>
          <w:tab w:val="left" w:pos="9180"/>
          <w:tab w:val="left" w:pos="9360"/>
        </w:tabs>
        <w:kinsoku/>
        <w:wordWrap/>
        <w:overflowPunct/>
        <w:topLinePunct w:val="0"/>
        <w:autoSpaceDE/>
        <w:autoSpaceDN/>
        <w:bidi w:val="0"/>
        <w:adjustRightInd/>
        <w:snapToGrid/>
        <w:spacing w:line="540" w:lineRule="exact"/>
        <w:ind w:right="359" w:rightChars="171" w:firstLine="480" w:firstLineChars="200"/>
        <w:jc w:val="left"/>
        <w:textAlignment w:val="auto"/>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本工程招标控制价编制范围为：</w:t>
      </w:r>
      <w:r>
        <w:rPr>
          <w:rFonts w:hint="eastAsia" w:ascii="宋体" w:hAnsi="宋体" w:eastAsia="宋体" w:cs="宋体"/>
          <w:kern w:val="0"/>
          <w:sz w:val="24"/>
          <w:szCs w:val="24"/>
          <w:highlight w:val="none"/>
          <w:lang w:val="en-US" w:eastAsia="zh-CN"/>
        </w:rPr>
        <w:t>施工图范围内的</w:t>
      </w:r>
      <w:r>
        <w:rPr>
          <w:rFonts w:hint="eastAsia" w:ascii="宋体" w:hAnsi="宋体" w:eastAsia="宋体" w:cs="宋体"/>
          <w:snapToGrid w:val="0"/>
          <w:kern w:val="0"/>
          <w:sz w:val="24"/>
          <w:szCs w:val="24"/>
          <w:lang w:val="en-US" w:eastAsia="zh-CN"/>
        </w:rPr>
        <w:t>宁波新材料创新中心</w:t>
      </w:r>
      <w:r>
        <w:rPr>
          <w:rFonts w:hint="eastAsia" w:ascii="宋体" w:hAnsi="宋体"/>
          <w:sz w:val="24"/>
          <w:szCs w:val="24"/>
          <w:lang w:val="en-US" w:eastAsia="zh-CN"/>
        </w:rPr>
        <w:t>一层楼、二层楼装修、水电、消防、暖通改造</w:t>
      </w:r>
      <w:r>
        <w:rPr>
          <w:rFonts w:hint="eastAsia" w:ascii="宋体" w:hAnsi="宋体" w:cs="宋体"/>
          <w:kern w:val="0"/>
          <w:sz w:val="24"/>
          <w:szCs w:val="24"/>
          <w:highlight w:val="none"/>
          <w:lang w:val="en-US" w:eastAsia="zh-CN"/>
        </w:rPr>
        <w:t>，具体详见工程量清单。</w:t>
      </w:r>
    </w:p>
    <w:p>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default" w:ascii="宋体" w:hAnsi="宋体" w:eastAsia="宋体"/>
          <w:b/>
          <w:sz w:val="24"/>
          <w:szCs w:val="24"/>
          <w:lang w:val="en-US" w:eastAsia="zh-CN"/>
        </w:rPr>
      </w:pPr>
      <w:r>
        <w:rPr>
          <w:rFonts w:hint="eastAsia" w:ascii="宋体" w:hAnsi="宋体"/>
          <w:b/>
          <w:sz w:val="24"/>
          <w:szCs w:val="24"/>
        </w:rPr>
        <w:t>三、编制依据</w:t>
      </w:r>
      <w:r>
        <w:rPr>
          <w:rFonts w:hint="eastAsia" w:ascii="宋体" w:hAnsi="宋体"/>
          <w:b/>
          <w:sz w:val="24"/>
          <w:szCs w:val="24"/>
          <w:lang w:val="en-US" w:eastAsia="zh-CN"/>
        </w:rPr>
        <w:t>及原则</w:t>
      </w:r>
    </w:p>
    <w:p>
      <w:pPr>
        <w:keepNext w:val="0"/>
        <w:keepLines w:val="0"/>
        <w:pageBreakBefore w:val="0"/>
        <w:widowControl/>
        <w:tabs>
          <w:tab w:val="left" w:pos="3060"/>
          <w:tab w:val="left" w:pos="9180"/>
          <w:tab w:val="left" w:pos="9360"/>
        </w:tabs>
        <w:kinsoku/>
        <w:wordWrap/>
        <w:overflowPunct/>
        <w:topLinePunct w:val="0"/>
        <w:autoSpaceDE/>
        <w:autoSpaceDN/>
        <w:bidi w:val="0"/>
        <w:adjustRightInd/>
        <w:snapToGrid/>
        <w:spacing w:line="540" w:lineRule="exact"/>
        <w:ind w:right="359" w:rightChars="171" w:firstLine="480" w:firstLineChars="200"/>
        <w:jc w:val="left"/>
        <w:textAlignment w:val="auto"/>
        <w:outlineLvl w:val="9"/>
        <w:rPr>
          <w:rFonts w:hint="eastAsia" w:ascii="宋体" w:hAnsi="宋体" w:eastAsia="宋体"/>
          <w:sz w:val="24"/>
          <w:szCs w:val="24"/>
          <w:lang w:eastAsia="zh-CN"/>
        </w:rPr>
      </w:pPr>
      <w:r>
        <w:rPr>
          <w:rFonts w:hint="eastAsia" w:ascii="宋体" w:hAnsi="宋体"/>
          <w:sz w:val="24"/>
          <w:szCs w:val="24"/>
        </w:rPr>
        <w:t>1、</w:t>
      </w:r>
      <w:r>
        <w:rPr>
          <w:rFonts w:hint="eastAsia" w:ascii="宋体" w:hAnsi="宋体"/>
          <w:sz w:val="24"/>
          <w:szCs w:val="24"/>
          <w:highlight w:val="none"/>
        </w:rPr>
        <w:t>建设单位提供的</w:t>
      </w:r>
      <w:r>
        <w:rPr>
          <w:rFonts w:hint="eastAsia" w:ascii="宋体" w:hAnsi="宋体"/>
          <w:sz w:val="24"/>
          <w:szCs w:val="24"/>
          <w:highlight w:val="none"/>
          <w:lang w:val="en-US" w:eastAsia="zh-CN"/>
        </w:rPr>
        <w:t>各专业</w:t>
      </w:r>
      <w:r>
        <w:rPr>
          <w:rFonts w:hint="eastAsia" w:ascii="宋体" w:hAnsi="宋体"/>
          <w:sz w:val="24"/>
          <w:szCs w:val="24"/>
          <w:highlight w:val="none"/>
        </w:rPr>
        <w:t>施工图（</w:t>
      </w:r>
      <w:r>
        <w:rPr>
          <w:rFonts w:hint="eastAsia" w:ascii="宋体" w:hAnsi="宋体"/>
          <w:sz w:val="24"/>
          <w:szCs w:val="24"/>
          <w:highlight w:val="none"/>
          <w:lang w:eastAsia="zh-CN"/>
        </w:rPr>
        <w:t>电子图</w:t>
      </w:r>
      <w:r>
        <w:rPr>
          <w:rFonts w:hint="eastAsia" w:ascii="宋体" w:hAnsi="宋体"/>
          <w:sz w:val="24"/>
          <w:szCs w:val="24"/>
          <w:highlight w:val="none"/>
        </w:rPr>
        <w:t>）</w:t>
      </w:r>
      <w:r>
        <w:rPr>
          <w:rFonts w:hint="eastAsia" w:ascii="宋体" w:hAnsi="宋体"/>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default" w:ascii="宋体" w:hAnsi="宋体"/>
          <w:sz w:val="24"/>
          <w:szCs w:val="24"/>
          <w:lang w:val="en-US" w:eastAsia="zh-CN"/>
        </w:rPr>
      </w:pPr>
      <w:r>
        <w:rPr>
          <w:rFonts w:hint="eastAsia" w:ascii="宋体" w:hAnsi="宋体"/>
          <w:sz w:val="24"/>
          <w:szCs w:val="24"/>
          <w:lang w:val="en-US" w:eastAsia="zh-CN"/>
        </w:rPr>
        <w:t>2、招标文件；</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宋体" w:hAnsi="宋体" w:cs="宋体"/>
          <w:color w:val="000000"/>
          <w:spacing w:val="10"/>
          <w:sz w:val="24"/>
          <w:szCs w:val="24"/>
          <w:lang w:eastAsia="zh-CN"/>
        </w:rPr>
      </w:pPr>
      <w:r>
        <w:rPr>
          <w:rFonts w:hint="eastAsia" w:ascii="宋体" w:hAnsi="宋体"/>
          <w:sz w:val="24"/>
          <w:szCs w:val="24"/>
          <w:lang w:val="en-US" w:eastAsia="zh-CN"/>
        </w:rPr>
        <w:t>3</w:t>
      </w:r>
      <w:r>
        <w:rPr>
          <w:rFonts w:hint="eastAsia" w:ascii="宋体" w:hAnsi="宋体"/>
          <w:sz w:val="24"/>
          <w:szCs w:val="24"/>
        </w:rPr>
        <w:t>、</w:t>
      </w:r>
      <w:r>
        <w:rPr>
          <w:rFonts w:hint="eastAsia" w:ascii="宋体" w:hAnsi="宋体" w:cs="宋体"/>
          <w:color w:val="000000"/>
          <w:sz w:val="24"/>
          <w:szCs w:val="24"/>
        </w:rPr>
        <w:t>《建设工程工程量清单计价规范》（GB50500-2013版）</w:t>
      </w:r>
      <w:r>
        <w:rPr>
          <w:rFonts w:hint="eastAsia" w:ascii="宋体" w:hAnsi="宋体" w:cs="宋体"/>
          <w:color w:val="000000"/>
          <w:sz w:val="24"/>
          <w:szCs w:val="24"/>
          <w:lang w:eastAsia="zh-CN"/>
        </w:rPr>
        <w:t>、《房屋建筑与装饰工程工程量计算规范》（GB50854-2013）、《市政工程工程量计算规范》（GB50857-2013）、《通用安装工程工程量计算规范》（GB 50856-2013）、</w:t>
      </w:r>
      <w:r>
        <w:rPr>
          <w:rFonts w:hint="eastAsia" w:ascii="宋体" w:hAnsi="宋体"/>
          <w:sz w:val="24"/>
        </w:rPr>
        <w:t>《</w:t>
      </w:r>
      <w:r>
        <w:rPr>
          <w:rFonts w:hint="eastAsia" w:ascii="宋体" w:hAnsi="宋体"/>
          <w:sz w:val="24"/>
          <w:lang w:val="en-US" w:eastAsia="zh-CN"/>
        </w:rPr>
        <w:t>园林绿化</w:t>
      </w:r>
      <w:r>
        <w:rPr>
          <w:rFonts w:hint="eastAsia" w:ascii="宋体" w:hAnsi="宋体"/>
          <w:sz w:val="24"/>
        </w:rPr>
        <w:t>工程工程量计算规范》（GB50854-2013）</w:t>
      </w:r>
      <w:r>
        <w:rPr>
          <w:rFonts w:hint="eastAsia" w:ascii="宋体" w:hAnsi="宋体" w:cs="宋体"/>
          <w:color w:val="000000"/>
          <w:sz w:val="24"/>
          <w:szCs w:val="24"/>
          <w:lang w:val="en-US" w:eastAsia="zh-CN"/>
        </w:rPr>
        <w:t xml:space="preserve"> </w:t>
      </w:r>
      <w:r>
        <w:rPr>
          <w:rFonts w:hint="eastAsia" w:ascii="宋体" w:hAnsi="宋体" w:cs="宋体"/>
          <w:color w:val="000000"/>
          <w:spacing w:val="10"/>
          <w:sz w:val="24"/>
          <w:szCs w:val="24"/>
        </w:rPr>
        <w:t>及浙江省有关文件规定、其他相关补充定额编制</w:t>
      </w:r>
      <w:r>
        <w:rPr>
          <w:rFonts w:hint="eastAsia" w:ascii="宋体" w:hAnsi="宋体" w:cs="宋体"/>
          <w:color w:val="000000"/>
          <w:spacing w:val="10"/>
          <w:sz w:val="24"/>
          <w:szCs w:val="24"/>
          <w:lang w:eastAsia="zh-CN"/>
        </w:rPr>
        <w:t>；</w:t>
      </w:r>
    </w:p>
    <w:p>
      <w:pPr>
        <w:keepNext w:val="0"/>
        <w:keepLines w:val="0"/>
        <w:pageBreakBefore w:val="0"/>
        <w:widowControl/>
        <w:tabs>
          <w:tab w:val="left" w:pos="3060"/>
          <w:tab w:val="left" w:pos="9180"/>
          <w:tab w:val="left" w:pos="9360"/>
        </w:tabs>
        <w:kinsoku/>
        <w:wordWrap/>
        <w:overflowPunct/>
        <w:topLinePunct w:val="0"/>
        <w:autoSpaceDE/>
        <w:autoSpaceDN/>
        <w:bidi w:val="0"/>
        <w:adjustRightInd/>
        <w:snapToGrid/>
        <w:spacing w:line="540" w:lineRule="exact"/>
        <w:ind w:right="359" w:rightChars="171" w:firstLine="480" w:firstLineChars="200"/>
        <w:jc w:val="left"/>
        <w:textAlignment w:val="auto"/>
        <w:outlineLvl w:val="9"/>
        <w:rPr>
          <w:rFonts w:hint="eastAsia" w:ascii="宋体" w:hAnsi="宋体"/>
          <w:sz w:val="24"/>
          <w:szCs w:val="24"/>
          <w:lang w:val="en-US" w:eastAsia="zh-CN"/>
        </w:rPr>
      </w:pPr>
      <w:r>
        <w:rPr>
          <w:rFonts w:hint="eastAsia" w:ascii="宋体" w:hAnsi="宋体"/>
          <w:sz w:val="24"/>
          <w:szCs w:val="24"/>
          <w:lang w:val="en-US" w:eastAsia="zh-CN"/>
        </w:rPr>
        <w:t>4、</w:t>
      </w:r>
      <w:r>
        <w:rPr>
          <w:rFonts w:hint="eastAsia" w:ascii="宋体" w:hAnsi="宋体"/>
          <w:sz w:val="24"/>
          <w:szCs w:val="24"/>
        </w:rPr>
        <w:t>本</w:t>
      </w:r>
      <w:r>
        <w:rPr>
          <w:rFonts w:hint="eastAsia" w:ascii="宋体" w:hAnsi="宋体"/>
          <w:sz w:val="24"/>
          <w:szCs w:val="24"/>
          <w:lang w:val="en-US" w:eastAsia="zh-CN"/>
        </w:rPr>
        <w:t>项目采用</w:t>
      </w:r>
      <w:r>
        <w:rPr>
          <w:rFonts w:hint="eastAsia" w:ascii="宋体" w:hAnsi="宋体"/>
          <w:sz w:val="24"/>
          <w:szCs w:val="24"/>
        </w:rPr>
        <w:t>国标清单</w:t>
      </w:r>
      <w:r>
        <w:rPr>
          <w:rFonts w:hint="eastAsia" w:ascii="宋体" w:hAnsi="宋体"/>
          <w:sz w:val="24"/>
          <w:szCs w:val="24"/>
          <w:lang w:eastAsia="zh-CN"/>
        </w:rPr>
        <w:t>，</w:t>
      </w:r>
      <w:r>
        <w:rPr>
          <w:rFonts w:hint="eastAsia" w:ascii="宋体" w:hAnsi="宋体"/>
          <w:sz w:val="24"/>
          <w:szCs w:val="24"/>
          <w:lang w:val="en-US" w:eastAsia="zh-CN"/>
        </w:rPr>
        <w:t>一般计税法；</w:t>
      </w:r>
    </w:p>
    <w:p>
      <w:pPr>
        <w:keepNext w:val="0"/>
        <w:keepLines w:val="0"/>
        <w:pageBreakBefore w:val="0"/>
        <w:widowControl/>
        <w:tabs>
          <w:tab w:val="left" w:pos="3060"/>
          <w:tab w:val="left" w:pos="9180"/>
          <w:tab w:val="left" w:pos="9360"/>
        </w:tabs>
        <w:kinsoku/>
        <w:wordWrap/>
        <w:overflowPunct/>
        <w:topLinePunct w:val="0"/>
        <w:autoSpaceDE/>
        <w:autoSpaceDN/>
        <w:bidi w:val="0"/>
        <w:adjustRightInd/>
        <w:snapToGrid/>
        <w:spacing w:line="540" w:lineRule="exact"/>
        <w:ind w:right="359" w:rightChars="171" w:firstLine="480" w:firstLineChars="200"/>
        <w:jc w:val="left"/>
        <w:textAlignment w:val="auto"/>
        <w:rPr>
          <w:rFonts w:hint="eastAsia" w:ascii="宋体" w:hAnsi="宋体" w:eastAsia="宋体" w:cs="宋体"/>
          <w:color w:val="000000"/>
          <w:sz w:val="24"/>
          <w:szCs w:val="24"/>
          <w:lang w:val="en-US" w:eastAsia="zh-CN"/>
        </w:rPr>
      </w:pPr>
      <w:r>
        <w:rPr>
          <w:rFonts w:hint="eastAsia" w:ascii="宋体" w:hAnsi="宋体"/>
          <w:sz w:val="24"/>
          <w:szCs w:val="24"/>
          <w:lang w:val="en-US" w:eastAsia="zh-CN"/>
        </w:rPr>
        <w:t>5、疫情常态化控制及安全文明提升</w:t>
      </w:r>
      <w:r>
        <w:rPr>
          <w:rFonts w:hint="eastAsia" w:ascii="宋体" w:hAnsi="宋体" w:eastAsia="宋体" w:cs="宋体"/>
          <w:color w:val="000000"/>
          <w:sz w:val="24"/>
          <w:szCs w:val="24"/>
          <w:lang w:val="en-US" w:eastAsia="zh-CN"/>
        </w:rPr>
        <w:t>《宁波市住房和城乡建设局转发省建设厅关于调整建筑工程安全文明施工费的通知》（甬建发[2022]34号）。</w:t>
      </w:r>
    </w:p>
    <w:p>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b/>
          <w:sz w:val="24"/>
          <w:szCs w:val="24"/>
        </w:rPr>
      </w:pPr>
      <w:r>
        <w:rPr>
          <w:rFonts w:hint="eastAsia" w:ascii="宋体" w:hAnsi="宋体"/>
          <w:b/>
          <w:sz w:val="24"/>
          <w:szCs w:val="24"/>
        </w:rPr>
        <w:t>四、工程量清单应与投标须知、合同条件、合同协议条款、技术规范、修改图、联系单、清单说明及施工现场条件其组成文件等资料结合起来理解或解释。</w:t>
      </w:r>
    </w:p>
    <w:p>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b/>
          <w:sz w:val="24"/>
          <w:szCs w:val="24"/>
        </w:rPr>
      </w:pPr>
      <w:r>
        <w:rPr>
          <w:rFonts w:hint="eastAsia" w:ascii="宋体" w:hAnsi="宋体"/>
          <w:b/>
          <w:sz w:val="24"/>
          <w:szCs w:val="24"/>
        </w:rPr>
        <w:t>五、工程量清单中的任何内容不得随意更改及删除。不得擅自对招标人提供的工程量清单内容（计量单位、工程数量等）进行变动。工程量清单中所列工程量的变动，丝毫不会降低或影响合同条件的效力，也不免除承包人按规定的标准进行施工和修复缺陷的责任。</w:t>
      </w:r>
    </w:p>
    <w:p>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b/>
          <w:sz w:val="24"/>
          <w:szCs w:val="24"/>
        </w:rPr>
      </w:pPr>
      <w:r>
        <w:rPr>
          <w:rFonts w:hint="eastAsia" w:ascii="宋体" w:hAnsi="宋体"/>
          <w:b/>
          <w:sz w:val="24"/>
          <w:szCs w:val="24"/>
        </w:rPr>
        <w:t>六、投标人应当在对现场进行详细踏勘和设计图纸详细理解下进行报价，清单中如出现项目特征未描述详尽的，投标人应根据招标人提供的项目编码所针对的工作内容、现场实际情况并结合施工图纸完整报价，投标人报价表中对招标人提供的清单项目未填报价或漏项，其费用应视为已分摊在本合同工程其他细目的综合单价中。</w:t>
      </w:r>
    </w:p>
    <w:p>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b/>
          <w:sz w:val="24"/>
          <w:szCs w:val="24"/>
          <w:lang w:val="en-US" w:eastAsia="zh-CN"/>
        </w:rPr>
      </w:pPr>
      <w:r>
        <w:rPr>
          <w:rFonts w:hint="eastAsia" w:ascii="宋体" w:hAnsi="宋体" w:eastAsia="宋体"/>
          <w:b/>
          <w:sz w:val="24"/>
          <w:szCs w:val="24"/>
          <w:lang w:eastAsia="zh-CN"/>
        </w:rPr>
        <w:t>七、</w:t>
      </w:r>
      <w:r>
        <w:rPr>
          <w:rFonts w:hint="eastAsia" w:ascii="宋体" w:hAnsi="宋体" w:eastAsia="宋体"/>
          <w:b/>
          <w:sz w:val="24"/>
          <w:szCs w:val="24"/>
        </w:rPr>
        <w:t>安全文明最低值</w:t>
      </w:r>
      <w:r>
        <w:rPr>
          <w:rFonts w:hint="eastAsia" w:ascii="宋体" w:hAnsi="宋体"/>
          <w:b/>
          <w:sz w:val="24"/>
          <w:szCs w:val="24"/>
          <w:lang w:val="en-US" w:eastAsia="zh-CN"/>
        </w:rPr>
        <w:t>39343</w:t>
      </w:r>
      <w:r>
        <w:rPr>
          <w:rFonts w:hint="eastAsia" w:ascii="宋体" w:hAnsi="宋体" w:eastAsia="宋体"/>
          <w:b/>
          <w:sz w:val="24"/>
          <w:szCs w:val="24"/>
        </w:rPr>
        <w:t>元（不含税）</w:t>
      </w:r>
      <w:r>
        <w:rPr>
          <w:rFonts w:hint="eastAsia" w:ascii="宋体" w:hAnsi="宋体" w:eastAsia="宋体"/>
          <w:b/>
          <w:sz w:val="24"/>
          <w:szCs w:val="24"/>
          <w:lang w:eastAsia="zh-CN"/>
        </w:rPr>
        <w:t>。</w:t>
      </w:r>
    </w:p>
    <w:p>
      <w:pPr>
        <w:keepNext w:val="0"/>
        <w:keepLines w:val="0"/>
        <w:pageBreakBefore w:val="0"/>
        <w:kinsoku/>
        <w:wordWrap/>
        <w:overflowPunct/>
        <w:topLinePunct w:val="0"/>
        <w:autoSpaceDE/>
        <w:autoSpaceDN/>
        <w:bidi w:val="0"/>
        <w:adjustRightInd/>
        <w:snapToGrid/>
        <w:spacing w:line="540" w:lineRule="exact"/>
        <w:ind w:firstLine="482" w:firstLineChars="200"/>
        <w:textAlignment w:val="auto"/>
        <w:rPr>
          <w:rFonts w:hint="eastAsia" w:ascii="宋体" w:hAnsi="宋体"/>
          <w:b/>
          <w:sz w:val="24"/>
          <w:szCs w:val="24"/>
        </w:rPr>
      </w:pPr>
      <w:r>
        <w:rPr>
          <w:rFonts w:hint="eastAsia" w:ascii="宋体" w:hAnsi="宋体"/>
          <w:b/>
          <w:sz w:val="24"/>
          <w:szCs w:val="24"/>
          <w:lang w:val="en-US" w:eastAsia="zh-CN"/>
        </w:rPr>
        <w:t>八</w:t>
      </w:r>
      <w:r>
        <w:rPr>
          <w:rFonts w:hint="eastAsia" w:ascii="宋体" w:hAnsi="宋体"/>
          <w:b/>
          <w:sz w:val="24"/>
          <w:szCs w:val="24"/>
        </w:rPr>
        <w:t>、有关事项说明</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装修部分：</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经业主确认，机房静电地板不计入本次预算中</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2、经业主确认，家具等不计入本次预算中</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3、经设计确认，一层吊顶需做反支撑，二层吊顶无需做反支撑</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4、经设计确认，玻璃隔断内置百叶，玻璃的规格为6+6mm钢化玻璃</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5、经设计确认，一层律师阅卷室的玻璃隔断的规格是12mm钢化玻璃</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6、经过设计确认，二层值班室的玻璃推拉门的玻璃规格为8mm钢化玻璃，高度为2m</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7、经过设计确认，</w:t>
      </w:r>
      <w:r>
        <w:rPr>
          <w:rFonts w:hint="eastAsia" w:ascii="宋体" w:hAnsi="宋体" w:eastAsia="宋体" w:cs="宋体"/>
          <w:b w:val="0"/>
          <w:bCs w:val="0"/>
          <w:sz w:val="24"/>
          <w:szCs w:val="24"/>
          <w:lang w:val="en-US" w:eastAsia="zh-CN"/>
        </w:rPr>
        <w:t>二</w:t>
      </w:r>
      <w:r>
        <w:rPr>
          <w:rFonts w:hint="eastAsia" w:ascii="宋体" w:hAnsi="宋体" w:eastAsia="宋体" w:cs="宋体"/>
          <w:b w:val="0"/>
          <w:bCs w:val="0"/>
          <w:sz w:val="24"/>
          <w:szCs w:val="24"/>
        </w:rPr>
        <w:t>层机房及资料、档案室的门均为甲级钢制防火门</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8、经设计确认，墙面需要铲除涂料及抹灰层，抹灰层重新施工</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9、经过设计确认，消火栓背墙的高度按照2m计入</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10、经过设计确认，二层铁门，钢质门均为甲级钢制防火门</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11、经过设计确认，幕墙更换玻璃窗及门为60系列铝合金断桥隔热固定窗及窗（6mm+12A+6mm中透光LOW-E）</w:t>
      </w:r>
      <w:r>
        <w:rPr>
          <w:rFonts w:hint="eastAsia" w:ascii="宋体" w:hAnsi="宋体" w:eastAsia="宋体" w:cs="宋体"/>
          <w:b w:val="0"/>
          <w:bCs w:val="0"/>
          <w:sz w:val="24"/>
          <w:szCs w:val="24"/>
          <w:lang w:eastAsia="zh-CN"/>
        </w:rPr>
        <w:t>；</w:t>
      </w:r>
    </w:p>
    <w:p>
      <w:pPr>
        <w:rPr>
          <w:rFonts w:hint="default" w:eastAsia="宋体"/>
          <w:lang w:val="en-US" w:eastAsia="zh-CN"/>
        </w:rPr>
      </w:pPr>
      <w:r>
        <w:rPr>
          <w:rFonts w:hint="eastAsia" w:ascii="宋体" w:hAnsi="宋体" w:cs="宋体"/>
          <w:b w:val="0"/>
          <w:bCs w:val="0"/>
          <w:sz w:val="24"/>
          <w:szCs w:val="24"/>
          <w:lang w:val="en-US" w:eastAsia="zh-CN"/>
        </w:rPr>
        <w:t xml:space="preserve">    12、</w:t>
      </w:r>
      <w:r>
        <w:rPr>
          <w:rFonts w:hint="eastAsia" w:ascii="宋体" w:hAnsi="宋体" w:eastAsia="宋体" w:cs="宋体"/>
          <w:b w:val="0"/>
          <w:bCs w:val="0"/>
          <w:sz w:val="24"/>
          <w:szCs w:val="24"/>
        </w:rPr>
        <w:t>经过设计确认</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一层的电子感应门规格为10+12A+10铝合金玻璃门；</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、经设计确认，墙面抹灰层抹面至吊顶以上10cm处</w:t>
      </w:r>
      <w:r>
        <w:rPr>
          <w:rFonts w:hint="eastAsia" w:ascii="宋体" w:hAnsi="宋体" w:eastAsia="宋体" w:cs="宋体"/>
          <w:b w:val="0"/>
          <w:bCs w:val="0"/>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、经设计确认，卫生间的墙面、地面、天棚的防水按照2遍计入</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宋体" w:hAnsi="宋体" w:cs="宋体"/>
          <w:b w:val="0"/>
          <w:bCs w:val="0"/>
          <w:sz w:val="24"/>
          <w:szCs w:val="24"/>
          <w:lang w:val="en-US" w:eastAsia="zh-CN"/>
        </w:rPr>
        <w:t xml:space="preserve">    15、经设计确认，金叶石菖蒲的高度改为H21-30mm；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16、经</w:t>
      </w:r>
      <w:r>
        <w:rPr>
          <w:rFonts w:hint="eastAsia" w:ascii="宋体" w:hAnsi="宋体" w:eastAsia="宋体" w:cs="宋体"/>
          <w:b w:val="0"/>
          <w:bCs w:val="0"/>
          <w:sz w:val="24"/>
          <w:szCs w:val="24"/>
          <w:lang w:val="en-US" w:eastAsia="zh-CN"/>
        </w:rPr>
        <w:t>设计确认，消火栓暗门按照铝板门计入；</w:t>
      </w:r>
    </w:p>
    <w:p>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17、经设计确认，门洞的高度均为2.2m</w:t>
      </w:r>
    </w:p>
    <w:p>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18、经设计确认，天棚的的装饰性风口为ABS材质</w:t>
      </w:r>
      <w:r>
        <w:rPr>
          <w:rFonts w:hint="eastAsia" w:ascii="宋体" w:hAnsi="宋体" w:cs="宋体"/>
          <w:sz w:val="24"/>
          <w:szCs w:val="24"/>
          <w:lang w:val="en-US"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19</w:t>
      </w:r>
      <w:r>
        <w:rPr>
          <w:rFonts w:hint="eastAsia" w:ascii="宋体" w:hAnsi="宋体" w:eastAsia="宋体" w:cs="宋体"/>
          <w:b w:val="0"/>
          <w:bCs w:val="0"/>
          <w:sz w:val="24"/>
          <w:szCs w:val="24"/>
        </w:rPr>
        <w:t>、实木复合地板</w:t>
      </w:r>
      <w:r>
        <w:rPr>
          <w:rFonts w:hint="eastAsia" w:ascii="宋体" w:hAnsi="宋体" w:eastAsia="宋体" w:cs="宋体"/>
          <w:b w:val="0"/>
          <w:bCs w:val="0"/>
          <w:sz w:val="24"/>
          <w:szCs w:val="24"/>
          <w:lang w:val="en-US" w:eastAsia="zh-CN"/>
        </w:rPr>
        <w:t>的</w:t>
      </w:r>
      <w:r>
        <w:rPr>
          <w:rFonts w:hint="eastAsia" w:ascii="宋体" w:hAnsi="宋体" w:eastAsia="宋体" w:cs="宋体"/>
          <w:b w:val="0"/>
          <w:bCs w:val="0"/>
          <w:sz w:val="24"/>
          <w:szCs w:val="24"/>
        </w:rPr>
        <w:t>找平层，结算根据现场实施情况，如现状地面状况良好，无需做找平层，需按照实际调整</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二层右侧办公室原状地面为瓷砖地面，地面不拆除，预算未计算找平层）</w:t>
      </w:r>
      <w:r>
        <w:rPr>
          <w:rFonts w:hint="eastAsia" w:ascii="宋体" w:hAnsi="宋体" w:eastAsia="宋体" w:cs="宋体"/>
          <w:b w:val="0"/>
          <w:bCs w:val="0"/>
          <w:sz w:val="24"/>
          <w:szCs w:val="24"/>
          <w:lang w:eastAsia="zh-CN"/>
        </w:rPr>
        <w:t>；</w:t>
      </w:r>
    </w:p>
    <w:p>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20、本项目除卫生间计执手门锁，其他门的执手锁不计入本预算；</w:t>
      </w:r>
    </w:p>
    <w:p>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21、大会议室的屏幕钢架墙不计入本预算；</w:t>
      </w:r>
    </w:p>
    <w:p>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22、二楼卫生间由蹲坑改为坐便器，抬高的地面取消；</w:t>
      </w:r>
    </w:p>
    <w:p>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23、结构加固处脚手架已经在装修脚手架处考虑，结算不另外增加。</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安装部分：</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1、安装专业所有涉及外墙、楼板、墙体的开洞及修复内容已统一</w:t>
      </w:r>
      <w:r>
        <w:rPr>
          <w:rFonts w:hint="eastAsia" w:ascii="宋体" w:hAnsi="宋体" w:eastAsia="宋体" w:cs="宋体"/>
          <w:b w:val="0"/>
          <w:bCs w:val="0"/>
          <w:sz w:val="24"/>
          <w:szCs w:val="24"/>
          <w:highlight w:val="none"/>
          <w:lang w:val="en-US" w:eastAsia="zh-CN"/>
        </w:rPr>
        <w:t>由</w:t>
      </w:r>
      <w:r>
        <w:rPr>
          <w:rFonts w:hint="eastAsia" w:ascii="宋体" w:hAnsi="宋体" w:eastAsia="宋体" w:cs="宋体"/>
          <w:b w:val="0"/>
          <w:bCs w:val="0"/>
          <w:sz w:val="24"/>
          <w:szCs w:val="24"/>
          <w:highlight w:val="none"/>
        </w:rPr>
        <w:t>装修专业</w:t>
      </w:r>
      <w:r>
        <w:rPr>
          <w:rFonts w:hint="eastAsia" w:ascii="宋体" w:hAnsi="宋体" w:eastAsia="宋体" w:cs="宋体"/>
          <w:b w:val="0"/>
          <w:bCs w:val="0"/>
          <w:sz w:val="24"/>
          <w:szCs w:val="24"/>
          <w:highlight w:val="none"/>
          <w:lang w:val="en-US" w:eastAsia="zh-CN"/>
        </w:rPr>
        <w:t>考虑</w:t>
      </w:r>
      <w:r>
        <w:rPr>
          <w:rFonts w:hint="eastAsia" w:ascii="宋体" w:hAnsi="宋体" w:eastAsia="宋体" w:cs="宋体"/>
          <w:b w:val="0"/>
          <w:bCs w:val="0"/>
          <w:sz w:val="24"/>
          <w:szCs w:val="24"/>
          <w:highlight w:val="none"/>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2、安装专业所有涉及室外铺砖、景观的开挖及修复内容已统一</w:t>
      </w:r>
      <w:r>
        <w:rPr>
          <w:rFonts w:hint="eastAsia" w:ascii="宋体" w:hAnsi="宋体" w:eastAsia="宋体" w:cs="宋体"/>
          <w:b w:val="0"/>
          <w:bCs w:val="0"/>
          <w:sz w:val="24"/>
          <w:szCs w:val="24"/>
          <w:highlight w:val="none"/>
          <w:lang w:val="en-US" w:eastAsia="zh-CN"/>
        </w:rPr>
        <w:t>由</w:t>
      </w:r>
      <w:r>
        <w:rPr>
          <w:rFonts w:hint="eastAsia" w:ascii="宋体" w:hAnsi="宋体" w:eastAsia="宋体" w:cs="宋体"/>
          <w:b w:val="0"/>
          <w:bCs w:val="0"/>
          <w:sz w:val="24"/>
          <w:szCs w:val="24"/>
          <w:highlight w:val="none"/>
        </w:rPr>
        <w:t>室外景观专业</w:t>
      </w:r>
      <w:r>
        <w:rPr>
          <w:rFonts w:hint="eastAsia" w:ascii="宋体" w:hAnsi="宋体" w:eastAsia="宋体" w:cs="宋体"/>
          <w:b w:val="0"/>
          <w:bCs w:val="0"/>
          <w:sz w:val="24"/>
          <w:szCs w:val="24"/>
          <w:highlight w:val="none"/>
          <w:lang w:val="en-US" w:eastAsia="zh-CN"/>
        </w:rPr>
        <w:t>考虑</w:t>
      </w:r>
      <w:r>
        <w:rPr>
          <w:rFonts w:hint="eastAsia" w:ascii="宋体" w:hAnsi="宋体" w:eastAsia="宋体" w:cs="宋体"/>
          <w:b w:val="0"/>
          <w:bCs w:val="0"/>
          <w:sz w:val="24"/>
          <w:szCs w:val="24"/>
          <w:highlight w:val="none"/>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3、安装专业中涉及的拆除工作内容按以料抵工考虑；</w:t>
      </w:r>
    </w:p>
    <w:p>
      <w:pPr>
        <w:ind w:firstLine="480" w:firstLineChars="200"/>
        <w:rPr>
          <w:rFonts w:hint="default" w:eastAsia="宋体"/>
          <w:lang w:val="en-US" w:eastAsia="zh-CN"/>
        </w:rPr>
      </w:pPr>
      <w:r>
        <w:rPr>
          <w:rFonts w:hint="eastAsia" w:ascii="宋体" w:hAnsi="宋体" w:cs="宋体"/>
          <w:b w:val="0"/>
          <w:bCs w:val="0"/>
          <w:sz w:val="24"/>
          <w:szCs w:val="24"/>
          <w:lang w:val="en-US" w:eastAsia="zh-CN"/>
        </w:rPr>
        <w:t>4、安装专业中抗震支架按整个项目统一考虑整项计入消防水中；</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、二楼公共卫生间所有卫生洁具更换新装；</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lang w:val="en-US" w:eastAsia="zh-CN"/>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、消防喷淋</w:t>
      </w:r>
      <w:r>
        <w:rPr>
          <w:rFonts w:hint="eastAsia" w:ascii="宋体" w:hAnsi="宋体" w:eastAsia="宋体" w:cs="宋体"/>
          <w:b w:val="0"/>
          <w:bCs w:val="0"/>
          <w:sz w:val="24"/>
          <w:szCs w:val="24"/>
          <w:lang w:val="en-US" w:eastAsia="zh-CN"/>
        </w:rPr>
        <w:t>原则上干管利旧，喷淋系统从管径小于等于DN100开始按新做计算；</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电气工程从楼层电表箱出线回路开始计算，包括电缆和配管；</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8、</w:t>
      </w:r>
      <w:r>
        <w:rPr>
          <w:rFonts w:hint="eastAsia" w:ascii="宋体" w:hAnsi="宋体" w:eastAsia="宋体" w:cs="宋体"/>
          <w:b w:val="0"/>
          <w:bCs w:val="0"/>
          <w:sz w:val="24"/>
          <w:szCs w:val="24"/>
        </w:rPr>
        <w:t>消防电系统</w:t>
      </w:r>
      <w:r>
        <w:rPr>
          <w:rFonts w:hint="eastAsia" w:ascii="宋体" w:hAnsi="宋体" w:eastAsia="宋体" w:cs="宋体"/>
          <w:b w:val="0"/>
          <w:bCs w:val="0"/>
          <w:sz w:val="24"/>
          <w:szCs w:val="24"/>
          <w:lang w:val="en-US" w:eastAsia="zh-CN"/>
        </w:rPr>
        <w:t>二楼门厅上空防火卷帘区域不动，其他</w:t>
      </w:r>
      <w:r>
        <w:rPr>
          <w:rFonts w:hint="eastAsia" w:ascii="宋体" w:hAnsi="宋体" w:eastAsia="宋体" w:cs="宋体"/>
          <w:b w:val="0"/>
          <w:bCs w:val="0"/>
          <w:sz w:val="24"/>
          <w:szCs w:val="24"/>
        </w:rPr>
        <w:t>按改造范围新装计算；</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9</w:t>
      </w:r>
      <w:r>
        <w:rPr>
          <w:rFonts w:hint="eastAsia" w:ascii="宋体" w:hAnsi="宋体" w:eastAsia="宋体" w:cs="宋体"/>
          <w:b w:val="0"/>
          <w:bCs w:val="0"/>
          <w:sz w:val="24"/>
          <w:szCs w:val="24"/>
        </w:rPr>
        <w:t>、暖通工程一层空调设备利旧，空调水管、空调风管及风口全部按新装计算。一层新风</w:t>
      </w:r>
      <w:r>
        <w:rPr>
          <w:rFonts w:hint="eastAsia" w:ascii="宋体" w:hAnsi="宋体" w:eastAsia="宋体" w:cs="宋体"/>
          <w:b w:val="0"/>
          <w:bCs w:val="0"/>
          <w:sz w:val="24"/>
          <w:szCs w:val="24"/>
          <w:lang w:val="en-US" w:eastAsia="zh-CN"/>
        </w:rPr>
        <w:t>系统</w:t>
      </w:r>
      <w:r>
        <w:rPr>
          <w:rFonts w:hint="eastAsia" w:ascii="宋体" w:hAnsi="宋体" w:eastAsia="宋体" w:cs="宋体"/>
          <w:b w:val="0"/>
          <w:bCs w:val="0"/>
          <w:sz w:val="24"/>
          <w:szCs w:val="24"/>
        </w:rPr>
        <w:t>利旧不变，新增送排风系统按图计算；</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10</w:t>
      </w:r>
      <w:r>
        <w:rPr>
          <w:rFonts w:hint="eastAsia" w:ascii="宋体" w:hAnsi="宋体" w:eastAsia="宋体" w:cs="宋体"/>
          <w:b w:val="0"/>
          <w:bCs w:val="0"/>
          <w:sz w:val="24"/>
          <w:szCs w:val="24"/>
        </w:rPr>
        <w:t>、暖通工程二层空调原有系统不利旧</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原有设备保护性拆除；空调</w:t>
      </w:r>
      <w:r>
        <w:rPr>
          <w:rFonts w:hint="eastAsia" w:ascii="宋体" w:hAnsi="宋体" w:eastAsia="宋体" w:cs="宋体"/>
          <w:b w:val="0"/>
          <w:bCs w:val="0"/>
          <w:sz w:val="24"/>
          <w:szCs w:val="24"/>
        </w:rPr>
        <w:t>采用新装VRF</w:t>
      </w:r>
      <w:r>
        <w:rPr>
          <w:rFonts w:hint="eastAsia" w:ascii="宋体" w:hAnsi="宋体" w:eastAsia="宋体" w:cs="宋体"/>
          <w:b w:val="0"/>
          <w:bCs w:val="0"/>
          <w:sz w:val="24"/>
          <w:szCs w:val="24"/>
          <w:lang w:val="en-US" w:eastAsia="zh-CN"/>
        </w:rPr>
        <w:t>系统</w:t>
      </w:r>
      <w:r>
        <w:rPr>
          <w:rFonts w:hint="eastAsia" w:ascii="宋体" w:hAnsi="宋体" w:eastAsia="宋体" w:cs="宋体"/>
          <w:b w:val="0"/>
          <w:bCs w:val="0"/>
          <w:sz w:val="24"/>
          <w:szCs w:val="24"/>
        </w:rPr>
        <w:t>按图计算</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二层新风仅设备利旧，其他全部按图新装计算</w:t>
      </w:r>
      <w:r>
        <w:rPr>
          <w:rFonts w:hint="eastAsia" w:ascii="宋体" w:hAnsi="宋体" w:eastAsia="宋体" w:cs="宋体"/>
          <w:b w:val="0"/>
          <w:bCs w:val="0"/>
          <w:sz w:val="24"/>
          <w:szCs w:val="24"/>
          <w:lang w:eastAsia="zh-CN"/>
        </w:rPr>
        <w:t>。</w:t>
      </w:r>
    </w:p>
    <w:p>
      <w:pPr>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pStyle w:val="8"/>
        <w:rPr>
          <w:rFonts w:hint="eastAsia" w:ascii="宋体" w:hAnsi="宋体" w:eastAsia="宋体" w:cs="宋体"/>
          <w:b w:val="0"/>
          <w:bCs w:val="0"/>
          <w:sz w:val="24"/>
          <w:szCs w:val="24"/>
          <w:lang w:eastAsia="zh-CN"/>
        </w:rPr>
      </w:pPr>
    </w:p>
    <w:p>
      <w:pPr>
        <w:rPr>
          <w:rFonts w:hint="eastAsia" w:ascii="宋体" w:hAnsi="宋体" w:cs="宋体"/>
          <w:b w:val="0"/>
          <w:bCs w:val="0"/>
          <w:sz w:val="24"/>
          <w:szCs w:val="24"/>
          <w:lang w:val="en-US" w:eastAsia="zh-CN"/>
        </w:rPr>
      </w:pPr>
    </w:p>
    <w:p>
      <w:pPr>
        <w:rPr>
          <w:rFonts w:hint="eastAsia" w:ascii="宋体" w:hAnsi="宋体" w:cs="宋体"/>
          <w:b/>
          <w:bCs/>
          <w:sz w:val="24"/>
          <w:szCs w:val="24"/>
          <w:lang w:val="en-US" w:eastAsia="zh-CN"/>
        </w:rPr>
      </w:pPr>
      <w:r>
        <w:rPr>
          <w:rFonts w:hint="eastAsia" w:ascii="宋体" w:hAnsi="宋体" w:cs="宋体"/>
          <w:b/>
          <w:bCs/>
          <w:sz w:val="24"/>
          <w:szCs w:val="24"/>
          <w:lang w:val="en-US" w:eastAsia="zh-CN"/>
        </w:rPr>
        <w:t>九、非竞争性费用</w:t>
      </w:r>
    </w:p>
    <w:p>
      <w:pPr>
        <w:pStyle w:val="8"/>
        <w:spacing w:line="360" w:lineRule="auto"/>
        <w:ind w:firstLine="480"/>
        <w:rPr>
          <w:rFonts w:hint="default"/>
          <w:b/>
          <w:bCs/>
          <w:lang w:val="en-US" w:eastAsia="zh-CN"/>
        </w:rPr>
      </w:pPr>
      <w:r>
        <w:rPr>
          <w:rFonts w:hint="eastAsia" w:ascii="宋体" w:hAnsi="宋体" w:cs="宋体"/>
          <w:b/>
          <w:bCs/>
          <w:sz w:val="24"/>
          <w:szCs w:val="24"/>
        </w:rPr>
        <w:t>本项目非竞争性费用，暂按合同约定的价格计入本次预算，结算时按合同约定相关条款进行结算调整。</w:t>
      </w: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pStyle w:val="8"/>
        <w:rPr>
          <w:rFonts w:hint="eastAsia"/>
          <w:lang w:val="en-US" w:eastAsia="zh-CN"/>
        </w:rPr>
      </w:pPr>
    </w:p>
    <w:p>
      <w:pPr>
        <w:keepNext w:val="0"/>
        <w:keepLines w:val="0"/>
        <w:pageBreakBefore w:val="0"/>
        <w:kinsoku/>
        <w:wordWrap/>
        <w:overflowPunct/>
        <w:topLinePunct w:val="0"/>
        <w:autoSpaceDE/>
        <w:autoSpaceDN/>
        <w:bidi w:val="0"/>
        <w:adjustRightInd/>
        <w:snapToGrid/>
        <w:spacing w:line="377"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暂</w:t>
      </w:r>
      <w:r>
        <w:rPr>
          <w:rFonts w:hint="eastAsia" w:ascii="宋体" w:hAnsi="宋体" w:cs="宋体"/>
          <w:color w:val="auto"/>
          <w:sz w:val="24"/>
          <w:szCs w:val="24"/>
          <w:highlight w:val="none"/>
          <w:lang w:val="en-US" w:eastAsia="zh-CN"/>
        </w:rPr>
        <w:t>定综合单价</w:t>
      </w:r>
    </w:p>
    <w:tbl>
      <w:tblPr>
        <w:tblStyle w:val="6"/>
        <w:tblW w:w="866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15"/>
        <w:gridCol w:w="2715"/>
        <w:gridCol w:w="840"/>
        <w:gridCol w:w="1050"/>
        <w:gridCol w:w="1335"/>
        <w:gridCol w:w="1275"/>
        <w:gridCol w:w="7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5"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编号</w:t>
            </w:r>
          </w:p>
        </w:tc>
        <w:tc>
          <w:tcPr>
            <w:tcW w:w="2715"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材料名称、规格、型号</w:t>
            </w:r>
          </w:p>
        </w:tc>
        <w:tc>
          <w:tcPr>
            <w:tcW w:w="840"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计量单位</w:t>
            </w:r>
          </w:p>
        </w:tc>
        <w:tc>
          <w:tcPr>
            <w:tcW w:w="1050"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工程量</w:t>
            </w:r>
          </w:p>
        </w:tc>
        <w:tc>
          <w:tcPr>
            <w:tcW w:w="1335"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综合</w:t>
            </w:r>
            <w:r>
              <w:rPr>
                <w:rFonts w:hint="eastAsia" w:ascii="宋体" w:hAnsi="宋体" w:eastAsia="宋体" w:cs="宋体"/>
                <w:i w:val="0"/>
                <w:iCs w:val="0"/>
                <w:color w:val="000000"/>
                <w:kern w:val="0"/>
                <w:sz w:val="24"/>
                <w:szCs w:val="24"/>
                <w:u w:val="none"/>
                <w:lang w:val="en-US" w:eastAsia="zh-CN" w:bidi="ar"/>
              </w:rPr>
              <w:t>单价</w:t>
            </w:r>
          </w:p>
        </w:tc>
        <w:tc>
          <w:tcPr>
            <w:tcW w:w="1275"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综合合价</w:t>
            </w:r>
          </w:p>
        </w:tc>
        <w:tc>
          <w:tcPr>
            <w:tcW w:w="731" w:type="dxa"/>
            <w:tcBorders>
              <w:top w:val="single" w:color="000000" w:sz="8"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pStyle w:val="5"/>
              <w:keepNext w:val="0"/>
              <w:keepLines w:val="0"/>
              <w:widowControl/>
              <w:suppressLineNumbers w:val="0"/>
              <w:spacing w:before="0" w:beforeAutospacing="0" w:after="0" w:afterAutospacing="0"/>
              <w:ind w:left="0" w:right="0" w:firstLine="0"/>
              <w:rPr>
                <w:rFonts w:hint="eastAsia" w:ascii="宋体" w:hAnsi="宋体" w:eastAsia="宋体" w:cs="宋体"/>
                <w:sz w:val="24"/>
                <w:szCs w:val="24"/>
              </w:rPr>
            </w:pPr>
            <w:r>
              <w:rPr>
                <w:rFonts w:hint="eastAsia" w:ascii="宋体" w:hAnsi="宋体" w:eastAsia="宋体" w:cs="宋体"/>
                <w:sz w:val="24"/>
                <w:szCs w:val="24"/>
              </w:rPr>
              <w:t>雪浪石长度300cm，宽度35-50cm，高60-80cm</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05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8000</w:t>
            </w:r>
          </w:p>
        </w:tc>
        <w:tc>
          <w:tcPr>
            <w:tcW w:w="127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8000</w:t>
            </w:r>
          </w:p>
        </w:tc>
        <w:tc>
          <w:tcPr>
            <w:tcW w:w="731"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pStyle w:val="5"/>
              <w:keepNext w:val="0"/>
              <w:keepLines w:val="0"/>
              <w:widowControl/>
              <w:suppressLineNumbers w:val="0"/>
              <w:spacing w:before="0" w:beforeAutospacing="0" w:after="0" w:afterAutospacing="0"/>
              <w:ind w:left="0" w:right="0" w:firstLine="0"/>
              <w:rPr>
                <w:rFonts w:hint="eastAsia" w:ascii="宋体" w:hAnsi="宋体" w:eastAsia="宋体" w:cs="宋体"/>
                <w:sz w:val="24"/>
                <w:szCs w:val="24"/>
              </w:rPr>
            </w:pPr>
            <w:r>
              <w:rPr>
                <w:rFonts w:hint="eastAsia" w:ascii="宋体" w:hAnsi="宋体" w:eastAsia="宋体" w:cs="宋体"/>
                <w:sz w:val="24"/>
                <w:szCs w:val="24"/>
              </w:rPr>
              <w:t>雪浪石长度210cm，宽度30-40cm，高40-50cm</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05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6000</w:t>
            </w:r>
          </w:p>
        </w:tc>
        <w:tc>
          <w:tcPr>
            <w:tcW w:w="127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6000</w:t>
            </w:r>
          </w:p>
        </w:tc>
        <w:tc>
          <w:tcPr>
            <w:tcW w:w="731"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71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pStyle w:val="5"/>
              <w:keepNext w:val="0"/>
              <w:keepLines w:val="0"/>
              <w:widowControl/>
              <w:suppressLineNumbers w:val="0"/>
              <w:spacing w:before="0" w:beforeAutospacing="0" w:after="0" w:afterAutospacing="0"/>
              <w:ind w:left="0" w:right="0" w:firstLine="0"/>
              <w:rPr>
                <w:rFonts w:hint="eastAsia" w:ascii="宋体" w:hAnsi="宋体" w:eastAsia="宋体" w:cs="宋体"/>
                <w:sz w:val="24"/>
                <w:szCs w:val="24"/>
              </w:rPr>
            </w:pPr>
            <w:r>
              <w:rPr>
                <w:rFonts w:hint="eastAsia" w:ascii="宋体" w:hAnsi="宋体" w:eastAsia="宋体" w:cs="宋体"/>
                <w:sz w:val="24"/>
                <w:szCs w:val="24"/>
              </w:rPr>
              <w:t>雪浪石长度110cm，宽度20-30cm，高20-35cm</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05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3000</w:t>
            </w:r>
          </w:p>
        </w:tc>
        <w:tc>
          <w:tcPr>
            <w:tcW w:w="127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6000</w:t>
            </w:r>
          </w:p>
        </w:tc>
        <w:tc>
          <w:tcPr>
            <w:tcW w:w="731"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4</w:t>
            </w:r>
          </w:p>
        </w:tc>
        <w:tc>
          <w:tcPr>
            <w:tcW w:w="271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抗震支架</w:t>
            </w:r>
          </w:p>
        </w:tc>
        <w:tc>
          <w:tcPr>
            <w:tcW w:w="8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项</w:t>
            </w:r>
          </w:p>
        </w:tc>
        <w:tc>
          <w:tcPr>
            <w:tcW w:w="105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p>
        </w:tc>
        <w:tc>
          <w:tcPr>
            <w:tcW w:w="13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10000</w:t>
            </w:r>
          </w:p>
        </w:tc>
        <w:tc>
          <w:tcPr>
            <w:tcW w:w="127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10000</w:t>
            </w:r>
          </w:p>
        </w:tc>
        <w:tc>
          <w:tcPr>
            <w:tcW w:w="731"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w:t>
            </w:r>
          </w:p>
        </w:tc>
        <w:tc>
          <w:tcPr>
            <w:tcW w:w="271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3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30000</w:t>
            </w:r>
          </w:p>
        </w:tc>
        <w:tc>
          <w:tcPr>
            <w:tcW w:w="731"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w:t>
            </w:r>
          </w:p>
        </w:tc>
        <w:tc>
          <w:tcPr>
            <w:tcW w:w="271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税金9%</w:t>
            </w:r>
          </w:p>
        </w:tc>
        <w:tc>
          <w:tcPr>
            <w:tcW w:w="8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3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2700</w:t>
            </w:r>
          </w:p>
        </w:tc>
        <w:tc>
          <w:tcPr>
            <w:tcW w:w="731"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15"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w:t>
            </w:r>
          </w:p>
        </w:tc>
        <w:tc>
          <w:tcPr>
            <w:tcW w:w="271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3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32700</w:t>
            </w:r>
          </w:p>
        </w:tc>
        <w:tc>
          <w:tcPr>
            <w:tcW w:w="731"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bl>
    <w:p>
      <w:pPr>
        <w:pStyle w:val="8"/>
        <w:ind w:left="0" w:leftChars="0" w:firstLine="0" w:firstLineChars="0"/>
        <w:rPr>
          <w:rFonts w:hint="eastAsia" w:ascii="宋体" w:hAnsi="宋体" w:eastAsia="宋体" w:cs="宋体"/>
          <w:b w:val="0"/>
          <w:bCs w:val="0"/>
          <w:sz w:val="24"/>
          <w:szCs w:val="24"/>
          <w:lang w:val="en-US" w:eastAsia="zh-CN"/>
        </w:rPr>
      </w:pPr>
    </w:p>
    <w:p>
      <w:pPr>
        <w:jc w:val="center"/>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
        <w:rPr>
          <w:rFonts w:hint="eastAsia" w:ascii="宋体" w:hAnsi="宋体" w:eastAsia="宋体" w:cs="宋体"/>
          <w:color w:val="auto"/>
          <w:sz w:val="24"/>
          <w:szCs w:val="24"/>
          <w:highlight w:val="none"/>
        </w:rPr>
      </w:pPr>
    </w:p>
    <w:p>
      <w:pPr>
        <w:rPr>
          <w:rFonts w:hint="eastAsia" w:ascii="宋体" w:hAnsi="宋体" w:eastAsia="宋体" w:cs="宋体"/>
          <w:color w:val="auto"/>
          <w:sz w:val="24"/>
          <w:szCs w:val="24"/>
          <w:highlight w:val="none"/>
        </w:rPr>
      </w:pPr>
    </w:p>
    <w:p>
      <w:pPr>
        <w:pStyle w:val="2"/>
        <w:rPr>
          <w:rFonts w:hint="eastAsia"/>
        </w:rPr>
      </w:pPr>
    </w:p>
    <w:p>
      <w:pPr>
        <w:rPr>
          <w:rFonts w:hint="eastAsia" w:ascii="宋体" w:hAnsi="宋体" w:eastAsia="宋体" w:cs="宋体"/>
          <w:color w:val="auto"/>
          <w:sz w:val="24"/>
          <w:szCs w:val="24"/>
          <w:highlight w:val="none"/>
        </w:rPr>
      </w:pPr>
    </w:p>
    <w:p>
      <w:pPr>
        <w:pStyle w:val="2"/>
        <w:rPr>
          <w:rFonts w:hint="eastAsia"/>
        </w:rPr>
      </w:pPr>
    </w:p>
    <w:p>
      <w:pPr>
        <w:jc w:val="center"/>
        <w:rPr>
          <w:rFonts w:hint="eastAsia" w:ascii="宋体" w:hAnsi="宋体" w:eastAsia="宋体" w:cs="宋体"/>
          <w:b w:val="0"/>
          <w:bCs w:val="0"/>
          <w:sz w:val="24"/>
          <w:szCs w:val="24"/>
          <w:lang w:val="en-US" w:eastAsia="zh-CN"/>
        </w:rPr>
      </w:pPr>
      <w:r>
        <w:rPr>
          <w:rFonts w:hint="eastAsia" w:ascii="宋体" w:hAnsi="宋体" w:eastAsia="宋体" w:cs="宋体"/>
          <w:color w:val="auto"/>
          <w:sz w:val="24"/>
          <w:szCs w:val="24"/>
          <w:highlight w:val="none"/>
        </w:rPr>
        <w:t>暂</w:t>
      </w:r>
      <w:r>
        <w:rPr>
          <w:rFonts w:hint="eastAsia" w:ascii="宋体" w:hAnsi="宋体" w:cs="宋体"/>
          <w:color w:val="auto"/>
          <w:sz w:val="24"/>
          <w:szCs w:val="24"/>
          <w:highlight w:val="none"/>
          <w:lang w:val="en-US" w:eastAsia="zh-CN"/>
        </w:rPr>
        <w:t>定</w:t>
      </w:r>
      <w:r>
        <w:rPr>
          <w:rFonts w:hint="eastAsia" w:ascii="宋体" w:hAnsi="宋体" w:eastAsia="宋体" w:cs="宋体"/>
          <w:b w:val="0"/>
          <w:bCs w:val="0"/>
          <w:sz w:val="24"/>
          <w:szCs w:val="24"/>
          <w:lang w:val="en-US" w:eastAsia="zh-CN"/>
        </w:rPr>
        <w:t>材料</w:t>
      </w:r>
      <w:r>
        <w:rPr>
          <w:rFonts w:hint="eastAsia" w:ascii="宋体" w:hAnsi="宋体" w:eastAsia="宋体" w:cs="宋体"/>
          <w:color w:val="auto"/>
          <w:sz w:val="24"/>
          <w:szCs w:val="24"/>
          <w:highlight w:val="none"/>
        </w:rPr>
        <w:t>价</w:t>
      </w:r>
    </w:p>
    <w:tbl>
      <w:tblPr>
        <w:tblStyle w:val="6"/>
        <w:tblW w:w="866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0"/>
        <w:gridCol w:w="2640"/>
        <w:gridCol w:w="855"/>
        <w:gridCol w:w="1110"/>
        <w:gridCol w:w="1035"/>
        <w:gridCol w:w="1221"/>
        <w:gridCol w:w="8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30"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编号</w:t>
            </w:r>
          </w:p>
        </w:tc>
        <w:tc>
          <w:tcPr>
            <w:tcW w:w="2640"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材料名称、规格、型号</w:t>
            </w:r>
          </w:p>
        </w:tc>
        <w:tc>
          <w:tcPr>
            <w:tcW w:w="855"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计量单位</w:t>
            </w:r>
          </w:p>
        </w:tc>
        <w:tc>
          <w:tcPr>
            <w:tcW w:w="1110"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工程量</w:t>
            </w:r>
          </w:p>
        </w:tc>
        <w:tc>
          <w:tcPr>
            <w:tcW w:w="1035"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1221"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合价</w:t>
            </w:r>
          </w:p>
        </w:tc>
        <w:tc>
          <w:tcPr>
            <w:tcW w:w="870" w:type="dxa"/>
            <w:tcBorders>
              <w:top w:val="single" w:color="000000" w:sz="8"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30"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6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pStyle w:val="5"/>
              <w:keepNext w:val="0"/>
              <w:keepLines w:val="0"/>
              <w:widowControl/>
              <w:suppressLineNumbers w:val="0"/>
              <w:spacing w:before="0" w:beforeAutospacing="0" w:after="0" w:afterAutospacing="0"/>
              <w:ind w:left="0" w:right="0" w:firstLine="0"/>
              <w:rPr>
                <w:rFonts w:hint="eastAsia" w:ascii="宋体" w:hAnsi="宋体" w:eastAsia="宋体" w:cs="宋体"/>
                <w:sz w:val="24"/>
                <w:szCs w:val="24"/>
              </w:rPr>
            </w:pPr>
            <w:r>
              <w:rPr>
                <w:rFonts w:hint="eastAsia" w:ascii="宋体" w:hAnsi="宋体" w:eastAsia="宋体" w:cs="宋体"/>
                <w:sz w:val="24"/>
                <w:szCs w:val="24"/>
              </w:rPr>
              <w:t>罗汉松B d22.1-24 H301-400、P201-250</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5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ind w:firstLine="240" w:firstLineChars="100"/>
              <w:jc w:val="both"/>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株</w:t>
            </w:r>
          </w:p>
        </w:tc>
        <w:tc>
          <w:tcPr>
            <w:tcW w:w="111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1.01</w:t>
            </w:r>
          </w:p>
        </w:tc>
        <w:tc>
          <w:tcPr>
            <w:tcW w:w="10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30000</w:t>
            </w:r>
          </w:p>
        </w:tc>
        <w:tc>
          <w:tcPr>
            <w:tcW w:w="12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30300</w:t>
            </w:r>
          </w:p>
        </w:tc>
        <w:tc>
          <w:tcPr>
            <w:tcW w:w="870"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30"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6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pStyle w:val="5"/>
              <w:keepNext w:val="0"/>
              <w:keepLines w:val="0"/>
              <w:widowControl/>
              <w:suppressLineNumbers w:val="0"/>
              <w:spacing w:before="0" w:beforeAutospacing="0" w:after="0" w:afterAutospacing="0"/>
              <w:ind w:left="0" w:right="0" w:firstLine="0"/>
              <w:rPr>
                <w:rFonts w:hint="eastAsia" w:ascii="宋体" w:hAnsi="宋体" w:eastAsia="宋体" w:cs="宋体"/>
                <w:sz w:val="24"/>
                <w:szCs w:val="24"/>
              </w:rPr>
            </w:pPr>
            <w:r>
              <w:rPr>
                <w:rFonts w:hint="eastAsia" w:ascii="宋体" w:hAnsi="宋体" w:eastAsia="宋体" w:cs="宋体"/>
                <w:sz w:val="24"/>
                <w:szCs w:val="24"/>
              </w:rPr>
              <w:t>罗汉松Ad28.1-30</w:t>
            </w:r>
          </w:p>
          <w:p>
            <w:pPr>
              <w:pStyle w:val="5"/>
              <w:keepNext w:val="0"/>
              <w:keepLines w:val="0"/>
              <w:widowControl/>
              <w:suppressLineNumbers w:val="0"/>
              <w:spacing w:before="0" w:beforeAutospacing="0" w:after="0" w:afterAutospacing="0"/>
              <w:ind w:left="0" w:right="0" w:firstLine="0"/>
              <w:rPr>
                <w:rFonts w:hint="eastAsia" w:ascii="宋体" w:hAnsi="宋体" w:eastAsia="宋体" w:cs="宋体"/>
                <w:sz w:val="24"/>
                <w:szCs w:val="24"/>
              </w:rPr>
            </w:pPr>
            <w:r>
              <w:rPr>
                <w:rFonts w:hint="eastAsia" w:ascii="宋体" w:hAnsi="宋体" w:eastAsia="宋体" w:cs="宋体"/>
                <w:sz w:val="24"/>
                <w:szCs w:val="24"/>
              </w:rPr>
              <w:t>H401-500、P261-320</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85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 xml:space="preserve"> 株</w:t>
            </w:r>
          </w:p>
        </w:tc>
        <w:tc>
          <w:tcPr>
            <w:tcW w:w="111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1.01</w:t>
            </w:r>
          </w:p>
        </w:tc>
        <w:tc>
          <w:tcPr>
            <w:tcW w:w="10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30000</w:t>
            </w:r>
          </w:p>
        </w:tc>
        <w:tc>
          <w:tcPr>
            <w:tcW w:w="12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30300</w:t>
            </w:r>
          </w:p>
        </w:tc>
        <w:tc>
          <w:tcPr>
            <w:tcW w:w="870"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30"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w:t>
            </w:r>
          </w:p>
        </w:tc>
        <w:tc>
          <w:tcPr>
            <w:tcW w:w="26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小计</w:t>
            </w:r>
          </w:p>
        </w:tc>
        <w:tc>
          <w:tcPr>
            <w:tcW w:w="85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2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60600</w:t>
            </w:r>
          </w:p>
        </w:tc>
        <w:tc>
          <w:tcPr>
            <w:tcW w:w="870"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30"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w:t>
            </w:r>
          </w:p>
        </w:tc>
        <w:tc>
          <w:tcPr>
            <w:tcW w:w="26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税金9%</w:t>
            </w:r>
          </w:p>
        </w:tc>
        <w:tc>
          <w:tcPr>
            <w:tcW w:w="85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2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5454</w:t>
            </w:r>
          </w:p>
        </w:tc>
        <w:tc>
          <w:tcPr>
            <w:tcW w:w="870"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30"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w:t>
            </w:r>
          </w:p>
        </w:tc>
        <w:tc>
          <w:tcPr>
            <w:tcW w:w="264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85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c>
          <w:tcPr>
            <w:tcW w:w="111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035"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22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66054</w:t>
            </w:r>
          </w:p>
        </w:tc>
        <w:tc>
          <w:tcPr>
            <w:tcW w:w="870"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bl>
    <w:p>
      <w:pPr>
        <w:rPr>
          <w:rFonts w:hint="eastAsia"/>
          <w:sz w:val="28"/>
          <w:szCs w:val="28"/>
          <w:lang w:eastAsia="zh-CN"/>
        </w:rPr>
      </w:pPr>
    </w:p>
    <w:p>
      <w:pPr>
        <w:pStyle w:val="8"/>
        <w:jc w:val="center"/>
        <w:rPr>
          <w:rFonts w:hint="eastAsia"/>
          <w:sz w:val="24"/>
          <w:szCs w:val="24"/>
          <w:lang w:eastAsia="zh-CN"/>
        </w:rPr>
      </w:pPr>
      <w:r>
        <w:rPr>
          <w:rFonts w:hint="eastAsia"/>
          <w:sz w:val="24"/>
          <w:szCs w:val="24"/>
          <w:lang w:val="en-US" w:eastAsia="zh-CN"/>
        </w:rPr>
        <w:t>暂列金额</w:t>
      </w:r>
    </w:p>
    <w:tbl>
      <w:tblPr>
        <w:tblStyle w:val="6"/>
        <w:tblW w:w="866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3"/>
        <w:gridCol w:w="2570"/>
        <w:gridCol w:w="841"/>
        <w:gridCol w:w="1087"/>
        <w:gridCol w:w="1176"/>
        <w:gridCol w:w="1219"/>
        <w:gridCol w:w="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13"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编号</w:t>
            </w:r>
          </w:p>
        </w:tc>
        <w:tc>
          <w:tcPr>
            <w:tcW w:w="2570"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材料名称、规格、型号</w:t>
            </w:r>
          </w:p>
        </w:tc>
        <w:tc>
          <w:tcPr>
            <w:tcW w:w="841"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计量单位</w:t>
            </w:r>
          </w:p>
        </w:tc>
        <w:tc>
          <w:tcPr>
            <w:tcW w:w="1087"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工程量</w:t>
            </w:r>
          </w:p>
        </w:tc>
        <w:tc>
          <w:tcPr>
            <w:tcW w:w="1176"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1219"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合价</w:t>
            </w:r>
          </w:p>
        </w:tc>
        <w:tc>
          <w:tcPr>
            <w:tcW w:w="855" w:type="dxa"/>
            <w:tcBorders>
              <w:top w:val="single" w:color="000000" w:sz="8" w:space="0"/>
              <w:left w:val="single" w:color="000000" w:sz="4" w:space="0"/>
              <w:bottom w:val="single" w:color="000000" w:sz="4" w:space="0"/>
              <w:right w:val="single" w:color="000000" w:sz="8"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1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一</w:t>
            </w:r>
          </w:p>
        </w:tc>
        <w:tc>
          <w:tcPr>
            <w:tcW w:w="257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暂列金额</w:t>
            </w:r>
          </w:p>
        </w:tc>
        <w:tc>
          <w:tcPr>
            <w:tcW w:w="84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ind w:firstLine="240" w:firstLineChars="100"/>
              <w:jc w:val="both"/>
              <w:textAlignment w:val="center"/>
              <w:rPr>
                <w:rFonts w:hint="eastAsia" w:ascii="宋体" w:hAnsi="宋体" w:eastAsia="宋体" w:cs="宋体"/>
                <w:i w:val="0"/>
                <w:iCs w:val="0"/>
                <w:color w:val="000000"/>
                <w:sz w:val="24"/>
                <w:szCs w:val="24"/>
                <w:u w:val="none"/>
                <w:lang w:val="en-US" w:eastAsia="zh-CN"/>
              </w:rPr>
            </w:pPr>
          </w:p>
        </w:tc>
        <w:tc>
          <w:tcPr>
            <w:tcW w:w="108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w:t>
            </w:r>
          </w:p>
        </w:tc>
        <w:tc>
          <w:tcPr>
            <w:tcW w:w="11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91743.12</w:t>
            </w:r>
          </w:p>
        </w:tc>
        <w:tc>
          <w:tcPr>
            <w:tcW w:w="121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cs="宋体"/>
                <w:i w:val="0"/>
                <w:iCs w:val="0"/>
                <w:color w:val="000000"/>
                <w:sz w:val="24"/>
                <w:szCs w:val="24"/>
                <w:u w:val="none"/>
                <w:lang w:val="en-US" w:eastAsia="zh-CN"/>
              </w:rPr>
              <w:t>91743.12</w:t>
            </w:r>
          </w:p>
        </w:tc>
        <w:tc>
          <w:tcPr>
            <w:tcW w:w="8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1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w:t>
            </w:r>
          </w:p>
        </w:tc>
        <w:tc>
          <w:tcPr>
            <w:tcW w:w="257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税金9%</w:t>
            </w:r>
          </w:p>
        </w:tc>
        <w:tc>
          <w:tcPr>
            <w:tcW w:w="84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c>
          <w:tcPr>
            <w:tcW w:w="108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1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21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8256.88</w:t>
            </w:r>
          </w:p>
        </w:tc>
        <w:tc>
          <w:tcPr>
            <w:tcW w:w="8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1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w:t>
            </w:r>
          </w:p>
        </w:tc>
        <w:tc>
          <w:tcPr>
            <w:tcW w:w="257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84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c>
          <w:tcPr>
            <w:tcW w:w="108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17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jc w:val="right"/>
              <w:rPr>
                <w:rFonts w:hint="eastAsia" w:ascii="宋体" w:hAnsi="宋体" w:eastAsia="宋体" w:cs="宋体"/>
                <w:i w:val="0"/>
                <w:iCs w:val="0"/>
                <w:color w:val="000000"/>
                <w:sz w:val="24"/>
                <w:szCs w:val="24"/>
                <w:u w:val="none"/>
              </w:rPr>
            </w:pPr>
          </w:p>
        </w:tc>
        <w:tc>
          <w:tcPr>
            <w:tcW w:w="121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100000</w:t>
            </w:r>
          </w:p>
        </w:tc>
        <w:tc>
          <w:tcPr>
            <w:tcW w:w="85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pPr>
              <w:jc w:val="center"/>
              <w:rPr>
                <w:rFonts w:hint="eastAsia" w:ascii="宋体" w:hAnsi="宋体" w:eastAsia="宋体" w:cs="宋体"/>
                <w:i w:val="0"/>
                <w:iCs w:val="0"/>
                <w:color w:val="000000"/>
                <w:sz w:val="24"/>
                <w:szCs w:val="24"/>
                <w:u w:val="none"/>
              </w:rPr>
            </w:pPr>
          </w:p>
        </w:tc>
      </w:tr>
    </w:tbl>
    <w:p>
      <w:pPr>
        <w:pStyle w:val="8"/>
        <w:ind w:left="0" w:leftChars="0" w:firstLine="0" w:firstLineChars="0"/>
        <w:rPr>
          <w:rFonts w:hint="eastAsia"/>
          <w:lang w:eastAsia="zh-CN"/>
        </w:rPr>
      </w:pPr>
    </w:p>
    <w:p>
      <w:pPr>
        <w:pStyle w:val="8"/>
        <w:rPr>
          <w:rFonts w:hint="eastAsia"/>
          <w:lang w:eastAsia="zh-CN"/>
        </w:rPr>
      </w:pPr>
    </w:p>
    <w:p>
      <w:pPr>
        <w:pStyle w:val="8"/>
        <w:rPr>
          <w:rFonts w:hint="eastAsia"/>
          <w:lang w:eastAsia="zh-CN"/>
        </w:rPr>
      </w:pPr>
    </w:p>
    <w:p>
      <w:pPr>
        <w:pStyle w:val="8"/>
        <w:rPr>
          <w:rFonts w:hint="eastAsia"/>
          <w:lang w:eastAsia="zh-CN"/>
        </w:rPr>
      </w:pPr>
    </w:p>
    <w:p>
      <w:pPr>
        <w:rPr>
          <w:rFonts w:hint="eastAsia"/>
          <w:sz w:val="24"/>
          <w:szCs w:val="24"/>
          <w:lang w:val="en-US" w:eastAsia="zh-CN"/>
        </w:rPr>
      </w:pPr>
      <w:r>
        <w:rPr>
          <w:rFonts w:hint="eastAsia" w:ascii="宋体" w:hAnsi="宋体" w:eastAsia="宋体" w:cs="宋体"/>
          <w:b w:val="0"/>
          <w:bCs w:val="0"/>
          <w:sz w:val="24"/>
          <w:szCs w:val="24"/>
          <w:lang w:val="en-US" w:eastAsia="zh-CN"/>
        </w:rPr>
        <w:t>十</w:t>
      </w:r>
      <w:r>
        <w:rPr>
          <w:rFonts w:hint="eastAsia"/>
          <w:sz w:val="24"/>
          <w:szCs w:val="24"/>
          <w:lang w:val="en-US" w:eastAsia="zh-CN"/>
        </w:rPr>
        <w:t>、主要材料品牌表</w:t>
      </w:r>
    </w:p>
    <w:p>
      <w:pPr>
        <w:pStyle w:val="8"/>
        <w:rPr>
          <w:rFonts w:hint="eastAsia"/>
          <w:lang w:val="en-US" w:eastAsia="zh-CN"/>
        </w:rPr>
      </w:pPr>
    </w:p>
    <w:tbl>
      <w:tblPr>
        <w:tblStyle w:val="6"/>
        <w:tblW w:w="914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9"/>
        <w:gridCol w:w="2213"/>
        <w:gridCol w:w="1614"/>
        <w:gridCol w:w="1300"/>
        <w:gridCol w:w="1955"/>
        <w:gridCol w:w="1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材料名称</w:t>
            </w:r>
          </w:p>
        </w:tc>
        <w:tc>
          <w:tcPr>
            <w:tcW w:w="486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参考品牌</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5127" w:type="dxa"/>
            <w:gridSpan w:val="3"/>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装修</w:t>
            </w:r>
          </w:p>
        </w:tc>
        <w:tc>
          <w:tcPr>
            <w:tcW w:w="1955" w:type="dxa"/>
            <w:tcBorders>
              <w:top w:val="single" w:color="000000" w:sz="4" w:space="0"/>
              <w:left w:val="nil"/>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无机涂料</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立邦</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三棵树</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多乐士</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铝板</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宁波红杉</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浙江思贝格</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墙煌</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矿棉板</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JKBM</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山东梦牌</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星牌优时吉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铝扣板</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广东泛铭</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墙煌</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宁波红衫</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铝方通</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浙江思贝格</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浙江墙煌</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广东泛铭</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大理石</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环球</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溪石</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高时石材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bookmarkStart w:id="0" w:name="_GoBack" w:colFirst="3" w:colLast="3"/>
            <w:r>
              <w:rPr>
                <w:rFonts w:hint="eastAsia" w:ascii="宋体" w:hAnsi="宋体" w:eastAsia="宋体" w:cs="宋体"/>
                <w:i w:val="0"/>
                <w:iCs w:val="0"/>
                <w:color w:val="000000"/>
                <w:kern w:val="0"/>
                <w:sz w:val="24"/>
                <w:szCs w:val="24"/>
                <w:u w:val="none"/>
                <w:lang w:val="en-US" w:eastAsia="zh-CN" w:bidi="ar"/>
              </w:rPr>
              <w:t>7</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地砖墙砖</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马可波罗</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东鹏</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蒙娜丽莎</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实木复合地板</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兔宝宝</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千年舟</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世友</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bookmarkEnd w:id="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板材</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兔宝宝</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山东泰山</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大王椰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金属蜂窝抗培特隔断</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宁波玛尔斯</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宁波韵格</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华洁</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成品定制木门</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湖州红利</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宁波缘艺</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美心</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213"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五金</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坚朗</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顶固</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固特</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2213"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给排水</w:t>
            </w:r>
          </w:p>
        </w:tc>
        <w:tc>
          <w:tcPr>
            <w:tcW w:w="486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卫生洁具</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乐家</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TOTO</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科勒</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挂式小便器</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A3590J300C</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UW904SHB</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K-18645T-Y-0</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drawing>
                <wp:inline distT="0" distB="0" distL="114300" distR="114300">
                  <wp:extent cx="702310" cy="879475"/>
                  <wp:effectExtent l="0" t="0" r="2540" b="158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4"/>
                          <a:stretch>
                            <a:fillRect/>
                          </a:stretch>
                        </pic:blipFill>
                        <pic:spPr>
                          <a:xfrm>
                            <a:off x="0" y="0"/>
                            <a:ext cx="702310" cy="87947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小便器感应器</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A5A8202E0N +A525165103</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DUE126UEC</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K-30942T-CP</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drawing>
                <wp:inline distT="0" distB="0" distL="114300" distR="114300">
                  <wp:extent cx="668020" cy="678815"/>
                  <wp:effectExtent l="0" t="0" r="17780" b="698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5"/>
                          <a:stretch>
                            <a:fillRect/>
                          </a:stretch>
                        </pic:blipFill>
                        <pic:spPr>
                          <a:xfrm>
                            <a:off x="0" y="0"/>
                            <a:ext cx="668020" cy="67881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坐式大便器 </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A34968500C</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CW166RB</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K-23188T-ITNS-0</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drawing>
                <wp:inline distT="0" distB="0" distL="114300" distR="114300">
                  <wp:extent cx="725170" cy="874395"/>
                  <wp:effectExtent l="0" t="0" r="17780" b="190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725170" cy="87439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蹲式大便器</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A345458000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CW8RB/TCP01-32</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K-20441T-0</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drawing>
                <wp:inline distT="0" distB="0" distL="114300" distR="114300">
                  <wp:extent cx="837565" cy="837565"/>
                  <wp:effectExtent l="0" t="0" r="635" b="63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tretch>
                            <a:fillRect/>
                          </a:stretch>
                        </pic:blipFill>
                        <pic:spPr>
                          <a:xfrm>
                            <a:off x="0" y="0"/>
                            <a:ext cx="837565" cy="83756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脚踏冲洗阀</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Z506902510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DC603VLFR</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K-8882T-2-CP</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drawing>
                <wp:inline distT="0" distB="0" distL="114300" distR="114300">
                  <wp:extent cx="946785" cy="688340"/>
                  <wp:effectExtent l="0" t="0" r="5715" b="16510"/>
                  <wp:docPr id="10" name="图片 5" descr="flush valves_pan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flush valves_pan_f"/>
                          <pic:cNvPicPr>
                            <a:picLocks noChangeAspect="1"/>
                          </pic:cNvPicPr>
                        </pic:nvPicPr>
                        <pic:blipFill>
                          <a:blip r:embed="rId8"/>
                          <a:stretch>
                            <a:fillRect/>
                          </a:stretch>
                        </pic:blipFill>
                        <pic:spPr>
                          <a:xfrm>
                            <a:off x="0" y="0"/>
                            <a:ext cx="946785" cy="68834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台下式洗脸盆</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A327871001</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LW15068</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K-99184T-0</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drawing>
                <wp:inline distT="0" distB="0" distL="114300" distR="114300">
                  <wp:extent cx="797560" cy="843280"/>
                  <wp:effectExtent l="0" t="0" r="2540" b="1397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9"/>
                          <a:stretch>
                            <a:fillRect/>
                          </a:stretch>
                        </pic:blipFill>
                        <pic:spPr>
                          <a:xfrm>
                            <a:off x="0" y="0"/>
                            <a:ext cx="797560" cy="843280"/>
                          </a:xfrm>
                          <a:prstGeom prst="rect">
                            <a:avLst/>
                          </a:prstGeom>
                          <a:noFill/>
                          <a:ln w="1">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洗脸盆龙头</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A5A3990C0N</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TLG043D1B</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K-23472T-4-CP</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drawing>
                <wp:inline distT="0" distB="0" distL="114300" distR="114300">
                  <wp:extent cx="798830" cy="989965"/>
                  <wp:effectExtent l="0" t="0" r="1270" b="63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0"/>
                          <a:stretch>
                            <a:fillRect/>
                          </a:stretch>
                        </pic:blipFill>
                        <pic:spPr>
                          <a:xfrm>
                            <a:off x="0" y="0"/>
                            <a:ext cx="798830" cy="98996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拖布池</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A37145A00C A37145C00C</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SKW322B/SKW322FB</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K-6192T-M-0</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drawing>
                <wp:inline distT="0" distB="0" distL="114300" distR="114300">
                  <wp:extent cx="676910" cy="764540"/>
                  <wp:effectExtent l="0" t="0" r="8890" b="1651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1"/>
                          <a:stretch>
                            <a:fillRect/>
                          </a:stretch>
                        </pic:blipFill>
                        <pic:spPr>
                          <a:xfrm>
                            <a:off x="0" y="0"/>
                            <a:ext cx="676910" cy="76454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拖布池龙头</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Z526176110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DBS105S</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K-R13901T-B4-CP</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drawing>
                <wp:inline distT="0" distB="0" distL="114300" distR="114300">
                  <wp:extent cx="781685" cy="573405"/>
                  <wp:effectExtent l="0" t="0" r="18415" b="1714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2"/>
                          <a:srcRect l="26563" t="28125" r="38281" b="35417"/>
                          <a:stretch>
                            <a:fillRect/>
                          </a:stretch>
                        </pic:blipFill>
                        <pic:spPr>
                          <a:xfrm>
                            <a:off x="0" y="0"/>
                            <a:ext cx="781685" cy="57340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成套淋浴器</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A5A017EC0N </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TBG11302B +TBW01010B</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33079T-4-CP</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drawing>
                <wp:inline distT="0" distB="0" distL="114300" distR="114300">
                  <wp:extent cx="732790" cy="900430"/>
                  <wp:effectExtent l="0" t="0" r="10160" b="139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3"/>
                          <a:stretch>
                            <a:fillRect/>
                          </a:stretch>
                        </pic:blipFill>
                        <pic:spPr>
                          <a:xfrm>
                            <a:off x="0" y="0"/>
                            <a:ext cx="732790" cy="90043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一楼茶水区洗涤盆</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Z87N11044N</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LW15068</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K-3046T-C-NA</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drawing>
                <wp:inline distT="0" distB="0" distL="114300" distR="114300">
                  <wp:extent cx="781050" cy="622300"/>
                  <wp:effectExtent l="0" t="0" r="0" b="635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14"/>
                          <a:stretch>
                            <a:fillRect/>
                          </a:stretch>
                        </pic:blipFill>
                        <pic:spPr>
                          <a:xfrm>
                            <a:off x="0" y="0"/>
                            <a:ext cx="781050" cy="62230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13</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洗涤盆龙头</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A5A847EC0N</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DK307AN</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K-27773T-4-CP</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drawing>
                <wp:inline distT="0" distB="0" distL="114300" distR="114300">
                  <wp:extent cx="534035" cy="645795"/>
                  <wp:effectExtent l="0" t="0" r="18415" b="1905"/>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15"/>
                          <a:stretch>
                            <a:fillRect/>
                          </a:stretch>
                        </pic:blipFill>
                        <pic:spPr>
                          <a:xfrm>
                            <a:off x="0" y="0"/>
                            <a:ext cx="534035" cy="64579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w:t>
            </w:r>
          </w:p>
        </w:tc>
        <w:tc>
          <w:tcPr>
            <w:tcW w:w="2213"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电容积式热水器100L</w:t>
            </w:r>
          </w:p>
        </w:tc>
        <w:tc>
          <w:tcPr>
            <w:tcW w:w="161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美的</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海尔</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万家乐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2213"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电气</w:t>
            </w:r>
          </w:p>
        </w:tc>
        <w:tc>
          <w:tcPr>
            <w:tcW w:w="486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配电箱元器件</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施耐德</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ABB</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开关、插座</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西门子远景系列</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公牛G12系列</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鸿雁X5系列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照明灯具</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雷士</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三雄极光</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欧普</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应急照明</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台谊</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广东振辉</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消防报警系统</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9"/>
                <w:rFonts w:hint="eastAsia" w:ascii="宋体" w:hAnsi="宋体" w:eastAsia="宋体" w:cs="宋体"/>
                <w:sz w:val="24"/>
                <w:szCs w:val="24"/>
                <w:lang w:val="en-US" w:eastAsia="zh-CN" w:bidi="ar"/>
              </w:rPr>
              <w:t>上海松江</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海湾</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北大青鸟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电线、电缆</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球冠</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东方</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中策</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防火桥架、线槽</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宁波信杰</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江苏华鹏</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宁波杰兴达</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电线管</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武陵源</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杭州勤得</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萧通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c>
          <w:tcPr>
            <w:tcW w:w="2213"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暖通</w:t>
            </w:r>
          </w:p>
        </w:tc>
        <w:tc>
          <w:tcPr>
            <w:tcW w:w="486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机房精密空调</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申菱</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阿尔西</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艾默生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一拖一卡式空调空调</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格力</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大金</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三菱</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多联机室外机</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格力</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大金</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三菱</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风管式多联机室内机</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格力</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大金</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三菱</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多联机冷媒管</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青岛宏泰</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青岛中佳</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上海飞轮</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排气扇</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松下</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奥普</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TCL</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风口、风阀</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宁波东海</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宁波金刚</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宁波东盛</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空调复合成品风管</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中瑞瑞泰克</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金风通</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天仁信</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空调水管-钢管</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金洲</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天津利达</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天津友发</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2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橡塑保温</w:t>
            </w:r>
          </w:p>
        </w:tc>
        <w:tc>
          <w:tcPr>
            <w:tcW w:w="16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福乐斯</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埃弗斯</w:t>
            </w:r>
          </w:p>
        </w:tc>
        <w:tc>
          <w:tcPr>
            <w:tcW w:w="1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河北华美</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TBiZDk0ZWU3NDVmNzQ0MWVmODFhYjNjOTJiMTgifQ=="/>
  </w:docVars>
  <w:rsids>
    <w:rsidRoot w:val="00000000"/>
    <w:rsid w:val="31C75D36"/>
    <w:rsid w:val="558E0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1"/>
    <w:qFormat/>
    <w:uiPriority w:val="0"/>
    <w:pPr>
      <w:spacing w:line="560" w:lineRule="exact"/>
      <w:ind w:left="561"/>
    </w:pPr>
    <w:rPr>
      <w:rFonts w:eastAsia="楷体_GB2312"/>
      <w:b/>
      <w:bCs/>
      <w:sz w:val="30"/>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8">
    <w:name w:val="List Paragraph"/>
    <w:basedOn w:val="1"/>
    <w:qFormat/>
    <w:uiPriority w:val="0"/>
    <w:pPr>
      <w:ind w:firstLine="420" w:firstLineChars="200"/>
    </w:pPr>
    <w:rPr>
      <w:rFonts w:ascii="Calibri" w:hAnsi="Calibri"/>
      <w:szCs w:val="22"/>
    </w:rPr>
  </w:style>
  <w:style w:type="character" w:customStyle="1" w:styleId="9">
    <w:name w:val="font31"/>
    <w:basedOn w:val="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2024-06-24T09:37:38Z</dcterms:created>
  <dc:creator>ABC</dc:creator>
  <cp:lastModifiedBy>徐慧玲</cp:lastModifiedBy>
  <dcterms:modified xsi:type="dcterms:W3CDTF">2024-06-24T09:49:37Z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290DC1F4C18B4F8DA6D978CFED424AA6_12</vt:lpwstr>
  </property>
</Properties>
</file>