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r>
        <w:rPr>
          <w:rFonts w:hint="eastAsia" w:ascii="宋体" w:hAnsi="宋体"/>
          <w:b/>
          <w:bCs/>
          <w:color w:val="auto"/>
          <w:sz w:val="36"/>
          <w:szCs w:val="36"/>
          <w:highlight w:val="none"/>
          <w:u w:val="single"/>
          <w:lang w:eastAsia="zh-CN"/>
        </w:rPr>
        <w:t>新碶小学行政楼家具</w:t>
      </w: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default" w:ascii="宋体" w:hAnsi="宋体" w:eastAsia="宋体"/>
          <w:b/>
          <w:bCs/>
          <w:color w:val="auto"/>
          <w:sz w:val="36"/>
          <w:szCs w:val="36"/>
          <w:highlight w:val="none"/>
          <w:lang w:val="en-US"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BLZFCG20240</w:t>
      </w:r>
      <w:r>
        <w:rPr>
          <w:rFonts w:hint="eastAsia" w:ascii="宋体" w:hAnsi="宋体"/>
          <w:b/>
          <w:bCs/>
          <w:color w:val="auto"/>
          <w:sz w:val="36"/>
          <w:szCs w:val="36"/>
          <w:highlight w:val="none"/>
          <w:u w:val="single"/>
          <w:lang w:val="en-US" w:eastAsia="zh-CN"/>
        </w:rPr>
        <w:t>53</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0" w:name="OLE_LINK5"/>
      <w:bookmarkStart w:id="1" w:name="OLE_LINK4"/>
      <w:r>
        <w:rPr>
          <w:rFonts w:hint="eastAsia"/>
          <w:b/>
          <w:bCs/>
          <w:color w:val="auto"/>
          <w:sz w:val="30"/>
          <w:szCs w:val="30"/>
          <w:highlight w:val="none"/>
          <w:lang w:eastAsia="zh-CN"/>
        </w:rPr>
        <w:t>宁波市北仑区新碶小学</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宁波市北仑区（开发区）政务服务中心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四</w:t>
      </w:r>
      <w:r>
        <w:rPr>
          <w:rFonts w:hint="eastAsia" w:ascii="宋体" w:hAnsi="宋体"/>
          <w:b/>
          <w:bCs/>
          <w:color w:val="auto"/>
          <w:sz w:val="36"/>
          <w:highlight w:val="none"/>
        </w:rPr>
        <w:t xml:space="preserve"> 年 </w:t>
      </w:r>
      <w:r>
        <w:rPr>
          <w:rFonts w:hint="eastAsia" w:ascii="宋体" w:hAnsi="宋体"/>
          <w:b/>
          <w:bCs/>
          <w:color w:val="auto"/>
          <w:sz w:val="36"/>
          <w:highlight w:val="none"/>
          <w:lang w:val="en-US" w:eastAsia="zh-CN"/>
        </w:rPr>
        <w:t>八</w:t>
      </w:r>
      <w:r>
        <w:rPr>
          <w:rFonts w:hint="eastAsia" w:ascii="宋体" w:hAnsi="宋体"/>
          <w:b/>
          <w:bCs/>
          <w:color w:val="auto"/>
          <w:sz w:val="36"/>
          <w:highlight w:val="none"/>
        </w:rPr>
        <w:t xml:space="preserve">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pgBorders>
            <w:top w:val="none" w:sz="0" w:space="0"/>
            <w:left w:val="none" w:sz="0" w:space="0"/>
            <w:bottom w:val="none" w:sz="0" w:space="0"/>
            <w:right w:val="none" w:sz="0" w:space="0"/>
          </w:pgBorders>
          <w:pgNumType w:fmt="decimal"/>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w:t>
      </w:r>
      <w:r>
        <w:rPr>
          <w:rFonts w:hint="eastAsia" w:ascii="宋体" w:hAnsi="宋体" w:cs="宋体"/>
          <w:color w:val="auto"/>
          <w:highlight w:val="none"/>
          <w:lang w:eastAsia="zh-CN"/>
        </w:rPr>
        <w:t>宁波市北仑区（开发区）政务服务中心</w:t>
      </w:r>
      <w:r>
        <w:rPr>
          <w:rFonts w:hint="eastAsia" w:ascii="宋体" w:hAnsi="宋体" w:eastAsia="宋体" w:cs="宋体"/>
          <w:color w:val="auto"/>
          <w:highlight w:val="none"/>
        </w:rPr>
        <w:t>受</w:t>
      </w:r>
      <w:r>
        <w:rPr>
          <w:rFonts w:hint="eastAsia" w:ascii="宋体" w:hAnsi="宋体" w:cs="宋体"/>
          <w:color w:val="auto"/>
          <w:highlight w:val="none"/>
          <w:lang w:eastAsia="zh-CN"/>
        </w:rPr>
        <w:t>宁波市北仑区新碶小学</w:t>
      </w:r>
      <w:r>
        <w:rPr>
          <w:rFonts w:hint="eastAsia" w:ascii="宋体" w:hAnsi="宋体" w:eastAsia="宋体" w:cs="宋体"/>
          <w:color w:val="auto"/>
          <w:highlight w:val="none"/>
        </w:rPr>
        <w:t>委托，就</w:t>
      </w:r>
      <w:r>
        <w:rPr>
          <w:rFonts w:hint="eastAsia" w:ascii="宋体" w:hAnsi="宋体" w:cs="宋体"/>
          <w:color w:val="auto"/>
          <w:highlight w:val="none"/>
          <w:lang w:eastAsia="zh-CN"/>
        </w:rPr>
        <w:t>新碶小学行政楼家具</w:t>
      </w:r>
      <w:r>
        <w:rPr>
          <w:rFonts w:hint="eastAsia" w:ascii="宋体" w:hAnsi="宋体" w:eastAsia="宋体" w:cs="宋体"/>
          <w:color w:val="auto"/>
          <w:highlight w:val="none"/>
        </w:rPr>
        <w:t>项目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BLZFCG2024053</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新碶小学行政楼家具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、预算金额：人民币</w:t>
      </w:r>
      <w:r>
        <w:rPr>
          <w:rFonts w:hint="eastAsia" w:ascii="宋体" w:hAnsi="宋体" w:cs="宋体"/>
          <w:color w:val="auto"/>
          <w:highlight w:val="none"/>
          <w:lang w:val="en-US" w:eastAsia="zh-CN"/>
        </w:rPr>
        <w:t>74.973</w:t>
      </w:r>
      <w:r>
        <w:rPr>
          <w:rFonts w:hint="eastAsia" w:ascii="宋体" w:hAnsi="宋体" w:eastAsia="宋体" w:cs="宋体"/>
          <w:color w:val="auto"/>
          <w:highlight w:val="none"/>
        </w:rPr>
        <w:t>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eastAsia="宋体" w:cs="宋体"/>
          <w:color w:val="auto"/>
          <w:highlight w:val="none"/>
          <w:lang w:val="en-US" w:eastAsia="zh-CN"/>
        </w:rPr>
        <w:t>人民币</w:t>
      </w:r>
      <w:r>
        <w:rPr>
          <w:rFonts w:hint="eastAsia" w:ascii="宋体" w:hAnsi="宋体" w:cs="宋体"/>
          <w:color w:val="auto"/>
          <w:highlight w:val="none"/>
          <w:lang w:val="en-US" w:eastAsia="zh-CN"/>
        </w:rPr>
        <w:t>74.973</w:t>
      </w:r>
      <w:r>
        <w:rPr>
          <w:rFonts w:hint="eastAsia" w:ascii="宋体" w:hAnsi="宋体" w:eastAsia="宋体" w:cs="宋体"/>
          <w:color w:val="auto"/>
          <w:highlight w:val="none"/>
          <w:lang w:val="en-US" w:eastAsia="zh-CN"/>
        </w:rPr>
        <w:t>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行政楼家具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highlight w:val="none"/>
        </w:rPr>
        <w:t>合同签订后2个月内完成安装、调试并交付使用。</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2、落实政府采购政策需满足的资格要求：本项目为专门面向中小企业的采购项目，供应商须为中小微企业（或残疾人福利性单位或监狱企业）。</w:t>
      </w:r>
    </w:p>
    <w:p>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 xml:space="preserve">无 </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2024年</w:t>
      </w:r>
      <w:r>
        <w:rPr>
          <w:rFonts w:hint="eastAsia" w:ascii="宋体" w:hAnsi="宋体" w:eastAsia="宋体" w:cs="宋体"/>
          <w:color w:val="auto"/>
          <w:highlight w:val="none"/>
        </w:rPr>
        <w:t xml:space="preserve">  月  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1、参加投标的供应商有义务在采购活动期间浏览宁波政府采购网（www.nbzfcg.cn）和</w:t>
      </w:r>
      <w:r>
        <w:rPr>
          <w:rFonts w:hint="eastAsia" w:ascii="宋体" w:hAnsi="宋体" w:eastAsia="宋体" w:cs="宋体"/>
          <w:color w:val="auto"/>
          <w:highlight w:val="none"/>
          <w:lang w:eastAsia="zh-CN"/>
        </w:rPr>
        <w:t>宁波市政务服务中心网（jyxt.zwb.ningbo.gov.cn:4011）</w:t>
      </w:r>
      <w:r>
        <w:rPr>
          <w:rFonts w:hint="eastAsia" w:ascii="宋体" w:hAnsi="宋体" w:eastAsia="宋体" w:cs="宋体"/>
          <w:color w:val="auto"/>
          <w:highlight w:val="none"/>
        </w:rPr>
        <w:t>，采购人（采购代理机构）在以上两个网站发布的与本次招标项目有关的信息视为已送达各供应商，不再采用其它方式传达相关信息。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宁波市北仑区新碶小学</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址：宁波北仑区新碶街道镇小路128号</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联系人：汪浩峰    电话：0574-86864238</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宁波市北仑区（开发区）政务服务中心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朱嫣蓉</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5"/>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新碶小学行政楼家具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宁波市北仑区新碶小学</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联系人：汪浩峰    电话：0574-86864238</w:t>
            </w:r>
          </w:p>
          <w:p>
            <w:pPr>
              <w:rPr>
                <w:rFonts w:hint="eastAsia" w:ascii="宋体" w:hAnsi="宋体" w:eastAsia="宋体" w:cs="宋体"/>
                <w:color w:val="auto"/>
                <w:highlight w:val="none"/>
              </w:rPr>
            </w:pPr>
            <w:r>
              <w:rPr>
                <w:rFonts w:hint="eastAsia" w:ascii="宋体" w:hAnsi="宋体" w:eastAsia="宋体" w:cs="宋体"/>
                <w:color w:val="auto"/>
                <w:highlight w:val="none"/>
              </w:rPr>
              <w:t>地址：宁波北仑区新碶街道镇小路128号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cs="宋体"/>
                <w:color w:val="auto"/>
                <w:highlight w:val="none"/>
                <w:lang w:eastAsia="zh-CN"/>
              </w:rPr>
              <w:t>宁波市北仑区（开发区）政务服务中心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朱嫣蓉</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采购预算（最高限价）：人民币74.973万元。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2024年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2024年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履约保证金：本项目不收取履约保证金。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不同投标人的投标文件出自同一终端设备的或在相同Internet主机分配地址（相同IP地址）网上投标的，相关投标人</w:t>
            </w:r>
            <w:r>
              <w:rPr>
                <w:rFonts w:hint="eastAsia" w:ascii="宋体" w:hAnsi="宋体" w:cs="宋体"/>
                <w:color w:val="auto"/>
                <w:sz w:val="21"/>
                <w:szCs w:val="21"/>
                <w:highlight w:val="none"/>
                <w:lang w:val="en-US" w:eastAsia="zh-CN"/>
              </w:rPr>
              <w:t>的投标</w:t>
            </w:r>
            <w:r>
              <w:rPr>
                <w:rFonts w:hint="eastAsia" w:ascii="宋体" w:hAnsi="宋体" w:eastAsia="宋体" w:cs="宋体"/>
                <w:color w:val="auto"/>
                <w:sz w:val="21"/>
                <w:szCs w:val="21"/>
                <w:highlight w:val="none"/>
                <w:lang w:val="en-US" w:eastAsia="zh-CN"/>
              </w:rPr>
              <w:t>均作无效投标处理。</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2.6“法定代表人”本项目所指的法定代表人包含符合采购要求依法成立的个体工商户、民办非企业单位、个人独资企业、合伙企业、分支机构的负责人。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关于</w:t>
      </w:r>
      <w:r>
        <w:rPr>
          <w:rFonts w:hint="eastAsia" w:ascii="宋体" w:hAnsi="宋体" w:cs="宋体"/>
          <w:b/>
          <w:bCs/>
          <w:color w:val="auto"/>
          <w:sz w:val="21"/>
          <w:szCs w:val="21"/>
          <w:highlight w:val="none"/>
          <w:lang w:val="en-US" w:eastAsia="zh-CN"/>
        </w:rPr>
        <w:t>分支机构</w:t>
      </w:r>
      <w:r>
        <w:rPr>
          <w:rFonts w:hint="eastAsia" w:ascii="宋体" w:hAnsi="宋体" w:eastAsia="宋体" w:cs="宋体"/>
          <w:b/>
          <w:bCs/>
          <w:color w:val="auto"/>
          <w:sz w:val="21"/>
          <w:szCs w:val="21"/>
          <w:highlight w:val="none"/>
        </w:rPr>
        <w:t>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、保险、电信等特定行业外，分支机构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.2无论投标过程中的做法和结果如何，投标人自行承担所有与参加投标有关的全部费用。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参加投标的供应商有义务在采购活动期间浏览宁波政府采购网（www.nbzfcg.cn）和</w:t>
      </w:r>
      <w:r>
        <w:rPr>
          <w:rFonts w:hint="eastAsia" w:ascii="宋体" w:hAnsi="宋体" w:cs="宋体"/>
          <w:color w:val="auto"/>
          <w:sz w:val="21"/>
          <w:szCs w:val="21"/>
          <w:highlight w:val="none"/>
          <w:lang w:eastAsia="zh-CN"/>
        </w:rPr>
        <w:t>宁波市政务服务中心网（jyxt.zwb.ningbo.gov.cn:4011）</w:t>
      </w:r>
      <w:r>
        <w:rPr>
          <w:rFonts w:hint="eastAsia" w:ascii="宋体" w:hAnsi="宋体" w:eastAsia="宋体" w:cs="宋体"/>
          <w:color w:val="auto"/>
          <w:sz w:val="21"/>
          <w:szCs w:val="21"/>
          <w:highlight w:val="none"/>
        </w:rPr>
        <w:t>，采购人（采购代理机构）在以上两个网站发布的与本次招标项目有关的信息视为已送达各供应商，不再采用其它方式传达相关信息。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.2投标人投标文件所提供的全部材料必须真实可靠，所述内容真实有效，不得弄虚作假。若投标文件填报的内容数据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.1投标报价是履行合同的最终价格，包含购买货物及服务需交纳的所有税费及其他一切相关费用，具体详见本招标文件第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cs="宋体"/>
          <w:b w:val="0"/>
          <w:bCs/>
          <w:color w:val="auto"/>
          <w:highlight w:val="none"/>
          <w:lang w:val="en-US" w:eastAsia="zh-CN"/>
        </w:rPr>
        <w:t>4</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采购代理机构推迟投标截止时间或更改投标地点，将以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（3）投标文件解密结束，开启投标文件，对“资格证明文件”进行审查。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20</w:t>
      </w:r>
      <w:r>
        <w:rPr>
          <w:rFonts w:hint="eastAsia" w:ascii="宋体" w:hAnsi="宋体" w:eastAsia="宋体" w:cs="宋体"/>
          <w:b/>
          <w:bCs/>
          <w:color w:val="auto"/>
          <w:highlight w:val="none"/>
          <w:lang w:val="en-US" w:eastAsia="zh-CN"/>
        </w:rPr>
        <w:t>、投标文件解密</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.1采购代理机构宣布开标后，将通过政采云平台发出解密指令，投标人登录政采云平台并使用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.2解密电子投标文件的时间为解密指令发出后30分钟内。解密成功的，备份电子投标文件自动失效。若在规定时间内无法解密或解密失败，此时启用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eastAsia="zh-CN"/>
        </w:rPr>
        <w:t>、评审监控及保密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6</w:t>
      </w:r>
      <w:r>
        <w:rPr>
          <w:rFonts w:hint="eastAsia" w:ascii="宋体" w:hAnsi="宋体" w:eastAsia="宋体" w:cs="宋体"/>
          <w:b/>
          <w:bCs/>
          <w:color w:val="auto"/>
          <w:highlight w:val="none"/>
          <w:lang w:val="en-US" w:eastAsia="zh-CN"/>
        </w:rPr>
        <w:t>、中止电子交易的情形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.1中标人确定之日起后2个工作日内，采购代理机构将在指定的政府采购信息发布媒体上公告中标结果，同时向中标人发出中标通知书。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9</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新碶小学行政楼家具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BLZFCG2024053</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4.2本项目交付期限：</w:t>
      </w:r>
      <w:r>
        <w:rPr>
          <w:rFonts w:hint="eastAsia" w:ascii="宋体" w:hAnsi="宋体" w:eastAsia="宋体" w:cs="宋体"/>
          <w:color w:val="auto"/>
          <w:sz w:val="21"/>
          <w:szCs w:val="21"/>
          <w:highlight w:val="none"/>
        </w:rPr>
        <w:t>合同签订后2个月内完成安装、调试并交付使用。</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4.3本项目质保期限：质保期为3年。质保期自项目正式验收合格之日起计算。</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4.4本项目服务响应要求：在接到用户的故障维修电话后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r>
        <w:rPr>
          <w:rFonts w:hint="eastAsia" w:ascii="宋体" w:hAnsi="宋体" w:eastAsia="宋体" w:cs="宋体"/>
          <w:b w:val="0"/>
          <w:bCs w:val="0"/>
          <w:color w:val="auto"/>
          <w:sz w:val="21"/>
          <w:szCs w:val="21"/>
          <w:highlight w:val="none"/>
        </w:rPr>
        <w:t xml:space="preserve"> </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油漆、胶水、基材、木皮、实木、五金配件等材质和关键部件的具体情况。格式参照第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5.4优惠承诺及合理化建议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.1提供针对本项目的具有可行性的合理化建议等内容。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.2供应商可以根据项目实际情况和自己的实力及意愿在投标文件中作出优于招标要求的保证或承诺。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本次采购为专门面向中小企业项目，根据《政府采购促进中小企业发展管理办法》（财库[2020]46号）及相关规定，符合中小微企业认定标准的供应商，在参加本次政府采购活动时，须提供《中小企业声明函》，格式参考第六部分格式：中小企业声明函，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格式参考第六部分格式：残疾人福利性单位声明函，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台式计算机、便携式计算机、激光打印机、针式打印机、液晶显示器、空调机等为政府强制采购产品，施行强制采购政策。节能产品（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rPr>
          <w:rFonts w:hint="eastAsia" w:ascii="宋体" w:hAnsi="宋体" w:eastAsia="宋体" w:cs="宋体"/>
          <w:b/>
          <w:color w:val="auto"/>
          <w:highlight w:val="none"/>
        </w:rPr>
        <w:sectPr>
          <w:pgSz w:w="11906" w:h="16838"/>
          <w:pgMar w:top="1474" w:right="1474" w:bottom="1417" w:left="1588" w:header="851" w:footer="850"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rPr>
          <w:rFonts w:hint="eastAsia" w:ascii="宋体" w:hAnsi="宋体" w:eastAsia="宋体" w:cs="宋体"/>
          <w:b/>
          <w:color w:val="auto"/>
          <w:highlight w:val="none"/>
        </w:rPr>
      </w:pPr>
      <w:r>
        <w:rPr>
          <w:rFonts w:hint="eastAsia" w:ascii="宋体" w:hAnsi="宋体" w:eastAsia="宋体" w:cs="宋体"/>
          <w:b/>
          <w:color w:val="auto"/>
          <w:highlight w:val="none"/>
        </w:rPr>
        <w:t>附件：</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5"/>
        <w:tblW w:w="1473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10"/>
        <w:gridCol w:w="757"/>
        <w:gridCol w:w="3270"/>
        <w:gridCol w:w="1066"/>
        <w:gridCol w:w="6742"/>
        <w:gridCol w:w="825"/>
        <w:gridCol w:w="63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8" w:hRule="atLeast"/>
        </w:trPr>
        <w:tc>
          <w:tcPr>
            <w:tcW w:w="710"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757"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名称</w:t>
            </w:r>
          </w:p>
        </w:tc>
        <w:tc>
          <w:tcPr>
            <w:tcW w:w="3270"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图片</w:t>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规格（MM）</w:t>
            </w:r>
          </w:p>
        </w:tc>
        <w:tc>
          <w:tcPr>
            <w:tcW w:w="6742"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材质说明</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颜色</w:t>
            </w:r>
          </w:p>
        </w:tc>
        <w:tc>
          <w:tcPr>
            <w:tcW w:w="630"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73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left"/>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1F 体育器材室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货架</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061720" cy="1397635"/>
                  <wp:effectExtent l="0" t="0" r="5080" b="12065"/>
                  <wp:docPr id="24" name="图片_34"/>
                  <wp:cNvGraphicFramePr/>
                  <a:graphic xmlns:a="http://schemas.openxmlformats.org/drawingml/2006/main">
                    <a:graphicData uri="http://schemas.openxmlformats.org/drawingml/2006/picture">
                      <pic:pic xmlns:pic="http://schemas.openxmlformats.org/drawingml/2006/picture">
                        <pic:nvPicPr>
                          <pic:cNvPr id="24" name="图片_34"/>
                          <pic:cNvPicPr/>
                        </pic:nvPicPr>
                        <pic:blipFill>
                          <a:blip r:embed="rId10"/>
                          <a:stretch>
                            <a:fillRect/>
                          </a:stretch>
                        </pic:blipFill>
                        <pic:spPr>
                          <a:xfrm>
                            <a:off x="0" y="0"/>
                            <a:ext cx="1061720" cy="139763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2000*600*2000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四层</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四层置物架，加厚加重款上海宝钢冷轧钢，高强承重；钢制产品经冲压、滚压或拉伸成型，产品经过环氧处理，表面经除油、去锈、磷化防腐、酸洗、高温塑化、等九道工序前处理，刨光处理后，进行喷塑。</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定制柜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99565" cy="1706245"/>
                  <wp:effectExtent l="0" t="0" r="635" b="8255"/>
                  <wp:docPr id="26" name="图片_42"/>
                  <wp:cNvGraphicFramePr/>
                  <a:graphic xmlns:a="http://schemas.openxmlformats.org/drawingml/2006/main">
                    <a:graphicData uri="http://schemas.openxmlformats.org/drawingml/2006/picture">
                      <pic:pic xmlns:pic="http://schemas.openxmlformats.org/drawingml/2006/picture">
                        <pic:nvPicPr>
                          <pic:cNvPr id="26" name="图片_42"/>
                          <pic:cNvPicPr/>
                        </pic:nvPicPr>
                        <pic:blipFill>
                          <a:blip r:embed="rId11"/>
                          <a:stretch>
                            <a:fillRect/>
                          </a:stretch>
                        </pic:blipFill>
                        <pic:spPr>
                          <a:xfrm>
                            <a:off x="0" y="0"/>
                            <a:ext cx="1599565" cy="170624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950*450*1800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含不锈钢10个挂衣钩</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板材：采用E0级实木多层板基材三聚氰氨饰面，★符合GB/T 34722-2017《浸渍胶膜纸饰面胶合板和细木工板(附2022年第1号修改单)》、GB/T 9846-2015《普通胶合板》、GB 18580-2017《室内装饰装修材料 人造板及其制品中甲醛释放限量》、GB/T 35601-2017《绿色产品评价 人造板和木质地板》、GB/T 39600-2021《人造板及其制品甲醛释放量分级》、GB 8624-2012《建筑材料及制品燃烧性能分级》、GB/T 8626-2007《建筑材料可燃性试验方法》、GB/T 20284-2006《建筑材料或制品的单体燃烧试验》含水率≤7.5%，胶合强度≥1.01Mpa，静曲强度：横纹≥51.4Mpa，顺纹≥53.8Mpa；弹性模量：顺纹≥6169Mpa，横纹≥4000Mpa；甲醛释放量≤0.034mg/m³；挥发性有机化合物（72h）：苯≤1μg/m³、甲苯≤3μg/m³、二甲苯≤3μg/m³、总挥发性有机化合物（TVOC）≤65μg/m³；燃烧性能达到B1级，单体燃烧增长速率指数FIGRA0.4MJ≤147、火焰横向蔓延未到达试样长翼边缘、600s的总放热量/MJTHR600s≤5.1、60s内焰尖高度Fs/mm≤150、60s内无燃烧滴落物引燃滤纸现象。实木要求表面无疤结、无虫囊，含水率符合当地标准；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五金配件：采用优质缓冲铰链。</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0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呼啦圈收纳架</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010920" cy="1327785"/>
                  <wp:effectExtent l="0" t="0" r="17780" b="5715"/>
                  <wp:docPr id="25" name="图片_39"/>
                  <wp:cNvGraphicFramePr/>
                  <a:graphic xmlns:a="http://schemas.openxmlformats.org/drawingml/2006/main">
                    <a:graphicData uri="http://schemas.openxmlformats.org/drawingml/2006/picture">
                      <pic:pic xmlns:pic="http://schemas.openxmlformats.org/drawingml/2006/picture">
                        <pic:nvPicPr>
                          <pic:cNvPr id="25" name="图片_39"/>
                          <pic:cNvPicPr/>
                        </pic:nvPicPr>
                        <pic:blipFill>
                          <a:blip r:embed="rId12"/>
                          <a:stretch>
                            <a:fillRect/>
                          </a:stretch>
                        </pic:blipFill>
                        <pic:spPr>
                          <a:xfrm>
                            <a:off x="0" y="0"/>
                            <a:ext cx="1010920" cy="132778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高度1000*圈内径800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材质采用PVC塑制圆管，环保无异味，U型卡扣连接件，组合方便衔接牢固，不易开脱，黑色耐磨万象轮脚轮，灵活轻便。</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0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球拍收纳架</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51355" cy="1379220"/>
                  <wp:effectExtent l="0" t="0" r="10795" b="11430"/>
                  <wp:docPr id="9" name="图片_41"/>
                  <wp:cNvGraphicFramePr/>
                  <a:graphic xmlns:a="http://schemas.openxmlformats.org/drawingml/2006/main">
                    <a:graphicData uri="http://schemas.openxmlformats.org/drawingml/2006/picture">
                      <pic:pic xmlns:pic="http://schemas.openxmlformats.org/drawingml/2006/picture">
                        <pic:nvPicPr>
                          <pic:cNvPr id="9" name="图片_41"/>
                          <pic:cNvPicPr/>
                        </pic:nvPicPr>
                        <pic:blipFill>
                          <a:blip r:embed="rId13"/>
                          <a:stretch>
                            <a:fillRect/>
                          </a:stretch>
                        </pic:blipFill>
                        <pic:spPr>
                          <a:xfrm>
                            <a:off x="0" y="0"/>
                            <a:ext cx="1951355" cy="137922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1440*370*720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采用圆钢管实心钢材，产品经过环氧处理，表面经除油、去锈、磷化防腐、酸洗、高温塑化、等九道工序前处理，国际流行色亚光静电喷粉，刨光处理后，进行喷塑。</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多类小工具收纳架</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478280" cy="1382395"/>
                  <wp:effectExtent l="0" t="0" r="7620" b="8255"/>
                  <wp:docPr id="7" name="图片_49"/>
                  <wp:cNvGraphicFramePr/>
                  <a:graphic xmlns:a="http://schemas.openxmlformats.org/drawingml/2006/main">
                    <a:graphicData uri="http://schemas.openxmlformats.org/drawingml/2006/picture">
                      <pic:pic xmlns:pic="http://schemas.openxmlformats.org/drawingml/2006/picture">
                        <pic:nvPicPr>
                          <pic:cNvPr id="7" name="图片_49"/>
                          <pic:cNvPicPr/>
                        </pic:nvPicPr>
                        <pic:blipFill>
                          <a:blip r:embed="rId14"/>
                          <a:stretch>
                            <a:fillRect/>
                          </a:stretch>
                        </pic:blipFill>
                        <pic:spPr>
                          <a:xfrm>
                            <a:off x="0" y="0"/>
                            <a:ext cx="1478280" cy="13823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2000*600*1500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采用上海宝钢冷轧钢，高强承重；钢制产品经冲压、滚压或拉伸成型，产品经过环氧处理，表面经除油、去锈、磷化防腐、酸洗、高温塑化、等九道工序前处理，国际流行色亚光静电喷粉，刨光处理后，进行喷塑。</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黑色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母婴室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8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沙发</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39570" cy="1533525"/>
                  <wp:effectExtent l="0" t="0" r="17780" b="9525"/>
                  <wp:docPr id="19" name="图片_118"/>
                  <wp:cNvGraphicFramePr/>
                  <a:graphic xmlns:a="http://schemas.openxmlformats.org/drawingml/2006/main">
                    <a:graphicData uri="http://schemas.openxmlformats.org/drawingml/2006/picture">
                      <pic:pic xmlns:pic="http://schemas.openxmlformats.org/drawingml/2006/picture">
                        <pic:nvPicPr>
                          <pic:cNvPr id="19" name="图片_118"/>
                          <pic:cNvPicPr/>
                        </pic:nvPicPr>
                        <pic:blipFill>
                          <a:blip r:embed="rId15"/>
                          <a:stretch>
                            <a:fillRect/>
                          </a:stretch>
                        </pic:blipFill>
                        <pic:spPr>
                          <a:xfrm>
                            <a:off x="0" y="0"/>
                            <a:ext cx="1639570" cy="153352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采用内木框靠背，实木座框，高回弹高密度的阻燃海绵★符合GB/T 10802-2023《通用软质聚氨酯泡沫塑料》、GB/T 6343-2009《泡沫塑料及橡胶 表观密度的测定》、GB/T 6669-2008 《软质泡沫聚合材料 压缩永久变形的测定》、GB/T 6670-2008 《软质泡沫聚合材料 落球法回弹性能的测定 》、GB 18587-2001《室内装饰装修材料 地毯、地毯衬垫及地毯胶粘剂有害物质释放限量》，回弹率≥46%，75%压缩永久变形≤5%，表观密度≥63(kg/m³)，甲醛释放量≤0.004mg/m²h，总挥发性有机化合物（TVOC）≤0.019mg/m²h，且外观均符合要求。不锈钢拉丝镀金封釉锥脚。纳帕西皮或布艺面料。</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粉色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5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茶几</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258570" cy="1125855"/>
                  <wp:effectExtent l="0" t="0" r="17780" b="17145"/>
                  <wp:docPr id="8" name="图片_128"/>
                  <wp:cNvGraphicFramePr/>
                  <a:graphic xmlns:a="http://schemas.openxmlformats.org/drawingml/2006/main">
                    <a:graphicData uri="http://schemas.openxmlformats.org/drawingml/2006/picture">
                      <pic:pic xmlns:pic="http://schemas.openxmlformats.org/drawingml/2006/picture">
                        <pic:nvPicPr>
                          <pic:cNvPr id="8" name="图片_128"/>
                          <pic:cNvPicPr/>
                        </pic:nvPicPr>
                        <pic:blipFill>
                          <a:blip r:embed="rId16"/>
                          <a:stretch>
                            <a:fillRect/>
                          </a:stretch>
                        </pic:blipFill>
                        <pic:spPr>
                          <a:xfrm>
                            <a:off x="0" y="0"/>
                            <a:ext cx="1258570" cy="112585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Ø600*500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内金属框架扪皮工艺，不锈钢底座，1.2大理石台面★符合GB/T 19766-2016《天然大理石建筑板材》、GB/T 9966.4-2020《天然石材试验方法 第4部分:耐磨性试验》、GB 6566-2010《建筑材料放射性核素限量》，耐磨性及放射性核素限量符合规范要求。</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装饰柜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39875" cy="1272540"/>
                  <wp:effectExtent l="0" t="0" r="3175" b="3810"/>
                  <wp:docPr id="12" name="图片_130"/>
                  <wp:cNvGraphicFramePr/>
                  <a:graphic xmlns:a="http://schemas.openxmlformats.org/drawingml/2006/main">
                    <a:graphicData uri="http://schemas.openxmlformats.org/drawingml/2006/picture">
                      <pic:pic xmlns:pic="http://schemas.openxmlformats.org/drawingml/2006/picture">
                        <pic:nvPicPr>
                          <pic:cNvPr id="12" name="图片_130"/>
                          <pic:cNvPicPr/>
                        </pic:nvPicPr>
                        <pic:blipFill>
                          <a:blip r:embed="rId17"/>
                          <a:stretch>
                            <a:fillRect/>
                          </a:stretch>
                        </pic:blipFill>
                        <pic:spPr>
                          <a:xfrm>
                            <a:off x="0" y="0"/>
                            <a:ext cx="1539875" cy="127254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1000*400*850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采用E0级实木多层板基材三聚氰氨饰面，经过防潮、防虫、防腐化学处理，抗硬度性能良好，具耐磨、耐腐蚀、耐划痕、耐烫等特点；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胶水：优质环保胶粘剂，环保健康；优质缓冲导轨</w:t>
            </w:r>
            <w:r>
              <w:rPr>
                <w:rFonts w:hint="eastAsia" w:ascii="宋体" w:hAnsi="宋体" w:eastAsia="宋体" w:cs="宋体"/>
                <w:i w:val="0"/>
                <w:iCs w:val="0"/>
                <w:strike w:val="0"/>
                <w:dstrike w:val="0"/>
                <w:color w:val="auto"/>
                <w:kern w:val="0"/>
                <w:sz w:val="18"/>
                <w:szCs w:val="18"/>
                <w:highlight w:val="none"/>
                <w:u w:val="none"/>
                <w:lang w:val="en-US" w:eastAsia="zh-CN" w:bidi="ar"/>
              </w:rPr>
              <w:t>★符合QB/T 2454-2013《家具五金抽屉导轨》</w:t>
            </w:r>
            <w:r>
              <w:rPr>
                <w:rFonts w:hint="eastAsia" w:ascii="宋体" w:hAnsi="宋体" w:eastAsia="宋体" w:cs="宋体"/>
                <w:i w:val="0"/>
                <w:iCs w:val="0"/>
                <w:color w:val="auto"/>
                <w:kern w:val="0"/>
                <w:sz w:val="18"/>
                <w:szCs w:val="18"/>
                <w:highlight w:val="none"/>
                <w:u w:val="none"/>
                <w:lang w:val="en-US" w:eastAsia="zh-CN" w:bidi="ar"/>
              </w:rPr>
              <w:t>，1、耐久性≥100000次、乙酸盐雾试验（ASS）不低于10级，中性盐雾试验不低于10级，下沉量≤4%，铰链等优质五金配件。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灰色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5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尿布台</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75155" cy="1798955"/>
                  <wp:effectExtent l="0" t="0" r="10795" b="10795"/>
                  <wp:docPr id="22" name="图片_4"/>
                  <wp:cNvGraphicFramePr/>
                  <a:graphic xmlns:a="http://schemas.openxmlformats.org/drawingml/2006/main">
                    <a:graphicData uri="http://schemas.openxmlformats.org/drawingml/2006/picture">
                      <pic:pic xmlns:pic="http://schemas.openxmlformats.org/drawingml/2006/picture">
                        <pic:nvPicPr>
                          <pic:cNvPr id="22" name="图片_4"/>
                          <pic:cNvPicPr/>
                        </pic:nvPicPr>
                        <pic:blipFill>
                          <a:blip r:embed="rId18"/>
                          <a:stretch>
                            <a:fillRect/>
                          </a:stretch>
                        </pic:blipFill>
                        <pic:spPr>
                          <a:xfrm>
                            <a:off x="0" y="0"/>
                            <a:ext cx="1875155" cy="179895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590*830*970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采用优质樟子松,★符合GB18584-2001《室内装饰装修材料 木家具中有害物质限量》JC/T《抗菌防霉木质装饰板》。其中防霉性能：土曲霉评定等级0级；甲醛释放量：≤0.2mg/L 。油漆：采用环保水性漆（底漆/面漆），漆面平整无颗粒、气泡、渣点，颜色均匀，★水性底漆符合GB18581-2020《木器涂料中有害物质限量》、GB/T23999-2009《室内装饰装修用水性木器涂料》、GB/T23986-2009《色漆和清漆挥发性有机化合物（VOC）含量的测定气相色谱法》铜条收口。甲醛含量（mg/m³）未检出，挥发性有机化合物(VOC)≤47g/L。★水性面漆符合GB18581-2020《木器涂料中有害物质限量》、GB/T23999-2009《室内装饰装修用水性木器涂料》、GB/T23986-2009《色漆和清漆挥发性有机化合物（VOC）含量的测定气相色谱法》铜条收口。甲醛含量（mg/m³）未检出，挥发性有机化合物(VOC)≤47g/L。</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原木色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教工之家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6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吧台</w:t>
            </w:r>
          </w:p>
        </w:tc>
        <w:tc>
          <w:tcPr>
            <w:tcW w:w="3270" w:type="dxa"/>
            <w:vMerge w:val="restart"/>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23110" cy="1170305"/>
                  <wp:effectExtent l="0" t="0" r="15240" b="10795"/>
                  <wp:docPr id="10" name="图片_40"/>
                  <wp:cNvGraphicFramePr/>
                  <a:graphic xmlns:a="http://schemas.openxmlformats.org/drawingml/2006/main">
                    <a:graphicData uri="http://schemas.openxmlformats.org/drawingml/2006/picture">
                      <pic:pic xmlns:pic="http://schemas.openxmlformats.org/drawingml/2006/picture">
                        <pic:nvPicPr>
                          <pic:cNvPr id="10" name="图片_40"/>
                          <pic:cNvPicPr/>
                        </pic:nvPicPr>
                        <pic:blipFill>
                          <a:blip r:embed="rId19"/>
                          <a:stretch>
                            <a:fillRect/>
                          </a:stretch>
                        </pic:blipFill>
                        <pic:spPr>
                          <a:xfrm>
                            <a:off x="0" y="0"/>
                            <a:ext cx="2023110" cy="11703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4992*450*950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符合QB/T4463-2013《家具用封边条技术要求》检测内容：塑料封边条表面应无皱纹、裂纹、暗条痕、染色线、刀线、油渍、污点、针孔、划痕、压花统一、背胶处理均匀、厚度及偏差、宽度及偏差、耐干热、耐磨、耐冷热、甲醛释放量≤0.75mg/l，可溶性重金属未检出、领苯二甲酸脂未检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配件：广东优质五金配件。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吧椅</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与桌子匹配高度</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0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组合柜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755140" cy="1470660"/>
                  <wp:effectExtent l="0" t="0" r="16510" b="15240"/>
                  <wp:docPr id="11" name="图片_132"/>
                  <wp:cNvGraphicFramePr/>
                  <a:graphic xmlns:a="http://schemas.openxmlformats.org/drawingml/2006/main">
                    <a:graphicData uri="http://schemas.openxmlformats.org/drawingml/2006/picture">
                      <pic:pic xmlns:pic="http://schemas.openxmlformats.org/drawingml/2006/picture">
                        <pic:nvPicPr>
                          <pic:cNvPr id="11" name="图片_132"/>
                          <pic:cNvPicPr/>
                        </pic:nvPicPr>
                        <pic:blipFill>
                          <a:blip r:embed="rId20"/>
                          <a:stretch>
                            <a:fillRect/>
                          </a:stretch>
                        </pic:blipFill>
                        <pic:spPr>
                          <a:xfrm>
                            <a:off x="0" y="0"/>
                            <a:ext cx="1755140" cy="147066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1460*2100*2400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具体尺寸现场测量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矮柜台面人造石台面，深600，吊柜深300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台面采用人造石台面，E0级实木多层板基材三聚氰氨饰面，经过防潮、防虫、防腐化学处理，抗硬度性能良好，具耐磨、耐腐蚀、耐划痕、耐烫等特点；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胶水：优质环保胶粘剂，环保健康；</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五金配件：采用三节导轨、缓冲铰链、锁具等优质五金配件；</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缓冲铰链：★符合QB/T2189-2013《家具五金杯状暗铰链》，载-垂直静载荷：载荷悬挂在距杯状暗铰链最远的侧边100mm处。往复启闭门10次，每次从距离全关位置45°处至距离全开位置10处，往复1个循环计1次最大开启角度为距离全关位置135°处。门的开启和关闭可手动进行，开启与关闭时间各为3s~5s。试骏结束卸载后进行检查。加载力：30kg。    </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3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阅览桌</w:t>
            </w:r>
          </w:p>
        </w:tc>
        <w:tc>
          <w:tcPr>
            <w:tcW w:w="3270" w:type="dxa"/>
            <w:vMerge w:val="restart"/>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156460" cy="1283970"/>
                  <wp:effectExtent l="0" t="0" r="15240" b="11430"/>
                  <wp:docPr id="17" name="图片_16"/>
                  <wp:cNvGraphicFramePr/>
                  <a:graphic xmlns:a="http://schemas.openxmlformats.org/drawingml/2006/main">
                    <a:graphicData uri="http://schemas.openxmlformats.org/drawingml/2006/picture">
                      <pic:pic xmlns:pic="http://schemas.openxmlformats.org/drawingml/2006/picture">
                        <pic:nvPicPr>
                          <pic:cNvPr id="17" name="图片_16"/>
                          <pic:cNvPicPr/>
                        </pic:nvPicPr>
                        <pic:blipFill>
                          <a:blip r:embed="rId21"/>
                          <a:stretch>
                            <a:fillRect/>
                          </a:stretch>
                        </pic:blipFill>
                        <pic:spPr>
                          <a:xfrm>
                            <a:off x="0" y="0"/>
                            <a:ext cx="2156460" cy="128397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2400*1000*760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面材采用多层实木板，脚架采用白蜡木实木，经干燥、防虫、防腐处理，不翘曲、不变形；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休闲椅</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座垫：采用优质西皮；框架：采用优质白蜡木实木；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油漆：选用台湾“大宝”油漆，光泽丰满，附着力强，耐腐蚀性，耐水耐磨，引用意大利先进油漆工艺“五底三面”，光泽均匀，硬度高达3H，抗刮性强，不褪色；整体榫卯结构，经久耐用。</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小会议室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1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会议桌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85290" cy="1550670"/>
                  <wp:effectExtent l="0" t="0" r="10160" b="11430"/>
                  <wp:docPr id="13" name="图片_134"/>
                  <wp:cNvGraphicFramePr/>
                  <a:graphic xmlns:a="http://schemas.openxmlformats.org/drawingml/2006/main">
                    <a:graphicData uri="http://schemas.openxmlformats.org/drawingml/2006/picture">
                      <pic:pic xmlns:pic="http://schemas.openxmlformats.org/drawingml/2006/picture">
                        <pic:nvPicPr>
                          <pic:cNvPr id="13" name="图片_134"/>
                          <pic:cNvPicPr/>
                        </pic:nvPicPr>
                        <pic:blipFill>
                          <a:blip r:embed="rId22"/>
                          <a:stretch>
                            <a:fillRect/>
                          </a:stretch>
                        </pic:blipFill>
                        <pic:spPr>
                          <a:xfrm>
                            <a:off x="0" y="0"/>
                            <a:ext cx="1685290" cy="155067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2400*1200*760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胶水：优质环保胶粘剂，环保健康；★符合GB 18583-2008《室内装饰装修材料胶粘剂中有害物质限量》游离甲醛，甲苯、二甲苯均未检出。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五金配件：采用三节导轨、铰链、锁具等优质五金配件。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4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矮柜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24000" cy="1331595"/>
                  <wp:effectExtent l="0" t="0" r="0" b="1905"/>
                  <wp:docPr id="21" name="图片_133"/>
                  <wp:cNvGraphicFramePr/>
                  <a:graphic xmlns:a="http://schemas.openxmlformats.org/drawingml/2006/main">
                    <a:graphicData uri="http://schemas.openxmlformats.org/drawingml/2006/picture">
                      <pic:pic xmlns:pic="http://schemas.openxmlformats.org/drawingml/2006/picture">
                        <pic:nvPicPr>
                          <pic:cNvPr id="21" name="图片_133"/>
                          <pic:cNvPicPr/>
                        </pic:nvPicPr>
                        <pic:blipFill>
                          <a:blip r:embed="rId23"/>
                          <a:stretch>
                            <a:fillRect/>
                          </a:stretch>
                        </pic:blipFill>
                        <pic:spPr>
                          <a:xfrm>
                            <a:off x="0" y="0"/>
                            <a:ext cx="1524000" cy="13315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800*400*850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台面采用人造石台面，E0级实木多层板基材三聚氰氨饰面，经过防潮、防虫、防腐化学处理，抗硬度性能良好，具耐磨、耐腐蚀、耐划痕、耐烫等特点；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胶水：优质环保胶粘剂，环保健康；</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五金配件：采用三节导轨、铰链、锁具等优质五金配件。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普通教室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7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桌子        </w:t>
            </w:r>
            <w:r>
              <w:rPr>
                <w:rFonts w:hint="eastAsia" w:ascii="宋体" w:hAnsi="宋体" w:eastAsia="宋体" w:cs="宋体"/>
                <w:b w:val="0"/>
                <w:bCs w:val="0"/>
                <w:i w:val="0"/>
                <w:iCs w:val="0"/>
                <w:color w:val="auto"/>
                <w:kern w:val="0"/>
                <w:sz w:val="18"/>
                <w:szCs w:val="18"/>
                <w:highlight w:val="none"/>
                <w:u w:val="none"/>
                <w:lang w:val="en-US" w:eastAsia="zh-CN" w:bidi="ar"/>
              </w:rPr>
              <w:t>（</w:t>
            </w:r>
            <w:r>
              <w:rPr>
                <w:rFonts w:hint="eastAsia" w:ascii="宋体" w:hAnsi="宋体" w:eastAsia="宋体" w:cs="宋体"/>
                <w:b/>
                <w:bCs/>
                <w:i w:val="0"/>
                <w:iCs w:val="0"/>
                <w:color w:val="auto"/>
                <w:kern w:val="0"/>
                <w:sz w:val="18"/>
                <w:szCs w:val="18"/>
                <w:highlight w:val="none"/>
                <w:u w:val="none"/>
                <w:lang w:val="en-US" w:eastAsia="zh-CN" w:bidi="ar"/>
              </w:rPr>
              <w:t>核心产品，提供样品</w:t>
            </w:r>
            <w:r>
              <w:rPr>
                <w:rFonts w:hint="eastAsia" w:ascii="宋体" w:hAnsi="宋体" w:eastAsia="宋体" w:cs="宋体"/>
                <w:b w:val="0"/>
                <w:bCs w:val="0"/>
                <w:i w:val="0"/>
                <w:iCs w:val="0"/>
                <w:color w:val="auto"/>
                <w:kern w:val="0"/>
                <w:sz w:val="18"/>
                <w:szCs w:val="18"/>
                <w:highlight w:val="none"/>
                <w:u w:val="none"/>
                <w:lang w:val="en-US" w:eastAsia="zh-CN" w:bidi="ar"/>
              </w:rPr>
              <w:t>）</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20190" cy="1550035"/>
                  <wp:effectExtent l="0" t="0" r="3810" b="12065"/>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24"/>
                          <a:stretch>
                            <a:fillRect/>
                          </a:stretch>
                        </pic:blipFill>
                        <pic:spPr>
                          <a:xfrm>
                            <a:off x="0" y="0"/>
                            <a:ext cx="1520190" cy="155003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1200*500*750</w:t>
            </w:r>
          </w:p>
        </w:tc>
        <w:tc>
          <w:tcPr>
            <w:tcW w:w="6742" w:type="dxa"/>
            <w:shd w:val="clear" w:color="auto" w:fill="FFFFFF" w:themeFill="background1"/>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1.基材：采用多层实木板基材，桌面厚25mm，面材：三聚氰胺板饰面。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2.材质：脚管使用宝钢或铵钢 Q235 白管，上等冷轧钢，厚度1.8MM 及以上，上托使用25*50方管厚度1.8MM，静电喷涂。连接接头为铝合金压铸件，表面处理工艺均为静电喷粉，粉末采用阿克苏品牌。脚垫使用直径65电镀摆动脚钉M10牙，耐磨耐用。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3.造型：人字型脚设计，给人独立自主之感，长脚尺寸为 30*60椭圆管，短脚尺寸为 25*50 椭圆管。长、短脚连接处有灰色塑料胶套，视觉上将整体一分为二，并形成一个人字，突显正直，追求型人格。</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4.结构：使用扳手卡扣翻转机构，翻转台面时左右两边都可独立操作，联动翻转。扳手轻巧使力，台面即翻转为垂直状况，垂直状况下不可放平，可多数量推叠，放平需要轻拉扳手方可方平台面。底下配脚垫。</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5.挡板：白色三聚氰胺多层板。</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6.书网：4 根直径 12mm 空心铝圆管，用 2 个注塑件连接固定。搭配静音脚轮。抗冲击性、静载荷均符合要求。</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椅子</w:t>
            </w:r>
          </w:p>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b/>
                <w:bCs/>
                <w:i w:val="0"/>
                <w:iCs w:val="0"/>
                <w:color w:val="auto"/>
                <w:kern w:val="0"/>
                <w:sz w:val="18"/>
                <w:szCs w:val="18"/>
                <w:highlight w:val="none"/>
                <w:u w:val="none"/>
                <w:lang w:val="en-US" w:eastAsia="zh-CN" w:bidi="ar"/>
              </w:rPr>
              <w:t>提供样品</w:t>
            </w:r>
            <w:r>
              <w:rPr>
                <w:rFonts w:hint="eastAsia" w:ascii="宋体" w:hAnsi="宋体" w:eastAsia="宋体" w:cs="宋体"/>
                <w:i w:val="0"/>
                <w:iCs w:val="0"/>
                <w:color w:val="auto"/>
                <w:kern w:val="0"/>
                <w:sz w:val="18"/>
                <w:szCs w:val="18"/>
                <w:highlight w:val="none"/>
                <w:u w:val="none"/>
                <w:lang w:val="en-US" w:eastAsia="zh-CN" w:bidi="ar"/>
              </w:rPr>
              <w:t>）</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317625" cy="1330960"/>
                  <wp:effectExtent l="0" t="0" r="15875" b="2540"/>
                  <wp:docPr id="15" name="图片_27"/>
                  <wp:cNvGraphicFramePr/>
                  <a:graphic xmlns:a="http://schemas.openxmlformats.org/drawingml/2006/main">
                    <a:graphicData uri="http://schemas.openxmlformats.org/drawingml/2006/picture">
                      <pic:pic xmlns:pic="http://schemas.openxmlformats.org/drawingml/2006/picture">
                        <pic:nvPicPr>
                          <pic:cNvPr id="15" name="图片_27"/>
                          <pic:cNvPicPr/>
                        </pic:nvPicPr>
                        <pic:blipFill>
                          <a:blip r:embed="rId25"/>
                          <a:stretch>
                            <a:fillRect/>
                          </a:stretch>
                        </pic:blipFill>
                        <pic:spPr>
                          <a:xfrm>
                            <a:off x="0" y="0"/>
                            <a:ext cx="1317625" cy="133096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435mm*450mm*455mm</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1.座面：采用全新聚丙烯加玻璃纤维，总长470mm，座板宽455mm，厚度8mm，背部为六菱形设计，边宽分别由42mm、33mm、25mm，厚度分别为20mm、16mm，高310mm。扶手位置宽度为150mm，方便使用者手提搬运。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背壳：采用全新聚丙烯加玻璃纤维，总宽420mm，上部宽度310mm，下部宽度210mm，厚度6mm，背部内侧褶纹式设计，343个三角形印花组合而成的雪花状纹路，增强透气性和舒适性，有一定的按摩功能，背部外侧的上方是139个三角形印花组合而成的雪花状纹路，下方是由5条间隔15mm的钻石形状的图案组合而成的纹路，安装方式是卡扣加隐藏式螺丝。</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3.挂钩：可拆卸活动式挂钩，可上下翻转90°。长度45mm，宽度42mm，厚度3mm，可以承重5KG。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4.椅脚：优质钢架19mm*1.5mm厚；(喷涂架），表面经酸洗、磷化等防锈处理，流水线静电喷涂，具有耐磨，防腐，抗老化等性能。特制固定脚垫，全新PE制作。脚垫长：26mm 厚：10mm 宽：18mm.抗磨损性强。可以堆叠。</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心理咨询室（团辅）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19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扇形桌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41475" cy="1542415"/>
                  <wp:effectExtent l="0" t="0" r="15875" b="635"/>
                  <wp:docPr id="16" name="图片_30"/>
                  <wp:cNvGraphicFramePr/>
                  <a:graphic xmlns:a="http://schemas.openxmlformats.org/drawingml/2006/main">
                    <a:graphicData uri="http://schemas.openxmlformats.org/drawingml/2006/picture">
                      <pic:pic xmlns:pic="http://schemas.openxmlformats.org/drawingml/2006/picture">
                        <pic:nvPicPr>
                          <pic:cNvPr id="16" name="图片_30"/>
                          <pic:cNvPicPr/>
                        </pic:nvPicPr>
                        <pic:blipFill>
                          <a:blip r:embed="rId26"/>
                          <a:stretch>
                            <a:fillRect/>
                          </a:stretch>
                        </pic:blipFill>
                        <pic:spPr>
                          <a:xfrm>
                            <a:off x="0" y="0"/>
                            <a:ext cx="1641475" cy="15424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直径1600*550*750（分6张组合）</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脚架：上海宝钢优质钢脚，经喷塑工艺处理。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脚轮：2.5英寸PU杜邦（A8）万向轮；带锁定功能。</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8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凳子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214755" cy="1329690"/>
                  <wp:effectExtent l="0" t="0" r="4445" b="3810"/>
                  <wp:docPr id="18" name="图片_32"/>
                  <wp:cNvGraphicFramePr/>
                  <a:graphic xmlns:a="http://schemas.openxmlformats.org/drawingml/2006/main">
                    <a:graphicData uri="http://schemas.openxmlformats.org/drawingml/2006/picture">
                      <pic:pic xmlns:pic="http://schemas.openxmlformats.org/drawingml/2006/picture">
                        <pic:nvPicPr>
                          <pic:cNvPr id="18" name="图片_32"/>
                          <pic:cNvPicPr/>
                        </pic:nvPicPr>
                        <pic:blipFill>
                          <a:blip r:embed="rId27"/>
                          <a:stretch>
                            <a:fillRect/>
                          </a:stretch>
                        </pic:blipFill>
                        <pic:spPr>
                          <a:xfrm>
                            <a:off x="0" y="0"/>
                            <a:ext cx="1214755" cy="132969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200*300*450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1.主材：采用马来西亚进口"威讯亚"橡胶木；★符合GB 18584-2001《室内装饰装修材料 木家具中有害物质限量》、GB/T 3324-2017《木家具通用技术条件》、GB/T 29894-2013《木材鉴别方法通则》、GB/T 18513-2022《中国主要进口木材名称》标识与实物一致性：产品标识、质量明示卡、使用说明以及销售合同中明示与产品中使用的木材、人造板及其使用部位保持一致。木材含水率≤11%，甲醛释放量未检出。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4.油漆：台湾“大宝”油漆，光泽丰满，附着力强，耐腐蚀性，耐水耐磨，引用意大利先进油漆工艺“五底三面”，光泽均匀，硬度高达3H，抗刮性强，不褪色。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心理咨询室（个辅）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屏风</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705610" cy="1440815"/>
                  <wp:effectExtent l="0" t="0" r="8890" b="6985"/>
                  <wp:docPr id="20" name="图片_76"/>
                  <wp:cNvGraphicFramePr/>
                  <a:graphic xmlns:a="http://schemas.openxmlformats.org/drawingml/2006/main">
                    <a:graphicData uri="http://schemas.openxmlformats.org/drawingml/2006/picture">
                      <pic:pic xmlns:pic="http://schemas.openxmlformats.org/drawingml/2006/picture">
                        <pic:nvPicPr>
                          <pic:cNvPr id="20" name="图片_76"/>
                          <pic:cNvPicPr/>
                        </pic:nvPicPr>
                        <pic:blipFill>
                          <a:blip r:embed="rId28"/>
                          <a:stretch>
                            <a:fillRect/>
                          </a:stretch>
                        </pic:blipFill>
                        <pic:spPr>
                          <a:xfrm>
                            <a:off x="0" y="0"/>
                            <a:ext cx="1705610" cy="14408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2000*430*1800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钢架结构，填充高密度高回弹海绵，优质阻燃面料。</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0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心理咨询桌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21840" cy="1510665"/>
                  <wp:effectExtent l="0" t="0" r="16510" b="13335"/>
                  <wp:docPr id="23" name="图片_78"/>
                  <wp:cNvGraphicFramePr/>
                  <a:graphic xmlns:a="http://schemas.openxmlformats.org/drawingml/2006/main">
                    <a:graphicData uri="http://schemas.openxmlformats.org/drawingml/2006/picture">
                      <pic:pic xmlns:pic="http://schemas.openxmlformats.org/drawingml/2006/picture">
                        <pic:nvPicPr>
                          <pic:cNvPr id="23" name="图片_78"/>
                          <pic:cNvPicPr/>
                        </pic:nvPicPr>
                        <pic:blipFill>
                          <a:blip r:embed="rId29"/>
                          <a:stretch>
                            <a:fillRect/>
                          </a:stretch>
                        </pic:blipFill>
                        <pic:spPr>
                          <a:xfrm>
                            <a:off x="0" y="0"/>
                            <a:ext cx="2021840" cy="151066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1600*800*750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脚架：上海宝钢优质钢脚，经喷塑工艺处理；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五金配件：采用三节导轨、铰链、锁具等优质五金配件。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51"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凳子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016000" cy="785495"/>
                  <wp:effectExtent l="0" t="0" r="12700" b="14605"/>
                  <wp:docPr id="32" name="图片_103"/>
                  <wp:cNvGraphicFramePr/>
                  <a:graphic xmlns:a="http://schemas.openxmlformats.org/drawingml/2006/main">
                    <a:graphicData uri="http://schemas.openxmlformats.org/drawingml/2006/picture">
                      <pic:pic xmlns:pic="http://schemas.openxmlformats.org/drawingml/2006/picture">
                        <pic:nvPicPr>
                          <pic:cNvPr id="32" name="图片_103"/>
                          <pic:cNvPicPr/>
                        </pic:nvPicPr>
                        <pic:blipFill>
                          <a:blip r:embed="rId30"/>
                          <a:stretch>
                            <a:fillRect/>
                          </a:stretch>
                        </pic:blipFill>
                        <pic:spPr>
                          <a:xfrm>
                            <a:off x="0" y="0"/>
                            <a:ext cx="1016000" cy="7854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200*300*450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1.主材：采用马来西亚进口"威讯亚"橡胶木；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4.油漆：台湾“大宝”油漆，光泽丰满，附着力强，耐腐蚀性，耐水耐磨，引用意大利先进油漆工艺“五底三面”，光泽均匀，硬度高达3H，抗刮性强，不褪色。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7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文件柜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709420" cy="1600200"/>
                  <wp:effectExtent l="0" t="0" r="5080" b="0"/>
                  <wp:docPr id="30" name="图片_79"/>
                  <wp:cNvGraphicFramePr/>
                  <a:graphic xmlns:a="http://schemas.openxmlformats.org/drawingml/2006/main">
                    <a:graphicData uri="http://schemas.openxmlformats.org/drawingml/2006/picture">
                      <pic:pic xmlns:pic="http://schemas.openxmlformats.org/drawingml/2006/picture">
                        <pic:nvPicPr>
                          <pic:cNvPr id="30" name="图片_79"/>
                          <pic:cNvPicPr/>
                        </pic:nvPicPr>
                        <pic:blipFill>
                          <a:blip r:embed="rId31"/>
                          <a:stretch>
                            <a:fillRect/>
                          </a:stretch>
                        </pic:blipFill>
                        <pic:spPr>
                          <a:xfrm>
                            <a:off x="0" y="0"/>
                            <a:ext cx="1709420" cy="160020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2400*400*1900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五金配件：采用铰链、锁具等优质五金配件。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9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定制组合高柜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04060" cy="1166495"/>
                  <wp:effectExtent l="0" t="0" r="15240" b="14605"/>
                  <wp:docPr id="33" name="图片_104"/>
                  <wp:cNvGraphicFramePr/>
                  <a:graphic xmlns:a="http://schemas.openxmlformats.org/drawingml/2006/main">
                    <a:graphicData uri="http://schemas.openxmlformats.org/drawingml/2006/picture">
                      <pic:pic xmlns:pic="http://schemas.openxmlformats.org/drawingml/2006/picture">
                        <pic:nvPicPr>
                          <pic:cNvPr id="33" name="图片_104"/>
                          <pic:cNvPicPr/>
                        </pic:nvPicPr>
                        <pic:blipFill>
                          <a:blip r:embed="rId32"/>
                          <a:stretch>
                            <a:fillRect/>
                          </a:stretch>
                        </pic:blipFill>
                        <pic:spPr>
                          <a:xfrm>
                            <a:off x="0" y="0"/>
                            <a:ext cx="2004060" cy="11664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5340*500*2000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油漆：台湾“大宝”油漆，光泽丰满，附着力强，耐腐蚀性，耐水耐磨，引用意大利先进油漆工艺“五底三面”，光泽均匀，硬度高达3H，抗刮性强，不褪色。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陈列柜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77340" cy="1532255"/>
                  <wp:effectExtent l="0" t="0" r="3810" b="10795"/>
                  <wp:docPr id="37" name="图片_91"/>
                  <wp:cNvGraphicFramePr/>
                  <a:graphic xmlns:a="http://schemas.openxmlformats.org/drawingml/2006/main">
                    <a:graphicData uri="http://schemas.openxmlformats.org/drawingml/2006/picture">
                      <pic:pic xmlns:pic="http://schemas.openxmlformats.org/drawingml/2006/picture">
                        <pic:nvPicPr>
                          <pic:cNvPr id="37" name="图片_91"/>
                          <pic:cNvPicPr/>
                        </pic:nvPicPr>
                        <pic:blipFill>
                          <a:blip r:embed="rId33"/>
                          <a:stretch>
                            <a:fillRect/>
                          </a:stretch>
                        </pic:blipFill>
                        <pic:spPr>
                          <a:xfrm>
                            <a:off x="0" y="0"/>
                            <a:ext cx="1577340" cy="153225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1800*350*1600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0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沙盘</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54175" cy="1183005"/>
                  <wp:effectExtent l="0" t="0" r="3175" b="17145"/>
                  <wp:docPr id="46" name="图片_90"/>
                  <wp:cNvGraphicFramePr/>
                  <a:graphic xmlns:a="http://schemas.openxmlformats.org/drawingml/2006/main">
                    <a:graphicData uri="http://schemas.openxmlformats.org/drawingml/2006/picture">
                      <pic:pic xmlns:pic="http://schemas.openxmlformats.org/drawingml/2006/picture">
                        <pic:nvPicPr>
                          <pic:cNvPr id="46" name="图片_90"/>
                          <pic:cNvPicPr/>
                        </pic:nvPicPr>
                        <pic:blipFill>
                          <a:blip r:embed="rId34"/>
                          <a:stretch>
                            <a:fillRect/>
                          </a:stretch>
                        </pic:blipFill>
                        <pic:spPr>
                          <a:xfrm>
                            <a:off x="0" y="0"/>
                            <a:ext cx="1654175" cy="11830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920*570*710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五金配件：优质五金配件。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9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沙发</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351915" cy="1437005"/>
                  <wp:effectExtent l="0" t="0" r="635" b="10795"/>
                  <wp:docPr id="36" name="图片_82"/>
                  <wp:cNvGraphicFramePr/>
                  <a:graphic xmlns:a="http://schemas.openxmlformats.org/drawingml/2006/main">
                    <a:graphicData uri="http://schemas.openxmlformats.org/drawingml/2006/picture">
                      <pic:pic xmlns:pic="http://schemas.openxmlformats.org/drawingml/2006/picture">
                        <pic:nvPicPr>
                          <pic:cNvPr id="36" name="图片_82"/>
                          <pic:cNvPicPr/>
                        </pic:nvPicPr>
                        <pic:blipFill>
                          <a:blip r:embed="rId35"/>
                          <a:stretch>
                            <a:fillRect/>
                          </a:stretch>
                        </pic:blipFill>
                        <pic:spPr>
                          <a:xfrm>
                            <a:off x="0" y="0"/>
                            <a:ext cx="1351915" cy="14370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2600*1250*430/750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内框架采用实木框架配多层板钉架，坐垫装钉橡筋条/蛇形簧，手工切割高密度海绵填充，压缩永久变性率小于1.3%(国际标准小于10%)，表面带有保护面，防氧化软硬适中，回弹好不变形。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沙发</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42645" cy="1115695"/>
                  <wp:effectExtent l="0" t="0" r="14605" b="8255"/>
                  <wp:docPr id="38" name="图片_85"/>
                  <wp:cNvGraphicFramePr/>
                  <a:graphic xmlns:a="http://schemas.openxmlformats.org/drawingml/2006/main">
                    <a:graphicData uri="http://schemas.openxmlformats.org/drawingml/2006/picture">
                      <pic:pic xmlns:pic="http://schemas.openxmlformats.org/drawingml/2006/picture">
                        <pic:nvPicPr>
                          <pic:cNvPr id="38" name="图片_85"/>
                          <pic:cNvPicPr/>
                        </pic:nvPicPr>
                        <pic:blipFill>
                          <a:blip r:embed="rId36"/>
                          <a:stretch>
                            <a:fillRect/>
                          </a:stretch>
                        </pic:blipFill>
                        <pic:spPr>
                          <a:xfrm>
                            <a:off x="0" y="0"/>
                            <a:ext cx="842645" cy="11156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单人位</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内框架采用实木框架配多层板钉架，坐垫装钉橡筋条/蛇形簧，手工切割高密度海绵填充，压缩永久变性率小于1.3%(国际标准小于10%)，表面带有保护面，防氧化软硬适中，回弹好不变形。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7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沙发</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190750" cy="1045210"/>
                  <wp:effectExtent l="0" t="0" r="0" b="2540"/>
                  <wp:docPr id="56" name="图片_86"/>
                  <wp:cNvGraphicFramePr/>
                  <a:graphic xmlns:a="http://schemas.openxmlformats.org/drawingml/2006/main">
                    <a:graphicData uri="http://schemas.openxmlformats.org/drawingml/2006/picture">
                      <pic:pic xmlns:pic="http://schemas.openxmlformats.org/drawingml/2006/picture">
                        <pic:nvPicPr>
                          <pic:cNvPr id="56" name="图片_86"/>
                          <pic:cNvPicPr/>
                        </pic:nvPicPr>
                        <pic:blipFill>
                          <a:blip r:embed="rId37"/>
                          <a:stretch>
                            <a:fillRect/>
                          </a:stretch>
                        </pic:blipFill>
                        <pic:spPr>
                          <a:xfrm>
                            <a:off x="0" y="0"/>
                            <a:ext cx="2190750" cy="104521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单人位</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内框架采用实木框架配多层板钉架，坐垫装钉橡筋条/蛇形簧，手工切割高密度海绵填充，压缩永久变性率小于1.3%(国际标准小于10%)，表面带有保护面，防氧化软硬适中，回弹好不变形。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2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茶几</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755140" cy="1097915"/>
                  <wp:effectExtent l="0" t="0" r="16510" b="6985"/>
                  <wp:docPr id="57" name="图片_14"/>
                  <wp:cNvGraphicFramePr/>
                  <a:graphic xmlns:a="http://schemas.openxmlformats.org/drawingml/2006/main">
                    <a:graphicData uri="http://schemas.openxmlformats.org/drawingml/2006/picture">
                      <pic:pic xmlns:pic="http://schemas.openxmlformats.org/drawingml/2006/picture">
                        <pic:nvPicPr>
                          <pic:cNvPr id="57" name="图片_14"/>
                          <pic:cNvPicPr/>
                        </pic:nvPicPr>
                        <pic:blipFill>
                          <a:blip r:embed="rId38"/>
                          <a:stretch>
                            <a:fillRect/>
                          </a:stretch>
                        </pic:blipFill>
                        <pic:spPr>
                          <a:xfrm>
                            <a:off x="0" y="0"/>
                            <a:ext cx="1755140" cy="10979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大：800*380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小：600*510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台面采用岩板材料，基材采用“福人”牌E0级中密度纤维板内衬，密度达到0.8g/cm3；皮革底坐饰面。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22"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茶几</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942340" cy="1227455"/>
                  <wp:effectExtent l="0" t="0" r="10160" b="10795"/>
                  <wp:docPr id="55" name="图片_15"/>
                  <wp:cNvGraphicFramePr/>
                  <a:graphic xmlns:a="http://schemas.openxmlformats.org/drawingml/2006/main">
                    <a:graphicData uri="http://schemas.openxmlformats.org/drawingml/2006/picture">
                      <pic:pic xmlns:pic="http://schemas.openxmlformats.org/drawingml/2006/picture">
                        <pic:nvPicPr>
                          <pic:cNvPr id="55" name="图片_15"/>
                          <pic:cNvPicPr/>
                        </pic:nvPicPr>
                        <pic:blipFill>
                          <a:blip r:embed="rId39"/>
                          <a:stretch>
                            <a:fillRect/>
                          </a:stretch>
                        </pic:blipFill>
                        <pic:spPr>
                          <a:xfrm>
                            <a:off x="0" y="0"/>
                            <a:ext cx="942340" cy="122745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400*530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台面钢板材质，基材采用“福人”牌E0级中密度纤维板内衬，密度达到0.8g/cm3；皮革底坐饰面。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3F 学生阅览室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5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前台</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79295" cy="847090"/>
                  <wp:effectExtent l="0" t="0" r="1905" b="10160"/>
                  <wp:docPr id="34" name="图片_48"/>
                  <wp:cNvGraphicFramePr/>
                  <a:graphic xmlns:a="http://schemas.openxmlformats.org/drawingml/2006/main">
                    <a:graphicData uri="http://schemas.openxmlformats.org/drawingml/2006/picture">
                      <pic:pic xmlns:pic="http://schemas.openxmlformats.org/drawingml/2006/picture">
                        <pic:nvPicPr>
                          <pic:cNvPr id="34" name="图片_48"/>
                          <pic:cNvPicPr/>
                        </pic:nvPicPr>
                        <pic:blipFill>
                          <a:blip r:embed="rId40"/>
                          <a:stretch>
                            <a:fillRect/>
                          </a:stretch>
                        </pic:blipFill>
                        <pic:spPr>
                          <a:xfrm>
                            <a:off x="0" y="0"/>
                            <a:ext cx="1979295" cy="84709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3000*1500/700*1050/750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板材：采用优质木皮饰面，★符合GB/T 13010-2020《木材工业用单板》、GB 18584-2001《室内装饰装修材料木家具中有害物质限量》，含水率≤8.9%，甲醛释放量未检出。E0级实木多层板基材，经过防潮、防虫、防腐化学处理，抗硬度性能良好，具耐磨、耐腐蚀、耐划痕、耐烫等特点；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油漆：选用台湾“大宝”油漆，附着力强，引用意大利先进油漆工艺“五底三面”。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0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阅览桌</w:t>
            </w:r>
          </w:p>
        </w:tc>
        <w:tc>
          <w:tcPr>
            <w:tcW w:w="3270" w:type="dxa"/>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32000" cy="1285875"/>
                  <wp:effectExtent l="0" t="0" r="6350" b="9525"/>
                  <wp:docPr id="52" name="图片_7"/>
                  <wp:cNvGraphicFramePr/>
                  <a:graphic xmlns:a="http://schemas.openxmlformats.org/drawingml/2006/main">
                    <a:graphicData uri="http://schemas.openxmlformats.org/drawingml/2006/picture">
                      <pic:pic xmlns:pic="http://schemas.openxmlformats.org/drawingml/2006/picture">
                        <pic:nvPicPr>
                          <pic:cNvPr id="52" name="图片_7"/>
                          <pic:cNvPicPr/>
                        </pic:nvPicPr>
                        <pic:blipFill>
                          <a:blip r:embed="rId41"/>
                          <a:stretch>
                            <a:fillRect/>
                          </a:stretch>
                        </pic:blipFill>
                        <pic:spPr>
                          <a:xfrm>
                            <a:off x="0" y="0"/>
                            <a:ext cx="2032000" cy="128587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1600*800*750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板材：采用美国进口0.6mm“大西洋”胡桃木皮饰面，E0级实木多层板基材，经过防潮、防虫、防腐化学处理，抗硬度性能良好，具耐磨、耐腐蚀、耐划痕、耐烫等特点；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油漆：选用台湾“大宝”油漆，附着力强，引用意大利先进油漆工艺“五底三面”。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1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阅览椅</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038225" cy="1435735"/>
                  <wp:effectExtent l="0" t="0" r="9525" b="12065"/>
                  <wp:docPr id="51" name="图片_20"/>
                  <wp:cNvGraphicFramePr/>
                  <a:graphic xmlns:a="http://schemas.openxmlformats.org/drawingml/2006/main">
                    <a:graphicData uri="http://schemas.openxmlformats.org/drawingml/2006/picture">
                      <pic:pic xmlns:pic="http://schemas.openxmlformats.org/drawingml/2006/picture">
                        <pic:nvPicPr>
                          <pic:cNvPr id="51" name="图片_20"/>
                          <pic:cNvPicPr/>
                        </pic:nvPicPr>
                        <pic:blipFill>
                          <a:blip r:embed="rId42"/>
                          <a:stretch>
                            <a:fillRect/>
                          </a:stretch>
                        </pic:blipFill>
                        <pic:spPr>
                          <a:xfrm>
                            <a:off x="0" y="0"/>
                            <a:ext cx="1038225" cy="143573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面料：采用优质西皮饰面，柔软贴手，性能符合国际标准；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海绵：45#高强度海绵，压缩永久变性率小于1.3%(国际标准小于10%)，表面带有保护面，防氧化软硬适中，回弹好不变形；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脚架：优质白蜡木实木；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油漆：品牌优质环保油漆，耐水耐磨，引用意大利先进油漆工艺“五底三面”，硬度高达3H，抗刮性强，不褪色。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休闲桌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452880" cy="1097915"/>
                  <wp:effectExtent l="0" t="0" r="13970" b="6985"/>
                  <wp:docPr id="49" name="图片_66"/>
                  <wp:cNvGraphicFramePr/>
                  <a:graphic xmlns:a="http://schemas.openxmlformats.org/drawingml/2006/main">
                    <a:graphicData uri="http://schemas.openxmlformats.org/drawingml/2006/picture">
                      <pic:pic xmlns:pic="http://schemas.openxmlformats.org/drawingml/2006/picture">
                        <pic:nvPicPr>
                          <pic:cNvPr id="49" name="图片_66"/>
                          <pic:cNvPicPr/>
                        </pic:nvPicPr>
                        <pic:blipFill>
                          <a:blip r:embed="rId43"/>
                          <a:stretch>
                            <a:fillRect/>
                          </a:stretch>
                        </pic:blipFill>
                        <pic:spPr>
                          <a:xfrm>
                            <a:off x="0" y="0"/>
                            <a:ext cx="1452880" cy="10979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Ø900*430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材质：采用水曲柳实木弯板而成；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油漆：品牌优质环保油漆，耐水耐磨，引用意大利先进油漆工艺“五底三面”，硬度高达3H，抗刮性强，不褪色。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4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弧形沙组合书柜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58645" cy="1212215"/>
                  <wp:effectExtent l="0" t="0" r="8255" b="6985"/>
                  <wp:docPr id="45" name="图片_3"/>
                  <wp:cNvGraphicFramePr/>
                  <a:graphic xmlns:a="http://schemas.openxmlformats.org/drawingml/2006/main">
                    <a:graphicData uri="http://schemas.openxmlformats.org/drawingml/2006/picture">
                      <pic:pic xmlns:pic="http://schemas.openxmlformats.org/drawingml/2006/picture">
                        <pic:nvPicPr>
                          <pic:cNvPr id="45" name="图片_3"/>
                          <pic:cNvPicPr/>
                        </pic:nvPicPr>
                        <pic:blipFill>
                          <a:blip r:embed="rId44"/>
                          <a:stretch>
                            <a:fillRect/>
                          </a:stretch>
                        </pic:blipFill>
                        <pic:spPr>
                          <a:xfrm>
                            <a:off x="0" y="0"/>
                            <a:ext cx="1858645" cy="12122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弧长4650*1450*880/420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面料：采用优质西皮饰面，柔软贴手，性能符合国际标准；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海绵：45#高强度海绵，压缩永久变性率小于1.3%(国际标准小于10%)，表面带有保护面，防氧化软硬适中，回弹好不变形；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内框：采用松木实木框架配多层饰面免漆板。</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87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圆形沙组合书柜</w:t>
            </w:r>
          </w:p>
        </w:tc>
        <w:tc>
          <w:tcPr>
            <w:tcW w:w="3270" w:type="dxa"/>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32000" cy="954405"/>
                  <wp:effectExtent l="0" t="0" r="6350" b="17145"/>
                  <wp:docPr id="39" name="图片_23"/>
                  <wp:cNvGraphicFramePr/>
                  <a:graphic xmlns:a="http://schemas.openxmlformats.org/drawingml/2006/main">
                    <a:graphicData uri="http://schemas.openxmlformats.org/drawingml/2006/picture">
                      <pic:pic xmlns:pic="http://schemas.openxmlformats.org/drawingml/2006/picture">
                        <pic:nvPicPr>
                          <pic:cNvPr id="39" name="图片_23"/>
                          <pic:cNvPicPr/>
                        </pic:nvPicPr>
                        <pic:blipFill>
                          <a:blip r:embed="rId45"/>
                          <a:stretch>
                            <a:fillRect/>
                          </a:stretch>
                        </pic:blipFill>
                        <pic:spPr>
                          <a:xfrm>
                            <a:off x="0" y="0"/>
                            <a:ext cx="2032000" cy="9544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直径2800*800/400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3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39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木树凳子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281430" cy="1106805"/>
                  <wp:effectExtent l="0" t="0" r="13970" b="17145"/>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46"/>
                          <a:stretch>
                            <a:fillRect/>
                          </a:stretch>
                        </pic:blipFill>
                        <pic:spPr>
                          <a:xfrm>
                            <a:off x="0" y="0"/>
                            <a:ext cx="1281430" cy="11068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定制</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面料采用台湾“颐达”优质麻绒面料★符合GB 18401-2010《国家纺织产品基本安全技术规范》，无异味，甲醛含量未检出。透气性好；内框架采用实木框架配多层板钉架，手工切割高密度海绵填充，压缩永久变性率小于1.3%(国际标准小于10%)，表面带有保护面，防氧化软硬适中，回弹好不变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小马凳</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245235" cy="1206500"/>
                  <wp:effectExtent l="0" t="0" r="12065" b="12700"/>
                  <wp:docPr id="47" name="图片_2_SpCnt_1"/>
                  <wp:cNvGraphicFramePr/>
                  <a:graphic xmlns:a="http://schemas.openxmlformats.org/drawingml/2006/main">
                    <a:graphicData uri="http://schemas.openxmlformats.org/drawingml/2006/picture">
                      <pic:pic xmlns:pic="http://schemas.openxmlformats.org/drawingml/2006/picture">
                        <pic:nvPicPr>
                          <pic:cNvPr id="47" name="图片_2_SpCnt_1"/>
                          <pic:cNvPicPr/>
                        </pic:nvPicPr>
                        <pic:blipFill>
                          <a:blip r:embed="rId47"/>
                          <a:stretch>
                            <a:fillRect/>
                          </a:stretch>
                        </pic:blipFill>
                        <pic:spPr>
                          <a:xfrm>
                            <a:off x="0" y="0"/>
                            <a:ext cx="1245235" cy="120650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大号/中号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各1只</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钢架结构，填充高密度定型海绵，优质毛毡布</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六边形凳子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390650" cy="1250950"/>
                  <wp:effectExtent l="0" t="0" r="0" b="6350"/>
                  <wp:docPr id="27" name="图片_44"/>
                  <wp:cNvGraphicFramePr/>
                  <a:graphic xmlns:a="http://schemas.openxmlformats.org/drawingml/2006/main">
                    <a:graphicData uri="http://schemas.openxmlformats.org/drawingml/2006/picture">
                      <pic:pic xmlns:pic="http://schemas.openxmlformats.org/drawingml/2006/picture">
                        <pic:nvPicPr>
                          <pic:cNvPr id="27" name="图片_44"/>
                          <pic:cNvPicPr/>
                        </pic:nvPicPr>
                        <pic:blipFill>
                          <a:blip r:embed="rId48"/>
                          <a:stretch>
                            <a:fillRect/>
                          </a:stretch>
                        </pic:blipFill>
                        <pic:spPr>
                          <a:xfrm>
                            <a:off x="0" y="0"/>
                            <a:ext cx="1390650" cy="125095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400*400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面料采用台湾“颐达”优质麻绒面料，透气性好；内框架采用实木框架配多层板钉架，手工切割高密度海绵填充，压缩永久变性率小于1.3%(国际标准小于10%)，表面带有保护面，防氧化软硬适中，回弹好不变形。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6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吧台</w:t>
            </w:r>
          </w:p>
        </w:tc>
        <w:tc>
          <w:tcPr>
            <w:tcW w:w="3270" w:type="dxa"/>
            <w:vMerge w:val="restart"/>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39925" cy="1268095"/>
                  <wp:effectExtent l="0" t="0" r="3175" b="8255"/>
                  <wp:docPr id="58" name="图片_46"/>
                  <wp:cNvGraphicFramePr/>
                  <a:graphic xmlns:a="http://schemas.openxmlformats.org/drawingml/2006/main">
                    <a:graphicData uri="http://schemas.openxmlformats.org/drawingml/2006/picture">
                      <pic:pic xmlns:pic="http://schemas.openxmlformats.org/drawingml/2006/picture">
                        <pic:nvPicPr>
                          <pic:cNvPr id="58" name="图片_46"/>
                          <pic:cNvPicPr/>
                        </pic:nvPicPr>
                        <pic:blipFill>
                          <a:blip r:embed="rId49"/>
                          <a:stretch>
                            <a:fillRect/>
                          </a:stretch>
                        </pic:blipFill>
                        <pic:spPr>
                          <a:xfrm>
                            <a:off x="0" y="0"/>
                            <a:ext cx="1939925" cy="126809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4200*450*950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配件：广东优质五金配件。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6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吧椅</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与桌子匹配高度</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3F 少先队队室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桌子1</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37715" cy="918210"/>
                  <wp:effectExtent l="0" t="0" r="635" b="15240"/>
                  <wp:docPr id="28" name="图片_22"/>
                  <wp:cNvGraphicFramePr/>
                  <a:graphic xmlns:a="http://schemas.openxmlformats.org/drawingml/2006/main">
                    <a:graphicData uri="http://schemas.openxmlformats.org/drawingml/2006/picture">
                      <pic:pic xmlns:pic="http://schemas.openxmlformats.org/drawingml/2006/picture">
                        <pic:nvPicPr>
                          <pic:cNvPr id="28" name="图片_22"/>
                          <pic:cNvPicPr/>
                        </pic:nvPicPr>
                        <pic:blipFill>
                          <a:blip r:embed="rId50"/>
                          <a:stretch>
                            <a:fillRect/>
                          </a:stretch>
                        </pic:blipFill>
                        <pic:spPr>
                          <a:xfrm>
                            <a:off x="0" y="0"/>
                            <a:ext cx="2037715" cy="91821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9600*1200*750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板材：E0级实木多层板基材三聚氰氨饰面，经过防潮、防虫、防腐化学处理，抗硬度性能良好，具耐磨、耐腐蚀、耐划痕、耐烫等特点；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脚架：上海宝钢优质钢脚，经喷塑工艺处理。</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椅子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347470" cy="1463675"/>
                  <wp:effectExtent l="0" t="0" r="5080" b="3175"/>
                  <wp:docPr id="35" name="图片_12"/>
                  <wp:cNvGraphicFramePr/>
                  <a:graphic xmlns:a="http://schemas.openxmlformats.org/drawingml/2006/main">
                    <a:graphicData uri="http://schemas.openxmlformats.org/drawingml/2006/picture">
                      <pic:pic xmlns:pic="http://schemas.openxmlformats.org/drawingml/2006/picture">
                        <pic:nvPicPr>
                          <pic:cNvPr id="35" name="图片_12"/>
                          <pic:cNvPicPr/>
                        </pic:nvPicPr>
                        <pic:blipFill>
                          <a:blip r:embed="rId25"/>
                          <a:stretch>
                            <a:fillRect/>
                          </a:stretch>
                        </pic:blipFill>
                        <pic:spPr>
                          <a:xfrm>
                            <a:off x="0" y="0"/>
                            <a:ext cx="1347470" cy="146367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435mm*450mm*455mm</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1.座面：采用全新聚丙烯加玻璃纤维，总长470mm,座板宽455mm,厚度8mm，背部为六菱形设计，边宽分别由42mm、33mm,25mm,厚度分别为20mm</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16mm</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 xml:space="preserve">高310mm。扶手位置宽度为150mm，方便使用者手提搬运。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背壳：采用全新聚丙烯加玻璃纤维，总宽420mm,上部宽度310mm,下部宽度210mm,厚度6mm，背部内侧褶纹式设计，343个三角形印花组合而成的雪花状纹路，增强透气性和舒适性，有一定的按摩功能，背部外侧的上方是139个三角形印花组合而成的雪花状纹路，下方是由5条间隔15mm的钻石形状的图案组合而成的纹路，安装方式是卡扣加隐藏式螺丝。</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1.3.挂钩：可拆卸活动式挂钩，可上下翻转90°。长度45mm，宽度42mm，厚度3mm，可以承重5KG。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2.椅脚：优质钢架19mm*1.5mm厚；(喷涂架），表面经酸洗、磷化等防锈处理，流水线静电喷涂，具有耐磨，防腐，抗老化等性能。特制固定脚垫，全新PE制作.脚垫长：26mm 厚：10mm 宽：18mm.抗磨损性强。可以堆叠。</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矮柜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74215" cy="826135"/>
                  <wp:effectExtent l="0" t="0" r="6985" b="12065"/>
                  <wp:docPr id="54" name="图片_43"/>
                  <wp:cNvGraphicFramePr/>
                  <a:graphic xmlns:a="http://schemas.openxmlformats.org/drawingml/2006/main">
                    <a:graphicData uri="http://schemas.openxmlformats.org/drawingml/2006/picture">
                      <pic:pic xmlns:pic="http://schemas.openxmlformats.org/drawingml/2006/picture">
                        <pic:nvPicPr>
                          <pic:cNvPr id="54" name="图片_43"/>
                          <pic:cNvPicPr/>
                        </pic:nvPicPr>
                        <pic:blipFill>
                          <a:blip r:embed="rId51"/>
                          <a:stretch>
                            <a:fillRect/>
                          </a:stretch>
                        </pic:blipFill>
                        <pic:spPr>
                          <a:xfrm>
                            <a:off x="0" y="0"/>
                            <a:ext cx="1974215" cy="82613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9300*500*800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台面采用人造石台面；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E0级实木多层板基材三聚氰氨饰面，经过防潮、防虫、防腐化学处理，抗硬度性能良好，具耐磨、耐腐蚀、耐划痕、耐烫等特点；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胶水：优质环保胶粘剂，环保健康；</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五金配件：采用三节导轨、铰链、锁具等优质五金配件。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4F 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2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会议桌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65605" cy="1087120"/>
                  <wp:effectExtent l="0" t="0" r="10795" b="17780"/>
                  <wp:docPr id="40" name="图片_11"/>
                  <wp:cNvGraphicFramePr/>
                  <a:graphic xmlns:a="http://schemas.openxmlformats.org/drawingml/2006/main">
                    <a:graphicData uri="http://schemas.openxmlformats.org/drawingml/2006/picture">
                      <pic:pic xmlns:pic="http://schemas.openxmlformats.org/drawingml/2006/picture">
                        <pic:nvPicPr>
                          <pic:cNvPr id="40" name="图片_11"/>
                          <pic:cNvPicPr/>
                        </pic:nvPicPr>
                        <pic:blipFill>
                          <a:blip r:embed="rId52"/>
                          <a:stretch>
                            <a:fillRect/>
                          </a:stretch>
                        </pic:blipFill>
                        <pic:spPr>
                          <a:xfrm>
                            <a:off x="0" y="0"/>
                            <a:ext cx="1665605" cy="108712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7600*2000*760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1、采用优质E0级环保实木颗粒板，★符合：GB/T15102-2017《浸渍胶膜纸饰面纤维板和刨花板》GB18580-2017《室内装修材料 人造板及其制品中甲醛释放限量》含水率：3.0～8.0；2h吸水厚度膨胀率/%：≤3.6；密度/（g/cm³）：0.6～0.8；表面胶合强度/MPa:≥1.36；内结合强度/MPa：≥0.39；静曲强度/MPa：≥12.4；弹性模量/MPa：≥2621；表面耐划痕：表面无大于90%的连续划痕；表面耐冷热循环：无裂纹、鼓泡、变色、起皱等；表面耐磨：损耗值（mg/100r)：≤42；表面素色：磨350r以后无露底现象；表面耐香烟灼烧：达到4级及以上；表面耐干热：达到4级及以上；表面耐污染腐蚀素色：达到4级及以上；表面耐龟裂：达到4级及以上；表面耐水蒸气：达到4级及以上；耐光色牢度/级：蓝色毛布6级，达到灰度卡4级及以上；握螺钉力：板面：≥1211；板边：≥881；甲醛释放量/（mg/m³）：≤0.069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2、饰面纸：采用全球领先的饰面纸；浮雕细腻，质感明显。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3、PVC封边：采用优质厚PVC封边带，厚度≥2mm；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4、胶水：采用德国知名品牌 “汉高”热熔胶品牌；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5、五金配件：采用优质五金连接件。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矮柜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406525" cy="868680"/>
                  <wp:effectExtent l="0" t="0" r="3175" b="7620"/>
                  <wp:docPr id="42" name="图片_24"/>
                  <wp:cNvGraphicFramePr/>
                  <a:graphic xmlns:a="http://schemas.openxmlformats.org/drawingml/2006/main">
                    <a:graphicData uri="http://schemas.openxmlformats.org/drawingml/2006/picture">
                      <pic:pic xmlns:pic="http://schemas.openxmlformats.org/drawingml/2006/picture">
                        <pic:nvPicPr>
                          <pic:cNvPr id="42" name="图片_24"/>
                          <pic:cNvPicPr/>
                        </pic:nvPicPr>
                        <pic:blipFill>
                          <a:blip r:embed="rId53"/>
                          <a:stretch>
                            <a:fillRect/>
                          </a:stretch>
                        </pic:blipFill>
                        <pic:spPr>
                          <a:xfrm>
                            <a:off x="0" y="0"/>
                            <a:ext cx="1406525" cy="86868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800*400*850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97"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49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会议椅</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28675" cy="1148715"/>
                  <wp:effectExtent l="0" t="0" r="9525" b="13335"/>
                  <wp:docPr id="43" name="图片_73"/>
                  <wp:cNvGraphicFramePr/>
                  <a:graphic xmlns:a="http://schemas.openxmlformats.org/drawingml/2006/main">
                    <a:graphicData uri="http://schemas.openxmlformats.org/drawingml/2006/picture">
                      <pic:pic xmlns:pic="http://schemas.openxmlformats.org/drawingml/2006/picture">
                        <pic:nvPicPr>
                          <pic:cNvPr id="43" name="图片_73"/>
                          <pic:cNvPicPr/>
                        </pic:nvPicPr>
                        <pic:blipFill>
                          <a:blip r:embed="rId54"/>
                          <a:stretch>
                            <a:fillRect/>
                          </a:stretch>
                        </pic:blipFill>
                        <pic:spPr>
                          <a:xfrm>
                            <a:off x="0" y="0"/>
                            <a:ext cx="828675" cy="114871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1.优质西皮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2.19管2.0mm铁背内架；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3.内板12mm木皮压制而成高密度夹板；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4.40密度高弹力海绵；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5.精抛电镀方管架软PU扶手面，管壁2.0mm双套管。</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黑色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4F 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资料柜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792480" cy="1315085"/>
                  <wp:effectExtent l="0" t="0" r="7620" b="18415"/>
                  <wp:docPr id="44" name="图片_59"/>
                  <wp:cNvGraphicFramePr/>
                  <a:graphic xmlns:a="http://schemas.openxmlformats.org/drawingml/2006/main">
                    <a:graphicData uri="http://schemas.openxmlformats.org/drawingml/2006/picture">
                      <pic:pic xmlns:pic="http://schemas.openxmlformats.org/drawingml/2006/picture">
                        <pic:nvPicPr>
                          <pic:cNvPr id="44" name="图片_59"/>
                          <pic:cNvPicPr/>
                        </pic:nvPicPr>
                        <pic:blipFill>
                          <a:blip r:embed="rId55"/>
                          <a:stretch>
                            <a:fillRect/>
                          </a:stretch>
                        </pic:blipFill>
                        <pic:spPr>
                          <a:xfrm>
                            <a:off x="0" y="0"/>
                            <a:ext cx="792480" cy="131508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850*420*1850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★加厚加重款电解轧钢GB/T 3325-2017《金属家具通用技术条件》QB/T 3826-1999《轻工产品金属镀层和化学处理层的耐腐蚀试验方法 中性盐雾试验(NSS)法》QB/T 3827-1999《轻工产品金属镀层和化学处理层的耐腐蚀试验方法 乙酸盐雾试验(ASS)法》QB/T 3832-1999《轻工产品金属镀层腐蚀试验结果的评价》理化性能、硬度、冲击强度、耐腐蚀100h、附着力1级、中性盐雾试验320h、乙酸盐雾试验320h，高强承重；钢制产品经冲压、滚压或拉伸成型，产品经过环氧处理，表面经除油、去锈、磷化防腐、酸洗、高温塑化、等九道工序前处理，刨光处理后，进行喷塑。质量要求达</w:t>
            </w:r>
            <w:r>
              <w:rPr>
                <w:rFonts w:hint="eastAsia" w:ascii="宋体" w:hAnsi="宋体" w:cs="宋体"/>
                <w:i w:val="0"/>
                <w:iCs w:val="0"/>
                <w:color w:val="auto"/>
                <w:kern w:val="0"/>
                <w:sz w:val="18"/>
                <w:szCs w:val="18"/>
                <w:highlight w:val="none"/>
                <w:u w:val="none"/>
                <w:lang w:val="en-US" w:eastAsia="zh-CN" w:bidi="ar"/>
              </w:rPr>
              <w:t>标</w:t>
            </w:r>
            <w:r>
              <w:rPr>
                <w:rFonts w:hint="eastAsia" w:ascii="宋体" w:hAnsi="宋体" w:eastAsia="宋体" w:cs="宋体"/>
                <w:i w:val="0"/>
                <w:iCs w:val="0"/>
                <w:color w:val="auto"/>
                <w:kern w:val="0"/>
                <w:sz w:val="18"/>
                <w:szCs w:val="18"/>
                <w:highlight w:val="none"/>
                <w:u w:val="none"/>
                <w:lang w:val="en-US" w:eastAsia="zh-CN" w:bidi="ar"/>
              </w:rPr>
              <w:t>。</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灰色+白色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4F 小会议室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01"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会议桌</w:t>
            </w:r>
          </w:p>
        </w:tc>
        <w:tc>
          <w:tcPr>
            <w:tcW w:w="3270" w:type="dxa"/>
            <w:shd w:val="clear" w:color="auto" w:fill="FFFFFF" w:themeFill="background1"/>
            <w:noWrap/>
            <w:vAlign w:val="center"/>
          </w:tcPr>
          <w:p>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00250" cy="781050"/>
                  <wp:effectExtent l="0" t="0" r="0" b="0"/>
                  <wp:docPr id="50" name="图片_50"/>
                  <wp:cNvGraphicFramePr/>
                  <a:graphic xmlns:a="http://schemas.openxmlformats.org/drawingml/2006/main">
                    <a:graphicData uri="http://schemas.openxmlformats.org/drawingml/2006/picture">
                      <pic:pic xmlns:pic="http://schemas.openxmlformats.org/drawingml/2006/picture">
                        <pic:nvPicPr>
                          <pic:cNvPr id="50" name="图片_50"/>
                          <pic:cNvPicPr/>
                        </pic:nvPicPr>
                        <pic:blipFill>
                          <a:blip r:embed="rId56"/>
                          <a:stretch>
                            <a:fillRect/>
                          </a:stretch>
                        </pic:blipFill>
                        <pic:spPr>
                          <a:xfrm>
                            <a:off x="0" y="0"/>
                            <a:ext cx="2000250" cy="78105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5600*1600*760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1、采用优质E0级环保实木颗粒板；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2、饰面纸：采用全球领先的“德国夏特”饰面纸；压纹采用德国“胡克”钢板，浮雕细腻，质感明显；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3、PVC封边：采用德国“欧德雅”优质厚PVC封边带，厚度≥2mm；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4、胶水：采用德国知名品牌 “汉高”热熔胶品牌；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5、五金配件：采用奥运会生活家居五金独家供应商“冠辉”品牌优质五金连接件；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6、桌面配可拆卸电导轨线盒，配三个多功能模块。</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4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矮柜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318260" cy="814705"/>
                  <wp:effectExtent l="0" t="0" r="15240" b="4445"/>
                  <wp:docPr id="48" name="图片_55"/>
                  <wp:cNvGraphicFramePr/>
                  <a:graphic xmlns:a="http://schemas.openxmlformats.org/drawingml/2006/main">
                    <a:graphicData uri="http://schemas.openxmlformats.org/drawingml/2006/picture">
                      <pic:pic xmlns:pic="http://schemas.openxmlformats.org/drawingml/2006/picture">
                        <pic:nvPicPr>
                          <pic:cNvPr id="48" name="图片_55"/>
                          <pic:cNvPicPr/>
                        </pic:nvPicPr>
                        <pic:blipFill>
                          <a:blip r:embed="rId57"/>
                          <a:stretch>
                            <a:fillRect/>
                          </a:stretch>
                        </pic:blipFill>
                        <pic:spPr>
                          <a:xfrm>
                            <a:off x="0" y="0"/>
                            <a:ext cx="1318260" cy="81470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800*400*850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8"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4F 接待室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9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报刊架</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54710" cy="1247140"/>
                  <wp:effectExtent l="0" t="0" r="2540" b="10160"/>
                  <wp:docPr id="29" name="图片_84"/>
                  <wp:cNvGraphicFramePr/>
                  <a:graphic xmlns:a="http://schemas.openxmlformats.org/drawingml/2006/main">
                    <a:graphicData uri="http://schemas.openxmlformats.org/drawingml/2006/picture">
                      <pic:pic xmlns:pic="http://schemas.openxmlformats.org/drawingml/2006/picture">
                        <pic:nvPicPr>
                          <pic:cNvPr id="29" name="图片_84"/>
                          <pic:cNvPicPr/>
                        </pic:nvPicPr>
                        <pic:blipFill>
                          <a:blip r:embed="rId58"/>
                          <a:stretch>
                            <a:fillRect/>
                          </a:stretch>
                        </pic:blipFill>
                        <pic:spPr>
                          <a:xfrm>
                            <a:off x="0" y="0"/>
                            <a:ext cx="854710" cy="124714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800*250*1600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面材：采用优质木皮饰面，纹理均匀清晰；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基材：采用“福人”牌E0级中密度纤维板内衬，密度达到0.8g/cm3；</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油漆：选用台湾“大宝”油漆，附着力强，引用意大利先进油漆工艺“五底三面”，光；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五金件：采用广东“DTC”优质三合一连接件</w:t>
            </w:r>
            <w:r>
              <w:rPr>
                <w:rFonts w:hint="eastAsia" w:ascii="宋体" w:hAnsi="宋体" w:cs="宋体"/>
                <w:i w:val="0"/>
                <w:iCs w:val="0"/>
                <w:color w:val="auto"/>
                <w:kern w:val="0"/>
                <w:sz w:val="18"/>
                <w:szCs w:val="18"/>
                <w:highlight w:val="none"/>
                <w:u w:val="none"/>
                <w:lang w:val="en-US" w:eastAsia="zh-CN" w:bidi="ar"/>
              </w:rPr>
              <w:t>。</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5F 党员活动室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1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会议桌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666240" cy="1087120"/>
                  <wp:effectExtent l="0" t="0" r="10160" b="17780"/>
                  <wp:docPr id="53" name="图片_81"/>
                  <wp:cNvGraphicFramePr/>
                  <a:graphic xmlns:a="http://schemas.openxmlformats.org/drawingml/2006/main">
                    <a:graphicData uri="http://schemas.openxmlformats.org/drawingml/2006/picture">
                      <pic:pic xmlns:pic="http://schemas.openxmlformats.org/drawingml/2006/picture">
                        <pic:nvPicPr>
                          <pic:cNvPr id="53" name="图片_81"/>
                          <pic:cNvPicPr/>
                        </pic:nvPicPr>
                        <pic:blipFill>
                          <a:blip r:embed="rId52"/>
                          <a:stretch>
                            <a:fillRect/>
                          </a:stretch>
                        </pic:blipFill>
                        <pic:spPr>
                          <a:xfrm>
                            <a:off x="0" y="0"/>
                            <a:ext cx="1666240" cy="108712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7600*2400*760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1、采用优质E0级环保实木颗粒板；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2、饰面纸：采用全球领先的“德国夏特”饰面纸；压纹采用德国“胡克”钢板，浮雕细腻，质感明显。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3、PVC封边：采用德国“欧德雅”优质厚PVC封边带，厚度≥2mm；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4、胶水：采用德国知名品牌“汉高”热熔胶品牌；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5、五金配件：采用奥运会生活家居五金独家供应商“冠辉”品牌优质五金连接件。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8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条桌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454785" cy="994410"/>
                  <wp:effectExtent l="0" t="0" r="12065" b="15240"/>
                  <wp:docPr id="31" name="图片_100"/>
                  <wp:cNvGraphicFramePr/>
                  <a:graphic xmlns:a="http://schemas.openxmlformats.org/drawingml/2006/main">
                    <a:graphicData uri="http://schemas.openxmlformats.org/drawingml/2006/picture">
                      <pic:pic xmlns:pic="http://schemas.openxmlformats.org/drawingml/2006/picture">
                        <pic:nvPicPr>
                          <pic:cNvPr id="31" name="图片_100"/>
                          <pic:cNvPicPr/>
                        </pic:nvPicPr>
                        <pic:blipFill>
                          <a:blip r:embed="rId59"/>
                          <a:stretch>
                            <a:fillRect/>
                          </a:stretch>
                        </pic:blipFill>
                        <pic:spPr>
                          <a:xfrm>
                            <a:off x="0" y="0"/>
                            <a:ext cx="1454785" cy="99441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1400*500*760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1、采用优质E0级环保实木颗粒板；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2、饰面纸：采用全球领先的“德国夏特”饰面纸；压纹采用德国“胡克”钢板，浮雕细腻，质感明显。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3、PVC封边：采用德国“欧德雅”优质厚PVC封边带，厚度≥2mm；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4、胶水：采用德国知名品牌“汉高”热熔胶品牌；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5、脚架：采用优质钢脚，经喷塑工艺处理。</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会议椅</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752475" cy="1041400"/>
                  <wp:effectExtent l="0" t="0" r="9525" b="6350"/>
                  <wp:docPr id="3" name="图片_87"/>
                  <wp:cNvGraphicFramePr/>
                  <a:graphic xmlns:a="http://schemas.openxmlformats.org/drawingml/2006/main">
                    <a:graphicData uri="http://schemas.openxmlformats.org/drawingml/2006/picture">
                      <pic:pic xmlns:pic="http://schemas.openxmlformats.org/drawingml/2006/picture">
                        <pic:nvPicPr>
                          <pic:cNvPr id="3" name="图片_87"/>
                          <pic:cNvPicPr/>
                        </pic:nvPicPr>
                        <pic:blipFill>
                          <a:blip r:embed="rId60"/>
                          <a:stretch>
                            <a:fillRect/>
                          </a:stretch>
                        </pic:blipFill>
                        <pic:spPr>
                          <a:xfrm>
                            <a:off x="0" y="0"/>
                            <a:ext cx="752475" cy="104140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1.优质西皮；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2.19管2.0mm铁背内架；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3.内板12mm木皮压制而成高密度夹板；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4.40密度高弹力海绵；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5.精抛电镀方管架软PU扶手面，管壁2.0mm双套管。</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黑色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5F 广播室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57"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10715" cy="979170"/>
                  <wp:effectExtent l="0" t="0" r="13335" b="11430"/>
                  <wp:docPr id="4" name="图片_45"/>
                  <wp:cNvGraphicFramePr/>
                  <a:graphic xmlns:a="http://schemas.openxmlformats.org/drawingml/2006/main">
                    <a:graphicData uri="http://schemas.openxmlformats.org/drawingml/2006/picture">
                      <pic:pic xmlns:pic="http://schemas.openxmlformats.org/drawingml/2006/picture">
                        <pic:nvPicPr>
                          <pic:cNvPr id="4" name="图片_45"/>
                          <pic:cNvPicPr/>
                        </pic:nvPicPr>
                        <pic:blipFill>
                          <a:blip r:embed="rId61"/>
                          <a:stretch>
                            <a:fillRect/>
                          </a:stretch>
                        </pic:blipFill>
                        <pic:spPr>
                          <a:xfrm>
                            <a:off x="0" y="0"/>
                            <a:ext cx="1910715" cy="97917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2200*800*760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包含LED灯带</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面材：采用美国进口0.6mm“大西洋”胡桃木皮饰面，纹理均匀清晰；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基材：采用“福人”牌E0级中密度纤维板内衬，密度达到0.8g/cm3；</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油漆：选用台湾“大宝”油漆，附着力强，引用意大利先进油漆工艺“五底三面”。</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办公桌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66265" cy="1362075"/>
                  <wp:effectExtent l="0" t="0" r="635" b="9525"/>
                  <wp:docPr id="1" name="图片_69"/>
                  <wp:cNvGraphicFramePr/>
                  <a:graphic xmlns:a="http://schemas.openxmlformats.org/drawingml/2006/main">
                    <a:graphicData uri="http://schemas.openxmlformats.org/drawingml/2006/picture">
                      <pic:pic xmlns:pic="http://schemas.openxmlformats.org/drawingml/2006/picture">
                        <pic:nvPicPr>
                          <pic:cNvPr id="1" name="图片_69"/>
                          <pic:cNvPicPr/>
                        </pic:nvPicPr>
                        <pic:blipFill>
                          <a:blip r:embed="rId62"/>
                          <a:stretch>
                            <a:fillRect/>
                          </a:stretch>
                        </pic:blipFill>
                        <pic:spPr>
                          <a:xfrm>
                            <a:off x="0" y="0"/>
                            <a:ext cx="1866265" cy="136207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1200*600*760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板材：采用E0级实木多层板基材三聚氰氨饰面，经过防潮、防虫、防腐化学处理，抗硬度性能良好，具耐磨、耐腐蚀、耐划痕、耐烫等特点；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封边：优质广东兄弈PVC条纹封边条，数控精确封边；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胶水：优质环保胶粘剂，环保健康；</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五金配件：采用三节导轨、铰链、锁具等优质五金配件。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7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59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办公椅</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15975" cy="1099185"/>
                  <wp:effectExtent l="0" t="0" r="3175" b="5715"/>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63"/>
                          <a:stretch>
                            <a:fillRect/>
                          </a:stretch>
                        </pic:blipFill>
                        <pic:spPr>
                          <a:xfrm>
                            <a:off x="0" y="0"/>
                            <a:ext cx="815975" cy="109918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650*580*970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高弹力耐磨网布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黑色尼龙加玻纤背架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黑色尼龙玻纤独立扶手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座包采用定型绵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配中班蝴蝶底盘带原位锁定功能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尼龙五星脚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黑色耐磨尼龙轮</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黑色</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39"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试剂柜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99160" cy="1283335"/>
                  <wp:effectExtent l="0" t="0" r="15240" b="12065"/>
                  <wp:docPr id="6" name="图片_58"/>
                  <wp:cNvGraphicFramePr/>
                  <a:graphic xmlns:a="http://schemas.openxmlformats.org/drawingml/2006/main">
                    <a:graphicData uri="http://schemas.openxmlformats.org/drawingml/2006/picture">
                      <pic:pic xmlns:pic="http://schemas.openxmlformats.org/drawingml/2006/picture">
                        <pic:nvPicPr>
                          <pic:cNvPr id="6" name="图片_58"/>
                          <pic:cNvPicPr/>
                        </pic:nvPicPr>
                        <pic:blipFill>
                          <a:blip r:embed="rId64"/>
                          <a:stretch>
                            <a:fillRect/>
                          </a:stretch>
                        </pic:blipFill>
                        <pic:spPr>
                          <a:xfrm>
                            <a:off x="0" y="0"/>
                            <a:ext cx="899160" cy="128333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900*450*1800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厚加重款电解轧钢高强承重；钢制产品经冲压、滚压或拉伸成型，产品经过环氧处理，表面经除油、去锈、磷化防腐、酸洗、高温塑化、等九道工序前处理，国际流行色亚光静电喷粉，刨光处理后，进行喷塑。质量要求达</w:t>
            </w:r>
            <w:r>
              <w:rPr>
                <w:rFonts w:hint="eastAsia" w:ascii="宋体" w:hAnsi="宋体" w:cs="宋体"/>
                <w:i w:val="0"/>
                <w:iCs w:val="0"/>
                <w:color w:val="auto"/>
                <w:kern w:val="0"/>
                <w:sz w:val="18"/>
                <w:szCs w:val="18"/>
                <w:highlight w:val="none"/>
                <w:u w:val="none"/>
                <w:lang w:val="en-US" w:eastAsia="zh-CN" w:bidi="ar"/>
              </w:rPr>
              <w:t>标</w:t>
            </w:r>
            <w:r>
              <w:rPr>
                <w:rFonts w:hint="eastAsia" w:ascii="宋体" w:hAnsi="宋体" w:eastAsia="宋体" w:cs="宋体"/>
                <w:i w:val="0"/>
                <w:iCs w:val="0"/>
                <w:color w:val="auto"/>
                <w:kern w:val="0"/>
                <w:sz w:val="18"/>
                <w:szCs w:val="18"/>
                <w:highlight w:val="none"/>
                <w:u w:val="none"/>
                <w:lang w:val="en-US" w:eastAsia="zh-CN" w:bidi="ar"/>
              </w:rPr>
              <w:t>。</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6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器皿柜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62330" cy="1183640"/>
                  <wp:effectExtent l="0" t="0" r="13970" b="16510"/>
                  <wp:docPr id="59" name="图片_64"/>
                  <wp:cNvGraphicFramePr/>
                  <a:graphic xmlns:a="http://schemas.openxmlformats.org/drawingml/2006/main">
                    <a:graphicData uri="http://schemas.openxmlformats.org/drawingml/2006/picture">
                      <pic:pic xmlns:pic="http://schemas.openxmlformats.org/drawingml/2006/picture">
                        <pic:nvPicPr>
                          <pic:cNvPr id="59" name="图片_64"/>
                          <pic:cNvPicPr/>
                        </pic:nvPicPr>
                        <pic:blipFill>
                          <a:blip r:embed="rId65"/>
                          <a:stretch>
                            <a:fillRect/>
                          </a:stretch>
                        </pic:blipFill>
                        <pic:spPr>
                          <a:xfrm>
                            <a:off x="0" y="0"/>
                            <a:ext cx="862330" cy="118364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900*450*1800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3F 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8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操作桌</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68805" cy="1121410"/>
                  <wp:effectExtent l="0" t="0" r="17145" b="2540"/>
                  <wp:docPr id="70" name="图片_5"/>
                  <wp:cNvGraphicFramePr/>
                  <a:graphic xmlns:a="http://schemas.openxmlformats.org/drawingml/2006/main">
                    <a:graphicData uri="http://schemas.openxmlformats.org/drawingml/2006/picture">
                      <pic:pic xmlns:pic="http://schemas.openxmlformats.org/drawingml/2006/picture">
                        <pic:nvPicPr>
                          <pic:cNvPr id="70" name="图片_5"/>
                          <pic:cNvPicPr/>
                        </pic:nvPicPr>
                        <pic:blipFill>
                          <a:blip r:embed="rId66"/>
                          <a:stretch>
                            <a:fillRect/>
                          </a:stretch>
                        </pic:blipFill>
                        <pic:spPr>
                          <a:xfrm>
                            <a:off x="0" y="0"/>
                            <a:ext cx="1868805" cy="112141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1600*750*760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台面采用12.7mm厚、沿边加厚至25.4mm厚双面覆膜优质实芯理化板，铆钉加固处理，强力胶增固；操作面两头圆弧倒角处理，防止实验人员撞伤。</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柜体：采用 1.0mm 优质一级冷轧钢板。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配件：拉手采用一体折弯一字拉手，外形美观,耐腐蚀。铰链为DTC液压缓冲铰链，外形美观，开合时无噪音，防锈、耐腐蚀性能力强。</w:t>
            </w:r>
          </w:p>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导轨：DTC45宽幅导轨，开合平稳，承重力强。</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1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凳子</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024890" cy="1073785"/>
                  <wp:effectExtent l="0" t="0" r="3810" b="12065"/>
                  <wp:docPr id="65" name="图片_70"/>
                  <wp:cNvGraphicFramePr/>
                  <a:graphic xmlns:a="http://schemas.openxmlformats.org/drawingml/2006/main">
                    <a:graphicData uri="http://schemas.openxmlformats.org/drawingml/2006/picture">
                      <pic:pic xmlns:pic="http://schemas.openxmlformats.org/drawingml/2006/picture">
                        <pic:nvPicPr>
                          <pic:cNvPr id="65" name="图片_70"/>
                          <pic:cNvPicPr/>
                        </pic:nvPicPr>
                        <pic:blipFill>
                          <a:blip r:embed="rId67"/>
                          <a:stretch>
                            <a:fillRect/>
                          </a:stretch>
                        </pic:blipFill>
                        <pic:spPr>
                          <a:xfrm>
                            <a:off x="0" y="0"/>
                            <a:ext cx="1024890" cy="107378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采用一体成型PU座板，宝钢优质钢脚，经电镀工艺处理，PU轮防震静音黑色轮。</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8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64</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试剂柜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52170" cy="1084580"/>
                  <wp:effectExtent l="0" t="0" r="5080" b="1270"/>
                  <wp:docPr id="67" name="图片_95"/>
                  <wp:cNvGraphicFramePr/>
                  <a:graphic xmlns:a="http://schemas.openxmlformats.org/drawingml/2006/main">
                    <a:graphicData uri="http://schemas.openxmlformats.org/drawingml/2006/picture">
                      <pic:pic xmlns:pic="http://schemas.openxmlformats.org/drawingml/2006/picture">
                        <pic:nvPicPr>
                          <pic:cNvPr id="67" name="图片_95"/>
                          <pic:cNvPicPr/>
                        </pic:nvPicPr>
                        <pic:blipFill>
                          <a:blip r:embed="rId64"/>
                          <a:stretch>
                            <a:fillRect/>
                          </a:stretch>
                        </pic:blipFill>
                        <pic:spPr>
                          <a:xfrm>
                            <a:off x="0" y="0"/>
                            <a:ext cx="852170" cy="108458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900*450*1800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厚加重款电解轧钢高强承重；钢制产品经冲压、滚压或拉伸成型，产品经过环氧处理，表面经除油、去锈、磷化防腐、酸洗、高温塑化、等九道工序前处理，国际流行色亚光静电喷粉，刨光处理后，进行喷塑。质量要求达</w:t>
            </w:r>
            <w:r>
              <w:rPr>
                <w:rFonts w:hint="eastAsia" w:ascii="宋体" w:hAnsi="宋体" w:cs="宋体"/>
                <w:i w:val="0"/>
                <w:iCs w:val="0"/>
                <w:color w:val="auto"/>
                <w:kern w:val="0"/>
                <w:sz w:val="18"/>
                <w:szCs w:val="18"/>
                <w:highlight w:val="none"/>
                <w:u w:val="none"/>
                <w:lang w:val="en-US" w:eastAsia="zh-CN" w:bidi="ar"/>
              </w:rPr>
              <w:t>标</w:t>
            </w:r>
            <w:r>
              <w:rPr>
                <w:rFonts w:hint="eastAsia" w:ascii="宋体" w:hAnsi="宋体" w:eastAsia="宋体" w:cs="宋体"/>
                <w:i w:val="0"/>
                <w:iCs w:val="0"/>
                <w:color w:val="auto"/>
                <w:kern w:val="0"/>
                <w:sz w:val="18"/>
                <w:szCs w:val="18"/>
                <w:highlight w:val="none"/>
                <w:u w:val="none"/>
                <w:lang w:val="en-US" w:eastAsia="zh-CN" w:bidi="ar"/>
              </w:rPr>
              <w:t>。</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84"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器皿柜</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681355" cy="908050"/>
                  <wp:effectExtent l="0" t="0" r="4445" b="6350"/>
                  <wp:docPr id="66" name="图片_96"/>
                  <wp:cNvGraphicFramePr/>
                  <a:graphic xmlns:a="http://schemas.openxmlformats.org/drawingml/2006/main">
                    <a:graphicData uri="http://schemas.openxmlformats.org/drawingml/2006/picture">
                      <pic:pic xmlns:pic="http://schemas.openxmlformats.org/drawingml/2006/picture">
                        <pic:nvPicPr>
                          <pic:cNvPr id="66" name="图片_96"/>
                          <pic:cNvPicPr/>
                        </pic:nvPicPr>
                        <pic:blipFill>
                          <a:blip r:embed="rId65"/>
                          <a:stretch>
                            <a:fillRect/>
                          </a:stretch>
                        </pic:blipFill>
                        <pic:spPr>
                          <a:xfrm>
                            <a:off x="0" y="0"/>
                            <a:ext cx="681355" cy="90805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900*450*1800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木工工作坊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4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圆凳</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889000" cy="1032510"/>
                  <wp:effectExtent l="0" t="0" r="6350" b="15240"/>
                  <wp:docPr id="68" name="图片_92"/>
                  <wp:cNvGraphicFramePr/>
                  <a:graphic xmlns:a="http://schemas.openxmlformats.org/drawingml/2006/main">
                    <a:graphicData uri="http://schemas.openxmlformats.org/drawingml/2006/picture">
                      <pic:pic xmlns:pic="http://schemas.openxmlformats.org/drawingml/2006/picture">
                        <pic:nvPicPr>
                          <pic:cNvPr id="68" name="图片_92"/>
                          <pic:cNvPicPr/>
                        </pic:nvPicPr>
                        <pic:blipFill>
                          <a:blip r:embed="rId68"/>
                          <a:stretch>
                            <a:fillRect/>
                          </a:stretch>
                        </pic:blipFill>
                        <pic:spPr>
                          <a:xfrm>
                            <a:off x="0" y="0"/>
                            <a:ext cx="889000" cy="103251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框架：采用进口橡胶木实木，经干燥、防虫、防腐处理，不翘曲、不变形；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67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vMerge w:val="restart"/>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58645" cy="1310640"/>
                  <wp:effectExtent l="0" t="0" r="8255" b="3810"/>
                  <wp:docPr id="60" name="图片_97"/>
                  <wp:cNvGraphicFramePr/>
                  <a:graphic xmlns:a="http://schemas.openxmlformats.org/drawingml/2006/main">
                    <a:graphicData uri="http://schemas.openxmlformats.org/drawingml/2006/picture">
                      <pic:pic xmlns:pic="http://schemas.openxmlformats.org/drawingml/2006/picture">
                        <pic:nvPicPr>
                          <pic:cNvPr id="60" name="图片_97"/>
                          <pic:cNvPicPr/>
                        </pic:nvPicPr>
                        <pic:blipFill>
                          <a:blip r:embed="rId69"/>
                          <a:stretch>
                            <a:fillRect/>
                          </a:stretch>
                        </pic:blipFill>
                        <pic:spPr>
                          <a:xfrm>
                            <a:off x="0" y="0"/>
                            <a:ext cx="1858645" cy="131064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1800*600*750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框架：采用进口橡胶木实木，经干燥、防虫、防腐处理，不翘曲、不变形；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68</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1600*600*750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0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69</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1200*450*750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66"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陶艺课教室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2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70</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vMerge w:val="restart"/>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2023110" cy="1125855"/>
                  <wp:effectExtent l="0" t="0" r="15240" b="17145"/>
                  <wp:docPr id="64" name="图片_10"/>
                  <wp:cNvGraphicFramePr/>
                  <a:graphic xmlns:a="http://schemas.openxmlformats.org/drawingml/2006/main">
                    <a:graphicData uri="http://schemas.openxmlformats.org/drawingml/2006/picture">
                      <pic:pic xmlns:pic="http://schemas.openxmlformats.org/drawingml/2006/picture">
                        <pic:nvPicPr>
                          <pic:cNvPr id="64" name="图片_10"/>
                          <pic:cNvPicPr/>
                        </pic:nvPicPr>
                        <pic:blipFill>
                          <a:blip r:embed="rId70"/>
                          <a:stretch>
                            <a:fillRect/>
                          </a:stretch>
                        </pic:blipFill>
                        <pic:spPr>
                          <a:xfrm>
                            <a:off x="0" y="0"/>
                            <a:ext cx="2023110" cy="112585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1500*1600*750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面材：采用进口橡胶木实木，经干燥、防虫、防腐处理，不翘曲、不变形；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4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71</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凳子</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AI智慧教室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72</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讲台桌</w:t>
            </w:r>
          </w:p>
        </w:tc>
        <w:tc>
          <w:tcPr>
            <w:tcW w:w="3270" w:type="dxa"/>
            <w:vMerge w:val="restart"/>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981200" cy="1154430"/>
                  <wp:effectExtent l="0" t="0" r="0" b="7620"/>
                  <wp:docPr id="61" name="图片_1"/>
                  <wp:cNvGraphicFramePr/>
                  <a:graphic xmlns:a="http://schemas.openxmlformats.org/drawingml/2006/main">
                    <a:graphicData uri="http://schemas.openxmlformats.org/drawingml/2006/picture">
                      <pic:pic xmlns:pic="http://schemas.openxmlformats.org/drawingml/2006/picture">
                        <pic:nvPicPr>
                          <pic:cNvPr id="61" name="图片_1"/>
                          <pic:cNvPicPr/>
                        </pic:nvPicPr>
                        <pic:blipFill>
                          <a:blip r:embed="rId71"/>
                          <a:stretch>
                            <a:fillRect/>
                          </a:stretch>
                        </pic:blipFill>
                        <pic:spPr>
                          <a:xfrm>
                            <a:off x="0" y="0"/>
                            <a:ext cx="1981200" cy="115443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1600*500*750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面材：采用美国进口0.6mm“大西洋”胡桃木皮饰面，纹理均匀清晰；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基材：采用“福人”牌E0级中密度纤维板内衬，密度达到0.8g/cm3；</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油漆：选用台湾“大宝”油漆，附着力强，引用意大利先进油漆工艺“五底三面”，光；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五金件：采用广东“DTC”优质五金配件。含LED灯带。</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15"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73</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桌子</w:t>
            </w:r>
          </w:p>
        </w:tc>
        <w:tc>
          <w:tcPr>
            <w:tcW w:w="3270" w:type="dxa"/>
            <w:vMerge w:val="continue"/>
            <w:shd w:val="clear" w:color="auto" w:fill="FFFFFF" w:themeFill="background1"/>
            <w:noWrap/>
            <w:vAlign w:val="center"/>
          </w:tcPr>
          <w:p>
            <w:pPr>
              <w:jc w:val="center"/>
              <w:rPr>
                <w:rFonts w:hint="eastAsia" w:ascii="宋体" w:hAnsi="宋体" w:eastAsia="宋体" w:cs="宋体"/>
                <w:i w:val="0"/>
                <w:iCs w:val="0"/>
                <w:color w:val="auto"/>
                <w:sz w:val="18"/>
                <w:szCs w:val="18"/>
                <w:highlight w:val="none"/>
                <w:u w:val="none"/>
              </w:rPr>
            </w:pP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1200*500*750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36"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74</w:t>
            </w:r>
          </w:p>
        </w:tc>
        <w:tc>
          <w:tcPr>
            <w:tcW w:w="757" w:type="dxa"/>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lang w:val="en-US" w:eastAsia="zh-CN" w:bidi="ar"/>
              </w:rPr>
              <w:t>椅子</w:t>
            </w:r>
          </w:p>
        </w:tc>
        <w:tc>
          <w:tcPr>
            <w:tcW w:w="3270" w:type="dxa"/>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741805" cy="1013460"/>
                  <wp:effectExtent l="0" t="0" r="10795" b="15240"/>
                  <wp:docPr id="62" name="组合_4"/>
                  <wp:cNvGraphicFramePr/>
                  <a:graphic xmlns:a="http://schemas.openxmlformats.org/drawingml/2006/main">
                    <a:graphicData uri="http://schemas.openxmlformats.org/drawingml/2006/picture">
                      <pic:pic xmlns:pic="http://schemas.openxmlformats.org/drawingml/2006/picture">
                        <pic:nvPicPr>
                          <pic:cNvPr id="62" name="组合_4"/>
                          <pic:cNvPicPr/>
                        </pic:nvPicPr>
                        <pic:blipFill>
                          <a:blip r:embed="rId72"/>
                          <a:stretch>
                            <a:fillRect/>
                          </a:stretch>
                        </pic:blipFill>
                        <pic:spPr>
                          <a:xfrm>
                            <a:off x="0" y="0"/>
                            <a:ext cx="1741805" cy="101346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椅座连体全新工程聚丙PP材质★符合GB/T 32487-2016《塑料家具通用技术条件》、GB 28481-2012《塑料家具中有害物质限量》、GB/T 22048-2022《玩具及儿童用品中特定邻苯二甲酸酯增塑剂的测定》、SN/T 1877.2-2007《塑料原料及其制品中多环芳烃的测定方法》、GB6675.4-2014《玩具安全 第4部分:特定元素的迁移》塑料材料理化性能：耐老化性冲击强度保持率：≥88%，外观颜色变色评级≥5级，冲击强度：≥60736J/m²（老化前），邻苯二甲酸酯（DBP、BBP、DEHP、DNOP、DINP、DIDP）、重金属（铅、镉、铬、汞）、多环芳烃（苯并[α]芘、16种多环芳烃（PAH）总量）、多溴联苯（PBB）、多溴二苯（PBDE）均为检出。优质钢制喷塑椅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4735" w:type="dxa"/>
            <w:gridSpan w:val="8"/>
            <w:shd w:val="clear" w:color="auto" w:fill="FFFFFF" w:themeFill="background1"/>
            <w:noWrap/>
            <w:vAlign w:val="center"/>
          </w:tcPr>
          <w:p>
            <w:pPr>
              <w:jc w:val="both"/>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2F 教工之家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6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75</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卡座1</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299845" cy="962660"/>
                  <wp:effectExtent l="0" t="0" r="14605" b="8890"/>
                  <wp:docPr id="69" name="图片_13"/>
                  <wp:cNvGraphicFramePr/>
                  <a:graphic xmlns:a="http://schemas.openxmlformats.org/drawingml/2006/main">
                    <a:graphicData uri="http://schemas.openxmlformats.org/drawingml/2006/picture">
                      <pic:pic xmlns:pic="http://schemas.openxmlformats.org/drawingml/2006/picture">
                        <pic:nvPicPr>
                          <pic:cNvPr id="69" name="图片_13"/>
                          <pic:cNvPicPr/>
                        </pic:nvPicPr>
                        <pic:blipFill>
                          <a:blip r:embed="rId73"/>
                          <a:stretch>
                            <a:fillRect/>
                          </a:stretch>
                        </pic:blipFill>
                        <pic:spPr>
                          <a:xfrm>
                            <a:off x="0" y="0"/>
                            <a:ext cx="1299845" cy="96266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1420*650*430/830</w:t>
            </w:r>
          </w:p>
        </w:tc>
        <w:tc>
          <w:tcPr>
            <w:tcW w:w="6742" w:type="dxa"/>
            <w:vMerge w:val="restart"/>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面料：采用优质西皮或布艺饰面，柔软贴手，性能符合国际标准；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海绵：45#高强度海绵，压缩永久变性率小于1.3%(国际标准小于10%)，表面带有保护面，防氧化软硬适中，回弹好不变形；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脚架：进口橡胶木脚架；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油漆：品牌优质环保油漆，耐水耐磨，引用意大利先进油漆工艺“五底三面”，硬度高达3H，抗刮性强，不褪色。</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76</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双面卡座</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870075" cy="835660"/>
                  <wp:effectExtent l="0" t="0" r="15875" b="2540"/>
                  <wp:docPr id="63" name="图片_17"/>
                  <wp:cNvGraphicFramePr/>
                  <a:graphic xmlns:a="http://schemas.openxmlformats.org/drawingml/2006/main">
                    <a:graphicData uri="http://schemas.openxmlformats.org/drawingml/2006/picture">
                      <pic:pic xmlns:pic="http://schemas.openxmlformats.org/drawingml/2006/picture">
                        <pic:nvPicPr>
                          <pic:cNvPr id="63" name="图片_17"/>
                          <pic:cNvPicPr/>
                        </pic:nvPicPr>
                        <pic:blipFill>
                          <a:blip r:embed="rId74"/>
                          <a:stretch>
                            <a:fillRect/>
                          </a:stretch>
                        </pic:blipFill>
                        <pic:spPr>
                          <a:xfrm>
                            <a:off x="0" y="0"/>
                            <a:ext cx="1870075" cy="835660"/>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1420*1410*430/830</w:t>
            </w:r>
          </w:p>
        </w:tc>
        <w:tc>
          <w:tcPr>
            <w:tcW w:w="6742" w:type="dxa"/>
            <w:vMerge w:val="continue"/>
            <w:shd w:val="clear" w:color="auto" w:fill="FFFFFF" w:themeFill="background1"/>
            <w:vAlign w:val="center"/>
          </w:tcPr>
          <w:p>
            <w:pPr>
              <w:jc w:val="left"/>
              <w:rPr>
                <w:rFonts w:hint="eastAsia" w:ascii="宋体" w:hAnsi="宋体" w:eastAsia="宋体" w:cs="宋体"/>
                <w:i w:val="0"/>
                <w:iCs w:val="0"/>
                <w:color w:val="auto"/>
                <w:sz w:val="18"/>
                <w:szCs w:val="18"/>
                <w:highlight w:val="none"/>
                <w:u w:val="none"/>
              </w:rPr>
            </w:pP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710"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77</w:t>
            </w:r>
          </w:p>
        </w:tc>
        <w:tc>
          <w:tcPr>
            <w:tcW w:w="75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茶几</w:t>
            </w:r>
          </w:p>
        </w:tc>
        <w:tc>
          <w:tcPr>
            <w:tcW w:w="327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inline distT="0" distB="0" distL="114300" distR="114300">
                  <wp:extent cx="1569720" cy="612775"/>
                  <wp:effectExtent l="0" t="0" r="11430" b="15875"/>
                  <wp:docPr id="71" name="图片_18"/>
                  <wp:cNvGraphicFramePr/>
                  <a:graphic xmlns:a="http://schemas.openxmlformats.org/drawingml/2006/main">
                    <a:graphicData uri="http://schemas.openxmlformats.org/drawingml/2006/picture">
                      <pic:pic xmlns:pic="http://schemas.openxmlformats.org/drawingml/2006/picture">
                        <pic:nvPicPr>
                          <pic:cNvPr id="71" name="图片_18"/>
                          <pic:cNvPicPr/>
                        </pic:nvPicPr>
                        <pic:blipFill>
                          <a:blip r:embed="rId75"/>
                          <a:stretch>
                            <a:fillRect/>
                          </a:stretch>
                        </pic:blipFill>
                        <pic:spPr>
                          <a:xfrm>
                            <a:off x="0" y="0"/>
                            <a:ext cx="1569720" cy="612775"/>
                          </a:xfrm>
                          <a:prstGeom prst="rect">
                            <a:avLst/>
                          </a:prstGeom>
                          <a:noFill/>
                          <a:ln>
                            <a:noFill/>
                          </a:ln>
                        </pic:spPr>
                      </pic:pic>
                    </a:graphicData>
                  </a:graphic>
                </wp:inline>
              </w:drawing>
            </w:r>
          </w:p>
        </w:tc>
        <w:tc>
          <w:tcPr>
            <w:tcW w:w="1066"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1200*600*450</w:t>
            </w:r>
          </w:p>
        </w:tc>
        <w:tc>
          <w:tcPr>
            <w:tcW w:w="6742" w:type="dxa"/>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面材：采用白蜡木实木，经干燥、防虫、防腐处理，不翘曲、不变形；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油漆：选用台湾“大宝”油漆，光泽丰满，附着力强，耐腐蚀性，耐水耐磨，引用意大利先进油漆工艺“五底三面”，光泽均匀，硬度高达3H，抗刮性强，不褪色；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五金件：采用广东“DTC”五金配件。</w:t>
            </w:r>
          </w:p>
        </w:tc>
        <w:tc>
          <w:tcPr>
            <w:tcW w:w="825"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可选</w:t>
            </w:r>
          </w:p>
        </w:tc>
        <w:tc>
          <w:tcPr>
            <w:tcW w:w="630"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35"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bl>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2、采购清单中的“桌子”（序号17）为本次采购的核心产品。</w:t>
      </w:r>
    </w:p>
    <w:p>
      <w:pPr>
        <w:spacing w:line="360" w:lineRule="auto"/>
        <w:rPr>
          <w:rFonts w:hint="default" w:ascii="宋体" w:hAnsi="宋体"/>
          <w:b/>
          <w:bCs/>
          <w:color w:val="auto"/>
          <w:highlight w:val="none"/>
          <w:lang w:val="en-US" w:eastAsia="zh-CN"/>
        </w:rPr>
      </w:pPr>
      <w:r>
        <w:rPr>
          <w:rFonts w:hint="eastAsia" w:ascii="宋体" w:hAnsi="宋体"/>
          <w:b/>
          <w:bCs/>
          <w:color w:val="auto"/>
          <w:highlight w:val="none"/>
          <w:lang w:val="en-US" w:eastAsia="zh-CN"/>
        </w:rPr>
        <w:t>3、</w:t>
      </w:r>
      <w:r>
        <w:rPr>
          <w:rFonts w:hint="eastAsia" w:ascii="宋体" w:hAnsi="宋体" w:eastAsia="宋体" w:cs="宋体"/>
          <w:b/>
          <w:bCs/>
          <w:color w:val="auto"/>
          <w:sz w:val="21"/>
          <w:szCs w:val="21"/>
          <w:highlight w:val="none"/>
          <w:lang w:val="en-US" w:eastAsia="zh-CN"/>
        </w:rPr>
        <w:t>清单中标有★的技术参数要求，需提供有资质的第三方检测机构出具的封面有CMA或CNAS标志的符合要求的检测报告。</w:t>
      </w:r>
    </w:p>
    <w:p>
      <w:pPr>
        <w:spacing w:line="360" w:lineRule="auto"/>
        <w:rPr>
          <w:rFonts w:hint="default" w:ascii="宋体" w:hAnsi="宋体" w:cs="宋体"/>
          <w:b/>
          <w:bCs/>
          <w:color w:val="auto"/>
          <w:sz w:val="28"/>
          <w:szCs w:val="28"/>
          <w:highlight w:val="none"/>
          <w:lang w:val="en-US" w:eastAsia="zh-CN"/>
        </w:rPr>
      </w:pPr>
      <w:r>
        <w:rPr>
          <w:rFonts w:hint="eastAsia" w:ascii="宋体" w:hAnsi="宋体"/>
          <w:b/>
          <w:bCs/>
          <w:color w:val="auto"/>
          <w:highlight w:val="none"/>
          <w:lang w:val="en-US" w:eastAsia="zh-CN"/>
        </w:rPr>
        <w:t>4、采购清单中如要求投标时提供检测报告的，请各供应商在投标文件中注明检测报告所在页码，以方便评审时查阅。</w:t>
      </w:r>
    </w:p>
    <w:p>
      <w:pPr>
        <w:spacing w:line="360" w:lineRule="auto"/>
        <w:rPr>
          <w:rFonts w:hint="eastAsia" w:ascii="宋体" w:hAnsi="宋体" w:eastAsia="宋体" w:cs="宋体"/>
          <w:b/>
          <w:bCs/>
          <w:color w:val="auto"/>
          <w:sz w:val="21"/>
          <w:szCs w:val="21"/>
          <w:highlight w:val="none"/>
          <w:lang w:val="en-US" w:eastAsia="zh-CN"/>
        </w:rPr>
      </w:pPr>
    </w:p>
    <w:p>
      <w:pPr>
        <w:rPr>
          <w:rFonts w:hint="eastAsia" w:ascii="宋体" w:hAnsi="宋体"/>
          <w:b/>
          <w:bCs/>
          <w:color w:val="auto"/>
          <w:highlight w:val="none"/>
          <w:lang w:val="en-US" w:eastAsia="zh-CN"/>
        </w:rPr>
        <w:sectPr>
          <w:headerReference r:id="rId6" w:type="default"/>
          <w:footerReference r:id="rId7" w:type="default"/>
          <w:pgSz w:w="16838" w:h="11906" w:orient="landscape"/>
          <w:pgMar w:top="1440" w:right="1080" w:bottom="1440" w:left="108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rPr>
          <w:rFonts w:hint="eastAsia" w:ascii="宋体" w:hAnsi="宋体" w:eastAsia="宋体"/>
          <w:b/>
          <w:color w:val="auto"/>
          <w:highlight w:val="none"/>
          <w:lang w:eastAsia="zh-CN"/>
        </w:rPr>
      </w:pPr>
      <w:r>
        <w:rPr>
          <w:rFonts w:hint="eastAsia" w:ascii="宋体" w:hAnsi="宋体"/>
          <w:b/>
          <w:bCs/>
          <w:color w:val="auto"/>
          <w:highlight w:val="none"/>
          <w:lang w:val="en-US" w:eastAsia="zh-CN"/>
        </w:rPr>
        <w:t>二</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w:t>
      </w:r>
      <w:r>
        <w:rPr>
          <w:rFonts w:hint="eastAsia" w:ascii="宋体" w:hAnsi="宋体"/>
          <w:b w:val="0"/>
          <w:bCs w:val="0"/>
          <w:color w:val="auto"/>
          <w:highlight w:val="none"/>
          <w:lang w:val="en-US" w:eastAsia="zh-CN"/>
        </w:rPr>
        <w:t>桌子</w:t>
      </w:r>
      <w:r>
        <w:rPr>
          <w:rFonts w:hint="eastAsia" w:ascii="宋体" w:hAnsi="宋体"/>
          <w:b w:val="0"/>
          <w:bCs w:val="0"/>
          <w:color w:val="auto"/>
          <w:highlight w:val="none"/>
        </w:rPr>
        <w:t>（采购清单序号</w:t>
      </w:r>
      <w:r>
        <w:rPr>
          <w:rFonts w:hint="eastAsia" w:ascii="宋体" w:hAnsi="宋体"/>
          <w:b w:val="0"/>
          <w:bCs w:val="0"/>
          <w:color w:val="auto"/>
          <w:highlight w:val="none"/>
          <w:lang w:val="en-US" w:eastAsia="zh-CN"/>
        </w:rPr>
        <w:t>17</w:t>
      </w:r>
      <w:r>
        <w:rPr>
          <w:rFonts w:hint="eastAsia" w:ascii="宋体" w:hAnsi="宋体"/>
          <w:b w:val="0"/>
          <w:bCs w:val="0"/>
          <w:color w:val="auto"/>
          <w:highlight w:val="none"/>
        </w:rPr>
        <w:t>）一张</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w:t>
      </w:r>
      <w:r>
        <w:rPr>
          <w:rFonts w:hint="eastAsia" w:ascii="宋体" w:hAnsi="宋体"/>
          <w:b w:val="0"/>
          <w:bCs w:val="0"/>
          <w:color w:val="auto"/>
          <w:highlight w:val="none"/>
          <w:lang w:val="en-US" w:eastAsia="zh-CN"/>
        </w:rPr>
        <w:t>椅子</w:t>
      </w:r>
      <w:r>
        <w:rPr>
          <w:rFonts w:hint="eastAsia" w:ascii="宋体" w:hAnsi="宋体"/>
          <w:b w:val="0"/>
          <w:bCs w:val="0"/>
          <w:color w:val="auto"/>
          <w:highlight w:val="none"/>
        </w:rPr>
        <w:t>（采购清单序号</w:t>
      </w:r>
      <w:r>
        <w:rPr>
          <w:rFonts w:hint="eastAsia" w:ascii="宋体" w:hAnsi="宋体"/>
          <w:b w:val="0"/>
          <w:bCs w:val="0"/>
          <w:color w:val="auto"/>
          <w:highlight w:val="none"/>
          <w:lang w:val="en-US" w:eastAsia="zh-CN"/>
        </w:rPr>
        <w:t>18</w:t>
      </w:r>
      <w:r>
        <w:rPr>
          <w:rFonts w:hint="eastAsia" w:ascii="宋体" w:hAnsi="宋体"/>
          <w:b w:val="0"/>
          <w:bCs w:val="0"/>
          <w:color w:val="auto"/>
          <w:highlight w:val="none"/>
        </w:rPr>
        <w:t>）一把</w:t>
      </w:r>
    </w:p>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样品请于投标截止时间前送至宁波市北仑区四明山路773号行政大楼B座，并完成摆放。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三、其他要求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四、关于验收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1、家具安装调试完成，</w:t>
      </w:r>
      <w:r>
        <w:rPr>
          <w:rFonts w:hint="eastAsia" w:ascii="宋体" w:hAnsi="宋体"/>
          <w:color w:val="auto"/>
          <w:highlight w:val="none"/>
        </w:rPr>
        <w:t>经初验合格，进入试</w:t>
      </w:r>
      <w:r>
        <w:rPr>
          <w:rFonts w:hint="eastAsia" w:ascii="宋体" w:hAnsi="宋体"/>
          <w:color w:val="auto"/>
          <w:highlight w:val="none"/>
          <w:lang w:val="en-US" w:eastAsia="zh-CN"/>
        </w:rPr>
        <w:t>用期</w:t>
      </w:r>
      <w:r>
        <w:rPr>
          <w:rFonts w:hint="eastAsia" w:ascii="宋体" w:hAnsi="宋体"/>
          <w:color w:val="auto"/>
          <w:highlight w:val="none"/>
        </w:rPr>
        <w:t>，试</w:t>
      </w:r>
      <w:r>
        <w:rPr>
          <w:rFonts w:hint="eastAsia" w:ascii="宋体" w:hAnsi="宋体"/>
          <w:color w:val="auto"/>
          <w:highlight w:val="none"/>
          <w:lang w:val="en-US" w:eastAsia="zh-CN"/>
        </w:rPr>
        <w:t>用期</w:t>
      </w:r>
      <w:r>
        <w:rPr>
          <w:rFonts w:hint="eastAsia" w:ascii="宋体" w:hAnsi="宋体"/>
          <w:color w:val="auto"/>
          <w:highlight w:val="none"/>
        </w:rPr>
        <w:t>时间为</w:t>
      </w:r>
      <w:r>
        <w:rPr>
          <w:rFonts w:hint="eastAsia" w:ascii="宋体" w:hAnsi="宋体"/>
          <w:color w:val="auto"/>
          <w:highlight w:val="none"/>
          <w:lang w:val="en-US" w:eastAsia="zh-CN"/>
        </w:rPr>
        <w:t>一</w:t>
      </w:r>
      <w:r>
        <w:rPr>
          <w:rFonts w:hint="eastAsia" w:ascii="宋体" w:hAnsi="宋体"/>
          <w:color w:val="auto"/>
          <w:highlight w:val="none"/>
        </w:rPr>
        <w:t>个月</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五、特别说明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line="360" w:lineRule="auto"/>
        <w:rPr>
          <w:rFonts w:hint="eastAsia" w:ascii="宋体" w:hAnsi="宋体"/>
          <w:color w:val="auto"/>
          <w:highlight w:val="none"/>
        </w:rPr>
      </w:pPr>
    </w:p>
    <w:p>
      <w:pPr>
        <w:spacing w:before="62" w:beforeLines="20" w:after="62" w:afterLines="20" w:line="288"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采购合同（货物）</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ascii="宋体" w:hAnsi="宋体"/>
          <w:color w:val="auto"/>
          <w:szCs w:val="21"/>
          <w:highlight w:val="none"/>
        </w:rPr>
        <w:t>甲、乙双方根据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没收履约保证金（如有）</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eastAsia="zh-CN"/>
        </w:rPr>
        <w:t>身</w:t>
      </w:r>
      <w:r>
        <w:rPr>
          <w:rFonts w:ascii="宋体" w:hAnsi="宋体"/>
          <w:color w:val="auto"/>
          <w:szCs w:val="21"/>
          <w:highlight w:val="none"/>
        </w:rPr>
        <w:t>维修，维修时只收部件成本费。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甲方无故逾期验收和办理货款支付手续的</w:t>
      </w:r>
      <w:r>
        <w:rPr>
          <w:rFonts w:hint="eastAsia" w:ascii="宋体" w:hAnsi="宋体"/>
          <w:color w:val="auto"/>
          <w:szCs w:val="21"/>
          <w:highlight w:val="none"/>
        </w:rPr>
        <w:t>，</w:t>
      </w:r>
      <w:r>
        <w:rPr>
          <w:rFonts w:ascii="宋体" w:hAnsi="宋体"/>
          <w:color w:val="auto"/>
          <w:szCs w:val="21"/>
          <w:highlight w:val="none"/>
        </w:rPr>
        <w:t>甲方应按逾期付款总额每日万分之五向乙方支付违约金。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不可抗力事件延续120天以上，双方应通过友好协商，确定是否继续履行合同。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ascii="宋体" w:hAnsi="宋体"/>
          <w:color w:val="auto"/>
          <w:szCs w:val="21"/>
          <w:highlight w:val="none"/>
        </w:rPr>
        <w:t>双方在执行合同中所发生的一切争议，应通过协商解决。如协商不成，可向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adjustRightInd w:val="0"/>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双方各执</w:t>
      </w:r>
      <w:r>
        <w:rPr>
          <w:rFonts w:hint="eastAsia" w:ascii="宋体" w:hAnsi="宋体"/>
          <w:color w:val="auto"/>
          <w:szCs w:val="21"/>
          <w:highlight w:val="none"/>
          <w:u w:val="single"/>
        </w:rPr>
        <w:t xml:space="preserve">    </w:t>
      </w:r>
      <w:r>
        <w:rPr>
          <w:rFonts w:hint="eastAsia" w:ascii="宋体" w:hAnsi="宋体"/>
          <w:color w:val="auto"/>
          <w:szCs w:val="21"/>
          <w:highlight w:val="none"/>
        </w:rPr>
        <w:t>份，区政务服务中心</w:t>
      </w:r>
      <w:r>
        <w:rPr>
          <w:rFonts w:hint="eastAsia" w:ascii="宋体" w:hAnsi="宋体"/>
          <w:color w:val="auto"/>
          <w:highlight w:val="none"/>
        </w:rPr>
        <w:t>一份。</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地址：                                         地址：</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3、如果是</w:t>
      </w:r>
      <w:r>
        <w:rPr>
          <w:rFonts w:hint="eastAsia" w:ascii="宋体" w:hAnsi="宋体" w:cs="宋体"/>
          <w:color w:val="auto"/>
          <w:sz w:val="21"/>
          <w:szCs w:val="21"/>
          <w:highlight w:val="none"/>
          <w:lang w:val="en-US" w:eastAsia="zh-CN"/>
        </w:rPr>
        <w:t>分支机构（分公司）</w:t>
      </w:r>
      <w:r>
        <w:rPr>
          <w:rFonts w:hint="eastAsia" w:ascii="宋体" w:hAnsi="宋体" w:eastAsia="宋体" w:cs="宋体"/>
          <w:color w:val="auto"/>
          <w:sz w:val="21"/>
          <w:szCs w:val="21"/>
          <w:highlight w:val="none"/>
        </w:rPr>
        <w:t>投标的，除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保险、电信等特定行业外，投标人应按招标文件第三部分投标人须知</w:t>
      </w:r>
      <w:r>
        <w:rPr>
          <w:rFonts w:hint="eastAsia" w:ascii="宋体" w:hAnsi="宋体" w:cs="宋体"/>
          <w:color w:val="auto"/>
          <w:sz w:val="21"/>
          <w:szCs w:val="21"/>
          <w:highlight w:val="none"/>
          <w:lang w:val="en-US" w:eastAsia="zh-CN"/>
        </w:rPr>
        <w:t>中的</w:t>
      </w:r>
      <w:r>
        <w:rPr>
          <w:rFonts w:hint="eastAsia" w:ascii="宋体" w:hAnsi="宋体" w:eastAsia="宋体" w:cs="宋体"/>
          <w:color w:val="auto"/>
          <w:sz w:val="21"/>
          <w:szCs w:val="21"/>
          <w:highlight w:val="none"/>
        </w:rPr>
        <w:t>要求提供总公司营业执照和授权书</w:t>
      </w:r>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w:t>
      </w:r>
      <w:r>
        <w:rPr>
          <w:rFonts w:hint="eastAsia" w:ascii="宋体" w:hAnsi="宋体" w:eastAsia="宋体" w:cs="宋体"/>
          <w:color w:val="auto"/>
          <w:sz w:val="21"/>
          <w:szCs w:val="21"/>
          <w:highlight w:val="none"/>
          <w:lang w:val="en-US" w:eastAsia="zh-CN"/>
        </w:rPr>
        <w:t>分支机构（</w:t>
      </w:r>
      <w:r>
        <w:rPr>
          <w:rFonts w:hint="eastAsia" w:ascii="宋体" w:hAnsi="宋体" w:eastAsia="宋体" w:cs="宋体"/>
          <w:color w:val="auto"/>
          <w:sz w:val="21"/>
          <w:szCs w:val="21"/>
          <w:highlight w:val="none"/>
        </w:rPr>
        <w:t>分公司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提供总公司营业执照和授权书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default" w:ascii="宋体" w:hAnsi="宋体"/>
          <w:color w:val="auto"/>
          <w:sz w:val="21"/>
          <w:szCs w:val="21"/>
          <w:highlight w:val="none"/>
          <w:lang w:val="en-US" w:eastAsia="zh-CN"/>
        </w:rPr>
        <w:t>资格审查不</w:t>
      </w:r>
      <w:r>
        <w:rPr>
          <w:rFonts w:hint="eastAsia" w:ascii="宋体" w:hAnsi="宋体"/>
          <w:color w:val="auto"/>
          <w:sz w:val="21"/>
          <w:szCs w:val="21"/>
          <w:highlight w:val="none"/>
          <w:lang w:val="en-US" w:eastAsia="zh-CN"/>
        </w:rPr>
        <w:t>予</w:t>
      </w:r>
      <w:r>
        <w:rPr>
          <w:rFonts w:hint="default" w:ascii="宋体" w:hAnsi="宋体"/>
          <w:color w:val="auto"/>
          <w:sz w:val="21"/>
          <w:szCs w:val="21"/>
          <w:highlight w:val="none"/>
          <w:lang w:val="en-US" w:eastAsia="zh-CN"/>
        </w:rPr>
        <w:t>通过。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新碶小学行政楼家具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BLZFCG2024053</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76"/>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优惠承诺及合理化建议（内容格式自拟，要求见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证书及荣誉情况表（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16、投标产品取得节能环保认证证书情况表</w:t>
      </w:r>
      <w:r>
        <w:rPr>
          <w:rFonts w:hint="eastAsia" w:ascii="宋体" w:hAnsi="宋体"/>
          <w:color w:val="auto"/>
          <w:highlight w:val="none"/>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17、</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新碶小学行政楼家具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BLZFCG2024053</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170"/>
        <w:gridCol w:w="1779"/>
      </w:tblGrid>
      <w:tr>
        <w:tblPrEx>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17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77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trPr>
        <w:tc>
          <w:tcPr>
            <w:tcW w:w="9342" w:type="dxa"/>
            <w:gridSpan w:val="5"/>
            <w:noWrap w:val="0"/>
            <w:vAlign w:val="center"/>
          </w:tcPr>
          <w:p>
            <w:pPr>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证书及荣誉情况表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1、对照评分标准表，表后附相关证书及荣誉的原件彩色扫描件，未提供的，相关项目不得分。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1、提供符合本招标文件要求的类似项目业绩，表后附合同和验收证明的原件彩色扫描件，未提供的，相关项目不得分。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投标产品取得节能环</w:t>
      </w:r>
      <w:r>
        <w:rPr>
          <w:rFonts w:hint="eastAsia" w:eastAsia="黑体"/>
          <w:color w:val="auto"/>
          <w:spacing w:val="20"/>
          <w:sz w:val="36"/>
          <w:szCs w:val="32"/>
          <w:highlight w:val="none"/>
          <w:lang w:val="en-US" w:eastAsia="zh-CN"/>
        </w:rPr>
        <w:t>保</w:t>
      </w:r>
      <w:r>
        <w:rPr>
          <w:rFonts w:hint="eastAsia" w:eastAsia="黑体"/>
          <w:color w:val="auto"/>
          <w:spacing w:val="20"/>
          <w:sz w:val="36"/>
          <w:szCs w:val="32"/>
          <w:highlight w:val="none"/>
        </w:rPr>
        <w:t>认证证书情况表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76"/>
        <w:gridCol w:w="1367"/>
        <w:gridCol w:w="856"/>
        <w:gridCol w:w="2564"/>
        <w:gridCol w:w="1665"/>
        <w:gridCol w:w="960"/>
        <w:gridCol w:w="1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产品名称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品牌</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制造商（生产者）名称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证书颁发机构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证书有效截止日期</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证书扫描件（或网页截图）在投标文件对应页码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一、</w:t>
            </w:r>
            <w:r>
              <w:rPr>
                <w:rFonts w:hint="eastAsia" w:ascii="宋体" w:hAnsi="宋体" w:eastAsia="宋体" w:cs="宋体"/>
                <w:b/>
                <w:bCs/>
                <w:i w:val="0"/>
                <w:color w:val="auto"/>
                <w:sz w:val="21"/>
                <w:szCs w:val="21"/>
                <w:highlight w:val="none"/>
                <w:u w:val="none"/>
              </w:rPr>
              <w:t>节能产品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二、</w:t>
            </w:r>
            <w:r>
              <w:rPr>
                <w:rFonts w:hint="eastAsia" w:ascii="宋体" w:hAnsi="宋体" w:eastAsia="宋体" w:cs="宋体"/>
                <w:b/>
                <w:bCs/>
                <w:i w:val="0"/>
                <w:color w:val="auto"/>
                <w:sz w:val="21"/>
                <w:szCs w:val="21"/>
                <w:highlight w:val="none"/>
                <w:u w:val="none"/>
              </w:rPr>
              <w:t>环境标志产品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、根据现行政府采购政策</w:t>
      </w:r>
      <w:r>
        <w:rPr>
          <w:rFonts w:hint="eastAsia" w:ascii="宋体" w:hAnsi="宋体" w:cs="宋体"/>
          <w:color w:val="auto"/>
          <w:highlight w:val="none"/>
          <w:lang w:val="en-US" w:eastAsia="zh-CN"/>
        </w:rPr>
        <w:t>和</w:t>
      </w:r>
      <w:r>
        <w:rPr>
          <w:rFonts w:hint="eastAsia" w:ascii="宋体" w:hAnsi="宋体" w:eastAsia="宋体" w:cs="宋体"/>
          <w:color w:val="auto"/>
          <w:highlight w:val="none"/>
          <w:lang w:eastAsia="zh-CN"/>
        </w:rPr>
        <w:t>招标文件要求提供</w:t>
      </w:r>
      <w:r>
        <w:rPr>
          <w:rFonts w:hint="eastAsia" w:ascii="宋体" w:hAnsi="宋体" w:cs="宋体"/>
          <w:color w:val="auto"/>
          <w:highlight w:val="none"/>
          <w:lang w:val="en-US" w:eastAsia="zh-CN"/>
        </w:rPr>
        <w:t>投标</w:t>
      </w:r>
      <w:r>
        <w:rPr>
          <w:rFonts w:hint="eastAsia" w:ascii="宋体" w:hAnsi="宋体" w:eastAsia="宋体" w:cs="宋体"/>
          <w:color w:val="auto"/>
          <w:highlight w:val="none"/>
          <w:lang w:eastAsia="zh-CN"/>
        </w:rPr>
        <w:t>产品取得节能环保认证的证明材料，未提供的相关项目不得分。施行强制采购的节能产品，没有提供</w:t>
      </w:r>
      <w:r>
        <w:rPr>
          <w:rFonts w:hint="eastAsia" w:ascii="宋体" w:hAnsi="宋体" w:cs="宋体"/>
          <w:color w:val="auto"/>
          <w:highlight w:val="none"/>
          <w:lang w:val="en-US" w:eastAsia="zh-CN"/>
        </w:rPr>
        <w:t>节能</w:t>
      </w:r>
      <w:r>
        <w:rPr>
          <w:rFonts w:hint="eastAsia" w:ascii="宋体" w:hAnsi="宋体" w:eastAsia="宋体" w:cs="宋体"/>
          <w:color w:val="auto"/>
          <w:highlight w:val="none"/>
          <w:lang w:eastAsia="zh-CN"/>
        </w:rPr>
        <w:t>认证证明的</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投标无效。</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5、政府采购统计基础信息表（见</w:t>
      </w:r>
      <w:r>
        <w:rPr>
          <w:rFonts w:hint="eastAsia" w:ascii="宋体" w:hAnsi="宋体"/>
          <w:color w:val="auto"/>
          <w:highlight w:val="none"/>
        </w:rPr>
        <w:t>格式</w:t>
      </w:r>
      <w:r>
        <w:rPr>
          <w:rFonts w:hint="eastAsia" w:ascii="宋体" w:hAnsi="宋体"/>
          <w:color w:val="auto"/>
          <w:highlight w:val="none"/>
          <w:lang w:val="en-US" w:eastAsia="zh-CN"/>
        </w:rPr>
        <w:t>18）</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6、投标人认为需要提供的其他材料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新碶小学行政楼家具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BLZFCG2024053</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新碶小学行政楼家具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新碶小学行政楼家具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BLZFCG2024053</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政府采购统计基础信息表</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u w:val="single"/>
          <w:lang w:eastAsia="zh-CN"/>
        </w:rPr>
        <w:t>新碶小学行政楼家具</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u w:val="single"/>
          <w:lang w:eastAsia="zh-CN"/>
        </w:rPr>
        <w:t>BLZFCG2024053</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56"/>
        <w:gridCol w:w="5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投标单位名称</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是否国内企业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是否宁波企业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企业划分标准类型（大型、中型、小型、微型）</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提供的货物是否本企业制造</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由本单位制造的货物金额为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万元，提供其他大型企业制造的货物金额为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万元、其他中型企业制造的货物金额为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万元、其他小型企业制造的货物金额为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万元、其他微型企业制造的货物金额为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货物原产地是否是中国境内</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原产地为中国境内货物金额为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货物原产地是否是宁波</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原产地为宁波货物金额为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提供的货物是否是认证的节能产品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认证的节能产品货物金额为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提供的货物是否是认证的环境标志产品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认证的环境标志产品货物金额为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承担的服务是否本企业提供</w:t>
            </w:r>
          </w:p>
        </w:tc>
        <w:tc>
          <w:tcPr>
            <w:tcW w:w="5190" w:type="dxa"/>
            <w:noWrap w:val="0"/>
            <w:vAlign w:val="center"/>
          </w:tcPr>
          <w:p>
            <w:pP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、企业划分标准，按照（工信部联企业[2011]300号）文件的规定。</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投标人名称（CA签章）：</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日      期：</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评标委员会对具备实质性响应的技术商务文件进行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按照评分标准表（具体见本部分评分标准表）对各投标人技术商务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4.4评审结果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eastAsia="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eastAsia="宋体" w:cs="宋体"/>
          <w:color w:val="auto"/>
          <w:sz w:val="21"/>
          <w:szCs w:val="21"/>
          <w:highlight w:val="none"/>
          <w:lang w:val="en-US" w:eastAsia="zh-CN"/>
        </w:rPr>
        <w:t>评分标准表1-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项合计得分</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spacing w:line="360" w:lineRule="auto"/>
        <w:ind w:left="0" w:firstLine="0"/>
        <w:jc w:val="left"/>
        <w:rPr>
          <w:rFonts w:hint="eastAsia" w:ascii="宋体" w:hAnsi="宋体" w:eastAsia="宋体" w:cs="宋体"/>
          <w:b/>
          <w:bCs/>
          <w:color w:val="auto"/>
          <w:sz w:val="21"/>
          <w:highlight w:val="none"/>
        </w:rPr>
      </w:pPr>
      <w:r>
        <w:rPr>
          <w:rFonts w:hint="eastAsia" w:ascii="宋体" w:hAnsi="宋体" w:eastAsia="宋体" w:cs="宋体"/>
          <w:color w:val="auto"/>
          <w:sz w:val="21"/>
          <w:highlight w:val="none"/>
        </w:rPr>
        <w:br w:type="page"/>
      </w:r>
      <w:r>
        <w:rPr>
          <w:rFonts w:hint="eastAsia" w:ascii="宋体" w:hAnsi="宋体" w:eastAsia="宋体" w:cs="宋体"/>
          <w:b/>
          <w:bCs/>
          <w:color w:val="auto"/>
          <w:sz w:val="21"/>
          <w:highlight w:val="none"/>
        </w:rPr>
        <w:t>附：</w:t>
      </w:r>
    </w:p>
    <w:p>
      <w:pPr>
        <w:adjustRightInd w:val="0"/>
        <w:snapToGrid w:val="0"/>
        <w:spacing w:before="156" w:beforeLines="50" w:after="156" w:afterLines="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评分标准表</w:t>
      </w:r>
    </w:p>
    <w:tbl>
      <w:tblPr>
        <w:tblStyle w:val="5"/>
        <w:tblW w:w="939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10"/>
        <w:gridCol w:w="1777"/>
        <w:gridCol w:w="591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94"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评分项目</w:t>
            </w:r>
          </w:p>
        </w:tc>
        <w:tc>
          <w:tcPr>
            <w:tcW w:w="5913"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评分内容及标准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w:t>
            </w:r>
            <w:r>
              <w:rPr>
                <w:rFonts w:hint="eastAsia" w:ascii="宋体" w:hAnsi="宋体" w:eastAsia="宋体" w:cs="宋体"/>
                <w:b/>
                <w:bCs/>
                <w:color w:val="auto"/>
                <w:sz w:val="21"/>
                <w:szCs w:val="21"/>
                <w:highlight w:val="none"/>
                <w:lang w:val="en-US" w:eastAsia="zh-CN"/>
              </w:rPr>
              <w:t>商务</w:t>
            </w:r>
            <w:r>
              <w:rPr>
                <w:rFonts w:hint="eastAsia" w:ascii="宋体" w:hAnsi="宋体" w:eastAsia="宋体" w:cs="宋体"/>
                <w:b/>
                <w:bCs/>
                <w:color w:val="auto"/>
                <w:sz w:val="21"/>
                <w:szCs w:val="21"/>
                <w:highlight w:val="none"/>
              </w:rPr>
              <w:t xml:space="preserve">部分 </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技术指标响应情况</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对招标文件需求材质及技术要求指标进行响应，标▲的指标（如有）不得负偏离，否则投标无效，标★的指标（如有）每有1项负偏离扣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分，一般指标每有1项负偏离扣0.</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tc>
        <w:tc>
          <w:tcPr>
            <w:tcW w:w="992" w:type="dxa"/>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根据供应商所投产品的设计方案、加工生产流程、工艺结构图、效果图等以及投标产品响应招标文件技术需求情况进行评审。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技术方案合理的，得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技术方案一般的，得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技术方案有欠缺的，得1分；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无技术方案或技术方案不符要求的，不得分。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主辅材、零部件选用情况</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根据投标产品选用的主辅材料、零部件的制造商、品牌、技术性能、环保指标等因素（以检测报告做为评分参考）进行评审。</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样品（未提供样品或样品提供不全的，投标无效）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根据供应商提供样品的尺寸、款式造型等进行评审（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尺寸符合采购需求，款式造型美观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舒适的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尺寸与采购需求有细微偏离，款式造型较美观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较舒适</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尺寸与采购需求有</w:t>
            </w:r>
            <w:r>
              <w:rPr>
                <w:rFonts w:hint="eastAsia" w:ascii="宋体" w:hAnsi="宋体" w:eastAsia="宋体" w:cs="宋体"/>
                <w:color w:val="auto"/>
                <w:sz w:val="21"/>
                <w:szCs w:val="21"/>
                <w:highlight w:val="none"/>
                <w:lang w:val="en-US" w:eastAsia="zh-CN"/>
              </w:rPr>
              <w:t>少许</w:t>
            </w:r>
            <w:r>
              <w:rPr>
                <w:rFonts w:hint="eastAsia" w:ascii="宋体" w:hAnsi="宋体" w:eastAsia="宋体" w:cs="宋体"/>
                <w:color w:val="auto"/>
                <w:sz w:val="21"/>
                <w:szCs w:val="21"/>
                <w:highlight w:val="none"/>
              </w:rPr>
              <w:t>偏离，款式造型一般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舒适度一般</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尺寸与采购需求偏离大，款式造型不美观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舒适度差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提供的样品完全不符合的，不得分。</w:t>
            </w:r>
          </w:p>
        </w:tc>
        <w:tc>
          <w:tcPr>
            <w:tcW w:w="992" w:type="dxa"/>
            <w:vMerge w:val="restart"/>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根据供应商提供样品的制作工艺等进行评审（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牢固、严密、平整的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较牢固、严密、平整的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得3分；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牢固</w:t>
            </w:r>
            <w:r>
              <w:rPr>
                <w:rFonts w:hint="eastAsia" w:ascii="宋体" w:hAnsi="宋体" w:cs="宋体"/>
                <w:color w:val="auto"/>
                <w:sz w:val="21"/>
                <w:szCs w:val="21"/>
                <w:highlight w:val="none"/>
                <w:lang w:val="en-US" w:eastAsia="zh-CN"/>
              </w:rPr>
              <w:t>度</w:t>
            </w:r>
            <w:r>
              <w:rPr>
                <w:rFonts w:hint="eastAsia" w:ascii="宋体" w:hAnsi="宋体" w:eastAsia="宋体" w:cs="宋体"/>
                <w:color w:val="auto"/>
                <w:sz w:val="21"/>
                <w:szCs w:val="21"/>
                <w:highlight w:val="none"/>
              </w:rPr>
              <w:t>、严密</w:t>
            </w:r>
            <w:r>
              <w:rPr>
                <w:rFonts w:hint="eastAsia" w:ascii="宋体" w:hAnsi="宋体" w:cs="宋体"/>
                <w:color w:val="auto"/>
                <w:sz w:val="21"/>
                <w:szCs w:val="21"/>
                <w:highlight w:val="none"/>
                <w:lang w:val="en-US" w:eastAsia="zh-CN"/>
              </w:rPr>
              <w:t>度</w:t>
            </w:r>
            <w:r>
              <w:rPr>
                <w:rFonts w:hint="eastAsia" w:ascii="宋体" w:hAnsi="宋体" w:eastAsia="宋体" w:cs="宋体"/>
                <w:color w:val="auto"/>
                <w:sz w:val="21"/>
                <w:szCs w:val="21"/>
                <w:highlight w:val="none"/>
              </w:rPr>
              <w:t>、平整</w:t>
            </w:r>
            <w:r>
              <w:rPr>
                <w:rFonts w:hint="eastAsia" w:ascii="宋体" w:hAnsi="宋体" w:cs="宋体"/>
                <w:color w:val="auto"/>
                <w:sz w:val="21"/>
                <w:szCs w:val="21"/>
                <w:highlight w:val="none"/>
                <w:lang w:val="en-US" w:eastAsia="zh-CN"/>
              </w:rPr>
              <w:t>度一般</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制作工艺粗糙的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提供的样品完全不符合</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根据供应商提供样品的油漆涂饰等进行评审（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油漆涂饰平整光滑、无异味的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油漆涂饰较平整光滑、轻微异味的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油漆涂饰平整光滑</w:t>
            </w:r>
            <w:r>
              <w:rPr>
                <w:rFonts w:hint="eastAsia" w:ascii="宋体" w:hAnsi="宋体" w:cs="宋体"/>
                <w:color w:val="auto"/>
                <w:sz w:val="21"/>
                <w:szCs w:val="21"/>
                <w:highlight w:val="none"/>
                <w:lang w:val="en-US" w:eastAsia="zh-CN"/>
              </w:rPr>
              <w:t>度一般</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有点</w:t>
            </w:r>
            <w:r>
              <w:rPr>
                <w:rFonts w:hint="eastAsia" w:ascii="宋体" w:hAnsi="宋体" w:eastAsia="宋体" w:cs="宋体"/>
                <w:color w:val="auto"/>
                <w:sz w:val="21"/>
                <w:szCs w:val="21"/>
                <w:highlight w:val="none"/>
              </w:rPr>
              <w:t>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油漆涂饰不平整光滑、有异味的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提供的样品完全不符合的，不得分。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根据供应商样品所用</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材料、五金件等进行评审（</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w:t>
            </w:r>
            <w:r>
              <w:rPr>
                <w:rFonts w:hint="eastAsia" w:ascii="宋体" w:hAnsi="宋体" w:cs="宋体"/>
                <w:color w:val="auto"/>
                <w:sz w:val="21"/>
                <w:szCs w:val="21"/>
                <w:highlight w:val="none"/>
                <w:lang w:val="en-US" w:eastAsia="zh-CN"/>
              </w:rPr>
              <w:t>好</w:t>
            </w:r>
            <w:r>
              <w:rPr>
                <w:rFonts w:hint="eastAsia" w:ascii="宋体" w:hAnsi="宋体" w:eastAsia="宋体" w:cs="宋体"/>
                <w:color w:val="auto"/>
                <w:sz w:val="21"/>
                <w:szCs w:val="21"/>
                <w:highlight w:val="none"/>
              </w:rPr>
              <w:t>、等级</w:t>
            </w:r>
            <w:r>
              <w:rPr>
                <w:rFonts w:hint="eastAsia" w:ascii="宋体" w:hAnsi="宋体" w:cs="宋体"/>
                <w:color w:val="auto"/>
                <w:sz w:val="21"/>
                <w:szCs w:val="21"/>
                <w:highlight w:val="none"/>
                <w:lang w:val="en-US" w:eastAsia="zh-CN"/>
              </w:rPr>
              <w:t>高</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w:t>
            </w:r>
            <w:r>
              <w:rPr>
                <w:rFonts w:hint="eastAsia" w:ascii="宋体" w:hAnsi="宋体" w:cs="宋体"/>
                <w:color w:val="auto"/>
                <w:sz w:val="21"/>
                <w:szCs w:val="21"/>
                <w:highlight w:val="none"/>
                <w:lang w:val="en-US" w:eastAsia="zh-CN"/>
              </w:rPr>
              <w:t>优良</w:t>
            </w:r>
            <w:r>
              <w:rPr>
                <w:rFonts w:hint="eastAsia" w:ascii="宋体" w:hAnsi="宋体" w:eastAsia="宋体" w:cs="宋体"/>
                <w:color w:val="auto"/>
                <w:sz w:val="21"/>
                <w:szCs w:val="21"/>
                <w:highlight w:val="none"/>
              </w:rPr>
              <w:t>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尚可</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效果一般的，得2分；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rPr>
              <w:t>、效果有欠缺的，得1分；</w:t>
            </w:r>
          </w:p>
          <w:p>
            <w:pPr>
              <w:rPr>
                <w:rFonts w:hint="eastAsia"/>
                <w:color w:val="auto"/>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效果不符</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根据供货方案、安装组织措施、人员安排、进度计划、保障措施等情况进行评审</w:t>
            </w:r>
            <w:r>
              <w:rPr>
                <w:rFonts w:hint="eastAsia" w:ascii="宋体" w:hAnsi="宋体" w:eastAsia="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方案完整、可保障项目顺利实施的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完整、细节的缺漏不足以影响项目顺利实施的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方案有明显缺失，</w:t>
            </w:r>
            <w:r>
              <w:rPr>
                <w:rFonts w:hint="eastAsia" w:ascii="宋体" w:hAnsi="宋体" w:eastAsia="宋体" w:cs="宋体"/>
                <w:color w:val="auto"/>
                <w:sz w:val="21"/>
                <w:szCs w:val="21"/>
                <w:highlight w:val="none"/>
                <w:lang w:val="en-US" w:eastAsia="zh-CN"/>
              </w:rPr>
              <w:t>可能</w:t>
            </w:r>
            <w:r>
              <w:rPr>
                <w:rFonts w:hint="eastAsia" w:ascii="宋体" w:hAnsi="宋体" w:eastAsia="宋体" w:cs="宋体"/>
                <w:color w:val="auto"/>
                <w:sz w:val="21"/>
                <w:szCs w:val="21"/>
                <w:highlight w:val="none"/>
              </w:rPr>
              <w:t>影响项目顺利实施的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质量保证和售后服务</w:t>
            </w:r>
            <w:r>
              <w:rPr>
                <w:rFonts w:hint="eastAsia" w:ascii="宋体" w:hAnsi="宋体" w:eastAsia="宋体" w:cs="宋体"/>
                <w:color w:val="auto"/>
                <w:sz w:val="21"/>
                <w:szCs w:val="21"/>
                <w:highlight w:val="none"/>
                <w:lang w:val="en-US" w:eastAsia="zh-CN"/>
              </w:rPr>
              <w:t>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根据供应商提供的质量保证</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及售后服务方案</w:t>
            </w:r>
            <w:r>
              <w:rPr>
                <w:rFonts w:hint="eastAsia" w:ascii="宋体" w:hAnsi="宋体" w:eastAsia="宋体" w:cs="宋体"/>
                <w:color w:val="auto"/>
                <w:sz w:val="21"/>
                <w:szCs w:val="21"/>
                <w:highlight w:val="none"/>
                <w:lang w:eastAsia="zh-CN"/>
              </w:rPr>
              <w:t>（包括服务响应、故障处理、质保期服务</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进行评审。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方案完全满足采购需求，服务体系完善、响应及时、服务保障措施到位的，得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方案基本满足采购需求，服务措施及承诺中存在不足或缺失、或响应不够及时的，得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方案部分满足采购需求，服务承诺不完整、或有比较明显不合理之处的，得1分；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质保期</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质保期在满足招标文件要求的基础上，每增加</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年得1分,最多得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优惠承诺及合理化建议</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根据供应商提供的合理化建议和优惠承诺进行评审。</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lang w:eastAsia="zh-CN"/>
              </w:rPr>
            </w:pPr>
            <w:r>
              <w:rPr>
                <w:rFonts w:hint="eastAsia" w:ascii="宋体" w:hAnsi="宋体" w:eastAsia="宋体" w:cs="宋体"/>
                <w:strike w:val="0"/>
                <w:dstrike w:val="0"/>
                <w:color w:val="auto"/>
                <w:sz w:val="21"/>
                <w:szCs w:val="21"/>
                <w:highlight w:val="none"/>
              </w:rPr>
              <w:t>1</w:t>
            </w:r>
            <w:r>
              <w:rPr>
                <w:rFonts w:hint="eastAsia" w:ascii="宋体" w:hAnsi="宋体" w:cs="宋体"/>
                <w:strike w:val="0"/>
                <w:dstrike w:val="0"/>
                <w:color w:val="auto"/>
                <w:sz w:val="21"/>
                <w:szCs w:val="21"/>
                <w:highlight w:val="none"/>
                <w:lang w:val="en-US" w:eastAsia="zh-CN"/>
              </w:rPr>
              <w:t>2</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认证证书</w:t>
            </w:r>
          </w:p>
        </w:tc>
        <w:tc>
          <w:tcPr>
            <w:tcW w:w="5913" w:type="dxa"/>
            <w:noWrap w:val="0"/>
            <w:tcMar>
              <w:top w:w="113" w:type="dxa"/>
              <w:left w:w="113" w:type="dxa"/>
              <w:bottom w:w="113" w:type="dxa"/>
              <w:right w:w="113" w:type="dxa"/>
            </w:tcMar>
            <w:vAlign w:val="center"/>
          </w:tcPr>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核心产品的生产厂家均具有有效质量管理体系认证证书的，得1分。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核心产品的生产厂家均具有有效环境管理体系认证证书的，得1分。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核心产品的生产厂家均具有有效职业健康安全管理体系认证证书的，得1分。</w:t>
            </w:r>
          </w:p>
          <w:p>
            <w:pPr>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color w:val="auto"/>
                <w:sz w:val="21"/>
                <w:szCs w:val="21"/>
                <w:highlight w:val="none"/>
                <w:lang w:val="en-US" w:eastAsia="zh-CN"/>
              </w:rPr>
              <w:t>在投标文件</w:t>
            </w:r>
            <w:r>
              <w:rPr>
                <w:rFonts w:hint="eastAsia" w:ascii="宋体" w:hAnsi="宋体" w:eastAsia="宋体" w:cs="宋体"/>
                <w:b/>
                <w:bCs/>
                <w:strike w:val="0"/>
                <w:dstrike w:val="0"/>
                <w:color w:val="auto"/>
                <w:sz w:val="21"/>
                <w:szCs w:val="21"/>
                <w:highlight w:val="none"/>
              </w:rPr>
              <w:t>中</w:t>
            </w:r>
            <w:r>
              <w:rPr>
                <w:rFonts w:hint="eastAsia" w:ascii="宋体" w:hAnsi="宋体" w:eastAsia="宋体" w:cs="宋体"/>
                <w:b/>
                <w:bCs/>
                <w:strike w:val="0"/>
                <w:dstrike w:val="0"/>
                <w:color w:val="auto"/>
                <w:sz w:val="21"/>
                <w:szCs w:val="21"/>
                <w:highlight w:val="none"/>
                <w:lang w:val="en-US" w:eastAsia="zh-CN"/>
              </w:rPr>
              <w:t>提供</w:t>
            </w:r>
            <w:r>
              <w:rPr>
                <w:rFonts w:hint="eastAsia" w:ascii="宋体" w:hAnsi="宋体" w:eastAsia="宋体" w:cs="宋体"/>
                <w:b/>
                <w:bCs/>
                <w:strike w:val="0"/>
                <w:dstrike w:val="0"/>
                <w:color w:val="auto"/>
                <w:sz w:val="21"/>
                <w:szCs w:val="21"/>
                <w:highlight w:val="none"/>
              </w:rPr>
              <w:t>证书</w:t>
            </w:r>
            <w:r>
              <w:rPr>
                <w:rFonts w:hint="eastAsia" w:ascii="宋体" w:hAnsi="宋体" w:eastAsia="宋体" w:cs="宋体"/>
                <w:b/>
                <w:bCs/>
                <w:strike w:val="0"/>
                <w:dstrike w:val="0"/>
                <w:color w:val="auto"/>
                <w:sz w:val="21"/>
                <w:szCs w:val="21"/>
                <w:highlight w:val="none"/>
                <w:lang w:val="en-US" w:eastAsia="zh-CN"/>
              </w:rPr>
              <w:t>原件彩色扫描件</w:t>
            </w:r>
            <w:r>
              <w:rPr>
                <w:rFonts w:hint="eastAsia" w:ascii="宋体" w:hAnsi="宋体" w:eastAsia="宋体" w:cs="宋体"/>
                <w:b/>
                <w:bCs/>
                <w:strike w:val="0"/>
                <w:dstrike w:val="0"/>
                <w:color w:val="auto"/>
                <w:sz w:val="21"/>
                <w:szCs w:val="21"/>
                <w:highlight w:val="none"/>
              </w:rPr>
              <w:t>，否则不得</w:t>
            </w:r>
            <w:bookmarkStart w:id="2" w:name="_GoBack"/>
            <w:bookmarkEnd w:id="2"/>
            <w:r>
              <w:rPr>
                <w:rFonts w:hint="eastAsia" w:ascii="宋体" w:hAnsi="宋体" w:eastAsia="宋体" w:cs="宋体"/>
                <w:b/>
                <w:bCs/>
                <w:strike w:val="0"/>
                <w:dstrike w:val="0"/>
                <w:color w:val="auto"/>
                <w:sz w:val="21"/>
                <w:szCs w:val="21"/>
                <w:highlight w:val="none"/>
              </w:rPr>
              <w:t>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strike w:val="0"/>
                <w:dstrike w:val="0"/>
                <w:color w:val="auto"/>
                <w:sz w:val="21"/>
                <w:szCs w:val="21"/>
                <w:highlight w:val="none"/>
                <w:lang w:eastAsia="zh-CN"/>
              </w:rPr>
            </w:pPr>
            <w:r>
              <w:rPr>
                <w:rFonts w:hint="eastAsia" w:ascii="宋体" w:hAnsi="宋体" w:cs="宋体"/>
                <w:b/>
                <w:bCs/>
                <w:strike w:val="0"/>
                <w:dstrike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投标人最近三年（时间计算以投标截止时间和合同签订时间为准）以来成功实施的同类项目的业绩或案例证明。</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投标人每提供一个类似业绩的证明材料，得1分，本项最高得3分。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类似业绩认定标准：</w:t>
            </w:r>
            <w:r>
              <w:rPr>
                <w:rFonts w:hint="eastAsia" w:ascii="宋体" w:hAnsi="宋体" w:eastAsia="宋体" w:cs="宋体"/>
                <w:color w:val="auto"/>
                <w:sz w:val="21"/>
                <w:szCs w:val="21"/>
                <w:highlight w:val="none"/>
                <w:lang w:val="en-US" w:eastAsia="zh-CN"/>
              </w:rPr>
              <w:t>①供货</w:t>
            </w:r>
            <w:r>
              <w:rPr>
                <w:rFonts w:hint="eastAsia" w:ascii="宋体" w:hAnsi="宋体" w:eastAsia="宋体" w:cs="宋体"/>
                <w:color w:val="auto"/>
                <w:sz w:val="21"/>
                <w:szCs w:val="21"/>
                <w:highlight w:val="none"/>
              </w:rPr>
              <w:t>内容与本次采购类似，并在合同或合同清单等附件资料中能体现。</w:t>
            </w:r>
            <w:r>
              <w:rPr>
                <w:rFonts w:hint="eastAsia" w:ascii="宋体" w:hAnsi="宋体" w:cs="宋体"/>
                <w:color w:val="auto"/>
                <w:sz w:val="21"/>
                <w:szCs w:val="21"/>
                <w:highlight w:val="none"/>
                <w:lang w:val="en-US" w:eastAsia="zh-CN"/>
              </w:rPr>
              <w:t>②同一个采购单位，</w:t>
            </w:r>
            <w:r>
              <w:rPr>
                <w:rFonts w:hint="eastAsia" w:ascii="宋体" w:hAnsi="宋体" w:eastAsia="宋体" w:cs="宋体"/>
                <w:color w:val="auto"/>
                <w:sz w:val="21"/>
                <w:szCs w:val="21"/>
                <w:highlight w:val="none"/>
                <w:lang w:val="en-US" w:eastAsia="zh-CN"/>
              </w:rPr>
              <w:t>签订多个合同</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，按1个业绩计算。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在投标文件中提供合同及验收证明的原件彩色扫描件，合同和验收证明缺一不可，否则不得分。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非强制节能环保产品</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投标人所投货物中如有列入现行节能产品（或环境标志产品）政府采购品目清单且取得认证证书的（强制产品除外），每提供一个得1分，最高得3分。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报价部分 </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928"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8682" w:type="dxa"/>
            <w:gridSpan w:val="3"/>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说明</w:t>
            </w:r>
            <w:r>
              <w:rPr>
                <w:rFonts w:hint="eastAsia" w:ascii="宋体" w:hAnsi="宋体" w:eastAsia="宋体" w:cs="宋体"/>
                <w:color w:val="auto"/>
                <w:sz w:val="21"/>
                <w:szCs w:val="21"/>
                <w:highlight w:val="none"/>
              </w:rPr>
              <w:t>：投标人的报价超过最高限价（不含最高限价）的作为无效报价。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sectPr>
      <w:headerReference r:id="rId8" w:type="default"/>
      <w:pgSz w:w="11906" w:h="16838"/>
      <w:pgMar w:top="1474" w:right="1474" w:bottom="1417" w:left="1588"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Theme="minorEastAsia" w:hAnsiTheme="minorEastAsia" w:eastAsiaTheme="minorEastAsia" w:cstheme="minor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3"/>
                      <w:jc w:val="cente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Theme="minorEastAsia" w:hAnsiTheme="minorEastAsia" w:eastAsiaTheme="minorEastAsia" w:cstheme="minor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3"/>
                      <w:jc w:val="cente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ascii="宋体" w:hAnsi="宋体" w:eastAsia="宋体"/>
        <w:lang w:eastAsia="zh-CN"/>
      </w:rPr>
    </w:pPr>
    <w:r>
      <w:rPr>
        <w:rFonts w:hint="eastAsia" w:ascii="宋体" w:hAnsi="宋体"/>
      </w:rPr>
      <w:t>项目名称：</w:t>
    </w:r>
    <w:r>
      <w:rPr>
        <w:rFonts w:hint="eastAsia" w:ascii="宋体" w:hAnsi="宋体"/>
        <w:lang w:eastAsia="zh-CN"/>
      </w:rPr>
      <w:t>新碶小学行政楼家具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BLZFCG2024053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ascii="宋体" w:hAnsi="宋体" w:eastAsia="宋体"/>
        <w:lang w:eastAsia="zh-CN"/>
      </w:rPr>
    </w:pPr>
    <w:r>
      <w:rPr>
        <w:rFonts w:hint="eastAsia" w:ascii="宋体" w:hAnsi="宋体"/>
      </w:rPr>
      <w:t>项目名称：</w:t>
    </w:r>
    <w:r>
      <w:rPr>
        <w:rFonts w:hint="eastAsia" w:ascii="宋体" w:hAnsi="宋体"/>
        <w:lang w:eastAsia="zh-CN"/>
      </w:rPr>
      <w:t>新碶小学行政楼家具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BLZFCG2024053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ascii="宋体" w:hAnsi="宋体" w:eastAsia="宋体"/>
        <w:lang w:eastAsia="zh-CN"/>
      </w:rPr>
    </w:pPr>
    <w:r>
      <w:rPr>
        <w:rFonts w:hint="eastAsia" w:ascii="宋体" w:hAnsi="宋体"/>
      </w:rPr>
      <w:t>项目名称：</w:t>
    </w:r>
    <w:r>
      <w:rPr>
        <w:rFonts w:hint="eastAsia" w:ascii="宋体" w:hAnsi="宋体"/>
        <w:lang w:eastAsia="zh-CN"/>
      </w:rPr>
      <w:t>新碶小学行政楼家具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BLZFCG2024053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40724"/>
    <w:rsid w:val="000D28C1"/>
    <w:rsid w:val="000E2877"/>
    <w:rsid w:val="000E5B56"/>
    <w:rsid w:val="00121526"/>
    <w:rsid w:val="00135C07"/>
    <w:rsid w:val="0014118F"/>
    <w:rsid w:val="001B417A"/>
    <w:rsid w:val="001C60F1"/>
    <w:rsid w:val="002613EB"/>
    <w:rsid w:val="002878C2"/>
    <w:rsid w:val="002C0E4C"/>
    <w:rsid w:val="00391516"/>
    <w:rsid w:val="003A4272"/>
    <w:rsid w:val="00461B2C"/>
    <w:rsid w:val="00497742"/>
    <w:rsid w:val="004C193B"/>
    <w:rsid w:val="005700E9"/>
    <w:rsid w:val="006A2BBF"/>
    <w:rsid w:val="006F4EA6"/>
    <w:rsid w:val="0070020E"/>
    <w:rsid w:val="00705EB9"/>
    <w:rsid w:val="00723F96"/>
    <w:rsid w:val="00871EA8"/>
    <w:rsid w:val="00895663"/>
    <w:rsid w:val="00961685"/>
    <w:rsid w:val="00970FAA"/>
    <w:rsid w:val="00A30CB3"/>
    <w:rsid w:val="00A4772F"/>
    <w:rsid w:val="00AA573D"/>
    <w:rsid w:val="00AE6B0D"/>
    <w:rsid w:val="00B728A5"/>
    <w:rsid w:val="00BB26DA"/>
    <w:rsid w:val="00BF693D"/>
    <w:rsid w:val="00CC07EC"/>
    <w:rsid w:val="00CC1E09"/>
    <w:rsid w:val="00CE7AF8"/>
    <w:rsid w:val="00D15AA5"/>
    <w:rsid w:val="00E46C55"/>
    <w:rsid w:val="00E60A37"/>
    <w:rsid w:val="00F21B99"/>
    <w:rsid w:val="00F400A7"/>
    <w:rsid w:val="00F4016E"/>
    <w:rsid w:val="01161F4F"/>
    <w:rsid w:val="01284392"/>
    <w:rsid w:val="013A4489"/>
    <w:rsid w:val="01425064"/>
    <w:rsid w:val="01664C41"/>
    <w:rsid w:val="017D298C"/>
    <w:rsid w:val="018E3217"/>
    <w:rsid w:val="019C6C58"/>
    <w:rsid w:val="01A53386"/>
    <w:rsid w:val="01AE7459"/>
    <w:rsid w:val="01B83507"/>
    <w:rsid w:val="01B933AA"/>
    <w:rsid w:val="01C76819"/>
    <w:rsid w:val="01F40356"/>
    <w:rsid w:val="020A0BA6"/>
    <w:rsid w:val="021A2B78"/>
    <w:rsid w:val="025E412F"/>
    <w:rsid w:val="02821B99"/>
    <w:rsid w:val="029047B6"/>
    <w:rsid w:val="02955C9B"/>
    <w:rsid w:val="02AA5955"/>
    <w:rsid w:val="02B20F0A"/>
    <w:rsid w:val="02C63933"/>
    <w:rsid w:val="02D6293B"/>
    <w:rsid w:val="02FA24BF"/>
    <w:rsid w:val="03016BFF"/>
    <w:rsid w:val="03163D9C"/>
    <w:rsid w:val="037921F7"/>
    <w:rsid w:val="037B577A"/>
    <w:rsid w:val="039C5690"/>
    <w:rsid w:val="03A357FE"/>
    <w:rsid w:val="03BF6158"/>
    <w:rsid w:val="03E80B47"/>
    <w:rsid w:val="03EB55EB"/>
    <w:rsid w:val="03FA3367"/>
    <w:rsid w:val="03FE27DD"/>
    <w:rsid w:val="041A583C"/>
    <w:rsid w:val="043F5274"/>
    <w:rsid w:val="04484C31"/>
    <w:rsid w:val="04756809"/>
    <w:rsid w:val="047B0A3C"/>
    <w:rsid w:val="04893842"/>
    <w:rsid w:val="04AB2AB7"/>
    <w:rsid w:val="04B20E2A"/>
    <w:rsid w:val="04C07991"/>
    <w:rsid w:val="04C6192C"/>
    <w:rsid w:val="04D17CC9"/>
    <w:rsid w:val="04D7530F"/>
    <w:rsid w:val="04DA7C3B"/>
    <w:rsid w:val="04DE679D"/>
    <w:rsid w:val="04EB5C24"/>
    <w:rsid w:val="04F53DDC"/>
    <w:rsid w:val="0509588F"/>
    <w:rsid w:val="05102512"/>
    <w:rsid w:val="052F28DF"/>
    <w:rsid w:val="053B4994"/>
    <w:rsid w:val="05544863"/>
    <w:rsid w:val="055F5B35"/>
    <w:rsid w:val="05607711"/>
    <w:rsid w:val="05650F6C"/>
    <w:rsid w:val="056E6B3B"/>
    <w:rsid w:val="05957C4B"/>
    <w:rsid w:val="05B03ACD"/>
    <w:rsid w:val="05CD7AD2"/>
    <w:rsid w:val="05D3507C"/>
    <w:rsid w:val="05E64108"/>
    <w:rsid w:val="060C1C39"/>
    <w:rsid w:val="060E3E53"/>
    <w:rsid w:val="061B1669"/>
    <w:rsid w:val="06253790"/>
    <w:rsid w:val="063A520D"/>
    <w:rsid w:val="065756D3"/>
    <w:rsid w:val="066A0AA1"/>
    <w:rsid w:val="066D1330"/>
    <w:rsid w:val="06833C80"/>
    <w:rsid w:val="06941A0B"/>
    <w:rsid w:val="06A31DD3"/>
    <w:rsid w:val="06B70E9A"/>
    <w:rsid w:val="06BF37EF"/>
    <w:rsid w:val="06D32A2E"/>
    <w:rsid w:val="06D57221"/>
    <w:rsid w:val="06E96117"/>
    <w:rsid w:val="06E96B6D"/>
    <w:rsid w:val="06EA36AB"/>
    <w:rsid w:val="071C5C13"/>
    <w:rsid w:val="071F35FD"/>
    <w:rsid w:val="072051DC"/>
    <w:rsid w:val="0740342C"/>
    <w:rsid w:val="07527784"/>
    <w:rsid w:val="077D4558"/>
    <w:rsid w:val="078534F4"/>
    <w:rsid w:val="07915B3B"/>
    <w:rsid w:val="07A546C1"/>
    <w:rsid w:val="07AC5381"/>
    <w:rsid w:val="07B656A7"/>
    <w:rsid w:val="07CA5A63"/>
    <w:rsid w:val="07CD77F6"/>
    <w:rsid w:val="07DE0BC0"/>
    <w:rsid w:val="07DF5AEC"/>
    <w:rsid w:val="07E454F7"/>
    <w:rsid w:val="080B775A"/>
    <w:rsid w:val="0815374C"/>
    <w:rsid w:val="081F3E10"/>
    <w:rsid w:val="08734EB1"/>
    <w:rsid w:val="089519B3"/>
    <w:rsid w:val="08AB620D"/>
    <w:rsid w:val="08D957B4"/>
    <w:rsid w:val="08DE1650"/>
    <w:rsid w:val="08DF47BB"/>
    <w:rsid w:val="08F3614A"/>
    <w:rsid w:val="090B26F7"/>
    <w:rsid w:val="090D0587"/>
    <w:rsid w:val="092B5815"/>
    <w:rsid w:val="093F5D0F"/>
    <w:rsid w:val="0953691B"/>
    <w:rsid w:val="095B5504"/>
    <w:rsid w:val="0969543E"/>
    <w:rsid w:val="099110C8"/>
    <w:rsid w:val="0992460A"/>
    <w:rsid w:val="0995545B"/>
    <w:rsid w:val="09976256"/>
    <w:rsid w:val="09A2678E"/>
    <w:rsid w:val="09BE54EE"/>
    <w:rsid w:val="09D71826"/>
    <w:rsid w:val="0A326443"/>
    <w:rsid w:val="0A347FCD"/>
    <w:rsid w:val="0A356882"/>
    <w:rsid w:val="0A70511D"/>
    <w:rsid w:val="0A8E0967"/>
    <w:rsid w:val="0A9342E4"/>
    <w:rsid w:val="0A9C5906"/>
    <w:rsid w:val="0AA32829"/>
    <w:rsid w:val="0AC8769D"/>
    <w:rsid w:val="0ACA711F"/>
    <w:rsid w:val="0ADD1CA5"/>
    <w:rsid w:val="0AF514F3"/>
    <w:rsid w:val="0AFF3E15"/>
    <w:rsid w:val="0B0C319B"/>
    <w:rsid w:val="0B1F69A9"/>
    <w:rsid w:val="0B28171D"/>
    <w:rsid w:val="0B4534CD"/>
    <w:rsid w:val="0B671A34"/>
    <w:rsid w:val="0B672468"/>
    <w:rsid w:val="0B833327"/>
    <w:rsid w:val="0B8847DD"/>
    <w:rsid w:val="0B9030F4"/>
    <w:rsid w:val="0BA60420"/>
    <w:rsid w:val="0BAC4891"/>
    <w:rsid w:val="0BBB1546"/>
    <w:rsid w:val="0BBF0E37"/>
    <w:rsid w:val="0BC626FB"/>
    <w:rsid w:val="0BC762D4"/>
    <w:rsid w:val="0BE8747A"/>
    <w:rsid w:val="0BE915EF"/>
    <w:rsid w:val="0BEF6E22"/>
    <w:rsid w:val="0BF36E8C"/>
    <w:rsid w:val="0BF846D0"/>
    <w:rsid w:val="0BFD0E60"/>
    <w:rsid w:val="0C01510C"/>
    <w:rsid w:val="0C0638E1"/>
    <w:rsid w:val="0C0A4350"/>
    <w:rsid w:val="0C72360F"/>
    <w:rsid w:val="0CA12188"/>
    <w:rsid w:val="0CA72B71"/>
    <w:rsid w:val="0CAD3E44"/>
    <w:rsid w:val="0CDE5093"/>
    <w:rsid w:val="0D01205A"/>
    <w:rsid w:val="0D037AC7"/>
    <w:rsid w:val="0D141DB2"/>
    <w:rsid w:val="0D2E340C"/>
    <w:rsid w:val="0D300437"/>
    <w:rsid w:val="0D4732B1"/>
    <w:rsid w:val="0D562B05"/>
    <w:rsid w:val="0DAA3671"/>
    <w:rsid w:val="0DB41252"/>
    <w:rsid w:val="0DBE46F7"/>
    <w:rsid w:val="0DD35A03"/>
    <w:rsid w:val="0DE076A7"/>
    <w:rsid w:val="0DF2012F"/>
    <w:rsid w:val="0E6114CA"/>
    <w:rsid w:val="0E7F5C61"/>
    <w:rsid w:val="0E8F2B42"/>
    <w:rsid w:val="0E93723B"/>
    <w:rsid w:val="0E9537EC"/>
    <w:rsid w:val="0E980D8D"/>
    <w:rsid w:val="0ED3103C"/>
    <w:rsid w:val="0ED72C20"/>
    <w:rsid w:val="0EF62068"/>
    <w:rsid w:val="0F0A6671"/>
    <w:rsid w:val="0F1215F7"/>
    <w:rsid w:val="0F1F433C"/>
    <w:rsid w:val="0F302F5C"/>
    <w:rsid w:val="0F3908B1"/>
    <w:rsid w:val="0F6350DD"/>
    <w:rsid w:val="0F780FB2"/>
    <w:rsid w:val="0F8260A1"/>
    <w:rsid w:val="0F87456B"/>
    <w:rsid w:val="0F9B764A"/>
    <w:rsid w:val="0FB33D7D"/>
    <w:rsid w:val="0FBC12B3"/>
    <w:rsid w:val="0FDA3451"/>
    <w:rsid w:val="0FDF2A3C"/>
    <w:rsid w:val="0FDF761B"/>
    <w:rsid w:val="0FE47DAC"/>
    <w:rsid w:val="0FEE1203"/>
    <w:rsid w:val="0FF70A10"/>
    <w:rsid w:val="100754B8"/>
    <w:rsid w:val="10265F9E"/>
    <w:rsid w:val="103E2E4D"/>
    <w:rsid w:val="10495B60"/>
    <w:rsid w:val="105813F5"/>
    <w:rsid w:val="106E7E34"/>
    <w:rsid w:val="108266C0"/>
    <w:rsid w:val="10954028"/>
    <w:rsid w:val="10B27530"/>
    <w:rsid w:val="10B63D07"/>
    <w:rsid w:val="10CB4329"/>
    <w:rsid w:val="10D00070"/>
    <w:rsid w:val="10D11BFE"/>
    <w:rsid w:val="10E05AEF"/>
    <w:rsid w:val="10ED4CBA"/>
    <w:rsid w:val="11155938"/>
    <w:rsid w:val="11214408"/>
    <w:rsid w:val="112F056E"/>
    <w:rsid w:val="11314455"/>
    <w:rsid w:val="1139291F"/>
    <w:rsid w:val="11557AE3"/>
    <w:rsid w:val="11630C64"/>
    <w:rsid w:val="1171136D"/>
    <w:rsid w:val="118A66B3"/>
    <w:rsid w:val="11944960"/>
    <w:rsid w:val="11A404CE"/>
    <w:rsid w:val="11B40C2C"/>
    <w:rsid w:val="11B40C40"/>
    <w:rsid w:val="11D01ADC"/>
    <w:rsid w:val="11F33485"/>
    <w:rsid w:val="12141B61"/>
    <w:rsid w:val="12154B80"/>
    <w:rsid w:val="121C4C87"/>
    <w:rsid w:val="123D1F2D"/>
    <w:rsid w:val="12440EC6"/>
    <w:rsid w:val="1245068D"/>
    <w:rsid w:val="124977D5"/>
    <w:rsid w:val="126A6C08"/>
    <w:rsid w:val="127630AE"/>
    <w:rsid w:val="12A53392"/>
    <w:rsid w:val="12F444D4"/>
    <w:rsid w:val="130C4D96"/>
    <w:rsid w:val="13145E0C"/>
    <w:rsid w:val="13376695"/>
    <w:rsid w:val="134165F5"/>
    <w:rsid w:val="134469D4"/>
    <w:rsid w:val="134F3F73"/>
    <w:rsid w:val="135C1BE0"/>
    <w:rsid w:val="13673605"/>
    <w:rsid w:val="137E5009"/>
    <w:rsid w:val="137F0401"/>
    <w:rsid w:val="138648CB"/>
    <w:rsid w:val="138E44E3"/>
    <w:rsid w:val="1396463B"/>
    <w:rsid w:val="13B45A02"/>
    <w:rsid w:val="13B50381"/>
    <w:rsid w:val="13CB5BBA"/>
    <w:rsid w:val="13D2120F"/>
    <w:rsid w:val="13D77D59"/>
    <w:rsid w:val="140F0496"/>
    <w:rsid w:val="1410624E"/>
    <w:rsid w:val="141E4EB5"/>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494556"/>
    <w:rsid w:val="15521EA2"/>
    <w:rsid w:val="155C2A00"/>
    <w:rsid w:val="155E3876"/>
    <w:rsid w:val="15825E36"/>
    <w:rsid w:val="15847557"/>
    <w:rsid w:val="15886390"/>
    <w:rsid w:val="15B33315"/>
    <w:rsid w:val="15BB2629"/>
    <w:rsid w:val="15C162D5"/>
    <w:rsid w:val="15C35743"/>
    <w:rsid w:val="15DD560C"/>
    <w:rsid w:val="15F31AC3"/>
    <w:rsid w:val="16240C6E"/>
    <w:rsid w:val="16407AD6"/>
    <w:rsid w:val="16527EBB"/>
    <w:rsid w:val="165C730A"/>
    <w:rsid w:val="1668358F"/>
    <w:rsid w:val="16767EC7"/>
    <w:rsid w:val="1698574F"/>
    <w:rsid w:val="16B31F25"/>
    <w:rsid w:val="16E3427B"/>
    <w:rsid w:val="16EA089D"/>
    <w:rsid w:val="16EC606C"/>
    <w:rsid w:val="17037A9A"/>
    <w:rsid w:val="175E4789"/>
    <w:rsid w:val="175F4AD7"/>
    <w:rsid w:val="176621E0"/>
    <w:rsid w:val="176E1C79"/>
    <w:rsid w:val="17743652"/>
    <w:rsid w:val="17791496"/>
    <w:rsid w:val="17820498"/>
    <w:rsid w:val="17BE5AF5"/>
    <w:rsid w:val="17BF7345"/>
    <w:rsid w:val="17EC683A"/>
    <w:rsid w:val="17F17C59"/>
    <w:rsid w:val="181564CC"/>
    <w:rsid w:val="183D0A97"/>
    <w:rsid w:val="18401FE8"/>
    <w:rsid w:val="184D1FA1"/>
    <w:rsid w:val="18541C7D"/>
    <w:rsid w:val="18556E59"/>
    <w:rsid w:val="186E5AB7"/>
    <w:rsid w:val="1879674C"/>
    <w:rsid w:val="187E017C"/>
    <w:rsid w:val="18913B72"/>
    <w:rsid w:val="189649B3"/>
    <w:rsid w:val="18A1422E"/>
    <w:rsid w:val="18A433C6"/>
    <w:rsid w:val="18C56A58"/>
    <w:rsid w:val="18C776CD"/>
    <w:rsid w:val="18DB60E5"/>
    <w:rsid w:val="18DC7596"/>
    <w:rsid w:val="18E72586"/>
    <w:rsid w:val="18F408DA"/>
    <w:rsid w:val="195F7BA3"/>
    <w:rsid w:val="198D4BBB"/>
    <w:rsid w:val="19945584"/>
    <w:rsid w:val="19A91F54"/>
    <w:rsid w:val="19B51AAA"/>
    <w:rsid w:val="19CF5549"/>
    <w:rsid w:val="19E8490B"/>
    <w:rsid w:val="19EE4126"/>
    <w:rsid w:val="19FC3484"/>
    <w:rsid w:val="1A094893"/>
    <w:rsid w:val="1A232E15"/>
    <w:rsid w:val="1A297FD2"/>
    <w:rsid w:val="1A31109A"/>
    <w:rsid w:val="1A340363"/>
    <w:rsid w:val="1A424041"/>
    <w:rsid w:val="1A475519"/>
    <w:rsid w:val="1A4D3BAD"/>
    <w:rsid w:val="1A5933D2"/>
    <w:rsid w:val="1A620E51"/>
    <w:rsid w:val="1A872DB1"/>
    <w:rsid w:val="1A955AFD"/>
    <w:rsid w:val="1AB5169E"/>
    <w:rsid w:val="1AB70653"/>
    <w:rsid w:val="1AC84749"/>
    <w:rsid w:val="1AC9201F"/>
    <w:rsid w:val="1AD460D2"/>
    <w:rsid w:val="1AD92F66"/>
    <w:rsid w:val="1AF052B1"/>
    <w:rsid w:val="1B052B57"/>
    <w:rsid w:val="1B0E0471"/>
    <w:rsid w:val="1B3618E7"/>
    <w:rsid w:val="1B3F2E65"/>
    <w:rsid w:val="1B4068BC"/>
    <w:rsid w:val="1B4A73B3"/>
    <w:rsid w:val="1B7F5A1F"/>
    <w:rsid w:val="1B861BDC"/>
    <w:rsid w:val="1B984897"/>
    <w:rsid w:val="1BA02E23"/>
    <w:rsid w:val="1BBC3641"/>
    <w:rsid w:val="1BC602AE"/>
    <w:rsid w:val="1BF540A1"/>
    <w:rsid w:val="1C3A7381"/>
    <w:rsid w:val="1C4D4802"/>
    <w:rsid w:val="1C4E792B"/>
    <w:rsid w:val="1C617263"/>
    <w:rsid w:val="1C7007E8"/>
    <w:rsid w:val="1C8E5A9E"/>
    <w:rsid w:val="1CA3463F"/>
    <w:rsid w:val="1CC40005"/>
    <w:rsid w:val="1CCB2653"/>
    <w:rsid w:val="1CE01EEC"/>
    <w:rsid w:val="1D027ADC"/>
    <w:rsid w:val="1D207934"/>
    <w:rsid w:val="1D251ECC"/>
    <w:rsid w:val="1D26151C"/>
    <w:rsid w:val="1D403BD3"/>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5C6074"/>
    <w:rsid w:val="1E641053"/>
    <w:rsid w:val="1E8C37BD"/>
    <w:rsid w:val="1E912928"/>
    <w:rsid w:val="1EAC2554"/>
    <w:rsid w:val="1ED929D2"/>
    <w:rsid w:val="1EDA5857"/>
    <w:rsid w:val="1EEC49E3"/>
    <w:rsid w:val="1EFE27F0"/>
    <w:rsid w:val="1F076DED"/>
    <w:rsid w:val="1F103B84"/>
    <w:rsid w:val="1F186157"/>
    <w:rsid w:val="1F3C64D2"/>
    <w:rsid w:val="1F565D88"/>
    <w:rsid w:val="1FAD50AE"/>
    <w:rsid w:val="1FAF2C93"/>
    <w:rsid w:val="1FB614BE"/>
    <w:rsid w:val="1FD32171"/>
    <w:rsid w:val="1FDC3024"/>
    <w:rsid w:val="1FEA6D47"/>
    <w:rsid w:val="20031954"/>
    <w:rsid w:val="20156BF0"/>
    <w:rsid w:val="202B63C4"/>
    <w:rsid w:val="2041191C"/>
    <w:rsid w:val="2053103C"/>
    <w:rsid w:val="20626BEF"/>
    <w:rsid w:val="2067163B"/>
    <w:rsid w:val="20797C12"/>
    <w:rsid w:val="2087037A"/>
    <w:rsid w:val="2087770B"/>
    <w:rsid w:val="20C16DEA"/>
    <w:rsid w:val="20D863E9"/>
    <w:rsid w:val="20DC45BC"/>
    <w:rsid w:val="21190F27"/>
    <w:rsid w:val="213B3AB2"/>
    <w:rsid w:val="21C40F15"/>
    <w:rsid w:val="21DD7F7D"/>
    <w:rsid w:val="21E02CC5"/>
    <w:rsid w:val="21E749B5"/>
    <w:rsid w:val="21E85BEA"/>
    <w:rsid w:val="21F71137"/>
    <w:rsid w:val="22020E19"/>
    <w:rsid w:val="223B1D3D"/>
    <w:rsid w:val="225077F9"/>
    <w:rsid w:val="2252374B"/>
    <w:rsid w:val="22601DA4"/>
    <w:rsid w:val="22713919"/>
    <w:rsid w:val="2279379F"/>
    <w:rsid w:val="22960938"/>
    <w:rsid w:val="229C37A3"/>
    <w:rsid w:val="22D4503A"/>
    <w:rsid w:val="22E43F69"/>
    <w:rsid w:val="22E93B81"/>
    <w:rsid w:val="22F50E74"/>
    <w:rsid w:val="22FD0971"/>
    <w:rsid w:val="231F7176"/>
    <w:rsid w:val="232E1888"/>
    <w:rsid w:val="23461269"/>
    <w:rsid w:val="23554516"/>
    <w:rsid w:val="23586838"/>
    <w:rsid w:val="23780867"/>
    <w:rsid w:val="239148FA"/>
    <w:rsid w:val="23A73990"/>
    <w:rsid w:val="23B20C63"/>
    <w:rsid w:val="23BD0220"/>
    <w:rsid w:val="23C33555"/>
    <w:rsid w:val="23C60EC6"/>
    <w:rsid w:val="23CA4CDB"/>
    <w:rsid w:val="23E856B1"/>
    <w:rsid w:val="23EA223B"/>
    <w:rsid w:val="2405168C"/>
    <w:rsid w:val="24161FBD"/>
    <w:rsid w:val="2429472D"/>
    <w:rsid w:val="243C4DD2"/>
    <w:rsid w:val="244451DA"/>
    <w:rsid w:val="244535C3"/>
    <w:rsid w:val="2451787D"/>
    <w:rsid w:val="245B0286"/>
    <w:rsid w:val="245C0BFD"/>
    <w:rsid w:val="24B9119A"/>
    <w:rsid w:val="24E0727C"/>
    <w:rsid w:val="24E112DB"/>
    <w:rsid w:val="24F839B5"/>
    <w:rsid w:val="251F541A"/>
    <w:rsid w:val="25236158"/>
    <w:rsid w:val="253C725A"/>
    <w:rsid w:val="254B2375"/>
    <w:rsid w:val="25542B8A"/>
    <w:rsid w:val="25635A40"/>
    <w:rsid w:val="256D597E"/>
    <w:rsid w:val="25707CCB"/>
    <w:rsid w:val="25906864"/>
    <w:rsid w:val="25924EBC"/>
    <w:rsid w:val="25D427ED"/>
    <w:rsid w:val="25DB7EA6"/>
    <w:rsid w:val="26077AAE"/>
    <w:rsid w:val="262D563A"/>
    <w:rsid w:val="263A356C"/>
    <w:rsid w:val="265748F8"/>
    <w:rsid w:val="26756C9A"/>
    <w:rsid w:val="26F653E0"/>
    <w:rsid w:val="270D56A1"/>
    <w:rsid w:val="270D5B6F"/>
    <w:rsid w:val="27237C25"/>
    <w:rsid w:val="272A6A19"/>
    <w:rsid w:val="27312457"/>
    <w:rsid w:val="27354DE3"/>
    <w:rsid w:val="273A053A"/>
    <w:rsid w:val="27427C6E"/>
    <w:rsid w:val="27430F49"/>
    <w:rsid w:val="275F7F09"/>
    <w:rsid w:val="27760CFD"/>
    <w:rsid w:val="27885E75"/>
    <w:rsid w:val="27943A5C"/>
    <w:rsid w:val="27B97E2D"/>
    <w:rsid w:val="27E43AED"/>
    <w:rsid w:val="27F27B46"/>
    <w:rsid w:val="280C00BC"/>
    <w:rsid w:val="280E1606"/>
    <w:rsid w:val="2816667B"/>
    <w:rsid w:val="281D789C"/>
    <w:rsid w:val="284625DC"/>
    <w:rsid w:val="28577774"/>
    <w:rsid w:val="286664CE"/>
    <w:rsid w:val="28923B61"/>
    <w:rsid w:val="28A111DB"/>
    <w:rsid w:val="28A8662A"/>
    <w:rsid w:val="28AB7228"/>
    <w:rsid w:val="28AF05C6"/>
    <w:rsid w:val="28B17186"/>
    <w:rsid w:val="28B41395"/>
    <w:rsid w:val="28B54FEA"/>
    <w:rsid w:val="28C834C4"/>
    <w:rsid w:val="28CA2EB3"/>
    <w:rsid w:val="28DB576B"/>
    <w:rsid w:val="28E32F1F"/>
    <w:rsid w:val="28E43A0D"/>
    <w:rsid w:val="28F73102"/>
    <w:rsid w:val="28F82CEE"/>
    <w:rsid w:val="29102F3A"/>
    <w:rsid w:val="291F0C7D"/>
    <w:rsid w:val="29730218"/>
    <w:rsid w:val="29873A6F"/>
    <w:rsid w:val="298F620E"/>
    <w:rsid w:val="2990186E"/>
    <w:rsid w:val="29943091"/>
    <w:rsid w:val="29A17581"/>
    <w:rsid w:val="29BA3BAB"/>
    <w:rsid w:val="29D63E9E"/>
    <w:rsid w:val="29EB1CC2"/>
    <w:rsid w:val="29F82483"/>
    <w:rsid w:val="2A0C7037"/>
    <w:rsid w:val="2A64477C"/>
    <w:rsid w:val="2A6B2C43"/>
    <w:rsid w:val="2A7C3988"/>
    <w:rsid w:val="2A816F32"/>
    <w:rsid w:val="2A866E3E"/>
    <w:rsid w:val="2A8C309D"/>
    <w:rsid w:val="2AB45700"/>
    <w:rsid w:val="2AFF0AA7"/>
    <w:rsid w:val="2B0A765E"/>
    <w:rsid w:val="2B155AEC"/>
    <w:rsid w:val="2B2F6B8C"/>
    <w:rsid w:val="2B4A39AF"/>
    <w:rsid w:val="2B4F6ADA"/>
    <w:rsid w:val="2B54358A"/>
    <w:rsid w:val="2B7809E9"/>
    <w:rsid w:val="2B8078C6"/>
    <w:rsid w:val="2B812A0F"/>
    <w:rsid w:val="2BB6178F"/>
    <w:rsid w:val="2BB62454"/>
    <w:rsid w:val="2BCD07B9"/>
    <w:rsid w:val="2BF524B4"/>
    <w:rsid w:val="2BF67A19"/>
    <w:rsid w:val="2C042DA5"/>
    <w:rsid w:val="2C2D7467"/>
    <w:rsid w:val="2C343419"/>
    <w:rsid w:val="2C38048A"/>
    <w:rsid w:val="2C4405C4"/>
    <w:rsid w:val="2C6173F1"/>
    <w:rsid w:val="2C631DE2"/>
    <w:rsid w:val="2C8F150E"/>
    <w:rsid w:val="2CA25B60"/>
    <w:rsid w:val="2CB33FB1"/>
    <w:rsid w:val="2CBD15EB"/>
    <w:rsid w:val="2CC04336"/>
    <w:rsid w:val="2CEC076D"/>
    <w:rsid w:val="2CF67922"/>
    <w:rsid w:val="2CFB3DB7"/>
    <w:rsid w:val="2D037A4F"/>
    <w:rsid w:val="2D052932"/>
    <w:rsid w:val="2D0A6D94"/>
    <w:rsid w:val="2D0C694F"/>
    <w:rsid w:val="2D177B3B"/>
    <w:rsid w:val="2D2508F9"/>
    <w:rsid w:val="2D577C1E"/>
    <w:rsid w:val="2D6265DD"/>
    <w:rsid w:val="2D627807"/>
    <w:rsid w:val="2D6E75AF"/>
    <w:rsid w:val="2D776D7C"/>
    <w:rsid w:val="2D8A799F"/>
    <w:rsid w:val="2DAD0B89"/>
    <w:rsid w:val="2DB46083"/>
    <w:rsid w:val="2DEF69FE"/>
    <w:rsid w:val="2E0B598F"/>
    <w:rsid w:val="2E1E2349"/>
    <w:rsid w:val="2E372719"/>
    <w:rsid w:val="2E3D2E5C"/>
    <w:rsid w:val="2E413A3F"/>
    <w:rsid w:val="2E7573F0"/>
    <w:rsid w:val="2E7A4A66"/>
    <w:rsid w:val="2E8F179C"/>
    <w:rsid w:val="2E987FC8"/>
    <w:rsid w:val="2EBD0DE5"/>
    <w:rsid w:val="2ECA3BCE"/>
    <w:rsid w:val="2ED524A2"/>
    <w:rsid w:val="2EEF15E5"/>
    <w:rsid w:val="2F0451D0"/>
    <w:rsid w:val="2F49141D"/>
    <w:rsid w:val="2F4A1DE5"/>
    <w:rsid w:val="2F552C3E"/>
    <w:rsid w:val="2F7B79E3"/>
    <w:rsid w:val="2F7B7A98"/>
    <w:rsid w:val="2F7F78DA"/>
    <w:rsid w:val="2F8E2752"/>
    <w:rsid w:val="2FA22A8D"/>
    <w:rsid w:val="2FA51D09"/>
    <w:rsid w:val="2FA538E8"/>
    <w:rsid w:val="2FB26A72"/>
    <w:rsid w:val="2FC50151"/>
    <w:rsid w:val="2FDB7F84"/>
    <w:rsid w:val="2FFB3D4D"/>
    <w:rsid w:val="300577C9"/>
    <w:rsid w:val="30147E30"/>
    <w:rsid w:val="302C0148"/>
    <w:rsid w:val="305266BF"/>
    <w:rsid w:val="305E5707"/>
    <w:rsid w:val="308405BA"/>
    <w:rsid w:val="309767BD"/>
    <w:rsid w:val="30B63A56"/>
    <w:rsid w:val="30B77DF8"/>
    <w:rsid w:val="30D05639"/>
    <w:rsid w:val="30F37CC9"/>
    <w:rsid w:val="30FC566E"/>
    <w:rsid w:val="310D7BF8"/>
    <w:rsid w:val="311912AE"/>
    <w:rsid w:val="312D02F7"/>
    <w:rsid w:val="31514988"/>
    <w:rsid w:val="31676662"/>
    <w:rsid w:val="31860E50"/>
    <w:rsid w:val="31894F6F"/>
    <w:rsid w:val="31E444C9"/>
    <w:rsid w:val="31E74446"/>
    <w:rsid w:val="32125145"/>
    <w:rsid w:val="321F0722"/>
    <w:rsid w:val="323F4806"/>
    <w:rsid w:val="32733A5C"/>
    <w:rsid w:val="3284349E"/>
    <w:rsid w:val="3297148B"/>
    <w:rsid w:val="32A365EC"/>
    <w:rsid w:val="32A40BA7"/>
    <w:rsid w:val="32F37D11"/>
    <w:rsid w:val="33005A44"/>
    <w:rsid w:val="33030C23"/>
    <w:rsid w:val="33054A89"/>
    <w:rsid w:val="33342A24"/>
    <w:rsid w:val="33376F17"/>
    <w:rsid w:val="334D239E"/>
    <w:rsid w:val="339C1089"/>
    <w:rsid w:val="339E23A0"/>
    <w:rsid w:val="33C36A7B"/>
    <w:rsid w:val="33EA6DB0"/>
    <w:rsid w:val="33F62651"/>
    <w:rsid w:val="33FB45DE"/>
    <w:rsid w:val="342D62CF"/>
    <w:rsid w:val="343D12DB"/>
    <w:rsid w:val="346877B7"/>
    <w:rsid w:val="34823B76"/>
    <w:rsid w:val="349C7EAD"/>
    <w:rsid w:val="34BA7332"/>
    <w:rsid w:val="34C6604D"/>
    <w:rsid w:val="34CF65D8"/>
    <w:rsid w:val="34FD63CA"/>
    <w:rsid w:val="354B056A"/>
    <w:rsid w:val="35646C4F"/>
    <w:rsid w:val="357327B6"/>
    <w:rsid w:val="35834FA2"/>
    <w:rsid w:val="358A3573"/>
    <w:rsid w:val="358D17E7"/>
    <w:rsid w:val="35954265"/>
    <w:rsid w:val="359E5A15"/>
    <w:rsid w:val="35AA1BA9"/>
    <w:rsid w:val="35C718EF"/>
    <w:rsid w:val="35CE3CA0"/>
    <w:rsid w:val="35E14B97"/>
    <w:rsid w:val="35EA3E66"/>
    <w:rsid w:val="35EE3F74"/>
    <w:rsid w:val="35F136E7"/>
    <w:rsid w:val="360139DC"/>
    <w:rsid w:val="360F32EC"/>
    <w:rsid w:val="361A0F27"/>
    <w:rsid w:val="36433EB3"/>
    <w:rsid w:val="365C50E6"/>
    <w:rsid w:val="366E0621"/>
    <w:rsid w:val="36775853"/>
    <w:rsid w:val="3690369F"/>
    <w:rsid w:val="36A60150"/>
    <w:rsid w:val="36D21BB2"/>
    <w:rsid w:val="36D4562E"/>
    <w:rsid w:val="36E21D63"/>
    <w:rsid w:val="36E4734E"/>
    <w:rsid w:val="36EE0537"/>
    <w:rsid w:val="36F870A6"/>
    <w:rsid w:val="36FF3892"/>
    <w:rsid w:val="3707366D"/>
    <w:rsid w:val="37106AD8"/>
    <w:rsid w:val="37185172"/>
    <w:rsid w:val="37253A78"/>
    <w:rsid w:val="374925D7"/>
    <w:rsid w:val="374F6631"/>
    <w:rsid w:val="376C6BB9"/>
    <w:rsid w:val="37894D67"/>
    <w:rsid w:val="37A60FA7"/>
    <w:rsid w:val="37B059A9"/>
    <w:rsid w:val="37B71BED"/>
    <w:rsid w:val="37DC05CB"/>
    <w:rsid w:val="37EA30E5"/>
    <w:rsid w:val="380B3320"/>
    <w:rsid w:val="3817300A"/>
    <w:rsid w:val="382702D4"/>
    <w:rsid w:val="38351A7B"/>
    <w:rsid w:val="38420F9D"/>
    <w:rsid w:val="38485904"/>
    <w:rsid w:val="38490451"/>
    <w:rsid w:val="387704E8"/>
    <w:rsid w:val="38904C3F"/>
    <w:rsid w:val="38940E8A"/>
    <w:rsid w:val="38A66799"/>
    <w:rsid w:val="38BF2A60"/>
    <w:rsid w:val="38E944FB"/>
    <w:rsid w:val="38ED3F5B"/>
    <w:rsid w:val="39046035"/>
    <w:rsid w:val="39161D88"/>
    <w:rsid w:val="392B088C"/>
    <w:rsid w:val="392C7084"/>
    <w:rsid w:val="3949013B"/>
    <w:rsid w:val="395545D6"/>
    <w:rsid w:val="3959641A"/>
    <w:rsid w:val="396225A8"/>
    <w:rsid w:val="3965558C"/>
    <w:rsid w:val="397C5951"/>
    <w:rsid w:val="399332B5"/>
    <w:rsid w:val="399961A1"/>
    <w:rsid w:val="39BF5515"/>
    <w:rsid w:val="39CC65F1"/>
    <w:rsid w:val="39D41C68"/>
    <w:rsid w:val="39D473B6"/>
    <w:rsid w:val="39E856FE"/>
    <w:rsid w:val="39F2189F"/>
    <w:rsid w:val="39F96117"/>
    <w:rsid w:val="3A0A7D55"/>
    <w:rsid w:val="3A1174CC"/>
    <w:rsid w:val="3A4B7449"/>
    <w:rsid w:val="3A521D71"/>
    <w:rsid w:val="3A6223B9"/>
    <w:rsid w:val="3A6B1F2C"/>
    <w:rsid w:val="3A75018A"/>
    <w:rsid w:val="3A7755AB"/>
    <w:rsid w:val="3A9679AC"/>
    <w:rsid w:val="3A9F36F4"/>
    <w:rsid w:val="3AAF76A0"/>
    <w:rsid w:val="3AD2597F"/>
    <w:rsid w:val="3AEB5A3F"/>
    <w:rsid w:val="3AED1F00"/>
    <w:rsid w:val="3AF71E6A"/>
    <w:rsid w:val="3AFF40C1"/>
    <w:rsid w:val="3B031276"/>
    <w:rsid w:val="3B2D4425"/>
    <w:rsid w:val="3B807DB6"/>
    <w:rsid w:val="3B817163"/>
    <w:rsid w:val="3BA142E5"/>
    <w:rsid w:val="3C1F6EE0"/>
    <w:rsid w:val="3C21007B"/>
    <w:rsid w:val="3C280836"/>
    <w:rsid w:val="3C4643CD"/>
    <w:rsid w:val="3C595CF9"/>
    <w:rsid w:val="3C7D687B"/>
    <w:rsid w:val="3C9A5EF9"/>
    <w:rsid w:val="3C9D4842"/>
    <w:rsid w:val="3CA05414"/>
    <w:rsid w:val="3CC53CF8"/>
    <w:rsid w:val="3CDB7597"/>
    <w:rsid w:val="3CEF0816"/>
    <w:rsid w:val="3CF227E3"/>
    <w:rsid w:val="3CF628C8"/>
    <w:rsid w:val="3D1C46F6"/>
    <w:rsid w:val="3D51706F"/>
    <w:rsid w:val="3D6607DF"/>
    <w:rsid w:val="3D802ACE"/>
    <w:rsid w:val="3D9229AA"/>
    <w:rsid w:val="3DD16322"/>
    <w:rsid w:val="3DD5384D"/>
    <w:rsid w:val="3DE503F8"/>
    <w:rsid w:val="3DEE68C1"/>
    <w:rsid w:val="3DF06ACB"/>
    <w:rsid w:val="3E1C6886"/>
    <w:rsid w:val="3E333AEC"/>
    <w:rsid w:val="3E4F3EC1"/>
    <w:rsid w:val="3E5B2519"/>
    <w:rsid w:val="3E6238D1"/>
    <w:rsid w:val="3E79544F"/>
    <w:rsid w:val="3E942232"/>
    <w:rsid w:val="3E9E3090"/>
    <w:rsid w:val="3EA9200D"/>
    <w:rsid w:val="3EAF56AE"/>
    <w:rsid w:val="3EB01D2E"/>
    <w:rsid w:val="3EB21CD2"/>
    <w:rsid w:val="3EB6036A"/>
    <w:rsid w:val="3EB71C7B"/>
    <w:rsid w:val="3EC141CA"/>
    <w:rsid w:val="3ED44F48"/>
    <w:rsid w:val="3EEE62B1"/>
    <w:rsid w:val="3EF55C4B"/>
    <w:rsid w:val="3EF80599"/>
    <w:rsid w:val="3F2248A9"/>
    <w:rsid w:val="3F4A3258"/>
    <w:rsid w:val="3F595ABD"/>
    <w:rsid w:val="3FA46875"/>
    <w:rsid w:val="3FC24A26"/>
    <w:rsid w:val="3FCF3004"/>
    <w:rsid w:val="3FEF55CD"/>
    <w:rsid w:val="402E4649"/>
    <w:rsid w:val="40481853"/>
    <w:rsid w:val="40517DE4"/>
    <w:rsid w:val="4060590B"/>
    <w:rsid w:val="407C4081"/>
    <w:rsid w:val="408369B1"/>
    <w:rsid w:val="408B589A"/>
    <w:rsid w:val="40910FC0"/>
    <w:rsid w:val="40C63A90"/>
    <w:rsid w:val="40D92788"/>
    <w:rsid w:val="40DF216C"/>
    <w:rsid w:val="40E1222E"/>
    <w:rsid w:val="411A5968"/>
    <w:rsid w:val="411E27CA"/>
    <w:rsid w:val="413565B8"/>
    <w:rsid w:val="413614F2"/>
    <w:rsid w:val="416305B6"/>
    <w:rsid w:val="41791922"/>
    <w:rsid w:val="417B14C5"/>
    <w:rsid w:val="419518FB"/>
    <w:rsid w:val="41AF5DD8"/>
    <w:rsid w:val="41C62BED"/>
    <w:rsid w:val="41E23B57"/>
    <w:rsid w:val="41F867A7"/>
    <w:rsid w:val="42066524"/>
    <w:rsid w:val="42082326"/>
    <w:rsid w:val="422E19C7"/>
    <w:rsid w:val="422F4080"/>
    <w:rsid w:val="42466E75"/>
    <w:rsid w:val="424D372A"/>
    <w:rsid w:val="42642026"/>
    <w:rsid w:val="42656AAA"/>
    <w:rsid w:val="426E7F1A"/>
    <w:rsid w:val="42727C6F"/>
    <w:rsid w:val="42885795"/>
    <w:rsid w:val="42A02D8A"/>
    <w:rsid w:val="42C67A6B"/>
    <w:rsid w:val="42DC67D6"/>
    <w:rsid w:val="42EF2825"/>
    <w:rsid w:val="42F60BE4"/>
    <w:rsid w:val="42F73D2F"/>
    <w:rsid w:val="432A3445"/>
    <w:rsid w:val="43390B63"/>
    <w:rsid w:val="433B2095"/>
    <w:rsid w:val="43494B5D"/>
    <w:rsid w:val="435B7DF5"/>
    <w:rsid w:val="438011AD"/>
    <w:rsid w:val="438132DD"/>
    <w:rsid w:val="43A6081C"/>
    <w:rsid w:val="43A939C0"/>
    <w:rsid w:val="43AB6138"/>
    <w:rsid w:val="43B24252"/>
    <w:rsid w:val="43B248B5"/>
    <w:rsid w:val="43BF4955"/>
    <w:rsid w:val="43D823EE"/>
    <w:rsid w:val="43EC703C"/>
    <w:rsid w:val="43F11E8E"/>
    <w:rsid w:val="44122884"/>
    <w:rsid w:val="442633D0"/>
    <w:rsid w:val="44330FD2"/>
    <w:rsid w:val="443A6B2B"/>
    <w:rsid w:val="44487963"/>
    <w:rsid w:val="44705E45"/>
    <w:rsid w:val="447D08B4"/>
    <w:rsid w:val="447D6659"/>
    <w:rsid w:val="447F110D"/>
    <w:rsid w:val="44A63366"/>
    <w:rsid w:val="44C27A29"/>
    <w:rsid w:val="44C37C6B"/>
    <w:rsid w:val="44E613F4"/>
    <w:rsid w:val="44E827CB"/>
    <w:rsid w:val="44F47784"/>
    <w:rsid w:val="451F2592"/>
    <w:rsid w:val="45220FCA"/>
    <w:rsid w:val="45405909"/>
    <w:rsid w:val="4545566E"/>
    <w:rsid w:val="454D3BB7"/>
    <w:rsid w:val="456104B9"/>
    <w:rsid w:val="456757D8"/>
    <w:rsid w:val="457728FD"/>
    <w:rsid w:val="45772DB4"/>
    <w:rsid w:val="45912226"/>
    <w:rsid w:val="45BB68DF"/>
    <w:rsid w:val="45CA2768"/>
    <w:rsid w:val="45CE66C2"/>
    <w:rsid w:val="45D259E5"/>
    <w:rsid w:val="45D4490F"/>
    <w:rsid w:val="45D66747"/>
    <w:rsid w:val="45F472DF"/>
    <w:rsid w:val="46156C09"/>
    <w:rsid w:val="46173A6C"/>
    <w:rsid w:val="462635FC"/>
    <w:rsid w:val="464051C6"/>
    <w:rsid w:val="467A4F9D"/>
    <w:rsid w:val="468A042F"/>
    <w:rsid w:val="46AF3A3E"/>
    <w:rsid w:val="46C4567C"/>
    <w:rsid w:val="46C52741"/>
    <w:rsid w:val="46CB223B"/>
    <w:rsid w:val="46CF68EE"/>
    <w:rsid w:val="46D45767"/>
    <w:rsid w:val="46E81F21"/>
    <w:rsid w:val="46FE2FCF"/>
    <w:rsid w:val="47071167"/>
    <w:rsid w:val="471F1B29"/>
    <w:rsid w:val="472C3C99"/>
    <w:rsid w:val="47472DF1"/>
    <w:rsid w:val="474F1914"/>
    <w:rsid w:val="476360FF"/>
    <w:rsid w:val="476D4DE6"/>
    <w:rsid w:val="477B7EE4"/>
    <w:rsid w:val="47C507D3"/>
    <w:rsid w:val="47D65CAD"/>
    <w:rsid w:val="47D83DBE"/>
    <w:rsid w:val="47DF45D4"/>
    <w:rsid w:val="48240225"/>
    <w:rsid w:val="48273267"/>
    <w:rsid w:val="484D7B05"/>
    <w:rsid w:val="485208BC"/>
    <w:rsid w:val="48560A64"/>
    <w:rsid w:val="48651F98"/>
    <w:rsid w:val="48790A15"/>
    <w:rsid w:val="487B125B"/>
    <w:rsid w:val="487B5097"/>
    <w:rsid w:val="48867F6B"/>
    <w:rsid w:val="488704BE"/>
    <w:rsid w:val="48B13100"/>
    <w:rsid w:val="48B20D65"/>
    <w:rsid w:val="48B73407"/>
    <w:rsid w:val="48E76D74"/>
    <w:rsid w:val="48F071E0"/>
    <w:rsid w:val="490005BF"/>
    <w:rsid w:val="49190D43"/>
    <w:rsid w:val="491A0E67"/>
    <w:rsid w:val="4953587C"/>
    <w:rsid w:val="496219E7"/>
    <w:rsid w:val="497F3F34"/>
    <w:rsid w:val="49892D5C"/>
    <w:rsid w:val="499C0401"/>
    <w:rsid w:val="49A71948"/>
    <w:rsid w:val="49BF3470"/>
    <w:rsid w:val="49CF2371"/>
    <w:rsid w:val="49DF3E55"/>
    <w:rsid w:val="49E05241"/>
    <w:rsid w:val="49E07309"/>
    <w:rsid w:val="49EC25EA"/>
    <w:rsid w:val="4A1C2238"/>
    <w:rsid w:val="4A5116F5"/>
    <w:rsid w:val="4A703F7A"/>
    <w:rsid w:val="4A8E6E4F"/>
    <w:rsid w:val="4A90490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885F1B"/>
    <w:rsid w:val="4B941F8D"/>
    <w:rsid w:val="4B9B3594"/>
    <w:rsid w:val="4BA42905"/>
    <w:rsid w:val="4BAC36C9"/>
    <w:rsid w:val="4BF219E8"/>
    <w:rsid w:val="4C0C32F3"/>
    <w:rsid w:val="4C3175E5"/>
    <w:rsid w:val="4C631EDA"/>
    <w:rsid w:val="4C76624D"/>
    <w:rsid w:val="4C9A2E59"/>
    <w:rsid w:val="4CCB3D3B"/>
    <w:rsid w:val="4CF177CB"/>
    <w:rsid w:val="4CF678CA"/>
    <w:rsid w:val="4CF73566"/>
    <w:rsid w:val="4D0127A3"/>
    <w:rsid w:val="4D175216"/>
    <w:rsid w:val="4D191608"/>
    <w:rsid w:val="4D201B8C"/>
    <w:rsid w:val="4D9022F4"/>
    <w:rsid w:val="4D967BF5"/>
    <w:rsid w:val="4D974BCF"/>
    <w:rsid w:val="4D9C78F5"/>
    <w:rsid w:val="4DD51956"/>
    <w:rsid w:val="4E0E5695"/>
    <w:rsid w:val="4E1A701F"/>
    <w:rsid w:val="4E4F0B37"/>
    <w:rsid w:val="4E561AB8"/>
    <w:rsid w:val="4E7B75DD"/>
    <w:rsid w:val="4EB4046C"/>
    <w:rsid w:val="4EB777B3"/>
    <w:rsid w:val="4EC04A15"/>
    <w:rsid w:val="4EDC6BC6"/>
    <w:rsid w:val="4EF55AAD"/>
    <w:rsid w:val="4F0300AC"/>
    <w:rsid w:val="4F0C13D7"/>
    <w:rsid w:val="4F2471BE"/>
    <w:rsid w:val="4F4C19E2"/>
    <w:rsid w:val="4F5C0123"/>
    <w:rsid w:val="4F5E3F6C"/>
    <w:rsid w:val="4F6646E1"/>
    <w:rsid w:val="4F6F300B"/>
    <w:rsid w:val="4F7026DE"/>
    <w:rsid w:val="4F7821DB"/>
    <w:rsid w:val="4F911A9D"/>
    <w:rsid w:val="4FB156DB"/>
    <w:rsid w:val="4FC04D6D"/>
    <w:rsid w:val="4FEC2B8D"/>
    <w:rsid w:val="4FF53A7A"/>
    <w:rsid w:val="4FFE3BFE"/>
    <w:rsid w:val="503E20A8"/>
    <w:rsid w:val="507E0FEA"/>
    <w:rsid w:val="50841485"/>
    <w:rsid w:val="5097037B"/>
    <w:rsid w:val="50B520E2"/>
    <w:rsid w:val="50E52A97"/>
    <w:rsid w:val="50EE381F"/>
    <w:rsid w:val="51005BB2"/>
    <w:rsid w:val="51197D54"/>
    <w:rsid w:val="511A208C"/>
    <w:rsid w:val="513423E9"/>
    <w:rsid w:val="514E3B10"/>
    <w:rsid w:val="5153765D"/>
    <w:rsid w:val="51721A57"/>
    <w:rsid w:val="51921376"/>
    <w:rsid w:val="519A2902"/>
    <w:rsid w:val="519C4E03"/>
    <w:rsid w:val="51A5175E"/>
    <w:rsid w:val="51B56DA5"/>
    <w:rsid w:val="51D266A4"/>
    <w:rsid w:val="51D436FC"/>
    <w:rsid w:val="51D51C69"/>
    <w:rsid w:val="51DE56EE"/>
    <w:rsid w:val="51E33326"/>
    <w:rsid w:val="51E6779B"/>
    <w:rsid w:val="51F07C41"/>
    <w:rsid w:val="5202724E"/>
    <w:rsid w:val="522A562A"/>
    <w:rsid w:val="523715E0"/>
    <w:rsid w:val="523C7246"/>
    <w:rsid w:val="523E2E24"/>
    <w:rsid w:val="52467DC7"/>
    <w:rsid w:val="525126EB"/>
    <w:rsid w:val="52547D17"/>
    <w:rsid w:val="52984FFB"/>
    <w:rsid w:val="52990C1F"/>
    <w:rsid w:val="52A5443D"/>
    <w:rsid w:val="52E93545"/>
    <w:rsid w:val="52EF5B87"/>
    <w:rsid w:val="530A0C73"/>
    <w:rsid w:val="532958C2"/>
    <w:rsid w:val="532A538F"/>
    <w:rsid w:val="532C23EF"/>
    <w:rsid w:val="53336FC0"/>
    <w:rsid w:val="53594062"/>
    <w:rsid w:val="5367340B"/>
    <w:rsid w:val="53814A6A"/>
    <w:rsid w:val="53835FCF"/>
    <w:rsid w:val="53940164"/>
    <w:rsid w:val="53DF58E9"/>
    <w:rsid w:val="53E30766"/>
    <w:rsid w:val="53FC748C"/>
    <w:rsid w:val="540E237B"/>
    <w:rsid w:val="541B33C9"/>
    <w:rsid w:val="548375C7"/>
    <w:rsid w:val="548C049A"/>
    <w:rsid w:val="548E5803"/>
    <w:rsid w:val="54D9267C"/>
    <w:rsid w:val="54E43EB4"/>
    <w:rsid w:val="54F749A7"/>
    <w:rsid w:val="55042847"/>
    <w:rsid w:val="551662CA"/>
    <w:rsid w:val="551E01D6"/>
    <w:rsid w:val="552E0B1D"/>
    <w:rsid w:val="553232B5"/>
    <w:rsid w:val="55367803"/>
    <w:rsid w:val="55485AA9"/>
    <w:rsid w:val="5555434C"/>
    <w:rsid w:val="555636D1"/>
    <w:rsid w:val="556C79FD"/>
    <w:rsid w:val="556F6D99"/>
    <w:rsid w:val="557E5697"/>
    <w:rsid w:val="557F569B"/>
    <w:rsid w:val="55A55AD4"/>
    <w:rsid w:val="55AD6E6F"/>
    <w:rsid w:val="55E13557"/>
    <w:rsid w:val="55F417F2"/>
    <w:rsid w:val="55FB6B21"/>
    <w:rsid w:val="55FF44FA"/>
    <w:rsid w:val="5611226E"/>
    <w:rsid w:val="56195ACB"/>
    <w:rsid w:val="56235D02"/>
    <w:rsid w:val="562F0788"/>
    <w:rsid w:val="564E62D7"/>
    <w:rsid w:val="56502568"/>
    <w:rsid w:val="5659399A"/>
    <w:rsid w:val="56600267"/>
    <w:rsid w:val="56644F43"/>
    <w:rsid w:val="56645440"/>
    <w:rsid w:val="56704D0A"/>
    <w:rsid w:val="56866AEA"/>
    <w:rsid w:val="56894A3D"/>
    <w:rsid w:val="568A72E2"/>
    <w:rsid w:val="568F3A6F"/>
    <w:rsid w:val="568F6B3B"/>
    <w:rsid w:val="569A7979"/>
    <w:rsid w:val="569B2463"/>
    <w:rsid w:val="56B8428B"/>
    <w:rsid w:val="56C44612"/>
    <w:rsid w:val="56CF5904"/>
    <w:rsid w:val="56D23E27"/>
    <w:rsid w:val="56F30B79"/>
    <w:rsid w:val="56F41FE6"/>
    <w:rsid w:val="57114E86"/>
    <w:rsid w:val="571621EF"/>
    <w:rsid w:val="572A3149"/>
    <w:rsid w:val="573A040C"/>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B02DED"/>
    <w:rsid w:val="58B052FB"/>
    <w:rsid w:val="58FC7AC9"/>
    <w:rsid w:val="58FE1F4B"/>
    <w:rsid w:val="590B0801"/>
    <w:rsid w:val="593B6397"/>
    <w:rsid w:val="593F2508"/>
    <w:rsid w:val="594D560E"/>
    <w:rsid w:val="594E189C"/>
    <w:rsid w:val="595015EF"/>
    <w:rsid w:val="59516E31"/>
    <w:rsid w:val="596F07B3"/>
    <w:rsid w:val="597437D9"/>
    <w:rsid w:val="597A288C"/>
    <w:rsid w:val="598E4209"/>
    <w:rsid w:val="59953BFB"/>
    <w:rsid w:val="59B95C5B"/>
    <w:rsid w:val="59D32C10"/>
    <w:rsid w:val="5A1030A8"/>
    <w:rsid w:val="5A2550BF"/>
    <w:rsid w:val="5A2B12F0"/>
    <w:rsid w:val="5A4B6CB8"/>
    <w:rsid w:val="5A5D7CE2"/>
    <w:rsid w:val="5A693BAD"/>
    <w:rsid w:val="5A6B0C6D"/>
    <w:rsid w:val="5A8C3A1A"/>
    <w:rsid w:val="5A9206A4"/>
    <w:rsid w:val="5ABF7F74"/>
    <w:rsid w:val="5AC501CE"/>
    <w:rsid w:val="5ACB7E61"/>
    <w:rsid w:val="5ADC5003"/>
    <w:rsid w:val="5AFC466A"/>
    <w:rsid w:val="5AFC632C"/>
    <w:rsid w:val="5AFF6746"/>
    <w:rsid w:val="5B0C4999"/>
    <w:rsid w:val="5B210307"/>
    <w:rsid w:val="5B236068"/>
    <w:rsid w:val="5B4A5638"/>
    <w:rsid w:val="5B4C1F7B"/>
    <w:rsid w:val="5B5263FF"/>
    <w:rsid w:val="5B992DEF"/>
    <w:rsid w:val="5B9D0309"/>
    <w:rsid w:val="5BBE7722"/>
    <w:rsid w:val="5BCF3EF7"/>
    <w:rsid w:val="5BD46745"/>
    <w:rsid w:val="5BD529D9"/>
    <w:rsid w:val="5BF738E3"/>
    <w:rsid w:val="5C1318A1"/>
    <w:rsid w:val="5C1E3E80"/>
    <w:rsid w:val="5C2E27B9"/>
    <w:rsid w:val="5C343794"/>
    <w:rsid w:val="5C367850"/>
    <w:rsid w:val="5C3A0A96"/>
    <w:rsid w:val="5C5753FF"/>
    <w:rsid w:val="5C5B6A90"/>
    <w:rsid w:val="5C6502BC"/>
    <w:rsid w:val="5C7034D0"/>
    <w:rsid w:val="5CB20728"/>
    <w:rsid w:val="5CBB606D"/>
    <w:rsid w:val="5CCD36EE"/>
    <w:rsid w:val="5CD075F2"/>
    <w:rsid w:val="5CD6638E"/>
    <w:rsid w:val="5CDA6EEE"/>
    <w:rsid w:val="5CDE77B7"/>
    <w:rsid w:val="5CF8464B"/>
    <w:rsid w:val="5CFD168A"/>
    <w:rsid w:val="5D0B614D"/>
    <w:rsid w:val="5D23775A"/>
    <w:rsid w:val="5D3E4B67"/>
    <w:rsid w:val="5D4C11EC"/>
    <w:rsid w:val="5D5B5E00"/>
    <w:rsid w:val="5D706C40"/>
    <w:rsid w:val="5D860304"/>
    <w:rsid w:val="5DA76F13"/>
    <w:rsid w:val="5DCA0394"/>
    <w:rsid w:val="5DCC5AF2"/>
    <w:rsid w:val="5E0013EB"/>
    <w:rsid w:val="5E03225B"/>
    <w:rsid w:val="5E177981"/>
    <w:rsid w:val="5E4E0B0D"/>
    <w:rsid w:val="5E6D14C7"/>
    <w:rsid w:val="5E820C76"/>
    <w:rsid w:val="5EC657EF"/>
    <w:rsid w:val="5ED73A49"/>
    <w:rsid w:val="5EE4058A"/>
    <w:rsid w:val="5EE81921"/>
    <w:rsid w:val="5EF1732C"/>
    <w:rsid w:val="5F3773E5"/>
    <w:rsid w:val="5F396834"/>
    <w:rsid w:val="5F8D14A3"/>
    <w:rsid w:val="5F911AEB"/>
    <w:rsid w:val="5F92337B"/>
    <w:rsid w:val="5F9A5D49"/>
    <w:rsid w:val="5FDE1BB7"/>
    <w:rsid w:val="5FE420BD"/>
    <w:rsid w:val="5FE7021A"/>
    <w:rsid w:val="600B47D9"/>
    <w:rsid w:val="60112064"/>
    <w:rsid w:val="60140FAF"/>
    <w:rsid w:val="60207EA1"/>
    <w:rsid w:val="602613EA"/>
    <w:rsid w:val="602A00E5"/>
    <w:rsid w:val="60386E33"/>
    <w:rsid w:val="60680AAE"/>
    <w:rsid w:val="6070786D"/>
    <w:rsid w:val="607B0D84"/>
    <w:rsid w:val="60A46F13"/>
    <w:rsid w:val="60B45576"/>
    <w:rsid w:val="60BB0ECE"/>
    <w:rsid w:val="60E211C1"/>
    <w:rsid w:val="60E420DF"/>
    <w:rsid w:val="60FB4A82"/>
    <w:rsid w:val="60FD3345"/>
    <w:rsid w:val="60FE01F7"/>
    <w:rsid w:val="61121FF6"/>
    <w:rsid w:val="612800F5"/>
    <w:rsid w:val="61341D2E"/>
    <w:rsid w:val="6153492F"/>
    <w:rsid w:val="615C762F"/>
    <w:rsid w:val="6168749F"/>
    <w:rsid w:val="61730FDD"/>
    <w:rsid w:val="61771BCF"/>
    <w:rsid w:val="6192421A"/>
    <w:rsid w:val="61AA75B1"/>
    <w:rsid w:val="61B70CB2"/>
    <w:rsid w:val="61C436DB"/>
    <w:rsid w:val="61C914C6"/>
    <w:rsid w:val="61D73478"/>
    <w:rsid w:val="61E778D7"/>
    <w:rsid w:val="61F3365A"/>
    <w:rsid w:val="62040EFB"/>
    <w:rsid w:val="62122ADE"/>
    <w:rsid w:val="623A77D3"/>
    <w:rsid w:val="623F74EC"/>
    <w:rsid w:val="626929CB"/>
    <w:rsid w:val="626F340D"/>
    <w:rsid w:val="6271160A"/>
    <w:rsid w:val="62896E74"/>
    <w:rsid w:val="6291545C"/>
    <w:rsid w:val="62C9318E"/>
    <w:rsid w:val="62CC6328"/>
    <w:rsid w:val="62D558B4"/>
    <w:rsid w:val="62E6347A"/>
    <w:rsid w:val="630028D4"/>
    <w:rsid w:val="63305A1E"/>
    <w:rsid w:val="63830177"/>
    <w:rsid w:val="639026F2"/>
    <w:rsid w:val="63A15040"/>
    <w:rsid w:val="63A24C2F"/>
    <w:rsid w:val="63A31F1E"/>
    <w:rsid w:val="63CE00DD"/>
    <w:rsid w:val="63E04A73"/>
    <w:rsid w:val="64176C72"/>
    <w:rsid w:val="64213708"/>
    <w:rsid w:val="6433716C"/>
    <w:rsid w:val="646D2F79"/>
    <w:rsid w:val="647D013D"/>
    <w:rsid w:val="64A558C8"/>
    <w:rsid w:val="64B33E67"/>
    <w:rsid w:val="64C146F8"/>
    <w:rsid w:val="64D055EA"/>
    <w:rsid w:val="64D428D6"/>
    <w:rsid w:val="64D7741D"/>
    <w:rsid w:val="64F40D0D"/>
    <w:rsid w:val="64F46726"/>
    <w:rsid w:val="64FD407F"/>
    <w:rsid w:val="65000059"/>
    <w:rsid w:val="65053BE9"/>
    <w:rsid w:val="65055E4D"/>
    <w:rsid w:val="65071641"/>
    <w:rsid w:val="650826A5"/>
    <w:rsid w:val="6508776F"/>
    <w:rsid w:val="650D2548"/>
    <w:rsid w:val="65194D81"/>
    <w:rsid w:val="65257EEF"/>
    <w:rsid w:val="65343BB9"/>
    <w:rsid w:val="65510EFB"/>
    <w:rsid w:val="65581AB3"/>
    <w:rsid w:val="656D2D8C"/>
    <w:rsid w:val="658F68AE"/>
    <w:rsid w:val="65976E06"/>
    <w:rsid w:val="65A947EC"/>
    <w:rsid w:val="65D53232"/>
    <w:rsid w:val="65D83EF7"/>
    <w:rsid w:val="65F40795"/>
    <w:rsid w:val="65F761A2"/>
    <w:rsid w:val="661A56A8"/>
    <w:rsid w:val="662C53CC"/>
    <w:rsid w:val="6639371C"/>
    <w:rsid w:val="66416913"/>
    <w:rsid w:val="6655781C"/>
    <w:rsid w:val="66614173"/>
    <w:rsid w:val="666D30F1"/>
    <w:rsid w:val="667B12DC"/>
    <w:rsid w:val="668C712F"/>
    <w:rsid w:val="66A849BA"/>
    <w:rsid w:val="66AC540F"/>
    <w:rsid w:val="66B23796"/>
    <w:rsid w:val="66B65345"/>
    <w:rsid w:val="66CA26B4"/>
    <w:rsid w:val="66E10157"/>
    <w:rsid w:val="66E20972"/>
    <w:rsid w:val="67073BA4"/>
    <w:rsid w:val="6717091B"/>
    <w:rsid w:val="674D2572"/>
    <w:rsid w:val="67574127"/>
    <w:rsid w:val="67593735"/>
    <w:rsid w:val="677D178E"/>
    <w:rsid w:val="67906A0A"/>
    <w:rsid w:val="679851B1"/>
    <w:rsid w:val="67A355E4"/>
    <w:rsid w:val="67BD5F49"/>
    <w:rsid w:val="67E17D40"/>
    <w:rsid w:val="68151294"/>
    <w:rsid w:val="681F5F6D"/>
    <w:rsid w:val="68432C37"/>
    <w:rsid w:val="685A7BF3"/>
    <w:rsid w:val="687C7890"/>
    <w:rsid w:val="68A12FA5"/>
    <w:rsid w:val="68B87986"/>
    <w:rsid w:val="68BF6331"/>
    <w:rsid w:val="68DA38B3"/>
    <w:rsid w:val="69030B95"/>
    <w:rsid w:val="691A4EC3"/>
    <w:rsid w:val="69204E4A"/>
    <w:rsid w:val="69371B9A"/>
    <w:rsid w:val="6947681E"/>
    <w:rsid w:val="694E1880"/>
    <w:rsid w:val="694F4832"/>
    <w:rsid w:val="699D4DD9"/>
    <w:rsid w:val="69D81708"/>
    <w:rsid w:val="69EF2D7F"/>
    <w:rsid w:val="6A1379FB"/>
    <w:rsid w:val="6A16644F"/>
    <w:rsid w:val="6A190A53"/>
    <w:rsid w:val="6A2E6725"/>
    <w:rsid w:val="6A36467C"/>
    <w:rsid w:val="6A435241"/>
    <w:rsid w:val="6A475142"/>
    <w:rsid w:val="6A5C053E"/>
    <w:rsid w:val="6A6E1A2A"/>
    <w:rsid w:val="6A6E3AC3"/>
    <w:rsid w:val="6A74759A"/>
    <w:rsid w:val="6A8C6BF6"/>
    <w:rsid w:val="6A9A03D2"/>
    <w:rsid w:val="6AAE32F7"/>
    <w:rsid w:val="6AC008AC"/>
    <w:rsid w:val="6AC73A60"/>
    <w:rsid w:val="6AD173AD"/>
    <w:rsid w:val="6AD63F97"/>
    <w:rsid w:val="6AF721E5"/>
    <w:rsid w:val="6B037AF9"/>
    <w:rsid w:val="6B134CBB"/>
    <w:rsid w:val="6B415C3A"/>
    <w:rsid w:val="6B4C1C90"/>
    <w:rsid w:val="6B754AD0"/>
    <w:rsid w:val="6B806B8A"/>
    <w:rsid w:val="6BE14913"/>
    <w:rsid w:val="6BEC55D3"/>
    <w:rsid w:val="6C0024E4"/>
    <w:rsid w:val="6C2422D2"/>
    <w:rsid w:val="6C282983"/>
    <w:rsid w:val="6C4528A7"/>
    <w:rsid w:val="6C500B83"/>
    <w:rsid w:val="6C504565"/>
    <w:rsid w:val="6C524C67"/>
    <w:rsid w:val="6C687391"/>
    <w:rsid w:val="6C7936E6"/>
    <w:rsid w:val="6C7B26A4"/>
    <w:rsid w:val="6C922D49"/>
    <w:rsid w:val="6CBC536B"/>
    <w:rsid w:val="6CBE48CA"/>
    <w:rsid w:val="6CD26A08"/>
    <w:rsid w:val="6CDC31C0"/>
    <w:rsid w:val="6CEF2C30"/>
    <w:rsid w:val="6CF818CA"/>
    <w:rsid w:val="6D374B9F"/>
    <w:rsid w:val="6D5178C2"/>
    <w:rsid w:val="6D565E19"/>
    <w:rsid w:val="6D591866"/>
    <w:rsid w:val="6D8B4C36"/>
    <w:rsid w:val="6D94576F"/>
    <w:rsid w:val="6DA66AC4"/>
    <w:rsid w:val="6DA82030"/>
    <w:rsid w:val="6DC764D3"/>
    <w:rsid w:val="6E1A7C70"/>
    <w:rsid w:val="6E34283D"/>
    <w:rsid w:val="6E5637C0"/>
    <w:rsid w:val="6E776F35"/>
    <w:rsid w:val="6E8F498E"/>
    <w:rsid w:val="6EA546E2"/>
    <w:rsid w:val="6EBB2294"/>
    <w:rsid w:val="6EBB6143"/>
    <w:rsid w:val="6EBC4341"/>
    <w:rsid w:val="6ED264C4"/>
    <w:rsid w:val="6ED809D8"/>
    <w:rsid w:val="6EEB1CF3"/>
    <w:rsid w:val="6EEC645D"/>
    <w:rsid w:val="6EF53B92"/>
    <w:rsid w:val="6F151709"/>
    <w:rsid w:val="6F5F07CC"/>
    <w:rsid w:val="6F616E58"/>
    <w:rsid w:val="6F6646E9"/>
    <w:rsid w:val="6F8119CC"/>
    <w:rsid w:val="6F94533D"/>
    <w:rsid w:val="6FA36B46"/>
    <w:rsid w:val="6FA45754"/>
    <w:rsid w:val="6FC12DB3"/>
    <w:rsid w:val="6FCF55B3"/>
    <w:rsid w:val="6FD6505F"/>
    <w:rsid w:val="6FD66AE3"/>
    <w:rsid w:val="6FE30CD2"/>
    <w:rsid w:val="6FF32484"/>
    <w:rsid w:val="6FF466BD"/>
    <w:rsid w:val="6FFB415F"/>
    <w:rsid w:val="701A2F1E"/>
    <w:rsid w:val="70215666"/>
    <w:rsid w:val="70274D4E"/>
    <w:rsid w:val="707067DA"/>
    <w:rsid w:val="70727DFF"/>
    <w:rsid w:val="70A4359F"/>
    <w:rsid w:val="70A528A7"/>
    <w:rsid w:val="70B654BE"/>
    <w:rsid w:val="70C41740"/>
    <w:rsid w:val="70CE5045"/>
    <w:rsid w:val="70D32396"/>
    <w:rsid w:val="70D71582"/>
    <w:rsid w:val="70F5771E"/>
    <w:rsid w:val="716A021D"/>
    <w:rsid w:val="717B3F53"/>
    <w:rsid w:val="7182743B"/>
    <w:rsid w:val="719159E5"/>
    <w:rsid w:val="719F0403"/>
    <w:rsid w:val="71A17AAB"/>
    <w:rsid w:val="71B743A0"/>
    <w:rsid w:val="71CE231F"/>
    <w:rsid w:val="71D224F4"/>
    <w:rsid w:val="71D75F9B"/>
    <w:rsid w:val="71EE564A"/>
    <w:rsid w:val="724667CC"/>
    <w:rsid w:val="7257225B"/>
    <w:rsid w:val="729E3D0C"/>
    <w:rsid w:val="72CC0920"/>
    <w:rsid w:val="72E06080"/>
    <w:rsid w:val="72E739EA"/>
    <w:rsid w:val="73026CFD"/>
    <w:rsid w:val="732D7F0C"/>
    <w:rsid w:val="73300DCB"/>
    <w:rsid w:val="73325730"/>
    <w:rsid w:val="7348728B"/>
    <w:rsid w:val="73637282"/>
    <w:rsid w:val="736A164B"/>
    <w:rsid w:val="73B37B7D"/>
    <w:rsid w:val="73B55948"/>
    <w:rsid w:val="73C609F1"/>
    <w:rsid w:val="73CD70A4"/>
    <w:rsid w:val="740639BB"/>
    <w:rsid w:val="741C34F8"/>
    <w:rsid w:val="741D0651"/>
    <w:rsid w:val="743417C6"/>
    <w:rsid w:val="743A7ABC"/>
    <w:rsid w:val="743E056C"/>
    <w:rsid w:val="744D0FB9"/>
    <w:rsid w:val="749771DD"/>
    <w:rsid w:val="749876E8"/>
    <w:rsid w:val="74A124AA"/>
    <w:rsid w:val="74B010EE"/>
    <w:rsid w:val="74BA69AB"/>
    <w:rsid w:val="74BE0D67"/>
    <w:rsid w:val="74DE2189"/>
    <w:rsid w:val="74DE462D"/>
    <w:rsid w:val="74FA794F"/>
    <w:rsid w:val="750E5C66"/>
    <w:rsid w:val="751D3A68"/>
    <w:rsid w:val="75246688"/>
    <w:rsid w:val="75362266"/>
    <w:rsid w:val="75565667"/>
    <w:rsid w:val="755728A1"/>
    <w:rsid w:val="756842A3"/>
    <w:rsid w:val="75826D3A"/>
    <w:rsid w:val="758E203F"/>
    <w:rsid w:val="75900F33"/>
    <w:rsid w:val="759D178C"/>
    <w:rsid w:val="75BE13F7"/>
    <w:rsid w:val="75D436B7"/>
    <w:rsid w:val="75E0592A"/>
    <w:rsid w:val="75E15891"/>
    <w:rsid w:val="75E23EC1"/>
    <w:rsid w:val="75E9223E"/>
    <w:rsid w:val="76092290"/>
    <w:rsid w:val="760C3E04"/>
    <w:rsid w:val="761F408D"/>
    <w:rsid w:val="762478FB"/>
    <w:rsid w:val="763543A5"/>
    <w:rsid w:val="76413178"/>
    <w:rsid w:val="765467AB"/>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7C2930"/>
    <w:rsid w:val="777F0EDD"/>
    <w:rsid w:val="77A80880"/>
    <w:rsid w:val="77C054A1"/>
    <w:rsid w:val="77C86312"/>
    <w:rsid w:val="77DE0C08"/>
    <w:rsid w:val="77F76905"/>
    <w:rsid w:val="780D1D6D"/>
    <w:rsid w:val="78135A45"/>
    <w:rsid w:val="78172DEF"/>
    <w:rsid w:val="782D121E"/>
    <w:rsid w:val="78364A07"/>
    <w:rsid w:val="7844580C"/>
    <w:rsid w:val="78567139"/>
    <w:rsid w:val="7862332C"/>
    <w:rsid w:val="7868607B"/>
    <w:rsid w:val="78795DE5"/>
    <w:rsid w:val="78AA22B0"/>
    <w:rsid w:val="78AD76A5"/>
    <w:rsid w:val="78B82753"/>
    <w:rsid w:val="78BB59D2"/>
    <w:rsid w:val="78C11DD3"/>
    <w:rsid w:val="78C3736C"/>
    <w:rsid w:val="78C55C7B"/>
    <w:rsid w:val="78E01CAB"/>
    <w:rsid w:val="78F65255"/>
    <w:rsid w:val="79030302"/>
    <w:rsid w:val="79065572"/>
    <w:rsid w:val="790A0DAD"/>
    <w:rsid w:val="790E60C0"/>
    <w:rsid w:val="79266B4E"/>
    <w:rsid w:val="792B2A61"/>
    <w:rsid w:val="79624778"/>
    <w:rsid w:val="7981712B"/>
    <w:rsid w:val="79A46CA4"/>
    <w:rsid w:val="79A61F0D"/>
    <w:rsid w:val="79AC2293"/>
    <w:rsid w:val="79AD407B"/>
    <w:rsid w:val="79C474B4"/>
    <w:rsid w:val="79D31B62"/>
    <w:rsid w:val="79DA00C0"/>
    <w:rsid w:val="79E3197D"/>
    <w:rsid w:val="7A243F18"/>
    <w:rsid w:val="7A2C6DAC"/>
    <w:rsid w:val="7A310B04"/>
    <w:rsid w:val="7A406322"/>
    <w:rsid w:val="7A462DA1"/>
    <w:rsid w:val="7A645054"/>
    <w:rsid w:val="7A6512EE"/>
    <w:rsid w:val="7A79172B"/>
    <w:rsid w:val="7A9A1494"/>
    <w:rsid w:val="7AA33C93"/>
    <w:rsid w:val="7AA53EB3"/>
    <w:rsid w:val="7ABF12DC"/>
    <w:rsid w:val="7ACE0282"/>
    <w:rsid w:val="7AD65423"/>
    <w:rsid w:val="7AE2047B"/>
    <w:rsid w:val="7AF606D5"/>
    <w:rsid w:val="7AF84C6C"/>
    <w:rsid w:val="7AFB3262"/>
    <w:rsid w:val="7AFE2079"/>
    <w:rsid w:val="7AFE2E1A"/>
    <w:rsid w:val="7B143886"/>
    <w:rsid w:val="7B2E64F8"/>
    <w:rsid w:val="7B3D3CDC"/>
    <w:rsid w:val="7B463A7D"/>
    <w:rsid w:val="7B4D06F4"/>
    <w:rsid w:val="7B504560"/>
    <w:rsid w:val="7B546145"/>
    <w:rsid w:val="7B58401B"/>
    <w:rsid w:val="7B653887"/>
    <w:rsid w:val="7B932E58"/>
    <w:rsid w:val="7B96509F"/>
    <w:rsid w:val="7BC33D93"/>
    <w:rsid w:val="7BD42193"/>
    <w:rsid w:val="7BD631E9"/>
    <w:rsid w:val="7BDF7CCD"/>
    <w:rsid w:val="7BF57461"/>
    <w:rsid w:val="7C1F4C6C"/>
    <w:rsid w:val="7C2E4FDA"/>
    <w:rsid w:val="7C467BBF"/>
    <w:rsid w:val="7C753399"/>
    <w:rsid w:val="7C7C74F4"/>
    <w:rsid w:val="7C833A2B"/>
    <w:rsid w:val="7C9326D5"/>
    <w:rsid w:val="7CD35875"/>
    <w:rsid w:val="7CDF2114"/>
    <w:rsid w:val="7CF43FAD"/>
    <w:rsid w:val="7D0503FE"/>
    <w:rsid w:val="7D083A1E"/>
    <w:rsid w:val="7D197055"/>
    <w:rsid w:val="7D250A5C"/>
    <w:rsid w:val="7D306717"/>
    <w:rsid w:val="7D3A2075"/>
    <w:rsid w:val="7D3E337A"/>
    <w:rsid w:val="7D5B03B2"/>
    <w:rsid w:val="7D6543D6"/>
    <w:rsid w:val="7D8C10BB"/>
    <w:rsid w:val="7D98473E"/>
    <w:rsid w:val="7DA94701"/>
    <w:rsid w:val="7DB70173"/>
    <w:rsid w:val="7DC52577"/>
    <w:rsid w:val="7DC652DB"/>
    <w:rsid w:val="7DC735BA"/>
    <w:rsid w:val="7DDF1D74"/>
    <w:rsid w:val="7DE219FE"/>
    <w:rsid w:val="7DFA1B73"/>
    <w:rsid w:val="7DFF2D37"/>
    <w:rsid w:val="7E0F6644"/>
    <w:rsid w:val="7E173840"/>
    <w:rsid w:val="7E4A6AF4"/>
    <w:rsid w:val="7E5343EF"/>
    <w:rsid w:val="7E5837F3"/>
    <w:rsid w:val="7E5D0626"/>
    <w:rsid w:val="7E8726CD"/>
    <w:rsid w:val="7EB90764"/>
    <w:rsid w:val="7EC5431A"/>
    <w:rsid w:val="7ED03074"/>
    <w:rsid w:val="7EE0446A"/>
    <w:rsid w:val="7EE27E94"/>
    <w:rsid w:val="7F016DA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Calibri" w:hAnsi="Calibri"/>
      <w:sz w:val="21"/>
      <w:szCs w:val="22"/>
    </w:rPr>
  </w:style>
  <w:style w:type="paragraph" w:styleId="3">
    <w:name w:val="footer"/>
    <w:basedOn w:val="1"/>
    <w:link w:val="8"/>
    <w:unhideWhenUsed/>
    <w:qFormat/>
    <w:uiPriority w:val="99"/>
    <w:pPr>
      <w:tabs>
        <w:tab w:val="center" w:pos="4153"/>
        <w:tab w:val="right" w:pos="8306"/>
      </w:tabs>
      <w:snapToGrid w:val="0"/>
      <w:jc w:val="left"/>
    </w:pPr>
    <w:rPr>
      <w:rFonts w:ascii="Times New Roman" w:hAnsi="Times New Roman"/>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27184</Words>
  <Characters>28575</Characters>
  <Lines>30</Lines>
  <Paragraphs>8</Paragraphs>
  <TotalTime>43</TotalTime>
  <ScaleCrop>false</ScaleCrop>
  <LinksUpToDate>false</LinksUpToDate>
  <CharactersWithSpaces>31715</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电子投标（2024版）</dc:description>
  <cp:lastModifiedBy>若若</cp:lastModifiedBy>
  <cp:lastPrinted>2023-04-21T05:44:00Z</cp:lastPrinted>
  <dcterms:modified xsi:type="dcterms:W3CDTF">2024-08-16T06:24:31Z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