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6FB6E">
      <w:pPr>
        <w:pStyle w:val="70"/>
        <w:ind w:firstLine="280"/>
        <w:rPr>
          <w:rFonts w:hint="eastAsia" w:ascii="宋体" w:hAnsi="宋体" w:eastAsia="宋体" w:cs="宋体"/>
          <w:color w:val="auto"/>
          <w:highlight w:val="none"/>
          <w:lang w:val="en-US" w:eastAsia="zh-CN"/>
        </w:rPr>
      </w:pPr>
    </w:p>
    <w:p w14:paraId="739B5DEF">
      <w:pPr>
        <w:spacing w:before="156" w:beforeLines="50"/>
        <w:jc w:val="center"/>
        <w:rPr>
          <w:rFonts w:hint="eastAsia" w:ascii="宋体" w:hAnsi="宋体" w:eastAsia="宋体" w:cs="宋体"/>
          <w:b/>
          <w:color w:val="auto"/>
          <w:sz w:val="52"/>
          <w:szCs w:val="52"/>
          <w:highlight w:val="none"/>
        </w:rPr>
      </w:pPr>
    </w:p>
    <w:p w14:paraId="16DA5533">
      <w:pPr>
        <w:spacing w:before="156" w:beforeLines="5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w:t>
      </w:r>
    </w:p>
    <w:p w14:paraId="678FD889">
      <w:pPr>
        <w:spacing w:before="156" w:beforeLines="50"/>
        <w:jc w:val="center"/>
        <w:rPr>
          <w:rFonts w:hint="eastAsia" w:ascii="宋体" w:hAnsi="宋体" w:eastAsia="宋体" w:cs="宋体"/>
          <w:b/>
          <w:color w:val="auto"/>
          <w:sz w:val="72"/>
          <w:szCs w:val="72"/>
          <w:highlight w:val="none"/>
        </w:rPr>
      </w:pPr>
      <w:r>
        <w:rPr>
          <w:rFonts w:hint="eastAsia" w:ascii="宋体" w:hAnsi="宋体" w:eastAsia="宋体" w:cs="宋体"/>
          <w:b/>
          <w:color w:val="auto"/>
          <w:sz w:val="52"/>
          <w:szCs w:val="52"/>
          <w:highlight w:val="none"/>
        </w:rPr>
        <w:t>公开招标采购文件</w:t>
      </w:r>
    </w:p>
    <w:p w14:paraId="1B0AC4AC">
      <w:pPr>
        <w:snapToGrid w:val="0"/>
        <w:spacing w:before="156" w:beforeLines="50" w:line="360" w:lineRule="auto"/>
        <w:rPr>
          <w:rFonts w:hint="eastAsia" w:ascii="宋体" w:hAnsi="宋体" w:eastAsia="宋体" w:cs="宋体"/>
          <w:color w:val="auto"/>
          <w:sz w:val="30"/>
          <w:szCs w:val="72"/>
          <w:highlight w:val="none"/>
        </w:rPr>
      </w:pPr>
    </w:p>
    <w:p w14:paraId="0193BD2B">
      <w:pPr>
        <w:snapToGrid w:val="0"/>
        <w:spacing w:before="156" w:beforeLines="50"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（电子交易）</w:t>
      </w:r>
    </w:p>
    <w:p w14:paraId="49D0C4F9">
      <w:pPr>
        <w:snapToGrid w:val="0"/>
        <w:spacing w:before="156" w:beforeLines="50" w:line="360" w:lineRule="auto"/>
        <w:rPr>
          <w:rFonts w:hint="eastAsia" w:ascii="宋体" w:hAnsi="宋体" w:eastAsia="宋体" w:cs="宋体"/>
          <w:color w:val="auto"/>
          <w:sz w:val="30"/>
          <w:szCs w:val="72"/>
          <w:highlight w:val="none"/>
        </w:rPr>
      </w:pPr>
    </w:p>
    <w:p w14:paraId="039D14AB">
      <w:pPr>
        <w:pStyle w:val="25"/>
        <w:snapToGrid w:val="0"/>
        <w:spacing w:beforeLines="0" w:afterLines="0" w:line="480" w:lineRule="auto"/>
        <w:rPr>
          <w:rFonts w:hint="eastAsia" w:ascii="宋体" w:hAnsi="宋体" w:eastAsia="宋体" w:cs="宋体"/>
          <w:b/>
          <w:bCs/>
          <w:color w:val="auto"/>
          <w:sz w:val="28"/>
          <w:szCs w:val="28"/>
          <w:highlight w:val="none"/>
        </w:rPr>
      </w:pPr>
    </w:p>
    <w:p w14:paraId="525FCC01">
      <w:pPr>
        <w:pStyle w:val="25"/>
        <w:snapToGrid w:val="0"/>
        <w:spacing w:beforeLines="0" w:afterLines="0" w:line="480" w:lineRule="auto"/>
        <w:rPr>
          <w:rFonts w:hint="eastAsia" w:ascii="宋体" w:hAnsi="宋体" w:eastAsia="宋体" w:cs="宋体"/>
          <w:b/>
          <w:bCs/>
          <w:color w:val="auto"/>
          <w:sz w:val="28"/>
          <w:szCs w:val="28"/>
          <w:highlight w:val="none"/>
        </w:rPr>
      </w:pPr>
    </w:p>
    <w:p w14:paraId="3E53F501">
      <w:pPr>
        <w:pStyle w:val="25"/>
        <w:snapToGrid w:val="0"/>
        <w:spacing w:beforeLines="0" w:afterLines="0" w:line="480" w:lineRule="auto"/>
        <w:rPr>
          <w:rFonts w:hint="eastAsia" w:ascii="宋体" w:hAnsi="宋体" w:eastAsia="宋体" w:cs="宋体"/>
          <w:b/>
          <w:bCs/>
          <w:color w:val="auto"/>
          <w:sz w:val="28"/>
          <w:szCs w:val="28"/>
          <w:highlight w:val="none"/>
        </w:rPr>
      </w:pPr>
    </w:p>
    <w:p w14:paraId="4E9C8813">
      <w:pPr>
        <w:pStyle w:val="25"/>
        <w:snapToGrid w:val="0"/>
        <w:spacing w:beforeLines="0" w:afterLines="0" w:line="480" w:lineRule="auto"/>
        <w:rPr>
          <w:rFonts w:hint="eastAsia" w:ascii="宋体" w:hAnsi="宋体" w:eastAsia="宋体" w:cs="宋体"/>
          <w:b/>
          <w:bCs/>
          <w:color w:val="auto"/>
          <w:sz w:val="28"/>
          <w:szCs w:val="28"/>
          <w:highlight w:val="none"/>
        </w:rPr>
      </w:pPr>
    </w:p>
    <w:p w14:paraId="0E0F5E5D">
      <w:pPr>
        <w:pStyle w:val="25"/>
        <w:keepNext w:val="0"/>
        <w:keepLines w:val="0"/>
        <w:pageBreakBefore w:val="0"/>
        <w:widowControl w:val="0"/>
        <w:kinsoku/>
        <w:wordWrap/>
        <w:overflowPunct/>
        <w:topLinePunct w:val="0"/>
        <w:autoSpaceDE/>
        <w:autoSpaceDN/>
        <w:bidi w:val="0"/>
        <w:adjustRightInd/>
        <w:snapToGrid w:val="0"/>
        <w:spacing w:beforeLines="0" w:afterLines="0" w:line="480" w:lineRule="auto"/>
        <w:ind w:left="-199" w:leftChars="-95" w:right="-183" w:rightChars="-87"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 xml:space="preserve"> </w:t>
      </w:r>
    </w:p>
    <w:p w14:paraId="42AC03E8">
      <w:pPr>
        <w:keepNext w:val="0"/>
        <w:keepLines w:val="0"/>
        <w:pageBreakBefore w:val="0"/>
        <w:widowControl w:val="0"/>
        <w:kinsoku/>
        <w:wordWrap/>
        <w:overflowPunct/>
        <w:topLinePunct w:val="0"/>
        <w:autoSpaceDE/>
        <w:autoSpaceDN/>
        <w:bidi w:val="0"/>
        <w:adjustRightInd/>
        <w:snapToGrid w:val="0"/>
        <w:spacing w:line="480" w:lineRule="auto"/>
        <w:ind w:left="218" w:leftChars="104" w:right="-183" w:rightChars="-87" w:firstLine="0" w:firstLineChars="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bookmarkStart w:id="0" w:name="OLE_LINK4"/>
      <w:r>
        <w:rPr>
          <w:rFonts w:hint="eastAsia" w:ascii="宋体" w:hAnsi="宋体" w:eastAsia="宋体" w:cs="宋体"/>
          <w:b/>
          <w:color w:val="auto"/>
          <w:sz w:val="28"/>
          <w:szCs w:val="28"/>
          <w:highlight w:val="none"/>
          <w:lang w:eastAsia="zh-CN"/>
        </w:rPr>
        <w:t>大碶成人学校报告厅软硬件租赁及运维服务项目</w:t>
      </w:r>
      <w:bookmarkEnd w:id="0"/>
    </w:p>
    <w:p w14:paraId="6FEF1A12">
      <w:pPr>
        <w:pStyle w:val="25"/>
        <w:keepNext w:val="0"/>
        <w:keepLines w:val="0"/>
        <w:pageBreakBefore w:val="0"/>
        <w:widowControl w:val="0"/>
        <w:kinsoku/>
        <w:wordWrap/>
        <w:overflowPunct/>
        <w:topLinePunct w:val="0"/>
        <w:autoSpaceDE/>
        <w:autoSpaceDN/>
        <w:bidi w:val="0"/>
        <w:adjustRightInd/>
        <w:snapToGrid w:val="0"/>
        <w:spacing w:beforeLines="0" w:afterLines="0" w:line="480" w:lineRule="auto"/>
        <w:ind w:left="218" w:leftChars="104" w:right="-183" w:rightChars="-87" w:firstLine="0" w:firstLineChars="0"/>
        <w:textAlignment w:val="auto"/>
        <w:rPr>
          <w:rFonts w:hint="eastAsia" w:ascii="宋体" w:hAnsi="宋体" w:eastAsia="宋体" w:cs="宋体"/>
          <w:b/>
          <w:bCs/>
          <w:color w:val="auto"/>
          <w:w w:val="95"/>
          <w:sz w:val="28"/>
          <w:szCs w:val="28"/>
          <w:highlight w:val="none"/>
        </w:rPr>
      </w:pPr>
      <w:r>
        <w:rPr>
          <w:rFonts w:hint="eastAsia" w:ascii="宋体" w:hAnsi="宋体" w:eastAsia="宋体" w:cs="宋体"/>
          <w:b/>
          <w:bCs/>
          <w:color w:val="auto"/>
          <w:sz w:val="28"/>
          <w:szCs w:val="28"/>
          <w:highlight w:val="none"/>
        </w:rPr>
        <w:t>项目编号：</w:t>
      </w:r>
      <w:bookmarkStart w:id="1" w:name="OLE_LINK8"/>
      <w:r>
        <w:rPr>
          <w:rFonts w:hint="eastAsia" w:ascii="宋体" w:hAnsi="宋体" w:eastAsia="宋体" w:cs="宋体"/>
          <w:b/>
          <w:bCs/>
          <w:color w:val="auto"/>
          <w:sz w:val="28"/>
          <w:szCs w:val="28"/>
          <w:highlight w:val="none"/>
          <w:lang w:eastAsia="zh-CN"/>
        </w:rPr>
        <w:t>NBDW-20241175</w:t>
      </w:r>
      <w:bookmarkEnd w:id="1"/>
    </w:p>
    <w:p w14:paraId="7208ED16">
      <w:pPr>
        <w:pStyle w:val="25"/>
        <w:keepNext w:val="0"/>
        <w:keepLines w:val="0"/>
        <w:pageBreakBefore w:val="0"/>
        <w:widowControl w:val="0"/>
        <w:kinsoku/>
        <w:wordWrap/>
        <w:overflowPunct/>
        <w:topLinePunct w:val="0"/>
        <w:autoSpaceDE/>
        <w:autoSpaceDN/>
        <w:bidi w:val="0"/>
        <w:adjustRightInd/>
        <w:snapToGrid w:val="0"/>
        <w:spacing w:beforeLines="0" w:afterLines="0" w:line="480" w:lineRule="auto"/>
        <w:ind w:left="218" w:leftChars="104" w:right="-183" w:rightChars="-87" w:firstLine="0" w:firstLineChars="0"/>
        <w:textAlignment w:val="auto"/>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采购单位：宁波市北仑区人民政府大碶街道办事处</w:t>
      </w:r>
    </w:p>
    <w:p w14:paraId="220D2BAC">
      <w:pPr>
        <w:pStyle w:val="25"/>
        <w:keepNext w:val="0"/>
        <w:keepLines w:val="0"/>
        <w:pageBreakBefore w:val="0"/>
        <w:widowControl w:val="0"/>
        <w:kinsoku/>
        <w:wordWrap/>
        <w:overflowPunct/>
        <w:topLinePunct w:val="0"/>
        <w:autoSpaceDE/>
        <w:autoSpaceDN/>
        <w:bidi w:val="0"/>
        <w:adjustRightInd/>
        <w:snapToGrid w:val="0"/>
        <w:spacing w:beforeLines="0" w:afterLines="0" w:line="480" w:lineRule="auto"/>
        <w:ind w:left="218" w:leftChars="104" w:right="-183" w:rightChars="-87" w:firstLine="0" w:firstLineChars="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w w:val="95"/>
          <w:sz w:val="28"/>
          <w:szCs w:val="28"/>
          <w:highlight w:val="none"/>
        </w:rPr>
        <w:t>采购代理机构：</w:t>
      </w:r>
      <w:r>
        <w:rPr>
          <w:rFonts w:hint="eastAsia" w:ascii="宋体" w:hAnsi="宋体" w:eastAsia="宋体" w:cs="宋体"/>
          <w:b/>
          <w:color w:val="auto"/>
          <w:sz w:val="28"/>
          <w:szCs w:val="28"/>
          <w:highlight w:val="none"/>
          <w:lang w:eastAsia="zh-CN"/>
        </w:rPr>
        <w:t>宁波杜威工程项目管理有限公司</w:t>
      </w:r>
    </w:p>
    <w:p w14:paraId="6AA099BC">
      <w:pPr>
        <w:pStyle w:val="25"/>
        <w:keepNext w:val="0"/>
        <w:keepLines w:val="0"/>
        <w:pageBreakBefore w:val="0"/>
        <w:widowControl w:val="0"/>
        <w:kinsoku/>
        <w:wordWrap/>
        <w:overflowPunct/>
        <w:topLinePunct w:val="0"/>
        <w:autoSpaceDE/>
        <w:autoSpaceDN/>
        <w:bidi w:val="0"/>
        <w:adjustRightInd/>
        <w:snapToGrid w:val="0"/>
        <w:spacing w:beforeLines="0" w:afterLines="0" w:line="480" w:lineRule="auto"/>
        <w:ind w:left="218" w:leftChars="104" w:right="-183" w:rightChars="-87" w:firstLine="0" w:firstLineChars="0"/>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en-US" w:eastAsia="zh-CN"/>
        </w:rPr>
        <w:t>日期：</w:t>
      </w:r>
      <w:r>
        <w:rPr>
          <w:rFonts w:hint="eastAsia" w:ascii="宋体" w:hAnsi="宋体" w:eastAsia="宋体" w:cs="宋体"/>
          <w:b/>
          <w:bCs/>
          <w:color w:val="auto"/>
          <w:w w:val="95"/>
          <w:sz w:val="28"/>
          <w:szCs w:val="28"/>
          <w:highlight w:val="none"/>
        </w:rPr>
        <w:t>202</w:t>
      </w:r>
      <w:r>
        <w:rPr>
          <w:rFonts w:hint="eastAsia" w:ascii="宋体" w:hAnsi="宋体" w:eastAsia="宋体" w:cs="宋体"/>
          <w:b/>
          <w:bCs/>
          <w:color w:val="auto"/>
          <w:w w:val="95"/>
          <w:sz w:val="28"/>
          <w:szCs w:val="28"/>
          <w:highlight w:val="none"/>
          <w:lang w:val="en-US" w:eastAsia="zh-CN"/>
        </w:rPr>
        <w:t>4</w:t>
      </w:r>
      <w:r>
        <w:rPr>
          <w:rFonts w:hint="eastAsia" w:ascii="宋体" w:hAnsi="宋体" w:eastAsia="宋体" w:cs="宋体"/>
          <w:b/>
          <w:bCs/>
          <w:color w:val="auto"/>
          <w:w w:val="95"/>
          <w:sz w:val="28"/>
          <w:szCs w:val="28"/>
          <w:highlight w:val="none"/>
        </w:rPr>
        <w:t>年</w:t>
      </w:r>
      <w:r>
        <w:rPr>
          <w:rFonts w:hint="eastAsia" w:ascii="宋体" w:hAnsi="宋体" w:eastAsia="宋体" w:cs="宋体"/>
          <w:b/>
          <w:bCs/>
          <w:color w:val="auto"/>
          <w:w w:val="95"/>
          <w:sz w:val="28"/>
          <w:szCs w:val="28"/>
          <w:highlight w:val="none"/>
          <w:lang w:val="en-US" w:eastAsia="zh-CN"/>
        </w:rPr>
        <w:t>9</w:t>
      </w:r>
      <w:r>
        <w:rPr>
          <w:rFonts w:hint="eastAsia" w:ascii="宋体" w:hAnsi="宋体" w:eastAsia="宋体" w:cs="宋体"/>
          <w:b/>
          <w:bCs/>
          <w:color w:val="auto"/>
          <w:w w:val="95"/>
          <w:sz w:val="28"/>
          <w:szCs w:val="28"/>
          <w:highlight w:val="none"/>
        </w:rPr>
        <w:t>月</w:t>
      </w:r>
    </w:p>
    <w:p w14:paraId="41268B70">
      <w:pPr>
        <w:jc w:val="center"/>
        <w:rPr>
          <w:rFonts w:hint="eastAsia" w:ascii="宋体" w:hAnsi="宋体" w:eastAsia="宋体" w:cs="宋体"/>
          <w:b/>
          <w:color w:val="auto"/>
          <w:sz w:val="36"/>
          <w:szCs w:val="36"/>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134" w:left="1304" w:header="851" w:footer="992" w:gutter="0"/>
          <w:cols w:space="0" w:num="1"/>
          <w:titlePg/>
          <w:rtlGutter w:val="0"/>
          <w:docGrid w:type="lines" w:linePitch="312" w:charSpace="0"/>
        </w:sectPr>
      </w:pPr>
    </w:p>
    <w:p w14:paraId="5B537166">
      <w:pPr>
        <w:jc w:val="left"/>
        <w:rPr>
          <w:rFonts w:hint="eastAsia" w:ascii="宋体" w:hAnsi="宋体" w:eastAsia="宋体" w:cs="宋体"/>
          <w:b/>
          <w:color w:val="auto"/>
          <w:sz w:val="36"/>
          <w:szCs w:val="36"/>
          <w:highlight w:val="none"/>
          <w:lang w:val="zh-CN"/>
        </w:rPr>
      </w:pPr>
    </w:p>
    <w:p w14:paraId="5C19D86D">
      <w:pPr>
        <w:jc w:val="left"/>
        <w:rPr>
          <w:rFonts w:hint="eastAsia" w:ascii="宋体" w:hAnsi="宋体" w:eastAsia="宋体" w:cs="宋体"/>
          <w:b/>
          <w:color w:val="auto"/>
          <w:sz w:val="36"/>
          <w:szCs w:val="36"/>
          <w:highlight w:val="none"/>
          <w:lang w:val="zh-CN"/>
        </w:rPr>
      </w:pPr>
    </w:p>
    <w:p w14:paraId="5D3D08AF">
      <w:pPr>
        <w:wordWrap w:val="0"/>
        <w:spacing w:line="48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温馨提醒</w:t>
      </w:r>
    </w:p>
    <w:p w14:paraId="20D0EA35">
      <w:pPr>
        <w:wordWrap w:val="0"/>
        <w:spacing w:line="360" w:lineRule="auto"/>
        <w:jc w:val="left"/>
        <w:rPr>
          <w:rFonts w:hint="eastAsia" w:ascii="宋体" w:hAnsi="宋体" w:eastAsia="宋体" w:cs="宋体"/>
          <w:b/>
          <w:color w:val="auto"/>
          <w:sz w:val="24"/>
          <w:highlight w:val="none"/>
        </w:rPr>
      </w:pPr>
    </w:p>
    <w:p w14:paraId="03BFE71C">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1、投标文件应按采购文件要求将“资格文件”、“商务和技术文件”、“报价文件”分别编制。</w:t>
      </w:r>
    </w:p>
    <w:p w14:paraId="6752DD1E">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2、采购人可以对已发出的采购文件进行必要的澄清或者修改，将以“更正公告”的形式发布在政采云平台，供应商应及时登录政采云平台，进行浏览并下载，未及时浏览下载的责任自负。</w:t>
      </w:r>
    </w:p>
    <w:p w14:paraId="2B378782">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3、若对项目采购电子交易系统操作有疑问，可登录政采云（https://www.zcygov.cn/），点击右侧咨询小采，获取采小蜜智能服务管家帮助，或拨打政采云服务热线</w:t>
      </w:r>
      <w:r>
        <w:rPr>
          <w:rStyle w:val="291"/>
          <w:rFonts w:hint="eastAsia" w:ascii="宋体" w:hAnsi="宋体" w:eastAsia="宋体" w:cs="宋体"/>
          <w:b/>
          <w:color w:val="auto"/>
          <w:sz w:val="24"/>
          <w:highlight w:val="none"/>
        </w:rPr>
        <w:t>95763</w:t>
      </w:r>
      <w:r>
        <w:rPr>
          <w:rFonts w:hint="eastAsia" w:ascii="宋体" w:hAnsi="宋体" w:eastAsia="宋体" w:cs="宋体"/>
          <w:b/>
          <w:bCs/>
          <w:color w:val="auto"/>
          <w:kern w:val="0"/>
          <w:sz w:val="24"/>
          <w:highlight w:val="none"/>
        </w:rPr>
        <w:t>获取热线服务帮助。</w:t>
      </w:r>
    </w:p>
    <w:p w14:paraId="38310D0C">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4、CA问题联系电话（人工）：汇信CA 400-888-4636；天谷CA 400-087-8198。</w:t>
      </w:r>
    </w:p>
    <w:p w14:paraId="0680A96B">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color w:val="auto"/>
          <w:sz w:val="24"/>
          <w:highlight w:val="none"/>
        </w:rPr>
      </w:pPr>
    </w:p>
    <w:p w14:paraId="6B4A2272">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b/>
          <w:color w:val="auto"/>
          <w:sz w:val="24"/>
          <w:highlight w:val="none"/>
          <w:lang w:val="zh-CN"/>
        </w:rPr>
      </w:pPr>
    </w:p>
    <w:p w14:paraId="40E7CCE4">
      <w:pPr>
        <w:pStyle w:val="67"/>
        <w:rPr>
          <w:rFonts w:hint="eastAsia" w:ascii="宋体" w:hAnsi="宋体" w:eastAsia="宋体" w:cs="宋体"/>
          <w:b/>
          <w:color w:val="auto"/>
          <w:sz w:val="36"/>
          <w:szCs w:val="36"/>
          <w:highlight w:val="none"/>
          <w:lang w:val="zh-CN"/>
        </w:rPr>
      </w:pPr>
    </w:p>
    <w:p w14:paraId="0A080BE1">
      <w:pPr>
        <w:jc w:val="center"/>
        <w:rPr>
          <w:rFonts w:hint="eastAsia" w:ascii="宋体" w:hAnsi="宋体" w:eastAsia="宋体" w:cs="宋体"/>
          <w:b/>
          <w:color w:val="auto"/>
          <w:sz w:val="36"/>
          <w:szCs w:val="36"/>
          <w:highlight w:val="none"/>
          <w:lang w:val="zh-CN"/>
        </w:rPr>
      </w:pPr>
    </w:p>
    <w:p w14:paraId="020FE824">
      <w:pPr>
        <w:jc w:val="center"/>
        <w:rPr>
          <w:rFonts w:hint="eastAsia" w:ascii="宋体" w:hAnsi="宋体" w:eastAsia="宋体" w:cs="宋体"/>
          <w:b/>
          <w:color w:val="auto"/>
          <w:sz w:val="36"/>
          <w:szCs w:val="36"/>
          <w:highlight w:val="none"/>
          <w:lang w:val="zh-CN"/>
        </w:rPr>
      </w:pPr>
    </w:p>
    <w:p w14:paraId="40EDA0AC">
      <w:pPr>
        <w:jc w:val="center"/>
        <w:rPr>
          <w:rFonts w:hint="eastAsia" w:ascii="宋体" w:hAnsi="宋体" w:eastAsia="宋体" w:cs="宋体"/>
          <w:b/>
          <w:color w:val="auto"/>
          <w:sz w:val="36"/>
          <w:szCs w:val="36"/>
          <w:highlight w:val="none"/>
          <w:lang w:val="zh-CN"/>
        </w:rPr>
      </w:pPr>
    </w:p>
    <w:p w14:paraId="79B47376">
      <w:pPr>
        <w:jc w:val="center"/>
        <w:rPr>
          <w:rFonts w:hint="eastAsia" w:ascii="宋体" w:hAnsi="宋体" w:eastAsia="宋体" w:cs="宋体"/>
          <w:b/>
          <w:color w:val="auto"/>
          <w:sz w:val="36"/>
          <w:szCs w:val="36"/>
          <w:highlight w:val="none"/>
          <w:lang w:val="zh-CN"/>
        </w:rPr>
      </w:pPr>
    </w:p>
    <w:p w14:paraId="12B0D604">
      <w:pPr>
        <w:jc w:val="center"/>
        <w:rPr>
          <w:rFonts w:hint="eastAsia" w:ascii="宋体" w:hAnsi="宋体" w:eastAsia="宋体" w:cs="宋体"/>
          <w:b/>
          <w:color w:val="auto"/>
          <w:sz w:val="36"/>
          <w:szCs w:val="36"/>
          <w:highlight w:val="none"/>
          <w:lang w:val="zh-CN"/>
        </w:rPr>
      </w:pPr>
    </w:p>
    <w:p w14:paraId="12BAB26F">
      <w:pPr>
        <w:jc w:val="center"/>
        <w:rPr>
          <w:rFonts w:hint="eastAsia" w:ascii="宋体" w:hAnsi="宋体" w:eastAsia="宋体" w:cs="宋体"/>
          <w:b/>
          <w:color w:val="auto"/>
          <w:sz w:val="36"/>
          <w:szCs w:val="36"/>
          <w:highlight w:val="none"/>
          <w:lang w:val="zh-CN"/>
        </w:rPr>
      </w:pPr>
    </w:p>
    <w:p w14:paraId="601AD451">
      <w:pPr>
        <w:jc w:val="center"/>
        <w:rPr>
          <w:rFonts w:hint="eastAsia" w:ascii="宋体" w:hAnsi="宋体" w:eastAsia="宋体" w:cs="宋体"/>
          <w:b/>
          <w:color w:val="auto"/>
          <w:sz w:val="36"/>
          <w:szCs w:val="36"/>
          <w:highlight w:val="none"/>
          <w:lang w:val="zh-CN"/>
        </w:rPr>
      </w:pPr>
    </w:p>
    <w:p w14:paraId="06025E12">
      <w:pPr>
        <w:jc w:val="center"/>
        <w:rPr>
          <w:rFonts w:hint="eastAsia" w:ascii="宋体" w:hAnsi="宋体" w:eastAsia="宋体" w:cs="宋体"/>
          <w:b/>
          <w:color w:val="auto"/>
          <w:sz w:val="36"/>
          <w:szCs w:val="36"/>
          <w:highlight w:val="none"/>
          <w:lang w:val="zh-CN"/>
        </w:rPr>
      </w:pPr>
    </w:p>
    <w:p w14:paraId="6B740859">
      <w:pPr>
        <w:jc w:val="center"/>
        <w:rPr>
          <w:rFonts w:hint="eastAsia" w:ascii="宋体" w:hAnsi="宋体" w:eastAsia="宋体" w:cs="宋体"/>
          <w:b/>
          <w:color w:val="auto"/>
          <w:sz w:val="36"/>
          <w:szCs w:val="36"/>
          <w:highlight w:val="none"/>
          <w:lang w:val="zh-CN"/>
        </w:rPr>
      </w:pPr>
    </w:p>
    <w:p w14:paraId="5C155AAA">
      <w:pPr>
        <w:jc w:val="center"/>
        <w:rPr>
          <w:rFonts w:hint="eastAsia" w:ascii="宋体" w:hAnsi="宋体" w:eastAsia="宋体" w:cs="宋体"/>
          <w:b/>
          <w:color w:val="auto"/>
          <w:sz w:val="36"/>
          <w:szCs w:val="36"/>
          <w:highlight w:val="none"/>
          <w:lang w:val="zh-CN"/>
        </w:rPr>
      </w:pPr>
    </w:p>
    <w:p w14:paraId="074A0B0B">
      <w:pPr>
        <w:jc w:val="center"/>
        <w:rPr>
          <w:rFonts w:hint="eastAsia" w:ascii="宋体" w:hAnsi="宋体" w:eastAsia="宋体" w:cs="宋体"/>
          <w:b/>
          <w:color w:val="auto"/>
          <w:sz w:val="36"/>
          <w:szCs w:val="36"/>
          <w:highlight w:val="none"/>
          <w:lang w:val="zh-CN"/>
        </w:rPr>
      </w:pPr>
    </w:p>
    <w:p w14:paraId="1BCE10BE">
      <w:pPr>
        <w:jc w:val="center"/>
        <w:rPr>
          <w:rFonts w:hint="eastAsia" w:ascii="宋体" w:hAnsi="宋体" w:eastAsia="宋体" w:cs="宋体"/>
          <w:b/>
          <w:color w:val="auto"/>
          <w:sz w:val="36"/>
          <w:szCs w:val="36"/>
          <w:highlight w:val="none"/>
          <w:lang w:val="zh-CN"/>
        </w:rPr>
      </w:pPr>
    </w:p>
    <w:p w14:paraId="1E5AF9CF">
      <w:pPr>
        <w:jc w:val="center"/>
        <w:rPr>
          <w:rFonts w:hint="eastAsia" w:ascii="宋体" w:hAnsi="宋体" w:eastAsia="宋体" w:cs="宋体"/>
          <w:b/>
          <w:color w:val="auto"/>
          <w:sz w:val="36"/>
          <w:szCs w:val="36"/>
          <w:highlight w:val="none"/>
          <w:lang w:val="zh-CN"/>
        </w:rPr>
      </w:pPr>
    </w:p>
    <w:p w14:paraId="78BD0A6B">
      <w:pPr>
        <w:jc w:val="center"/>
        <w:rPr>
          <w:rFonts w:hint="eastAsia" w:ascii="宋体" w:hAnsi="宋体" w:eastAsia="宋体" w:cs="宋体"/>
          <w:b/>
          <w:color w:val="auto"/>
          <w:sz w:val="36"/>
          <w:szCs w:val="36"/>
          <w:highlight w:val="none"/>
          <w:lang w:val="zh-CN"/>
        </w:rPr>
      </w:pPr>
    </w:p>
    <w:p w14:paraId="7870506A">
      <w:pPr>
        <w:jc w:val="center"/>
        <w:rPr>
          <w:rFonts w:hint="eastAsia" w:ascii="宋体" w:hAnsi="宋体" w:eastAsia="宋体" w:cs="宋体"/>
          <w:b/>
          <w:bCs w:val="0"/>
          <w:color w:val="auto"/>
          <w:sz w:val="44"/>
          <w:szCs w:val="44"/>
          <w:highlight w:val="none"/>
          <w:lang w:val="zh-CN"/>
        </w:rPr>
      </w:pPr>
      <w:r>
        <w:rPr>
          <w:rFonts w:hint="eastAsia" w:ascii="宋体" w:hAnsi="宋体" w:eastAsia="宋体" w:cs="宋体"/>
          <w:b/>
          <w:bCs w:val="0"/>
          <w:color w:val="auto"/>
          <w:sz w:val="44"/>
          <w:szCs w:val="44"/>
          <w:highlight w:val="none"/>
          <w:lang w:val="zh-CN"/>
        </w:rPr>
        <w:t xml:space="preserve">目 </w:t>
      </w:r>
      <w:r>
        <w:rPr>
          <w:rFonts w:hint="eastAsia" w:ascii="宋体" w:hAnsi="宋体" w:eastAsia="宋体" w:cs="宋体"/>
          <w:b/>
          <w:bCs w:val="0"/>
          <w:color w:val="auto"/>
          <w:sz w:val="44"/>
          <w:szCs w:val="44"/>
          <w:highlight w:val="none"/>
          <w:lang w:val="en-US" w:eastAsia="zh-CN"/>
        </w:rPr>
        <w:t xml:space="preserve"> </w:t>
      </w:r>
      <w:r>
        <w:rPr>
          <w:rFonts w:hint="eastAsia" w:ascii="宋体" w:hAnsi="宋体" w:eastAsia="宋体" w:cs="宋体"/>
          <w:b/>
          <w:bCs w:val="0"/>
          <w:color w:val="auto"/>
          <w:sz w:val="44"/>
          <w:szCs w:val="44"/>
          <w:highlight w:val="none"/>
          <w:lang w:val="zh-CN"/>
        </w:rPr>
        <w:t>录</w:t>
      </w:r>
    </w:p>
    <w:p w14:paraId="0315B7C5">
      <w:pPr>
        <w:pStyle w:val="66"/>
        <w:rPr>
          <w:rFonts w:hint="eastAsia" w:ascii="宋体" w:hAnsi="宋体" w:eastAsia="宋体" w:cs="宋体"/>
          <w:color w:val="auto"/>
          <w:highlight w:val="none"/>
        </w:rPr>
      </w:pPr>
    </w:p>
    <w:p w14:paraId="2374B0F4">
      <w:pPr>
        <w:pStyle w:val="34"/>
        <w:keepNext w:val="0"/>
        <w:keepLines w:val="0"/>
        <w:pageBreakBefore w:val="0"/>
        <w:widowControl w:val="0"/>
        <w:tabs>
          <w:tab w:val="right" w:leader="dot" w:pos="8846"/>
        </w:tabs>
        <w:kinsoku/>
        <w:wordWrap/>
        <w:overflowPunct/>
        <w:topLinePunct w:val="0"/>
        <w:autoSpaceDE/>
        <w:autoSpaceDN/>
        <w:bidi w:val="0"/>
        <w:adjustRightInd/>
        <w:snapToGrid/>
        <w:spacing w:before="0" w:after="0" w:line="600" w:lineRule="auto"/>
        <w:ind w:left="420" w:leftChars="20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fldChar w:fldCharType="begin"/>
      </w:r>
      <w:r>
        <w:rPr>
          <w:rFonts w:hint="eastAsia" w:ascii="宋体" w:hAnsi="宋体" w:eastAsia="宋体" w:cs="宋体"/>
          <w:b w:val="0"/>
          <w:color w:val="auto"/>
          <w:sz w:val="28"/>
          <w:szCs w:val="28"/>
          <w:highlight w:val="none"/>
        </w:rPr>
        <w:instrText xml:space="preserve"> TOC \o "1-3" \h \z \u </w:instrText>
      </w:r>
      <w:r>
        <w:rPr>
          <w:rFonts w:hint="eastAsia" w:ascii="宋体" w:hAnsi="宋体" w:eastAsia="宋体" w:cs="宋体"/>
          <w:b w:val="0"/>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"_Toc530378515" </w:instrText>
      </w:r>
      <w:r>
        <w:rPr>
          <w:rFonts w:hint="eastAsia" w:ascii="宋体" w:hAnsi="宋体" w:eastAsia="宋体" w:cs="宋体"/>
          <w:color w:val="auto"/>
          <w:sz w:val="28"/>
          <w:szCs w:val="28"/>
          <w:highlight w:val="none"/>
        </w:rPr>
        <w:fldChar w:fldCharType="separate"/>
      </w:r>
      <w:r>
        <w:rPr>
          <w:rStyle w:val="58"/>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p>
    <w:p w14:paraId="54DCCB79">
      <w:pPr>
        <w:pStyle w:val="34"/>
        <w:keepNext w:val="0"/>
        <w:keepLines w:val="0"/>
        <w:pageBreakBefore w:val="0"/>
        <w:widowControl w:val="0"/>
        <w:tabs>
          <w:tab w:val="right" w:leader="dot" w:pos="8846"/>
        </w:tabs>
        <w:kinsoku/>
        <w:wordWrap/>
        <w:overflowPunct/>
        <w:topLinePunct w:val="0"/>
        <w:autoSpaceDE/>
        <w:autoSpaceDN/>
        <w:bidi w:val="0"/>
        <w:adjustRightInd/>
        <w:snapToGrid/>
        <w:spacing w:before="0" w:after="0" w:line="600" w:lineRule="auto"/>
        <w:ind w:left="420" w:leftChars="20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"_Toc530378516" </w:instrText>
      </w:r>
      <w:r>
        <w:rPr>
          <w:rFonts w:hint="eastAsia" w:ascii="宋体" w:hAnsi="宋体" w:eastAsia="宋体" w:cs="宋体"/>
          <w:color w:val="auto"/>
          <w:sz w:val="28"/>
          <w:szCs w:val="28"/>
          <w:highlight w:val="none"/>
        </w:rPr>
        <w:fldChar w:fldCharType="separate"/>
      </w:r>
      <w:r>
        <w:rPr>
          <w:rStyle w:val="58"/>
          <w:rFonts w:hint="eastAsia" w:ascii="宋体" w:hAnsi="宋体" w:eastAsia="宋体" w:cs="宋体"/>
          <w:color w:val="auto"/>
          <w:sz w:val="28"/>
          <w:szCs w:val="28"/>
          <w:highlight w:val="none"/>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_Toc530378516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39313">
      <w:pPr>
        <w:pStyle w:val="34"/>
        <w:keepNext w:val="0"/>
        <w:keepLines w:val="0"/>
        <w:pageBreakBefore w:val="0"/>
        <w:widowControl w:val="0"/>
        <w:tabs>
          <w:tab w:val="right" w:leader="dot" w:pos="8846"/>
        </w:tabs>
        <w:kinsoku/>
        <w:wordWrap/>
        <w:overflowPunct/>
        <w:topLinePunct w:val="0"/>
        <w:autoSpaceDE/>
        <w:autoSpaceDN/>
        <w:bidi w:val="0"/>
        <w:adjustRightInd/>
        <w:snapToGrid/>
        <w:spacing w:before="0" w:after="0" w:line="600" w:lineRule="auto"/>
        <w:ind w:left="420" w:leftChars="200" w:firstLine="0" w:firstLineChars="0"/>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"_Toc530378517" </w:instrText>
      </w:r>
      <w:r>
        <w:rPr>
          <w:rFonts w:hint="eastAsia" w:ascii="宋体" w:hAnsi="宋体" w:eastAsia="宋体" w:cs="宋体"/>
          <w:color w:val="auto"/>
          <w:sz w:val="28"/>
          <w:szCs w:val="28"/>
          <w:highlight w:val="none"/>
        </w:rPr>
        <w:fldChar w:fldCharType="separate"/>
      </w:r>
      <w:r>
        <w:rPr>
          <w:rStyle w:val="58"/>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41</w:t>
      </w:r>
    </w:p>
    <w:p w14:paraId="0DA965D1">
      <w:pPr>
        <w:pStyle w:val="34"/>
        <w:keepNext w:val="0"/>
        <w:keepLines w:val="0"/>
        <w:pageBreakBefore w:val="0"/>
        <w:widowControl w:val="0"/>
        <w:tabs>
          <w:tab w:val="right" w:leader="dot" w:pos="8846"/>
        </w:tabs>
        <w:kinsoku/>
        <w:wordWrap/>
        <w:overflowPunct/>
        <w:topLinePunct w:val="0"/>
        <w:autoSpaceDE/>
        <w:autoSpaceDN/>
        <w:bidi w:val="0"/>
        <w:adjustRightInd/>
        <w:snapToGrid/>
        <w:spacing w:before="0" w:after="0" w:line="600" w:lineRule="auto"/>
        <w:ind w:left="420" w:leftChars="200" w:firstLine="0" w:firstLineChars="0"/>
        <w:textAlignment w:val="auto"/>
        <w:rPr>
          <w:rFonts w:hint="eastAsia"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"_Toc530378532" </w:instrText>
      </w:r>
      <w:r>
        <w:rPr>
          <w:rFonts w:hint="eastAsia" w:ascii="宋体" w:hAnsi="宋体" w:eastAsia="宋体" w:cs="宋体"/>
          <w:color w:val="auto"/>
          <w:sz w:val="28"/>
          <w:szCs w:val="28"/>
          <w:highlight w:val="none"/>
        </w:rPr>
        <w:fldChar w:fldCharType="separate"/>
      </w:r>
      <w:r>
        <w:rPr>
          <w:rStyle w:val="58"/>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53</w:t>
      </w:r>
    </w:p>
    <w:p w14:paraId="6B1BD849">
      <w:pPr>
        <w:pStyle w:val="34"/>
        <w:keepNext w:val="0"/>
        <w:keepLines w:val="0"/>
        <w:pageBreakBefore w:val="0"/>
        <w:widowControl w:val="0"/>
        <w:tabs>
          <w:tab w:val="right" w:leader="dot" w:pos="8846"/>
        </w:tabs>
        <w:kinsoku/>
        <w:wordWrap/>
        <w:overflowPunct/>
        <w:topLinePunct w:val="0"/>
        <w:autoSpaceDE/>
        <w:autoSpaceDN/>
        <w:bidi w:val="0"/>
        <w:adjustRightInd/>
        <w:snapToGrid/>
        <w:spacing w:before="0" w:after="0" w:line="600" w:lineRule="auto"/>
        <w:ind w:left="420" w:leftChars="200" w:firstLine="0" w:firstLineChars="0"/>
        <w:textAlignment w:val="auto"/>
        <w:rPr>
          <w:rFonts w:hint="default"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"_Toc530378533" </w:instrText>
      </w:r>
      <w:r>
        <w:rPr>
          <w:rFonts w:hint="eastAsia" w:ascii="宋体" w:hAnsi="宋体" w:eastAsia="宋体" w:cs="宋体"/>
          <w:color w:val="auto"/>
          <w:sz w:val="28"/>
          <w:szCs w:val="28"/>
          <w:highlight w:val="none"/>
        </w:rPr>
        <w:fldChar w:fldCharType="separate"/>
      </w:r>
      <w:r>
        <w:rPr>
          <w:rStyle w:val="58"/>
          <w:rFonts w:hint="eastAsia" w:ascii="宋体" w:hAnsi="宋体" w:eastAsia="宋体" w:cs="宋体"/>
          <w:color w:val="auto"/>
          <w:sz w:val="28"/>
          <w:szCs w:val="28"/>
          <w:highlight w:val="none"/>
        </w:rPr>
        <w:t>第五章  合同格式</w:t>
      </w:r>
      <w:r>
        <w:rPr>
          <w:rStyle w:val="58"/>
          <w:rFonts w:hint="eastAsia" w:ascii="宋体" w:hAnsi="宋体" w:eastAsia="宋体" w:cs="宋体"/>
          <w:color w:val="auto"/>
          <w:sz w:val="28"/>
          <w:szCs w:val="28"/>
          <w:highlight w:val="none"/>
          <w:lang w:eastAsia="zh-CN"/>
        </w:rPr>
        <w:t>（</w:t>
      </w:r>
      <w:r>
        <w:rPr>
          <w:rStyle w:val="58"/>
          <w:rFonts w:hint="eastAsia" w:ascii="宋体" w:hAnsi="宋体" w:eastAsia="宋体" w:cs="宋体"/>
          <w:color w:val="auto"/>
          <w:sz w:val="28"/>
          <w:szCs w:val="28"/>
          <w:highlight w:val="none"/>
          <w:lang w:val="en-US" w:eastAsia="zh-CN"/>
        </w:rPr>
        <w:t>样稿）</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58</w:t>
      </w:r>
    </w:p>
    <w:p w14:paraId="70E1AA95">
      <w:pPr>
        <w:pStyle w:val="34"/>
        <w:keepNext w:val="0"/>
        <w:keepLines w:val="0"/>
        <w:pageBreakBefore w:val="0"/>
        <w:widowControl w:val="0"/>
        <w:tabs>
          <w:tab w:val="right" w:leader="dot" w:pos="8846"/>
        </w:tabs>
        <w:kinsoku/>
        <w:wordWrap/>
        <w:overflowPunct/>
        <w:topLinePunct w:val="0"/>
        <w:autoSpaceDE/>
        <w:autoSpaceDN/>
        <w:bidi w:val="0"/>
        <w:adjustRightInd/>
        <w:snapToGrid/>
        <w:spacing w:before="0" w:after="0" w:line="600" w:lineRule="auto"/>
        <w:ind w:left="420" w:leftChars="200" w:firstLine="0" w:firstLineChars="0"/>
        <w:textAlignment w:val="auto"/>
        <w:rPr>
          <w:rFonts w:hint="default" w:ascii="宋体" w:hAnsi="宋体" w:eastAsia="宋体" w:cs="宋体"/>
          <w:b w:val="0"/>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"_Toc530378534" </w:instrText>
      </w:r>
      <w:r>
        <w:rPr>
          <w:rFonts w:hint="eastAsia" w:ascii="宋体" w:hAnsi="宋体" w:eastAsia="宋体" w:cs="宋体"/>
          <w:color w:val="auto"/>
          <w:sz w:val="28"/>
          <w:szCs w:val="28"/>
          <w:highlight w:val="none"/>
        </w:rPr>
        <w:fldChar w:fldCharType="separate"/>
      </w:r>
      <w:r>
        <w:rPr>
          <w:rStyle w:val="58"/>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61</w:t>
      </w:r>
    </w:p>
    <w:p w14:paraId="1CF3E306">
      <w:pPr>
        <w:keepNext w:val="0"/>
        <w:keepLines w:val="0"/>
        <w:pageBreakBefore w:val="0"/>
        <w:widowControl w:val="0"/>
        <w:kinsoku/>
        <w:wordWrap/>
        <w:overflowPunct/>
        <w:topLinePunct w:val="0"/>
        <w:autoSpaceDE/>
        <w:autoSpaceDN/>
        <w:bidi w:val="0"/>
        <w:adjustRightInd/>
        <w:snapToGrid/>
        <w:spacing w:line="600" w:lineRule="auto"/>
        <w:ind w:left="420" w:leftChars="200" w:firstLine="0" w:firstLineChars="0"/>
        <w:textAlignment w:val="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fldChar w:fldCharType="end"/>
      </w:r>
    </w:p>
    <w:p w14:paraId="25CB8B53">
      <w:pPr>
        <w:pStyle w:val="34"/>
        <w:tabs>
          <w:tab w:val="right" w:leader="dot" w:pos="8721"/>
        </w:tabs>
        <w:spacing w:line="360" w:lineRule="auto"/>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fldChar w:fldCharType="begin"/>
      </w:r>
      <w:r>
        <w:rPr>
          <w:rFonts w:hint="eastAsia" w:ascii="宋体" w:hAnsi="宋体" w:eastAsia="宋体" w:cs="宋体"/>
          <w:b w:val="0"/>
          <w:color w:val="auto"/>
          <w:sz w:val="30"/>
          <w:szCs w:val="30"/>
          <w:highlight w:val="none"/>
        </w:rPr>
        <w:instrText xml:space="preserve"> TOC \o "1-3" \h \z \u </w:instrText>
      </w:r>
      <w:r>
        <w:rPr>
          <w:rFonts w:hint="eastAsia" w:ascii="宋体" w:hAnsi="宋体" w:eastAsia="宋体" w:cs="宋体"/>
          <w:b w:val="0"/>
          <w:color w:val="auto"/>
          <w:sz w:val="30"/>
          <w:szCs w:val="30"/>
          <w:highlight w:val="none"/>
        </w:rPr>
        <w:fldChar w:fldCharType="separate"/>
      </w:r>
    </w:p>
    <w:p w14:paraId="30606FBE">
      <w:pPr>
        <w:pStyle w:val="25"/>
        <w:spacing w:beforeLines="0" w:afterLines="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fldChar w:fldCharType="end"/>
      </w:r>
    </w:p>
    <w:p w14:paraId="0E158002">
      <w:pPr>
        <w:pStyle w:val="25"/>
        <w:spacing w:beforeLines="0" w:afterLines="0" w:line="360" w:lineRule="auto"/>
        <w:jc w:val="center"/>
        <w:rPr>
          <w:rFonts w:hint="eastAsia" w:ascii="宋体" w:hAnsi="宋体" w:eastAsia="宋体" w:cs="宋体"/>
          <w:b/>
          <w:color w:val="auto"/>
          <w:sz w:val="30"/>
          <w:szCs w:val="30"/>
          <w:highlight w:val="none"/>
        </w:rPr>
        <w:sectPr>
          <w:footerReference r:id="rId10" w:type="first"/>
          <w:footerReference r:id="rId9" w:type="default"/>
          <w:pgSz w:w="11906" w:h="16838"/>
          <w:pgMar w:top="1304" w:right="1134" w:bottom="1134" w:left="1304" w:header="851" w:footer="992" w:gutter="0"/>
          <w:pgNumType w:start="1"/>
          <w:cols w:space="0" w:num="1"/>
          <w:titlePg/>
          <w:rtlGutter w:val="0"/>
          <w:docGrid w:type="lines" w:linePitch="312" w:charSpace="0"/>
        </w:sectPr>
      </w:pPr>
    </w:p>
    <w:p w14:paraId="6A53C37C">
      <w:pPr>
        <w:pStyle w:val="3"/>
        <w:rPr>
          <w:rFonts w:hint="eastAsia" w:ascii="宋体" w:hAnsi="宋体" w:eastAsia="宋体" w:cs="宋体"/>
          <w:color w:val="auto"/>
          <w:highlight w:val="none"/>
        </w:rPr>
      </w:pPr>
      <w:bookmarkStart w:id="2" w:name="_Toc530378515"/>
      <w:r>
        <w:rPr>
          <w:rFonts w:hint="eastAsia" w:ascii="宋体" w:hAnsi="宋体" w:eastAsia="宋体" w:cs="宋体"/>
          <w:color w:val="auto"/>
          <w:highlight w:val="none"/>
        </w:rPr>
        <w:t>第一章  公开招标采购公告</w:t>
      </w:r>
      <w:bookmarkEnd w:id="2"/>
    </w:p>
    <w:tbl>
      <w:tblPr>
        <w:tblStyle w:val="49"/>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7"/>
      </w:tblGrid>
      <w:tr w14:paraId="6613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7" w:type="dxa"/>
          </w:tcPr>
          <w:p w14:paraId="0EF7EFAA">
            <w:pPr>
              <w:keepNext w:val="0"/>
              <w:keepLines w:val="0"/>
              <w:pageBreakBefore w:val="0"/>
              <w:widowControl w:val="0"/>
              <w:kinsoku/>
              <w:overflowPunct/>
              <w:topLinePunct w:val="0"/>
              <w:autoSpaceDE/>
              <w:autoSpaceDN/>
              <w:bidi w:val="0"/>
              <w:spacing w:line="3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1FB3DE28">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大碶成人学校报告厅软硬件租赁及运维服务项目</w:t>
            </w:r>
            <w:r>
              <w:rPr>
                <w:rFonts w:hint="eastAsia" w:ascii="宋体" w:hAnsi="宋体" w:eastAsia="宋体" w:cs="宋体"/>
                <w:color w:val="auto"/>
                <w:sz w:val="21"/>
                <w:szCs w:val="21"/>
                <w:highlight w:val="none"/>
              </w:rPr>
              <w:t>的潜在供应商应在政府采购云平台（www.zcygov.cn）获取（下载）招标文件，并于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年</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21</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09</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00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（北京时间）前递交（上传）投标文件。</w:t>
            </w:r>
          </w:p>
        </w:tc>
      </w:tr>
    </w:tbl>
    <w:p w14:paraId="62347846">
      <w:pPr>
        <w:keepNext w:val="0"/>
        <w:keepLines w:val="0"/>
        <w:pageBreakBefore w:val="0"/>
        <w:widowControl w:val="0"/>
        <w:kinsoku/>
        <w:overflowPunct/>
        <w:topLinePunct w:val="0"/>
        <w:autoSpaceDE/>
        <w:autoSpaceDN/>
        <w:bidi w:val="0"/>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2DC03AD6">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bookmarkStart w:id="3" w:name="OLE_LINK54"/>
      <w:r>
        <w:rPr>
          <w:rFonts w:hint="eastAsia" w:ascii="宋体" w:hAnsi="宋体" w:eastAsia="宋体" w:cs="宋体"/>
          <w:color w:val="auto"/>
          <w:sz w:val="21"/>
          <w:szCs w:val="21"/>
          <w:highlight w:val="none"/>
          <w:lang w:eastAsia="zh-CN"/>
        </w:rPr>
        <w:t>NBDW-20241175</w:t>
      </w:r>
      <w:bookmarkEnd w:id="3"/>
      <w:r>
        <w:rPr>
          <w:rFonts w:hint="eastAsia" w:ascii="宋体" w:hAnsi="宋体" w:eastAsia="宋体" w:cs="宋体"/>
          <w:color w:val="auto"/>
          <w:sz w:val="21"/>
          <w:szCs w:val="21"/>
          <w:highlight w:val="none"/>
        </w:rPr>
        <w:t xml:space="preserve">  </w:t>
      </w:r>
    </w:p>
    <w:p w14:paraId="17AB11F4">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bookmarkStart w:id="4" w:name="OLE_LINK57"/>
      <w:r>
        <w:rPr>
          <w:rFonts w:hint="eastAsia" w:ascii="宋体" w:hAnsi="宋体" w:eastAsia="宋体" w:cs="宋体"/>
          <w:color w:val="auto"/>
          <w:sz w:val="21"/>
          <w:szCs w:val="21"/>
          <w:highlight w:val="none"/>
          <w:lang w:eastAsia="zh-CN"/>
        </w:rPr>
        <w:t>大碶成人学校报告厅软硬件租赁及运维服务项目</w:t>
      </w:r>
      <w:bookmarkEnd w:id="4"/>
    </w:p>
    <w:p w14:paraId="18591A7C">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预算金额（元/年）：</w:t>
      </w:r>
      <w:r>
        <w:rPr>
          <w:rFonts w:hint="eastAsia" w:ascii="宋体" w:hAnsi="宋体" w:eastAsia="宋体" w:cs="宋体"/>
          <w:color w:val="auto"/>
          <w:sz w:val="21"/>
          <w:szCs w:val="21"/>
          <w:highlight w:val="none"/>
          <w:lang w:eastAsia="zh-CN"/>
        </w:rPr>
        <w:t>800</w:t>
      </w:r>
      <w:bookmarkStart w:id="5" w:name="OLE_LINK11"/>
      <w:r>
        <w:rPr>
          <w:rFonts w:hint="eastAsia" w:ascii="宋体" w:hAnsi="宋体" w:eastAsia="宋体" w:cs="宋体"/>
          <w:color w:val="auto"/>
          <w:sz w:val="21"/>
          <w:szCs w:val="21"/>
          <w:highlight w:val="none"/>
          <w:lang w:eastAsia="zh-CN"/>
        </w:rPr>
        <w:t>000</w:t>
      </w:r>
      <w:bookmarkEnd w:id="5"/>
      <w:r>
        <w:rPr>
          <w:rFonts w:hint="eastAsia" w:ascii="宋体" w:hAnsi="宋体" w:eastAsia="宋体" w:cs="宋体"/>
          <w:color w:val="auto"/>
          <w:sz w:val="21"/>
          <w:szCs w:val="21"/>
          <w:highlight w:val="none"/>
        </w:rPr>
        <w:t xml:space="preserve">元/年 </w:t>
      </w:r>
    </w:p>
    <w:p w14:paraId="22EE74DD">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最高限价（元/年）：</w:t>
      </w:r>
      <w:r>
        <w:rPr>
          <w:rFonts w:hint="eastAsia" w:ascii="宋体" w:hAnsi="宋体" w:cs="宋体"/>
          <w:b/>
          <w:bCs/>
          <w:color w:val="auto"/>
          <w:sz w:val="21"/>
          <w:szCs w:val="21"/>
          <w:highlight w:val="none"/>
          <w:lang w:val="en-US" w:eastAsia="zh-CN"/>
        </w:rPr>
        <w:t>795</w:t>
      </w:r>
      <w:r>
        <w:rPr>
          <w:rFonts w:hint="eastAsia" w:ascii="宋体" w:hAnsi="宋体" w:eastAsia="宋体" w:cs="宋体"/>
          <w:b/>
          <w:bCs/>
          <w:color w:val="auto"/>
          <w:sz w:val="21"/>
          <w:szCs w:val="21"/>
          <w:highlight w:val="none"/>
          <w:lang w:eastAsia="zh-CN"/>
        </w:rPr>
        <w:t>000</w:t>
      </w:r>
      <w:r>
        <w:rPr>
          <w:rFonts w:hint="eastAsia" w:ascii="宋体" w:hAnsi="宋体" w:eastAsia="宋体" w:cs="宋体"/>
          <w:b/>
          <w:bCs/>
          <w:color w:val="auto"/>
          <w:sz w:val="21"/>
          <w:szCs w:val="21"/>
          <w:highlight w:val="none"/>
        </w:rPr>
        <w:t>元/年</w:t>
      </w:r>
    </w:p>
    <w:p w14:paraId="7E3302E7">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72F9E734">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14:paraId="5418C25D">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bookmarkStart w:id="6" w:name="OLE_LINK55"/>
      <w:r>
        <w:rPr>
          <w:rFonts w:hint="eastAsia" w:ascii="宋体" w:hAnsi="宋体" w:eastAsia="宋体" w:cs="宋体"/>
          <w:color w:val="auto"/>
          <w:sz w:val="21"/>
          <w:szCs w:val="21"/>
          <w:highlight w:val="none"/>
          <w:lang w:eastAsia="zh-CN"/>
        </w:rPr>
        <w:t>大碶成人学校报告厅软硬件租赁及运维服务项目</w:t>
      </w:r>
      <w:bookmarkEnd w:id="6"/>
    </w:p>
    <w:p w14:paraId="1127B4EF">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p>
    <w:p w14:paraId="59AE5834">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预算金额（元/年）：</w:t>
      </w:r>
      <w:r>
        <w:rPr>
          <w:rFonts w:hint="eastAsia" w:ascii="宋体" w:hAnsi="宋体" w:eastAsia="宋体" w:cs="宋体"/>
          <w:color w:val="auto"/>
          <w:sz w:val="21"/>
          <w:szCs w:val="21"/>
          <w:highlight w:val="none"/>
          <w:lang w:eastAsia="zh-CN"/>
        </w:rPr>
        <w:t>800000</w:t>
      </w:r>
      <w:r>
        <w:rPr>
          <w:rFonts w:hint="eastAsia" w:ascii="宋体" w:hAnsi="宋体" w:eastAsia="宋体" w:cs="宋体"/>
          <w:color w:val="auto"/>
          <w:sz w:val="21"/>
          <w:szCs w:val="21"/>
          <w:highlight w:val="none"/>
        </w:rPr>
        <w:t>元/年</w:t>
      </w:r>
    </w:p>
    <w:p w14:paraId="765897F8">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val="en-US" w:eastAsia="zh-CN"/>
        </w:rPr>
        <w:t>为</w:t>
      </w:r>
      <w:bookmarkStart w:id="7" w:name="OLE_LINK14"/>
      <w:r>
        <w:rPr>
          <w:rFonts w:hint="eastAsia" w:ascii="宋体" w:hAnsi="宋体" w:eastAsia="宋体" w:cs="宋体"/>
          <w:color w:val="auto"/>
          <w:sz w:val="21"/>
          <w:szCs w:val="21"/>
          <w:highlight w:val="none"/>
        </w:rPr>
        <w:t>大碶成人学校报告厅</w:t>
      </w:r>
      <w:r>
        <w:rPr>
          <w:rFonts w:hint="eastAsia" w:ascii="宋体" w:hAnsi="宋体" w:eastAsia="宋体" w:cs="宋体"/>
          <w:color w:val="auto"/>
          <w:sz w:val="21"/>
          <w:szCs w:val="21"/>
          <w:highlight w:val="none"/>
          <w:lang w:val="en-US" w:eastAsia="zh-CN"/>
        </w:rPr>
        <w:t>范围内的舞台软硬件设备提供</w:t>
      </w:r>
      <w:r>
        <w:rPr>
          <w:rFonts w:hint="eastAsia" w:ascii="宋体" w:hAnsi="宋体" w:eastAsia="宋体" w:cs="宋体"/>
          <w:color w:val="auto"/>
          <w:sz w:val="21"/>
          <w:szCs w:val="21"/>
          <w:highlight w:val="none"/>
          <w:lang w:eastAsia="zh-CN"/>
        </w:rPr>
        <w:t>租赁及运维服务，</w:t>
      </w:r>
      <w:r>
        <w:rPr>
          <w:rFonts w:hint="eastAsia" w:ascii="宋体" w:hAnsi="宋体" w:eastAsia="宋体" w:cs="宋体"/>
          <w:color w:val="auto"/>
          <w:sz w:val="21"/>
          <w:szCs w:val="21"/>
          <w:highlight w:val="none"/>
        </w:rPr>
        <w:t>具体内容见第二章招标需求</w:t>
      </w:r>
      <w:r>
        <w:rPr>
          <w:rFonts w:hint="eastAsia" w:ascii="宋体" w:hAnsi="宋体" w:eastAsia="宋体" w:cs="宋体"/>
          <w:color w:val="auto"/>
          <w:sz w:val="21"/>
          <w:szCs w:val="21"/>
          <w:highlight w:val="none"/>
          <w:lang w:eastAsia="zh-CN"/>
        </w:rPr>
        <w:t>。</w:t>
      </w:r>
      <w:bookmarkEnd w:id="7"/>
    </w:p>
    <w:p w14:paraId="2A175539">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备注：无</w:t>
      </w:r>
    </w:p>
    <w:p w14:paraId="065B8538">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合同履行期限：标项 1，</w:t>
      </w:r>
      <w:bookmarkStart w:id="8" w:name="OLE_LINK13"/>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lang w:eastAsia="zh-CN"/>
        </w:rPr>
        <w:t>项目一招</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年，合同一年一签，采购人有权根据上一年度合同履约考核情况决定是否续签</w:t>
      </w:r>
      <w:r>
        <w:rPr>
          <w:rFonts w:hint="eastAsia" w:ascii="宋体" w:hAnsi="宋体" w:eastAsia="宋体" w:cs="宋体"/>
          <w:color w:val="auto"/>
          <w:sz w:val="21"/>
          <w:szCs w:val="21"/>
          <w:highlight w:val="none"/>
        </w:rPr>
        <w:t>。</w:t>
      </w:r>
      <w:bookmarkEnd w:id="8"/>
      <w:r>
        <w:rPr>
          <w:rFonts w:hint="eastAsia" w:ascii="宋体" w:hAnsi="宋体" w:eastAsia="宋体" w:cs="宋体"/>
          <w:color w:val="auto"/>
          <w:sz w:val="21"/>
          <w:szCs w:val="21"/>
          <w:highlight w:val="none"/>
        </w:rPr>
        <w:t xml:space="preserve"> </w:t>
      </w:r>
    </w:p>
    <w:p w14:paraId="2A807F2B">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14:paraId="1A3FDF70">
      <w:pPr>
        <w:keepNext w:val="0"/>
        <w:keepLines w:val="0"/>
        <w:pageBreakBefore w:val="0"/>
        <w:widowControl w:val="0"/>
        <w:kinsoku/>
        <w:overflowPunct/>
        <w:topLinePunct w:val="0"/>
        <w:autoSpaceDE/>
        <w:autoSpaceDN/>
        <w:bidi w:val="0"/>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3B39AD3E">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ACB82FE">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kern w:val="1"/>
          <w:sz w:val="21"/>
          <w:szCs w:val="21"/>
          <w:highlight w:val="none"/>
        </w:rPr>
        <w:t>标项1：</w:t>
      </w:r>
      <w:bookmarkStart w:id="9" w:name="OLE_LINK15"/>
      <w:bookmarkStart w:id="10" w:name="OLE_LINK21"/>
      <w:r>
        <w:rPr>
          <w:rFonts w:hint="eastAsia" w:ascii="宋体" w:hAnsi="宋体" w:eastAsia="宋体" w:cs="宋体"/>
          <w:color w:val="auto"/>
          <w:kern w:val="1"/>
          <w:sz w:val="21"/>
          <w:szCs w:val="21"/>
          <w:highlight w:val="none"/>
        </w:rPr>
        <w:t>本项目属于专门面向小</w:t>
      </w:r>
      <w:r>
        <w:rPr>
          <w:rFonts w:hint="eastAsia" w:ascii="宋体" w:hAnsi="宋体" w:eastAsia="宋体" w:cs="宋体"/>
          <w:color w:val="auto"/>
          <w:kern w:val="1"/>
          <w:sz w:val="21"/>
          <w:szCs w:val="21"/>
          <w:highlight w:val="none"/>
          <w:lang w:val="en-US" w:eastAsia="zh-CN"/>
        </w:rPr>
        <w:t>微</w:t>
      </w:r>
      <w:r>
        <w:rPr>
          <w:rFonts w:hint="eastAsia" w:ascii="宋体" w:hAnsi="宋体" w:eastAsia="宋体" w:cs="宋体"/>
          <w:color w:val="auto"/>
          <w:kern w:val="1"/>
          <w:sz w:val="21"/>
          <w:szCs w:val="21"/>
          <w:highlight w:val="none"/>
        </w:rPr>
        <w:t>企业采购的项目，投标人应为符合《政府采购促进中小企业发展管理办法》（财库﹝2020﹞46 号）规定的小</w:t>
      </w:r>
      <w:r>
        <w:rPr>
          <w:rFonts w:hint="eastAsia" w:ascii="宋体" w:hAnsi="宋体" w:eastAsia="宋体" w:cs="宋体"/>
          <w:color w:val="auto"/>
          <w:kern w:val="1"/>
          <w:sz w:val="21"/>
          <w:szCs w:val="21"/>
          <w:highlight w:val="none"/>
          <w:lang w:val="en-US" w:eastAsia="zh-CN"/>
        </w:rPr>
        <w:t>微</w:t>
      </w:r>
      <w:r>
        <w:rPr>
          <w:rFonts w:hint="eastAsia" w:ascii="宋体" w:hAnsi="宋体" w:eastAsia="宋体" w:cs="宋体"/>
          <w:color w:val="auto"/>
          <w:kern w:val="1"/>
          <w:sz w:val="21"/>
          <w:szCs w:val="21"/>
          <w:highlight w:val="none"/>
        </w:rPr>
        <w:t>企业（其中，小微企业包括视同为小型、微型企业的监狱企业、残疾人福利性单位。）。</w:t>
      </w:r>
      <w:bookmarkEnd w:id="9"/>
    </w:p>
    <w:bookmarkEnd w:id="10"/>
    <w:p w14:paraId="563F5D23">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3.本项目的特定资格要求：无 </w:t>
      </w:r>
      <w:r>
        <w:rPr>
          <w:rFonts w:hint="eastAsia" w:ascii="宋体" w:hAnsi="宋体" w:eastAsia="宋体" w:cs="宋体"/>
          <w:color w:val="auto"/>
          <w:sz w:val="21"/>
          <w:szCs w:val="21"/>
          <w:highlight w:val="none"/>
          <w:lang w:eastAsia="zh-CN"/>
        </w:rPr>
        <w:t>。</w:t>
      </w:r>
    </w:p>
    <w:p w14:paraId="3025FEA1">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注：本项目不接受联合体投标,本项目采用资格后审，投标文件中提供所有资格证明文件。</w:t>
      </w:r>
      <w:r>
        <w:rPr>
          <w:rFonts w:hint="eastAsia" w:ascii="宋体" w:hAnsi="宋体" w:eastAsia="宋体" w:cs="宋体"/>
          <w:bCs/>
          <w:color w:val="auto"/>
          <w:sz w:val="21"/>
          <w:szCs w:val="21"/>
          <w:highlight w:val="none"/>
        </w:rPr>
        <w:t>单位负责人为同一人或者存在直接控股、管理关系的不同投标人，不得参加同一标项的投标。</w:t>
      </w:r>
    </w:p>
    <w:p w14:paraId="51E81B64">
      <w:pPr>
        <w:spacing w:line="340" w:lineRule="exact"/>
        <w:ind w:firstLine="474" w:firstLineChars="225"/>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三、获取招标文件</w:t>
      </w:r>
      <w:r>
        <w:rPr>
          <w:rFonts w:hint="eastAsia" w:ascii="宋体" w:hAnsi="宋体" w:eastAsia="宋体" w:cs="宋体"/>
          <w:color w:val="auto"/>
          <w:sz w:val="21"/>
          <w:szCs w:val="21"/>
          <w:highlight w:val="none"/>
        </w:rPr>
        <w:t>：</w:t>
      </w:r>
    </w:p>
    <w:p w14:paraId="4685C50C">
      <w:pPr>
        <w:spacing w:line="340" w:lineRule="exact"/>
        <w:ind w:firstLine="472" w:firstLineChars="225"/>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时间：</w:t>
      </w:r>
      <w:r>
        <w:rPr>
          <w:rFonts w:hint="eastAsia" w:ascii="宋体" w:hAnsi="宋体" w:eastAsia="宋体" w:cs="宋体"/>
          <w:b/>
          <w:bCs/>
          <w:color w:val="auto"/>
          <w:kern w:val="0"/>
          <w:sz w:val="21"/>
          <w:szCs w:val="21"/>
          <w:highlight w:val="none"/>
          <w:u w:val="none"/>
          <w:lang w:val="en-US" w:eastAsia="zh-CN"/>
        </w:rPr>
        <w:t>2024年9月</w:t>
      </w:r>
      <w:r>
        <w:rPr>
          <w:rFonts w:hint="eastAsia" w:ascii="宋体" w:hAnsi="宋体" w:cs="宋体"/>
          <w:b/>
          <w:bCs/>
          <w:color w:val="auto"/>
          <w:kern w:val="0"/>
          <w:sz w:val="21"/>
          <w:szCs w:val="21"/>
          <w:highlight w:val="none"/>
          <w:u w:val="none"/>
          <w:lang w:val="en-US" w:eastAsia="zh-CN"/>
        </w:rPr>
        <w:t>30</w:t>
      </w:r>
      <w:r>
        <w:rPr>
          <w:rFonts w:hint="eastAsia" w:ascii="宋体" w:hAnsi="宋体" w:eastAsia="宋体" w:cs="宋体"/>
          <w:b/>
          <w:bCs/>
          <w:color w:val="auto"/>
          <w:kern w:val="0"/>
          <w:sz w:val="21"/>
          <w:szCs w:val="21"/>
          <w:highlight w:val="none"/>
          <w:u w:val="none"/>
          <w:lang w:val="en-US" w:eastAsia="zh-CN"/>
        </w:rPr>
        <w:t>日</w:t>
      </w:r>
      <w:r>
        <w:rPr>
          <w:rFonts w:hint="eastAsia" w:ascii="宋体" w:hAnsi="宋体" w:eastAsia="宋体" w:cs="宋体"/>
          <w:b/>
          <w:bCs/>
          <w:color w:val="auto"/>
          <w:kern w:val="0"/>
          <w:sz w:val="21"/>
          <w:szCs w:val="21"/>
          <w:highlight w:val="none"/>
          <w:u w:val="none"/>
          <w:lang w:val="en"/>
        </w:rPr>
        <w:t>至</w:t>
      </w:r>
      <w:r>
        <w:rPr>
          <w:rFonts w:hint="eastAsia" w:ascii="宋体" w:hAnsi="宋体" w:eastAsia="宋体" w:cs="宋体"/>
          <w:b/>
          <w:bCs/>
          <w:color w:val="auto"/>
          <w:sz w:val="21"/>
          <w:szCs w:val="21"/>
          <w:highlight w:val="none"/>
          <w:u w:val="none"/>
        </w:rPr>
        <w:t>2024年</w:t>
      </w:r>
      <w:r>
        <w:rPr>
          <w:rFonts w:hint="eastAsia" w:ascii="宋体" w:hAns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月</w:t>
      </w:r>
      <w:r>
        <w:rPr>
          <w:rFonts w:hint="eastAsia" w:ascii="宋体" w:hAnsi="宋体" w:cs="宋体"/>
          <w:b/>
          <w:bCs/>
          <w:color w:val="auto"/>
          <w:sz w:val="21"/>
          <w:szCs w:val="21"/>
          <w:highlight w:val="none"/>
          <w:u w:val="none"/>
          <w:lang w:val="en-US" w:eastAsia="zh-CN"/>
        </w:rPr>
        <w:t>12</w:t>
      </w:r>
      <w:r>
        <w:rPr>
          <w:rFonts w:hint="eastAsia" w:ascii="宋体" w:hAnsi="宋体" w:eastAsia="宋体" w:cs="宋体"/>
          <w:b/>
          <w:bCs/>
          <w:color w:val="auto"/>
          <w:sz w:val="21"/>
          <w:szCs w:val="21"/>
          <w:highlight w:val="none"/>
          <w:u w:val="none"/>
        </w:rPr>
        <w:t>日</w:t>
      </w:r>
      <w:r>
        <w:rPr>
          <w:rFonts w:hint="eastAsia" w:ascii="宋体" w:hAnsi="宋体" w:eastAsia="宋体" w:cs="宋体"/>
          <w:color w:val="auto"/>
          <w:kern w:val="0"/>
          <w:sz w:val="21"/>
          <w:szCs w:val="21"/>
          <w:highlight w:val="none"/>
          <w:lang w:val="en"/>
        </w:rPr>
        <w:t>，每天上午00:00至12:00，下午12:00至23:59（北京时间，线上获取法定节假日均可，线下获取文件法定节假日除外）。</w:t>
      </w:r>
    </w:p>
    <w:p w14:paraId="0568B9A2">
      <w:pPr>
        <w:spacing w:line="340" w:lineRule="exact"/>
        <w:ind w:firstLine="472" w:firstLineChars="225"/>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地点（网址）：浙江政府采购网-政采云平台（</w:t>
      </w:r>
      <w:r>
        <w:rPr>
          <w:rFonts w:hint="eastAsia" w:ascii="宋体" w:hAnsi="宋体" w:eastAsia="宋体" w:cs="宋体"/>
          <w:color w:val="auto"/>
          <w:kern w:val="0"/>
          <w:sz w:val="21"/>
          <w:szCs w:val="21"/>
          <w:highlight w:val="none"/>
          <w:lang w:val="en"/>
        </w:rPr>
        <w:fldChar w:fldCharType="begin"/>
      </w:r>
      <w:r>
        <w:rPr>
          <w:rFonts w:hint="eastAsia" w:ascii="宋体" w:hAnsi="宋体" w:eastAsia="宋体" w:cs="宋体"/>
          <w:color w:val="auto"/>
          <w:kern w:val="0"/>
          <w:sz w:val="21"/>
          <w:szCs w:val="21"/>
          <w:highlight w:val="none"/>
          <w:lang w:val="en"/>
        </w:rPr>
        <w:instrText xml:space="preserve"> HYPERLINK "http://www.zcygov.cn" </w:instrText>
      </w:r>
      <w:r>
        <w:rPr>
          <w:rFonts w:hint="eastAsia" w:ascii="宋体" w:hAnsi="宋体" w:eastAsia="宋体" w:cs="宋体"/>
          <w:color w:val="auto"/>
          <w:kern w:val="0"/>
          <w:sz w:val="21"/>
          <w:szCs w:val="21"/>
          <w:highlight w:val="none"/>
          <w:lang w:val="en"/>
        </w:rPr>
        <w:fldChar w:fldCharType="separate"/>
      </w:r>
      <w:r>
        <w:rPr>
          <w:rStyle w:val="58"/>
          <w:rFonts w:hint="eastAsia" w:ascii="宋体" w:hAnsi="宋体" w:eastAsia="宋体" w:cs="宋体"/>
          <w:color w:val="auto"/>
          <w:kern w:val="0"/>
          <w:sz w:val="21"/>
          <w:szCs w:val="21"/>
          <w:highlight w:val="none"/>
          <w:lang w:val="en"/>
        </w:rPr>
        <w:t>www.zcygov.cn</w:t>
      </w:r>
      <w:r>
        <w:rPr>
          <w:rFonts w:hint="eastAsia" w:ascii="宋体" w:hAnsi="宋体" w:eastAsia="宋体" w:cs="宋体"/>
          <w:color w:val="auto"/>
          <w:kern w:val="0"/>
          <w:sz w:val="21"/>
          <w:szCs w:val="21"/>
          <w:highlight w:val="none"/>
          <w:lang w:val="en"/>
        </w:rPr>
        <w:fldChar w:fldCharType="end"/>
      </w:r>
      <w:r>
        <w:rPr>
          <w:rFonts w:hint="eastAsia" w:ascii="宋体" w:hAnsi="宋体" w:eastAsia="宋体" w:cs="宋体"/>
          <w:color w:val="auto"/>
          <w:kern w:val="0"/>
          <w:sz w:val="21"/>
          <w:szCs w:val="21"/>
          <w:highlight w:val="none"/>
          <w:lang w:val="en"/>
        </w:rPr>
        <w:t>）。</w:t>
      </w:r>
    </w:p>
    <w:p w14:paraId="67D15B26">
      <w:pPr>
        <w:spacing w:line="340" w:lineRule="exact"/>
        <w:ind w:firstLine="420" w:firstLineChars="200"/>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 xml:space="preserve">方式：本项目招标文件实行“浙江政府采购网-政府采购云平台”在线获取，不提供招标文件纸质版。供应商获取招标文件前应先完成“浙江政府采购网-政府采购云平台”的账号注册；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w:t>
      </w:r>
      <w:r>
        <w:rPr>
          <w:rFonts w:hint="eastAsia" w:ascii="宋体" w:hAnsi="宋体" w:eastAsia="宋体" w:cs="宋体"/>
          <w:b/>
          <w:bCs/>
          <w:color w:val="auto"/>
          <w:kern w:val="0"/>
          <w:sz w:val="21"/>
          <w:szCs w:val="21"/>
          <w:highlight w:val="none"/>
          <w:lang w:val="en"/>
        </w:rPr>
        <w:t>注：</w:t>
      </w:r>
      <w:r>
        <w:rPr>
          <w:rFonts w:hint="eastAsia" w:ascii="宋体" w:hAnsi="宋体" w:eastAsia="宋体" w:cs="宋体"/>
          <w:color w:val="auto"/>
          <w:kern w:val="0"/>
          <w:sz w:val="21"/>
          <w:szCs w:val="21"/>
          <w:highlight w:val="none"/>
          <w:lang w:val="en"/>
        </w:rPr>
        <w:t>请投标人按上述要求获取招标文件，如未在“浙江政府采购网-政府采购云平台”系统内完成相关流程，引起的投标无效责任自负。</w:t>
      </w:r>
      <w:r>
        <w:rPr>
          <w:rStyle w:val="291"/>
          <w:rFonts w:hint="eastAsia" w:ascii="宋体" w:hAnsi="宋体" w:eastAsia="宋体" w:cs="宋体"/>
          <w:color w:val="auto"/>
          <w:sz w:val="21"/>
          <w:szCs w:val="21"/>
          <w:highlight w:val="none"/>
          <w:lang w:val="en"/>
        </w:rPr>
        <w:t>如有疑问请及时咨询网站客服，咨询电话：</w:t>
      </w:r>
      <w:r>
        <w:rPr>
          <w:rStyle w:val="291"/>
          <w:rFonts w:hint="eastAsia" w:ascii="宋体" w:hAnsi="宋体" w:eastAsia="宋体" w:cs="宋体"/>
          <w:b/>
          <w:bCs/>
          <w:color w:val="auto"/>
          <w:sz w:val="21"/>
          <w:szCs w:val="21"/>
          <w:highlight w:val="none"/>
          <w:lang w:val="en"/>
        </w:rPr>
        <w:t>95763</w:t>
      </w:r>
      <w:r>
        <w:rPr>
          <w:rStyle w:val="291"/>
          <w:rFonts w:hint="eastAsia" w:ascii="宋体" w:hAnsi="宋体" w:eastAsia="宋体" w:cs="宋体"/>
          <w:color w:val="auto"/>
          <w:sz w:val="21"/>
          <w:szCs w:val="21"/>
          <w:highlight w:val="none"/>
          <w:lang w:val="en"/>
        </w:rPr>
        <w:t>。</w:t>
      </w:r>
    </w:p>
    <w:p w14:paraId="34E96A6A">
      <w:pPr>
        <w:spacing w:line="3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14:paraId="450E1791">
      <w:pPr>
        <w:spacing w:line="340" w:lineRule="exact"/>
        <w:ind w:firstLine="420" w:firstLineChars="200"/>
        <w:rPr>
          <w:rFonts w:hint="eastAsia" w:ascii="宋体" w:hAnsi="宋体" w:eastAsia="宋体" w:cs="宋体"/>
          <w:color w:val="auto"/>
          <w:sz w:val="21"/>
          <w:szCs w:val="21"/>
          <w:highlight w:val="none"/>
        </w:rPr>
      </w:pPr>
      <w:bookmarkStart w:id="11" w:name="_Toc28359007"/>
      <w:bookmarkStart w:id="12" w:name="_Toc28359084"/>
      <w:bookmarkStart w:id="13" w:name="_Toc35393625"/>
      <w:bookmarkStart w:id="14" w:name="_Toc35393794"/>
      <w:r>
        <w:rPr>
          <w:rFonts w:hint="eastAsia" w:ascii="宋体" w:hAnsi="宋体" w:eastAsia="宋体" w:cs="宋体"/>
          <w:color w:val="auto"/>
          <w:sz w:val="21"/>
          <w:szCs w:val="21"/>
          <w:highlight w:val="none"/>
        </w:rPr>
        <w:t>提交投标文件截止时间：</w:t>
      </w:r>
      <w:r>
        <w:rPr>
          <w:rFonts w:hint="eastAsia" w:ascii="宋体" w:hAnsi="宋体" w:eastAsia="宋体" w:cs="宋体"/>
          <w:b/>
          <w:bCs/>
          <w:color w:val="auto"/>
          <w:sz w:val="21"/>
          <w:szCs w:val="21"/>
          <w:highlight w:val="none"/>
          <w:u w:val="single"/>
        </w:rPr>
        <w:t xml:space="preserve"> 2024年</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21</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09</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时</w:t>
      </w:r>
      <w:r>
        <w:rPr>
          <w:rFonts w:hint="eastAsia" w:ascii="宋体" w:hAnsi="宋体" w:eastAsia="宋体" w:cs="宋体"/>
          <w:color w:val="auto"/>
          <w:sz w:val="21"/>
          <w:szCs w:val="21"/>
          <w:highlight w:val="none"/>
        </w:rPr>
        <w:t>（北京时间）。</w:t>
      </w:r>
    </w:p>
    <w:p w14:paraId="6DB24731">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w:t>
      </w:r>
      <w:bookmarkStart w:id="15" w:name="OLE_LINK16"/>
      <w:r>
        <w:rPr>
          <w:rFonts w:hint="eastAsia" w:ascii="宋体" w:hAnsi="宋体" w:eastAsia="宋体" w:cs="宋体"/>
          <w:color w:val="auto"/>
          <w:kern w:val="0"/>
          <w:sz w:val="21"/>
          <w:szCs w:val="21"/>
          <w:highlight w:val="none"/>
          <w:lang w:val="en"/>
        </w:rPr>
        <w:t>浙江政府采购网-政采云平台（</w:t>
      </w:r>
      <w:r>
        <w:rPr>
          <w:rFonts w:hint="eastAsia" w:ascii="宋体" w:hAnsi="宋体" w:eastAsia="宋体" w:cs="宋体"/>
          <w:color w:val="auto"/>
          <w:kern w:val="0"/>
          <w:sz w:val="21"/>
          <w:szCs w:val="21"/>
          <w:highlight w:val="none"/>
          <w:lang w:val="en"/>
        </w:rPr>
        <w:fldChar w:fldCharType="begin"/>
      </w:r>
      <w:r>
        <w:rPr>
          <w:rFonts w:hint="eastAsia" w:ascii="宋体" w:hAnsi="宋体" w:eastAsia="宋体" w:cs="宋体"/>
          <w:color w:val="auto"/>
          <w:kern w:val="0"/>
          <w:sz w:val="21"/>
          <w:szCs w:val="21"/>
          <w:highlight w:val="none"/>
          <w:lang w:val="en"/>
        </w:rPr>
        <w:instrText xml:space="preserve"> HYPERLINK "http://www.zcygov.cn" </w:instrText>
      </w:r>
      <w:r>
        <w:rPr>
          <w:rFonts w:hint="eastAsia" w:ascii="宋体" w:hAnsi="宋体" w:eastAsia="宋体" w:cs="宋体"/>
          <w:color w:val="auto"/>
          <w:kern w:val="0"/>
          <w:sz w:val="21"/>
          <w:szCs w:val="21"/>
          <w:highlight w:val="none"/>
          <w:lang w:val="en"/>
        </w:rPr>
        <w:fldChar w:fldCharType="separate"/>
      </w:r>
      <w:r>
        <w:rPr>
          <w:rStyle w:val="58"/>
          <w:rFonts w:hint="eastAsia" w:ascii="宋体" w:hAnsi="宋体" w:eastAsia="宋体" w:cs="宋体"/>
          <w:color w:val="auto"/>
          <w:kern w:val="0"/>
          <w:sz w:val="21"/>
          <w:szCs w:val="21"/>
          <w:highlight w:val="none"/>
          <w:lang w:val="en"/>
        </w:rPr>
        <w:t>www.zcygov.cn</w:t>
      </w:r>
      <w:r>
        <w:rPr>
          <w:rFonts w:hint="eastAsia" w:ascii="宋体" w:hAnsi="宋体" w:eastAsia="宋体" w:cs="宋体"/>
          <w:color w:val="auto"/>
          <w:kern w:val="0"/>
          <w:sz w:val="21"/>
          <w:szCs w:val="21"/>
          <w:highlight w:val="none"/>
          <w:lang w:val="en"/>
        </w:rPr>
        <w:fldChar w:fldCharType="end"/>
      </w:r>
      <w:r>
        <w:rPr>
          <w:rFonts w:hint="eastAsia" w:ascii="宋体" w:hAnsi="宋体" w:eastAsia="宋体" w:cs="宋体"/>
          <w:color w:val="auto"/>
          <w:kern w:val="0"/>
          <w:sz w:val="21"/>
          <w:szCs w:val="21"/>
          <w:highlight w:val="none"/>
          <w:lang w:val="en"/>
        </w:rPr>
        <w:t>）</w:t>
      </w:r>
      <w:r>
        <w:rPr>
          <w:rFonts w:hint="eastAsia" w:ascii="宋体" w:hAnsi="宋体" w:eastAsia="宋体" w:cs="宋体"/>
          <w:color w:val="auto"/>
          <w:sz w:val="21"/>
          <w:szCs w:val="21"/>
          <w:highlight w:val="none"/>
        </w:rPr>
        <w:t>。北仑区公共资源交易中心（</w:t>
      </w:r>
      <w:bookmarkStart w:id="16" w:name="OLE_LINK17"/>
      <w:r>
        <w:rPr>
          <w:rFonts w:hint="eastAsia" w:ascii="宋体" w:hAnsi="宋体" w:eastAsia="宋体" w:cs="宋体"/>
          <w:color w:val="auto"/>
          <w:sz w:val="21"/>
          <w:szCs w:val="21"/>
          <w:highlight w:val="none"/>
        </w:rPr>
        <w:t>宁波市北仑区长江路1166号北仑行政大楼B座三楼公共资源交易中心</w:t>
      </w:r>
      <w:bookmarkEnd w:id="16"/>
      <w:r>
        <w:rPr>
          <w:rFonts w:hint="eastAsia" w:ascii="宋体" w:hAnsi="宋体" w:eastAsia="宋体" w:cs="宋体"/>
          <w:color w:val="auto"/>
          <w:sz w:val="21"/>
          <w:szCs w:val="21"/>
          <w:highlight w:val="none"/>
        </w:rPr>
        <w:t>交易厅，具体场所安排详见电子指示屏幕）。</w:t>
      </w:r>
      <w:bookmarkEnd w:id="15"/>
      <w:r>
        <w:rPr>
          <w:rFonts w:hint="eastAsia" w:ascii="宋体" w:hAnsi="宋体" w:eastAsia="宋体" w:cs="宋体"/>
          <w:color w:val="auto"/>
          <w:sz w:val="21"/>
          <w:szCs w:val="21"/>
          <w:highlight w:val="none"/>
        </w:rPr>
        <w:t xml:space="preserve"> </w:t>
      </w:r>
    </w:p>
    <w:p w14:paraId="064DB7E3">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
          <w:bCs/>
          <w:color w:val="auto"/>
          <w:sz w:val="21"/>
          <w:szCs w:val="21"/>
          <w:highlight w:val="none"/>
          <w:u w:val="single"/>
        </w:rPr>
        <w:t>2024年</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21</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09</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rPr>
        <w:t>时</w:t>
      </w:r>
      <w:r>
        <w:rPr>
          <w:rFonts w:hint="eastAsia" w:ascii="宋体" w:hAnsi="宋体" w:eastAsia="宋体" w:cs="宋体"/>
          <w:color w:val="auto"/>
          <w:sz w:val="21"/>
          <w:szCs w:val="21"/>
          <w:highlight w:val="none"/>
        </w:rPr>
        <w:t>（北京时间）。</w:t>
      </w:r>
    </w:p>
    <w:p w14:paraId="71EF2375">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w:t>
      </w:r>
      <w:r>
        <w:rPr>
          <w:rFonts w:hint="eastAsia" w:ascii="宋体" w:hAnsi="宋体" w:eastAsia="宋体" w:cs="宋体"/>
          <w:color w:val="auto"/>
          <w:kern w:val="0"/>
          <w:sz w:val="21"/>
          <w:szCs w:val="21"/>
          <w:highlight w:val="none"/>
          <w:lang w:val="en"/>
        </w:rPr>
        <w:t>浙江政府采购网-政采云平台（</w:t>
      </w:r>
      <w:r>
        <w:rPr>
          <w:rFonts w:hint="eastAsia" w:ascii="宋体" w:hAnsi="宋体" w:eastAsia="宋体" w:cs="宋体"/>
          <w:color w:val="auto"/>
          <w:kern w:val="0"/>
          <w:sz w:val="21"/>
          <w:szCs w:val="21"/>
          <w:highlight w:val="none"/>
          <w:lang w:val="en"/>
        </w:rPr>
        <w:fldChar w:fldCharType="begin"/>
      </w:r>
      <w:r>
        <w:rPr>
          <w:rFonts w:hint="eastAsia" w:ascii="宋体" w:hAnsi="宋体" w:eastAsia="宋体" w:cs="宋体"/>
          <w:color w:val="auto"/>
          <w:kern w:val="0"/>
          <w:sz w:val="21"/>
          <w:szCs w:val="21"/>
          <w:highlight w:val="none"/>
          <w:lang w:val="en"/>
        </w:rPr>
        <w:instrText xml:space="preserve"> HYPERLINK "http://www.zcygov.cn" </w:instrText>
      </w:r>
      <w:r>
        <w:rPr>
          <w:rFonts w:hint="eastAsia" w:ascii="宋体" w:hAnsi="宋体" w:eastAsia="宋体" w:cs="宋体"/>
          <w:color w:val="auto"/>
          <w:kern w:val="0"/>
          <w:sz w:val="21"/>
          <w:szCs w:val="21"/>
          <w:highlight w:val="none"/>
          <w:lang w:val="en"/>
        </w:rPr>
        <w:fldChar w:fldCharType="separate"/>
      </w:r>
      <w:r>
        <w:rPr>
          <w:rStyle w:val="58"/>
          <w:rFonts w:hint="eastAsia" w:ascii="宋体" w:hAnsi="宋体" w:eastAsia="宋体" w:cs="宋体"/>
          <w:color w:val="auto"/>
          <w:kern w:val="0"/>
          <w:sz w:val="21"/>
          <w:szCs w:val="21"/>
          <w:highlight w:val="none"/>
          <w:lang w:val="en"/>
        </w:rPr>
        <w:t>www.zcygov.cn</w:t>
      </w:r>
      <w:r>
        <w:rPr>
          <w:rFonts w:hint="eastAsia" w:ascii="宋体" w:hAnsi="宋体" w:eastAsia="宋体" w:cs="宋体"/>
          <w:color w:val="auto"/>
          <w:kern w:val="0"/>
          <w:sz w:val="21"/>
          <w:szCs w:val="21"/>
          <w:highlight w:val="none"/>
          <w:lang w:val="en"/>
        </w:rPr>
        <w:fldChar w:fldCharType="end"/>
      </w:r>
      <w:r>
        <w:rPr>
          <w:rFonts w:hint="eastAsia" w:ascii="宋体" w:hAnsi="宋体" w:eastAsia="宋体" w:cs="宋体"/>
          <w:color w:val="auto"/>
          <w:kern w:val="0"/>
          <w:sz w:val="21"/>
          <w:szCs w:val="21"/>
          <w:highlight w:val="none"/>
          <w:lang w:val="en"/>
        </w:rPr>
        <w:t>）</w:t>
      </w:r>
      <w:r>
        <w:rPr>
          <w:rFonts w:hint="eastAsia" w:ascii="宋体" w:hAnsi="宋体" w:eastAsia="宋体" w:cs="宋体"/>
          <w:color w:val="auto"/>
          <w:sz w:val="21"/>
          <w:szCs w:val="21"/>
          <w:highlight w:val="none"/>
        </w:rPr>
        <w:t>。北仑区公共资源交易中心（宁波市北仑区长江路1166号北仑行政大楼B座三楼公共资源交易中心交易厅，具体场所安排详见电子指示屏幕）。</w:t>
      </w:r>
    </w:p>
    <w:p w14:paraId="0C030181">
      <w:pPr>
        <w:spacing w:line="3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五、公告期限</w:t>
      </w:r>
      <w:bookmarkEnd w:id="11"/>
      <w:bookmarkEnd w:id="12"/>
      <w:bookmarkEnd w:id="13"/>
      <w:bookmarkEnd w:id="14"/>
    </w:p>
    <w:p w14:paraId="7DF010A3">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0287178">
      <w:pPr>
        <w:spacing w:line="3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7C35CEA4">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C96A1A">
      <w:pPr>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2.其他事项：</w:t>
      </w:r>
      <w:bookmarkStart w:id="17" w:name="OLE_LINK18"/>
      <w:r>
        <w:rPr>
          <w:rFonts w:hint="eastAsia" w:ascii="宋体" w:hAnsi="宋体" w:eastAsia="宋体" w:cs="宋体"/>
          <w:color w:val="auto"/>
          <w:sz w:val="21"/>
          <w:szCs w:val="21"/>
          <w:highlight w:val="none"/>
        </w:rPr>
        <w:t>2.1本次政府采购活动有关信息在“浙江政府采购网（www.zjzfcg.gov.cn）”、“宁波政府采购网（http://www.nbzfcg.cn）”、“宁波公共资源交易网北仑区分网网站（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"http://www.blztb.gov.cn"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http://beilun.bidding.gov.cn/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网站上公布，公布信息视同送达所有潜在投标人。2.2落实的政策：《关于促进残疾人就业政府采购政策的通知》（财库[2017]141号）、《政府采购促进中小企业发展管理办法》（财库[2020]46号）、《关于政府采购支持监狱企业发展有关问题的通知》(财库[2014]68号)。中小企业信用融资的相关政策:中小企业信用融资：供应商中标后也可在“政采云”平台申请政采贷：操作路径：登录政采云平台-金融服务中心-[融资服务]，可在热门申请中选择产品直接申请，也可点击云智贷匹配适合产品进行申请，或者在可申请项目中根据该项目进行申请。2.3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bCs/>
          <w:color w:val="auto"/>
          <w:sz w:val="21"/>
          <w:szCs w:val="21"/>
          <w:highlight w:val="none"/>
        </w:rPr>
        <w:t xml:space="preserve"> 95763。投标人通过“政采云”平台电子投标工具制作投标文件，电子投标工具请供应商自行前往浙江省政府采购网下载并安装，投标文件制作具体流程详见政府采购云平台。（4）可准备以U盘介质存储的数据电文形式的备份投标文件1份，即电子投标文件按“政采云供应商项目采购-电子招投标操作指南”制作的备份文件，以用于异常情况处理。（5）</w:t>
      </w:r>
      <w:r>
        <w:rPr>
          <w:rFonts w:hint="eastAsia" w:ascii="宋体" w:hAnsi="宋体" w:eastAsia="宋体" w:cs="宋体"/>
          <w:color w:val="auto"/>
          <w:sz w:val="21"/>
          <w:szCs w:val="21"/>
          <w:highlight w:val="none"/>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2.4</w:t>
      </w:r>
      <w:r>
        <w:rPr>
          <w:rFonts w:hint="eastAsia" w:ascii="宋体" w:hAnsi="宋体" w:eastAsia="宋体" w:cs="宋体"/>
          <w:bCs/>
          <w:color w:val="auto"/>
          <w:sz w:val="21"/>
          <w:szCs w:val="21"/>
          <w:highlight w:val="none"/>
        </w:rPr>
        <w:t xml:space="preserve">特别提醒事项： 供应商递交备份电子投标文件方式：（1）采用邮寄方式递交备份电子投标文件，需按以下要求递交： </w:t>
      </w:r>
      <w:r>
        <w:rPr>
          <w:rFonts w:hint="eastAsia" w:ascii="宋体" w:hAnsi="宋体" w:eastAsia="宋体" w:cs="宋体"/>
          <w:b/>
          <w:bCs/>
          <w:color w:val="auto"/>
          <w:sz w:val="21"/>
          <w:szCs w:val="21"/>
          <w:highlight w:val="none"/>
        </w:rPr>
        <w:t>供应商须在</w:t>
      </w:r>
      <w:r>
        <w:rPr>
          <w:rFonts w:hint="eastAsia" w:ascii="宋体" w:hAnsi="宋体" w:eastAsia="宋体" w:cs="宋体"/>
          <w:b/>
          <w:bCs/>
          <w:color w:val="auto"/>
          <w:sz w:val="21"/>
          <w:szCs w:val="21"/>
          <w:highlight w:val="none"/>
          <w:u w:val="single"/>
        </w:rPr>
        <w:t>开标日前一天17：00前</w:t>
      </w:r>
      <w:r>
        <w:rPr>
          <w:rFonts w:hint="eastAsia" w:ascii="宋体" w:hAnsi="宋体" w:eastAsia="宋体" w:cs="宋体"/>
          <w:b/>
          <w:bCs/>
          <w:color w:val="auto"/>
          <w:sz w:val="21"/>
          <w:szCs w:val="21"/>
          <w:highlight w:val="none"/>
        </w:rPr>
        <w:t>将</w:t>
      </w:r>
      <w:r>
        <w:rPr>
          <w:rFonts w:hint="eastAsia" w:ascii="宋体" w:hAnsi="宋体" w:eastAsia="宋体" w:cs="宋体"/>
          <w:bCs/>
          <w:color w:val="auto"/>
          <w:sz w:val="21"/>
          <w:szCs w:val="21"/>
          <w:highlight w:val="none"/>
        </w:rPr>
        <w:t>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eastAsia="宋体" w:cs="宋体"/>
          <w:color w:val="auto"/>
          <w:kern w:val="58"/>
          <w:sz w:val="21"/>
          <w:szCs w:val="21"/>
          <w:highlight w:val="none"/>
        </w:rPr>
        <w:t>宁波市</w:t>
      </w:r>
      <w:r>
        <w:rPr>
          <w:rFonts w:hint="eastAsia" w:ascii="宋体" w:hAnsi="宋体" w:eastAsia="宋体" w:cs="宋体"/>
          <w:color w:val="auto"/>
          <w:sz w:val="21"/>
          <w:szCs w:val="21"/>
          <w:highlight w:val="none"/>
        </w:rPr>
        <w:t>北仑区</w:t>
      </w:r>
      <w:r>
        <w:rPr>
          <w:rFonts w:hint="eastAsia" w:ascii="宋体" w:hAnsi="宋体" w:eastAsia="宋体" w:cs="宋体"/>
          <w:color w:val="auto"/>
          <w:spacing w:val="-12"/>
          <w:sz w:val="21"/>
          <w:szCs w:val="21"/>
          <w:highlight w:val="none"/>
        </w:rPr>
        <w:t>新碶街道</w:t>
      </w:r>
      <w:r>
        <w:rPr>
          <w:rFonts w:hint="eastAsia" w:ascii="宋体" w:hAnsi="宋体" w:eastAsia="宋体" w:cs="宋体"/>
          <w:color w:val="auto"/>
          <w:sz w:val="21"/>
          <w:szCs w:val="21"/>
          <w:highlight w:val="none"/>
        </w:rPr>
        <w:t>明州路773号开发区商务大厦B幢10楼1001室，</w:t>
      </w:r>
      <w:r>
        <w:rPr>
          <w:rFonts w:hint="eastAsia" w:ascii="宋体" w:hAnsi="宋体" w:eastAsia="宋体" w:cs="宋体"/>
          <w:bCs/>
          <w:color w:val="auto"/>
          <w:sz w:val="21"/>
          <w:szCs w:val="21"/>
          <w:highlight w:val="none"/>
        </w:rPr>
        <w:t>收件人：宋世林，联系方式：0574-86830803、13777173513。（2）采用</w:t>
      </w:r>
      <w:r>
        <w:rPr>
          <w:rFonts w:hint="eastAsia" w:ascii="宋体" w:hAnsi="宋体" w:eastAsia="宋体" w:cs="宋体"/>
          <w:color w:val="auto"/>
          <w:sz w:val="21"/>
          <w:szCs w:val="21"/>
          <w:highlight w:val="none"/>
        </w:rPr>
        <w:t>现场递交备份电子投标文件，供应商代表（原则上不超过1名）可进入开标现场（宁波市北仑区长江路1166号行政大楼B座三楼招投标中心交易厅，具体场所安排详见电子指示屏幕）递交</w:t>
      </w:r>
      <w:r>
        <w:rPr>
          <w:rFonts w:hint="eastAsia" w:ascii="宋体" w:hAnsi="宋体" w:eastAsia="宋体" w:cs="宋体"/>
          <w:bCs/>
          <w:color w:val="auto"/>
          <w:sz w:val="21"/>
          <w:szCs w:val="21"/>
          <w:highlight w:val="none"/>
        </w:rPr>
        <w:t>备份电子投标文件</w:t>
      </w:r>
      <w:r>
        <w:rPr>
          <w:rFonts w:hint="eastAsia" w:ascii="宋体" w:hAnsi="宋体" w:eastAsia="宋体" w:cs="宋体"/>
          <w:color w:val="auto"/>
          <w:sz w:val="21"/>
          <w:szCs w:val="21"/>
          <w:highlight w:val="none"/>
        </w:rPr>
        <w:t>，参与现场开标活动的人员应自觉遵守和服从交易现场管理。</w:t>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kern w:val="0"/>
          <w:sz w:val="21"/>
          <w:szCs w:val="21"/>
          <w:highlight w:val="none"/>
        </w:rPr>
        <w:t>因信用中国网站中“重大税收违法案件当事人名单”已调整为”重大税收违法失信主体“，但政采云系统自动生成的仍为“重大税收违法案件当事人名单”，故查询的内容以“重大税收违法失信主体”为准。</w:t>
      </w:r>
      <w:bookmarkEnd w:id="17"/>
    </w:p>
    <w:p w14:paraId="0E18D0DC">
      <w:pPr>
        <w:pStyle w:val="14"/>
        <w:keepNext w:val="0"/>
        <w:keepLines w:val="0"/>
        <w:pageBreakBefore w:val="0"/>
        <w:widowControl w:val="0"/>
        <w:kinsoku/>
        <w:overflowPunct/>
        <w:topLinePunct w:val="0"/>
        <w:autoSpaceDE/>
        <w:autoSpaceDN/>
        <w:bidi w:val="0"/>
        <w:spacing w:line="340" w:lineRule="exact"/>
        <w:textAlignment w:val="auto"/>
        <w:rPr>
          <w:rFonts w:hint="eastAsia" w:ascii="宋体" w:hAnsi="宋体" w:eastAsia="宋体" w:cs="宋体"/>
          <w:color w:val="auto"/>
          <w:sz w:val="21"/>
          <w:szCs w:val="21"/>
          <w:highlight w:val="none"/>
        </w:rPr>
      </w:pPr>
    </w:p>
    <w:p w14:paraId="4839E838">
      <w:pPr>
        <w:keepNext w:val="0"/>
        <w:keepLines w:val="0"/>
        <w:pageBreakBefore w:val="0"/>
        <w:widowControl w:val="0"/>
        <w:kinsoku/>
        <w:overflowPunct/>
        <w:topLinePunct w:val="0"/>
        <w:autoSpaceDE/>
        <w:autoSpaceDN/>
        <w:bidi w:val="0"/>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p>
    <w:p w14:paraId="2C77A77B">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7F4F01F">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bookmarkStart w:id="18" w:name="OLE_LINK56"/>
      <w:r>
        <w:rPr>
          <w:rFonts w:hint="eastAsia" w:ascii="宋体" w:hAnsi="宋体" w:eastAsia="宋体" w:cs="宋体"/>
          <w:color w:val="auto"/>
          <w:sz w:val="21"/>
          <w:szCs w:val="21"/>
          <w:highlight w:val="none"/>
        </w:rPr>
        <w:t>宁波市北仑区人民政府大碶街道办事处</w:t>
      </w:r>
      <w:bookmarkEnd w:id="18"/>
      <w:r>
        <w:rPr>
          <w:rFonts w:hint="eastAsia" w:ascii="宋体" w:hAnsi="宋体" w:eastAsia="宋体" w:cs="宋体"/>
          <w:color w:val="auto"/>
          <w:sz w:val="21"/>
          <w:szCs w:val="21"/>
          <w:highlight w:val="none"/>
        </w:rPr>
        <w:t xml:space="preserve"> </w:t>
      </w:r>
    </w:p>
    <w:p w14:paraId="45F2F92E">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地址：北仑区大碶街道镇兴路26号 </w:t>
      </w:r>
    </w:p>
    <w:p w14:paraId="7ACDF89F">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p>
    <w:p w14:paraId="79D97256">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李老师</w:t>
      </w:r>
      <w:r>
        <w:rPr>
          <w:rFonts w:hint="eastAsia" w:ascii="宋体" w:hAnsi="宋体" w:eastAsia="宋体" w:cs="宋体"/>
          <w:color w:val="auto"/>
          <w:sz w:val="21"/>
          <w:szCs w:val="21"/>
          <w:highlight w:val="none"/>
        </w:rPr>
        <w:t xml:space="preserve"> </w:t>
      </w:r>
    </w:p>
    <w:p w14:paraId="1078E9F7">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bookmarkStart w:id="19" w:name="OLE_LINK19"/>
      <w:r>
        <w:rPr>
          <w:rFonts w:hint="eastAsia" w:ascii="宋体" w:hAnsi="宋体" w:eastAsia="宋体" w:cs="宋体"/>
          <w:i w:val="0"/>
          <w:iCs w:val="0"/>
          <w:caps w:val="0"/>
          <w:color w:val="auto"/>
          <w:spacing w:val="0"/>
          <w:sz w:val="21"/>
          <w:szCs w:val="21"/>
          <w:highlight w:val="none"/>
          <w:shd w:val="clear" w:fill="FFFFFF"/>
        </w:rPr>
        <w:t>13515848810</w:t>
      </w:r>
      <w:bookmarkEnd w:id="19"/>
    </w:p>
    <w:p w14:paraId="09C49823">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 xml:space="preserve"> 史老师</w:t>
      </w:r>
    </w:p>
    <w:p w14:paraId="5B529EEA">
      <w:pPr>
        <w:keepNext w:val="0"/>
        <w:keepLines w:val="0"/>
        <w:pageBreakBefore w:val="0"/>
        <w:widowControl w:val="0"/>
        <w:kinsoku/>
        <w:wordWrap w:val="0"/>
        <w:overflowPunct/>
        <w:topLinePunct w:val="0"/>
        <w:autoSpaceDE/>
        <w:autoSpaceDN/>
        <w:bidi w:val="0"/>
        <w:spacing w:line="340" w:lineRule="exact"/>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i w:val="0"/>
          <w:iCs w:val="0"/>
          <w:caps w:val="0"/>
          <w:color w:val="auto"/>
          <w:spacing w:val="0"/>
          <w:sz w:val="21"/>
          <w:szCs w:val="21"/>
          <w:highlight w:val="none"/>
          <w:shd w:val="clear" w:fill="FFFFFF"/>
          <w:lang w:val="en-US" w:eastAsia="zh-CN"/>
        </w:rPr>
        <w:t>0574-86786118</w:t>
      </w:r>
    </w:p>
    <w:p w14:paraId="0E2EF2D9">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p>
    <w:p w14:paraId="3CDDDAA0">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0894955F">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名称：宁波杜威工程项目管理有限公司</w:t>
      </w:r>
    </w:p>
    <w:p w14:paraId="65E5A00C">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地址：北仑区明州路773号开发区商务大厦B幢10楼1001室</w:t>
      </w:r>
    </w:p>
    <w:p w14:paraId="37BC10AA">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A39FA5C">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项目联系人（询问）：宋世林 </w:t>
      </w:r>
    </w:p>
    <w:p w14:paraId="442B3562">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项目联系方式（询问）：0574-86830803 </w:t>
      </w:r>
    </w:p>
    <w:p w14:paraId="241F9EAB">
      <w:pPr>
        <w:spacing w:line="34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质疑联系人：石静娜 </w:t>
      </w:r>
    </w:p>
    <w:p w14:paraId="019B2D19">
      <w:pPr>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质疑联系方式：</w:t>
      </w:r>
      <w:r>
        <w:rPr>
          <w:rFonts w:hint="eastAsia" w:ascii="宋体" w:hAnsi="宋体" w:eastAsia="宋体" w:cs="宋体"/>
          <w:color w:val="auto"/>
          <w:sz w:val="21"/>
          <w:szCs w:val="21"/>
          <w:highlight w:val="none"/>
        </w:rPr>
        <w:t xml:space="preserve">0574-86909377 </w:t>
      </w:r>
    </w:p>
    <w:p w14:paraId="11A07384">
      <w:pPr>
        <w:spacing w:line="340" w:lineRule="exact"/>
        <w:ind w:firstLine="420"/>
        <w:rPr>
          <w:rFonts w:hint="eastAsia" w:ascii="宋体" w:hAnsi="宋体" w:eastAsia="宋体" w:cs="宋体"/>
          <w:color w:val="auto"/>
          <w:sz w:val="21"/>
          <w:szCs w:val="21"/>
          <w:highlight w:val="none"/>
        </w:rPr>
      </w:pPr>
    </w:p>
    <w:p w14:paraId="35FC342E">
      <w:pPr>
        <w:spacing w:line="34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3.同级政府采购监督管理部门 </w:t>
      </w:r>
    </w:p>
    <w:p w14:paraId="7F899C4A">
      <w:pPr>
        <w:spacing w:line="34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bookmarkStart w:id="20" w:name="OLE_LINK20"/>
      <w:r>
        <w:rPr>
          <w:rFonts w:hint="eastAsia" w:ascii="宋体" w:hAnsi="宋体" w:eastAsia="宋体" w:cs="宋体"/>
          <w:color w:val="auto"/>
          <w:kern w:val="0"/>
          <w:sz w:val="21"/>
          <w:szCs w:val="21"/>
          <w:highlight w:val="none"/>
        </w:rPr>
        <w:t>宁波市北仑区财政局采购办</w:t>
      </w:r>
      <w:bookmarkEnd w:id="20"/>
      <w:r>
        <w:rPr>
          <w:rFonts w:hint="eastAsia" w:ascii="宋体" w:hAnsi="宋体" w:eastAsia="宋体" w:cs="宋体"/>
          <w:color w:val="auto"/>
          <w:kern w:val="0"/>
          <w:sz w:val="21"/>
          <w:szCs w:val="21"/>
          <w:highlight w:val="none"/>
        </w:rPr>
        <w:t xml:space="preserve"> </w:t>
      </w:r>
    </w:p>
    <w:p w14:paraId="2AEFD27D">
      <w:pPr>
        <w:spacing w:line="34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地址：宁波市北仑区长江路1166号6楼 </w:t>
      </w:r>
    </w:p>
    <w:p w14:paraId="35024C3B">
      <w:pPr>
        <w:spacing w:line="34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联系人：严老师 </w:t>
      </w:r>
    </w:p>
    <w:p w14:paraId="71340C9E">
      <w:pPr>
        <w:keepNext w:val="0"/>
        <w:keepLines w:val="0"/>
        <w:pageBreakBefore w:val="0"/>
        <w:widowControl w:val="0"/>
        <w:kinsoku/>
        <w:overflowPunct/>
        <w:topLinePunct w:val="0"/>
        <w:autoSpaceDE/>
        <w:autoSpaceDN/>
        <w:bidi w:val="0"/>
        <w:spacing w:line="3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监督投诉电话：0574-89383756</w:t>
      </w:r>
    </w:p>
    <w:p w14:paraId="212F5BAE">
      <w:pPr>
        <w:keepNext w:val="0"/>
        <w:keepLines w:val="0"/>
        <w:pageBreakBefore w:val="0"/>
        <w:widowControl w:val="0"/>
        <w:kinsoku/>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 w:val="21"/>
          <w:szCs w:val="21"/>
          <w:highlight w:val="none"/>
        </w:rPr>
      </w:pPr>
    </w:p>
    <w:p w14:paraId="41253253">
      <w:pPr>
        <w:keepNext w:val="0"/>
        <w:keepLines w:val="0"/>
        <w:pageBreakBefore w:val="0"/>
        <w:widowControl w:val="0"/>
        <w:kinsoku/>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若对项目采购电子交易系统操作有疑问，可登录政采云（https://www.zcygov.cn/），点击右侧咨询小采，获取采小蜜智能服务管家帮助，或拨打政采云服务热线95763获取热线服务帮助。       </w:t>
      </w:r>
    </w:p>
    <w:p w14:paraId="34DF7D2B">
      <w:pPr>
        <w:keepNext w:val="0"/>
        <w:keepLines w:val="0"/>
        <w:pageBreakBefore w:val="0"/>
        <w:widowControl w:val="0"/>
        <w:kinsoku/>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CA问题联系电话（人工）：汇信CA 400-888-4636；天谷CA 400-087-8198。</w:t>
      </w:r>
    </w:p>
    <w:p w14:paraId="049F2091">
      <w:pPr>
        <w:pStyle w:val="45"/>
        <w:spacing w:before="75" w:beforeAutospacing="0" w:after="75" w:afterAutospacing="0"/>
        <w:rPr>
          <w:rFonts w:hint="eastAsia" w:ascii="宋体" w:hAnsi="宋体" w:eastAsia="宋体" w:cs="宋体"/>
          <w:color w:val="auto"/>
          <w:highlight w:val="none"/>
        </w:rPr>
      </w:pPr>
    </w:p>
    <w:p w14:paraId="1A0C72E8">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21" w:name="_Toc530378516"/>
    </w:p>
    <w:p w14:paraId="10E6F3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bCs/>
          <w:color w:val="auto"/>
          <w:kern w:val="44"/>
          <w:sz w:val="30"/>
          <w:szCs w:val="44"/>
          <w:highlight w:val="none"/>
        </w:rPr>
        <w:t>第二章  招标需求</w:t>
      </w:r>
      <w:bookmarkEnd w:id="21"/>
    </w:p>
    <w:p w14:paraId="1A5D3947">
      <w:pPr>
        <w:jc w:val="center"/>
        <w:rPr>
          <w:rFonts w:hint="eastAsia" w:ascii="宋体" w:hAnsi="宋体" w:eastAsia="宋体" w:cs="宋体"/>
          <w:color w:val="auto"/>
          <w:szCs w:val="21"/>
          <w:highlight w:val="none"/>
        </w:rPr>
      </w:pPr>
    </w:p>
    <w:p w14:paraId="717EC8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前附表</w:t>
      </w:r>
    </w:p>
    <w:tbl>
      <w:tblPr>
        <w:tblStyle w:val="49"/>
        <w:tblW w:w="93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3258"/>
        <w:gridCol w:w="5082"/>
      </w:tblGrid>
      <w:tr w14:paraId="06A62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73" w:type="dxa"/>
            <w:tcBorders>
              <w:top w:val="single" w:color="auto" w:sz="6" w:space="0"/>
              <w:left w:val="single" w:color="auto" w:sz="6" w:space="0"/>
              <w:bottom w:val="single" w:color="auto" w:sz="6" w:space="0"/>
              <w:right w:val="single" w:color="auto" w:sz="6" w:space="0"/>
            </w:tcBorders>
            <w:vAlign w:val="center"/>
          </w:tcPr>
          <w:p w14:paraId="4C688162">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58" w:type="dxa"/>
            <w:tcBorders>
              <w:top w:val="single" w:color="auto" w:sz="6" w:space="0"/>
              <w:left w:val="single" w:color="auto" w:sz="6" w:space="0"/>
              <w:bottom w:val="single" w:color="auto" w:sz="6" w:space="0"/>
              <w:right w:val="single" w:color="auto" w:sz="4" w:space="0"/>
            </w:tcBorders>
            <w:vAlign w:val="center"/>
          </w:tcPr>
          <w:p w14:paraId="505D1F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082" w:type="dxa"/>
            <w:tcBorders>
              <w:top w:val="single" w:color="auto" w:sz="6" w:space="0"/>
              <w:left w:val="single" w:color="auto" w:sz="4" w:space="0"/>
              <w:bottom w:val="single" w:color="auto" w:sz="6" w:space="0"/>
              <w:right w:val="single" w:color="auto" w:sz="6" w:space="0"/>
            </w:tcBorders>
            <w:vAlign w:val="center"/>
          </w:tcPr>
          <w:p w14:paraId="101A8913">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招标需求内容</w:t>
            </w:r>
          </w:p>
        </w:tc>
      </w:tr>
      <w:tr w14:paraId="4A776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1498EA7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8" w:type="dxa"/>
            <w:tcBorders>
              <w:top w:val="single" w:color="auto" w:sz="6" w:space="0"/>
              <w:left w:val="single" w:color="auto" w:sz="6" w:space="0"/>
              <w:bottom w:val="single" w:color="auto" w:sz="6" w:space="0"/>
              <w:right w:val="single" w:color="auto" w:sz="4" w:space="0"/>
            </w:tcBorders>
            <w:vAlign w:val="center"/>
          </w:tcPr>
          <w:p w14:paraId="20952B1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5082" w:type="dxa"/>
            <w:tcBorders>
              <w:top w:val="single" w:color="auto" w:sz="6" w:space="0"/>
              <w:left w:val="single" w:color="auto" w:sz="4" w:space="0"/>
              <w:bottom w:val="single" w:color="auto" w:sz="6" w:space="0"/>
              <w:right w:val="single" w:color="auto" w:sz="6" w:space="0"/>
            </w:tcBorders>
            <w:vAlign w:val="center"/>
          </w:tcPr>
          <w:p w14:paraId="2FC65A1F">
            <w:pPr>
              <w:pStyle w:val="1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大碶成人学校报告厅软硬件租赁及运维服务项目</w:t>
            </w:r>
          </w:p>
        </w:tc>
      </w:tr>
      <w:tr w14:paraId="173C4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716E4A1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8" w:type="dxa"/>
            <w:tcBorders>
              <w:top w:val="single" w:color="auto" w:sz="6" w:space="0"/>
              <w:left w:val="single" w:color="auto" w:sz="6" w:space="0"/>
              <w:bottom w:val="single" w:color="auto" w:sz="6" w:space="0"/>
              <w:right w:val="single" w:color="auto" w:sz="4" w:space="0"/>
            </w:tcBorders>
            <w:vAlign w:val="center"/>
          </w:tcPr>
          <w:p w14:paraId="487C405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082" w:type="dxa"/>
            <w:tcBorders>
              <w:top w:val="single" w:color="auto" w:sz="6" w:space="0"/>
              <w:left w:val="single" w:color="auto" w:sz="4" w:space="0"/>
              <w:bottom w:val="single" w:color="auto" w:sz="6" w:space="0"/>
              <w:right w:val="single" w:color="auto" w:sz="6" w:space="0"/>
            </w:tcBorders>
            <w:vAlign w:val="center"/>
          </w:tcPr>
          <w:p w14:paraId="128112FC">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详见二、采购需求</w:t>
            </w:r>
          </w:p>
        </w:tc>
      </w:tr>
      <w:tr w14:paraId="54C29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2AAB6B1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8" w:type="dxa"/>
            <w:tcBorders>
              <w:top w:val="single" w:color="auto" w:sz="6" w:space="0"/>
              <w:left w:val="single" w:color="auto" w:sz="6" w:space="0"/>
              <w:bottom w:val="single" w:color="auto" w:sz="6" w:space="0"/>
              <w:right w:val="single" w:color="auto" w:sz="4" w:space="0"/>
            </w:tcBorders>
            <w:vAlign w:val="center"/>
          </w:tcPr>
          <w:p w14:paraId="2BCDC74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082" w:type="dxa"/>
            <w:tcBorders>
              <w:top w:val="single" w:color="auto" w:sz="6" w:space="0"/>
              <w:left w:val="single" w:color="auto" w:sz="4" w:space="0"/>
              <w:bottom w:val="single" w:color="auto" w:sz="6" w:space="0"/>
              <w:right w:val="single" w:color="auto" w:sz="6" w:space="0"/>
            </w:tcBorders>
            <w:vAlign w:val="center"/>
          </w:tcPr>
          <w:p w14:paraId="155EE94F">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详见二、采购需求</w:t>
            </w:r>
          </w:p>
        </w:tc>
      </w:tr>
      <w:tr w14:paraId="5DA54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6FF7BCF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8" w:type="dxa"/>
            <w:tcBorders>
              <w:top w:val="single" w:color="auto" w:sz="6" w:space="0"/>
              <w:left w:val="single" w:color="auto" w:sz="6" w:space="0"/>
              <w:bottom w:val="single" w:color="auto" w:sz="6" w:space="0"/>
              <w:right w:val="single" w:color="auto" w:sz="4" w:space="0"/>
            </w:tcBorders>
            <w:vAlign w:val="center"/>
          </w:tcPr>
          <w:p w14:paraId="4BA96AA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082" w:type="dxa"/>
            <w:tcBorders>
              <w:top w:val="single" w:color="auto" w:sz="6" w:space="0"/>
              <w:left w:val="single" w:color="auto" w:sz="4" w:space="0"/>
              <w:bottom w:val="single" w:color="auto" w:sz="6" w:space="0"/>
              <w:right w:val="single" w:color="auto" w:sz="6" w:space="0"/>
            </w:tcBorders>
            <w:vAlign w:val="center"/>
          </w:tcPr>
          <w:p w14:paraId="4FD73186">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详见一、项目概况</w:t>
            </w:r>
          </w:p>
        </w:tc>
      </w:tr>
      <w:tr w14:paraId="66234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30E0FF2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8" w:type="dxa"/>
            <w:tcBorders>
              <w:top w:val="single" w:color="auto" w:sz="6" w:space="0"/>
              <w:left w:val="single" w:color="auto" w:sz="6" w:space="0"/>
              <w:bottom w:val="single" w:color="auto" w:sz="6" w:space="0"/>
              <w:right w:val="single" w:color="auto" w:sz="4" w:space="0"/>
            </w:tcBorders>
            <w:vAlign w:val="center"/>
          </w:tcPr>
          <w:p w14:paraId="0D0D232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w:t>
            </w:r>
          </w:p>
        </w:tc>
        <w:tc>
          <w:tcPr>
            <w:tcW w:w="5082" w:type="dxa"/>
            <w:tcBorders>
              <w:top w:val="single" w:color="auto" w:sz="6" w:space="0"/>
              <w:left w:val="single" w:color="auto" w:sz="4" w:space="0"/>
              <w:bottom w:val="single" w:color="auto" w:sz="6" w:space="0"/>
              <w:right w:val="single" w:color="auto" w:sz="6" w:space="0"/>
            </w:tcBorders>
            <w:vAlign w:val="center"/>
          </w:tcPr>
          <w:p w14:paraId="78B1CD1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详见二、采购需求</w:t>
            </w:r>
          </w:p>
        </w:tc>
      </w:tr>
      <w:tr w14:paraId="1953C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743E54A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8" w:type="dxa"/>
            <w:tcBorders>
              <w:top w:val="single" w:color="auto" w:sz="6" w:space="0"/>
              <w:left w:val="single" w:color="auto" w:sz="6" w:space="0"/>
              <w:bottom w:val="single" w:color="auto" w:sz="6" w:space="0"/>
              <w:right w:val="single" w:color="auto" w:sz="4" w:space="0"/>
            </w:tcBorders>
            <w:vAlign w:val="center"/>
          </w:tcPr>
          <w:p w14:paraId="6FFC06E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082" w:type="dxa"/>
            <w:tcBorders>
              <w:top w:val="single" w:color="auto" w:sz="6" w:space="0"/>
              <w:left w:val="single" w:color="auto" w:sz="4" w:space="0"/>
              <w:bottom w:val="single" w:color="auto" w:sz="6" w:space="0"/>
              <w:right w:val="single" w:color="auto" w:sz="6" w:space="0"/>
            </w:tcBorders>
            <w:vAlign w:val="center"/>
          </w:tcPr>
          <w:p w14:paraId="68091768">
            <w:pPr>
              <w:keepNext w:val="0"/>
              <w:keepLines w:val="0"/>
              <w:pageBreakBefore w:val="0"/>
              <w:widowControl w:val="0"/>
              <w:kinsoku/>
              <w:wordWrap/>
              <w:overflowPunct/>
              <w:topLinePunct w:val="0"/>
              <w:autoSpaceDE/>
              <w:autoSpaceDN/>
              <w:bidi w:val="0"/>
              <w:spacing w:line="36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p>
        </w:tc>
      </w:tr>
      <w:tr w14:paraId="42C42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0A4FC4E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8" w:type="dxa"/>
            <w:tcBorders>
              <w:top w:val="single" w:color="auto" w:sz="6" w:space="0"/>
              <w:left w:val="single" w:color="auto" w:sz="6" w:space="0"/>
              <w:bottom w:val="single" w:color="auto" w:sz="6" w:space="0"/>
              <w:right w:val="single" w:color="auto" w:sz="4" w:space="0"/>
            </w:tcBorders>
            <w:vAlign w:val="center"/>
          </w:tcPr>
          <w:p w14:paraId="7D8D891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082" w:type="dxa"/>
            <w:tcBorders>
              <w:top w:val="single" w:color="auto" w:sz="6" w:space="0"/>
              <w:left w:val="single" w:color="auto" w:sz="4" w:space="0"/>
              <w:bottom w:val="single" w:color="auto" w:sz="6" w:space="0"/>
              <w:right w:val="single" w:color="auto" w:sz="6" w:space="0"/>
            </w:tcBorders>
            <w:vAlign w:val="center"/>
          </w:tcPr>
          <w:p w14:paraId="607E6D0E">
            <w:pPr>
              <w:keepNext w:val="0"/>
              <w:keepLines w:val="0"/>
              <w:pageBreakBefore w:val="0"/>
              <w:widowControl w:val="0"/>
              <w:kinsoku/>
              <w:wordWrap/>
              <w:overflowPunct/>
              <w:topLinePunct w:val="0"/>
              <w:autoSpaceDE/>
              <w:autoSpaceDN/>
              <w:bidi w:val="0"/>
              <w:spacing w:line="36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投标人如需踏勘的，可在</w:t>
            </w:r>
            <w:r>
              <w:rPr>
                <w:rFonts w:hint="eastAsia" w:ascii="宋体" w:hAnsi="宋体" w:eastAsia="宋体" w:cs="宋体"/>
                <w:b/>
                <w:bCs/>
                <w:color w:val="auto"/>
                <w:szCs w:val="21"/>
                <w:highlight w:val="none"/>
                <w:u w:val="single"/>
              </w:rPr>
              <w:t>202</w:t>
            </w:r>
            <w:r>
              <w:rPr>
                <w:rFonts w:hint="eastAsia" w:ascii="宋体" w:hAnsi="宋体" w:eastAsia="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年</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1</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u w:val="single"/>
                <w:lang w:val="en-US" w:eastAsia="zh-CN"/>
              </w:rPr>
              <w:t>16：00</w:t>
            </w:r>
            <w:r>
              <w:rPr>
                <w:rFonts w:hint="eastAsia" w:ascii="宋体" w:hAnsi="宋体" w:eastAsia="宋体" w:cs="宋体"/>
                <w:b/>
                <w:bCs/>
                <w:color w:val="auto"/>
                <w:szCs w:val="21"/>
                <w:highlight w:val="none"/>
              </w:rPr>
              <w:t>前</w:t>
            </w:r>
            <w:r>
              <w:rPr>
                <w:rFonts w:hint="eastAsia" w:ascii="宋体" w:hAnsi="宋体" w:eastAsia="宋体" w:cs="宋体"/>
                <w:color w:val="auto"/>
                <w:szCs w:val="21"/>
                <w:highlight w:val="none"/>
              </w:rPr>
              <w:t>自行前往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不统一组织）</w:t>
            </w:r>
            <w:r>
              <w:rPr>
                <w:rFonts w:hint="eastAsia" w:ascii="宋体" w:hAnsi="宋体" w:eastAsia="宋体" w:cs="宋体"/>
                <w:color w:val="auto"/>
                <w:szCs w:val="21"/>
                <w:highlight w:val="none"/>
              </w:rPr>
              <w:t>。未参加现场踏勘的投标人，中标后不得以不完全了解项目情况为借口，提出额外补偿的要求。</w:t>
            </w:r>
          </w:p>
          <w:p w14:paraId="6B6B3A17">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 xml:space="preserve">李老师 </w:t>
            </w:r>
          </w:p>
          <w:p w14:paraId="2DAA8A6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13515848810</w:t>
            </w:r>
            <w:r>
              <w:rPr>
                <w:rFonts w:hint="eastAsia" w:ascii="宋体" w:hAnsi="宋体" w:eastAsia="宋体" w:cs="宋体"/>
                <w:color w:val="auto"/>
                <w:szCs w:val="21"/>
                <w:highlight w:val="none"/>
              </w:rPr>
              <w:t>。</w:t>
            </w:r>
          </w:p>
        </w:tc>
      </w:tr>
      <w:tr w14:paraId="68BF2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52C224D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258" w:type="dxa"/>
            <w:tcBorders>
              <w:top w:val="single" w:color="auto" w:sz="6" w:space="0"/>
              <w:left w:val="single" w:color="auto" w:sz="6" w:space="0"/>
              <w:bottom w:val="single" w:color="auto" w:sz="6" w:space="0"/>
              <w:right w:val="single" w:color="auto" w:sz="4" w:space="0"/>
            </w:tcBorders>
            <w:vAlign w:val="center"/>
          </w:tcPr>
          <w:p w14:paraId="6CCF923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082" w:type="dxa"/>
            <w:tcBorders>
              <w:top w:val="single" w:color="auto" w:sz="6" w:space="0"/>
              <w:left w:val="single" w:color="auto" w:sz="4" w:space="0"/>
              <w:bottom w:val="single" w:color="auto" w:sz="6" w:space="0"/>
              <w:right w:val="single" w:color="auto" w:sz="6" w:space="0"/>
            </w:tcBorders>
            <w:vAlign w:val="center"/>
          </w:tcPr>
          <w:p w14:paraId="3E8BAF6A">
            <w:pPr>
              <w:keepNext w:val="0"/>
              <w:keepLines w:val="0"/>
              <w:pageBreakBefore w:val="0"/>
              <w:widowControl w:val="0"/>
              <w:kinsoku/>
              <w:wordWrap/>
              <w:overflowPunct/>
              <w:topLinePunct w:val="0"/>
              <w:autoSpaceDE/>
              <w:autoSpaceDN/>
              <w:bidi w:val="0"/>
              <w:spacing w:line="360" w:lineRule="exact"/>
              <w:ind w:firstLine="210" w:firstLine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详见评分标准</w:t>
            </w:r>
            <w:r>
              <w:rPr>
                <w:rFonts w:hint="eastAsia" w:ascii="宋体" w:hAnsi="宋体" w:eastAsia="宋体" w:cs="宋体"/>
                <w:color w:val="auto"/>
                <w:szCs w:val="21"/>
                <w:highlight w:val="none"/>
                <w:lang w:eastAsia="zh-CN"/>
              </w:rPr>
              <w:t>。</w:t>
            </w:r>
          </w:p>
        </w:tc>
      </w:tr>
      <w:tr w14:paraId="054F5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3" w:type="dxa"/>
            <w:tcBorders>
              <w:top w:val="single" w:color="auto" w:sz="6" w:space="0"/>
              <w:left w:val="single" w:color="auto" w:sz="6" w:space="0"/>
              <w:bottom w:val="single" w:color="auto" w:sz="6" w:space="0"/>
              <w:right w:val="single" w:color="auto" w:sz="6" w:space="0"/>
            </w:tcBorders>
            <w:vAlign w:val="center"/>
          </w:tcPr>
          <w:p w14:paraId="38E9A65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258" w:type="dxa"/>
            <w:tcBorders>
              <w:top w:val="single" w:color="auto" w:sz="6" w:space="0"/>
              <w:left w:val="single" w:color="auto" w:sz="6" w:space="0"/>
              <w:bottom w:val="single" w:color="auto" w:sz="6" w:space="0"/>
              <w:right w:val="single" w:color="auto" w:sz="4" w:space="0"/>
            </w:tcBorders>
            <w:vAlign w:val="center"/>
          </w:tcPr>
          <w:p w14:paraId="7B08386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082" w:type="dxa"/>
            <w:tcBorders>
              <w:top w:val="single" w:color="auto" w:sz="6" w:space="0"/>
              <w:left w:val="single" w:color="auto" w:sz="4" w:space="0"/>
              <w:bottom w:val="single" w:color="auto" w:sz="6" w:space="0"/>
              <w:right w:val="single" w:color="auto" w:sz="6" w:space="0"/>
            </w:tcBorders>
            <w:vAlign w:val="center"/>
          </w:tcPr>
          <w:p w14:paraId="3B49FABE">
            <w:pPr>
              <w:keepNext w:val="0"/>
              <w:keepLines w:val="0"/>
              <w:pageBreakBefore w:val="0"/>
              <w:widowControl w:val="0"/>
              <w:kinsoku/>
              <w:wordWrap/>
              <w:overflowPunct/>
              <w:topLinePunct w:val="0"/>
              <w:autoSpaceDE/>
              <w:autoSpaceDN/>
              <w:bidi w:val="0"/>
              <w:spacing w:line="36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p>
        </w:tc>
      </w:tr>
    </w:tbl>
    <w:p w14:paraId="5B3C0E41">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4E172EC">
      <w:pPr>
        <w:spacing w:line="360" w:lineRule="auto"/>
        <w:rPr>
          <w:rFonts w:hint="eastAsia" w:ascii="宋体" w:hAnsi="宋体" w:eastAsia="宋体" w:cs="宋体"/>
          <w:b/>
          <w:color w:val="auto"/>
          <w:sz w:val="24"/>
          <w:highlight w:val="none"/>
        </w:rPr>
      </w:pPr>
      <w:r>
        <w:rPr>
          <w:rFonts w:hint="eastAsia" w:ascii="宋体" w:hAnsi="宋体" w:eastAsia="宋体" w:cs="宋体"/>
          <w:color w:val="auto"/>
          <w:szCs w:val="21"/>
          <w:highlight w:val="none"/>
        </w:rPr>
        <w:br w:type="page"/>
      </w:r>
    </w:p>
    <w:p w14:paraId="6453156D">
      <w:pPr>
        <w:keepNext w:val="0"/>
        <w:keepLines w:val="0"/>
        <w:pageBreakBefore w:val="0"/>
        <w:kinsoku/>
        <w:wordWrap/>
        <w:overflowPunct/>
        <w:topLinePunct w:val="0"/>
        <w:autoSpaceDE/>
        <w:autoSpaceDN/>
        <w:bidi w:val="0"/>
        <w:adjustRightInd/>
        <w:snapToGrid w:val="0"/>
        <w:spacing w:line="400" w:lineRule="exact"/>
        <w:ind w:left="0" w:leftChars="0" w:firstLine="0" w:firstLineChars="0"/>
        <w:textAlignment w:val="auto"/>
        <w:outlineLvl w:val="1"/>
        <w:rPr>
          <w:rFonts w:hint="eastAsia" w:ascii="宋体" w:hAnsi="宋体" w:eastAsia="宋体" w:cs="宋体"/>
          <w:b/>
          <w:color w:val="auto"/>
          <w:sz w:val="24"/>
          <w:szCs w:val="24"/>
          <w:highlight w:val="none"/>
        </w:rPr>
      </w:pPr>
      <w:bookmarkStart w:id="22" w:name="OLE_LINK7"/>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、项目概况</w:t>
      </w:r>
    </w:p>
    <w:p w14:paraId="4247F3B2">
      <w:pPr>
        <w:pStyle w:val="296"/>
        <w:keepNext w:val="0"/>
        <w:keepLines w:val="0"/>
        <w:pageBreakBefore w:val="0"/>
        <w:kinsoku/>
        <w:wordWrap/>
        <w:overflowPunct/>
        <w:topLinePunct w:val="0"/>
        <w:autoSpaceDE/>
        <w:autoSpaceDN/>
        <w:bidi w:val="0"/>
        <w:adjustRightInd/>
        <w:spacing w:line="400" w:lineRule="exact"/>
        <w:ind w:firstLine="372"/>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2021年，国务院在《中国教育现代化2035》中，明确提出加快信息化时代教育变革，对教育信息化发展做出整体设计和统筹部署。教育部颁布了《教育信息化“十四五”规划》等一系列重要的规划和政策文件。鼓励充分发挥市场机制作用，优化教育资源供给。</w:t>
      </w:r>
    </w:p>
    <w:p w14:paraId="5D85F866">
      <w:pPr>
        <w:pStyle w:val="296"/>
        <w:keepNext w:val="0"/>
        <w:keepLines w:val="0"/>
        <w:pageBreakBefore w:val="0"/>
        <w:kinsoku/>
        <w:wordWrap/>
        <w:overflowPunct/>
        <w:topLinePunct w:val="0"/>
        <w:autoSpaceDE/>
        <w:autoSpaceDN/>
        <w:bidi w:val="0"/>
        <w:adjustRightInd/>
        <w:spacing w:line="400" w:lineRule="exact"/>
        <w:ind w:firstLine="372"/>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多功能报告厅是</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lang w:eastAsia="zh-Hans"/>
        </w:rPr>
        <w:t>教学设施</w:t>
      </w:r>
      <w:r>
        <w:rPr>
          <w:rFonts w:hint="eastAsia" w:ascii="宋体" w:hAnsi="宋体" w:eastAsia="宋体" w:cs="宋体"/>
          <w:color w:val="auto"/>
          <w:sz w:val="21"/>
          <w:szCs w:val="21"/>
          <w:highlight w:val="none"/>
          <w:lang w:val="en-US" w:eastAsia="zh-CN"/>
        </w:rPr>
        <w:t>重要应用场所</w:t>
      </w:r>
      <w:r>
        <w:rPr>
          <w:rFonts w:hint="eastAsia" w:ascii="宋体" w:hAnsi="宋体" w:eastAsia="宋体" w:cs="宋体"/>
          <w:color w:val="auto"/>
          <w:sz w:val="21"/>
          <w:szCs w:val="21"/>
          <w:highlight w:val="none"/>
          <w:lang w:eastAsia="zh-Hans"/>
        </w:rPr>
        <w:t>，主要体现特色鲜明、技术先进、实用性强的建设思想，主要功能为学术报告、日常会议、教育宣传片（小型电影）播放、中小型演出等功能。</w:t>
      </w:r>
      <w:r>
        <w:rPr>
          <w:rFonts w:hint="eastAsia" w:ascii="宋体" w:hAnsi="宋体" w:eastAsia="宋体" w:cs="宋体"/>
          <w:color w:val="auto"/>
          <w:sz w:val="21"/>
          <w:szCs w:val="21"/>
          <w:highlight w:val="none"/>
          <w:lang w:val="en-US" w:eastAsia="zh-CN"/>
        </w:rPr>
        <w:t>通过本次报告厅软</w:t>
      </w:r>
      <w:r>
        <w:rPr>
          <w:rFonts w:hint="eastAsia" w:ascii="宋体" w:hAnsi="宋体" w:eastAsia="宋体" w:cs="宋体"/>
          <w:color w:val="auto"/>
          <w:sz w:val="21"/>
          <w:szCs w:val="21"/>
          <w:highlight w:val="none"/>
          <w:lang w:eastAsia="zh-Hans"/>
        </w:rPr>
        <w:t>硬件租赁及运维项目</w:t>
      </w:r>
      <w:r>
        <w:rPr>
          <w:rFonts w:hint="eastAsia" w:ascii="宋体" w:hAnsi="宋体" w:eastAsia="宋体" w:cs="宋体"/>
          <w:color w:val="auto"/>
          <w:sz w:val="21"/>
          <w:szCs w:val="21"/>
          <w:highlight w:val="none"/>
          <w:lang w:val="en-US" w:eastAsia="zh-CN"/>
        </w:rPr>
        <w:t>，大大</w:t>
      </w:r>
      <w:r>
        <w:rPr>
          <w:rFonts w:hint="eastAsia" w:ascii="宋体" w:hAnsi="宋体" w:eastAsia="宋体" w:cs="宋体"/>
          <w:color w:val="auto"/>
          <w:sz w:val="21"/>
          <w:szCs w:val="21"/>
          <w:highlight w:val="none"/>
          <w:lang w:eastAsia="zh-Hans"/>
        </w:rPr>
        <w:t>提升我校的办学环境条件。</w:t>
      </w:r>
    </w:p>
    <w:p w14:paraId="48B8E74E">
      <w:pPr>
        <w:pStyle w:val="296"/>
        <w:keepNext w:val="0"/>
        <w:keepLines w:val="0"/>
        <w:pageBreakBefore w:val="0"/>
        <w:kinsoku/>
        <w:wordWrap/>
        <w:overflowPunct/>
        <w:topLinePunct w:val="0"/>
        <w:autoSpaceDE/>
        <w:autoSpaceDN/>
        <w:bidi w:val="0"/>
        <w:adjustRightInd/>
        <w:spacing w:line="400" w:lineRule="exact"/>
        <w:ind w:firstLine="372"/>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为保证项目完成后，报告厅的舞台光照度、扩声系统满足场馆要求，针对报告厅内的专业舞台灯、舞台机械和扩声经过专业设计，扩声达到《厅堂扩声系统设计规范》 GB50371-2006多用途类扩声系统声学特性指标（语言与音乐兼用类）一级标准，完善智能化、信息化等能满足多功能应用要求。</w:t>
      </w:r>
    </w:p>
    <w:p w14:paraId="186F058C">
      <w:pPr>
        <w:keepNext w:val="0"/>
        <w:keepLines w:val="0"/>
        <w:pageBreakBefore w:val="0"/>
        <w:kinsoku/>
        <w:wordWrap/>
        <w:overflowPunct/>
        <w:topLinePunct w:val="0"/>
        <w:autoSpaceDE/>
        <w:autoSpaceDN/>
        <w:bidi w:val="0"/>
        <w:adjustRightInd/>
        <w:snapToGrid w:val="0"/>
        <w:spacing w:line="400" w:lineRule="exact"/>
        <w:ind w:left="0" w:leftChars="0" w:firstLine="0" w:firstLine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二、项目建设内容</w:t>
      </w:r>
    </w:p>
    <w:p w14:paraId="608B107E">
      <w:pPr>
        <w:keepNext w:val="0"/>
        <w:keepLines w:val="0"/>
        <w:pageBreakBefore w:val="0"/>
        <w:widowControl/>
        <w:numPr>
          <w:ilvl w:val="0"/>
          <w:numId w:val="0"/>
        </w:numPr>
        <w:kinsoku/>
        <w:wordWrap/>
        <w:overflowPunct/>
        <w:topLinePunct w:val="0"/>
        <w:autoSpaceDE/>
        <w:autoSpaceDN/>
        <w:bidi w:val="0"/>
        <w:adjustRightInd/>
        <w:spacing w:line="400" w:lineRule="exact"/>
        <w:ind w:left="635" w:leftChars="0" w:hanging="425"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租用服务范围：</w:t>
      </w:r>
    </w:p>
    <w:p w14:paraId="4DED4132">
      <w:pPr>
        <w:pStyle w:val="68"/>
        <w:keepNext w:val="0"/>
        <w:keepLines w:val="0"/>
        <w:pageBreakBefore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大碶成人学校报告厅</w:t>
      </w:r>
      <w:r>
        <w:rPr>
          <w:rFonts w:hint="eastAsia" w:ascii="宋体" w:hAnsi="宋体" w:eastAsia="宋体" w:cs="宋体"/>
          <w:color w:val="auto"/>
          <w:sz w:val="21"/>
          <w:szCs w:val="21"/>
          <w:highlight w:val="none"/>
          <w:lang w:val="en-US" w:eastAsia="zh-CN"/>
        </w:rPr>
        <w:t>范围内的舞台软</w:t>
      </w:r>
      <w:r>
        <w:rPr>
          <w:rFonts w:hint="eastAsia" w:ascii="宋体" w:hAnsi="宋体" w:eastAsia="宋体" w:cs="宋体"/>
          <w:color w:val="auto"/>
          <w:sz w:val="21"/>
          <w:szCs w:val="21"/>
          <w:highlight w:val="none"/>
          <w:lang w:eastAsia="zh-Hans"/>
        </w:rPr>
        <w:t>硬</w:t>
      </w:r>
      <w:r>
        <w:rPr>
          <w:rFonts w:hint="eastAsia" w:ascii="宋体" w:hAnsi="宋体" w:eastAsia="宋体" w:cs="宋体"/>
          <w:color w:val="auto"/>
          <w:sz w:val="21"/>
          <w:szCs w:val="21"/>
          <w:highlight w:val="none"/>
          <w:lang w:val="en-US" w:eastAsia="zh-CN"/>
        </w:rPr>
        <w:t>件设备。</w:t>
      </w:r>
    </w:p>
    <w:p w14:paraId="7172DB7B">
      <w:pPr>
        <w:keepNext w:val="0"/>
        <w:keepLines w:val="0"/>
        <w:pageBreakBefore w:val="0"/>
        <w:widowControl/>
        <w:numPr>
          <w:ilvl w:val="0"/>
          <w:numId w:val="0"/>
        </w:numPr>
        <w:kinsoku/>
        <w:wordWrap/>
        <w:overflowPunct/>
        <w:topLinePunct w:val="0"/>
        <w:autoSpaceDE/>
        <w:autoSpaceDN/>
        <w:bidi w:val="0"/>
        <w:adjustRightInd/>
        <w:spacing w:line="400" w:lineRule="exact"/>
        <w:ind w:left="635" w:leftChars="0" w:hanging="425"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rPr>
        <w:t>租赁内容：</w:t>
      </w:r>
    </w:p>
    <w:p w14:paraId="7E48D4A4">
      <w:pPr>
        <w:pStyle w:val="296"/>
        <w:keepNext w:val="0"/>
        <w:keepLines w:val="0"/>
        <w:pageBreakBefore w:val="0"/>
        <w:kinsoku/>
        <w:wordWrap/>
        <w:overflowPunct/>
        <w:topLinePunct w:val="0"/>
        <w:autoSpaceDE/>
        <w:autoSpaceDN/>
        <w:bidi w:val="0"/>
        <w:adjustRightInd/>
        <w:spacing w:line="400" w:lineRule="exact"/>
        <w:ind w:firstLine="372"/>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本</w:t>
      </w:r>
      <w:r>
        <w:rPr>
          <w:rFonts w:hint="eastAsia" w:ascii="宋体" w:hAnsi="宋体" w:eastAsia="宋体" w:cs="宋体"/>
          <w:color w:val="auto"/>
          <w:sz w:val="21"/>
          <w:szCs w:val="21"/>
          <w:highlight w:val="none"/>
          <w:lang w:val="en-US" w:eastAsia="zh-CN"/>
        </w:rPr>
        <w:t>项目主要</w:t>
      </w:r>
      <w:r>
        <w:rPr>
          <w:rFonts w:hint="eastAsia" w:ascii="宋体" w:hAnsi="宋体" w:eastAsia="宋体" w:cs="宋体"/>
          <w:color w:val="auto"/>
          <w:sz w:val="21"/>
          <w:szCs w:val="21"/>
          <w:highlight w:val="none"/>
          <w:lang w:eastAsia="zh-Hans"/>
        </w:rPr>
        <w:t>针对报告厅的大屏显示、舞台音响设备和舞台灯光机械</w:t>
      </w:r>
      <w:r>
        <w:rPr>
          <w:rFonts w:hint="eastAsia" w:ascii="宋体" w:hAnsi="宋体" w:eastAsia="宋体" w:cs="宋体"/>
          <w:color w:val="auto"/>
          <w:sz w:val="21"/>
          <w:szCs w:val="21"/>
          <w:highlight w:val="none"/>
          <w:lang w:val="en-US" w:eastAsia="zh-CN"/>
        </w:rPr>
        <w:t>等设备的租赁服务及运维保障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主要包含专业扩声系统、会议发言系统、LED显示系统、矩阵切换系统、环境控制系统、舞台灯光系统、舞台机械系统</w:t>
      </w:r>
      <w:r>
        <w:rPr>
          <w:rFonts w:hint="eastAsia" w:ascii="宋体" w:hAnsi="宋体" w:eastAsia="宋体" w:cs="宋体"/>
          <w:color w:val="auto"/>
          <w:sz w:val="21"/>
          <w:szCs w:val="21"/>
          <w:highlight w:val="none"/>
          <w:lang w:val="en-US" w:eastAsia="zh-CN"/>
        </w:rPr>
        <w:t>等软</w:t>
      </w:r>
      <w:r>
        <w:rPr>
          <w:rFonts w:hint="eastAsia" w:ascii="宋体" w:hAnsi="宋体" w:eastAsia="宋体" w:cs="宋体"/>
          <w:color w:val="auto"/>
          <w:sz w:val="21"/>
          <w:szCs w:val="21"/>
          <w:highlight w:val="none"/>
          <w:lang w:eastAsia="zh-Hans"/>
        </w:rPr>
        <w:t>硬件租赁及运维项目。</w:t>
      </w:r>
    </w:p>
    <w:p w14:paraId="0116395F">
      <w:pPr>
        <w:pStyle w:val="296"/>
        <w:keepNext w:val="0"/>
        <w:keepLines w:val="0"/>
        <w:pageBreakBefore w:val="0"/>
        <w:kinsoku/>
        <w:wordWrap/>
        <w:overflowPunct/>
        <w:topLinePunct w:val="0"/>
        <w:autoSpaceDE/>
        <w:autoSpaceDN/>
        <w:bidi w:val="0"/>
        <w:adjustRightInd/>
        <w:spacing w:line="400" w:lineRule="exact"/>
        <w:ind w:firstLine="372"/>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现场声压级达到国家一级标准，满足现场会议扩声的使用需求。</w:t>
      </w:r>
    </w:p>
    <w:p w14:paraId="4E1C7467">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Hans"/>
        </w:rPr>
        <w:t>专业扩声</w:t>
      </w:r>
      <w:r>
        <w:rPr>
          <w:rFonts w:hint="eastAsia" w:ascii="宋体" w:hAnsi="宋体" w:eastAsia="宋体" w:cs="宋体"/>
          <w:color w:val="auto"/>
          <w:sz w:val="21"/>
          <w:szCs w:val="21"/>
          <w:highlight w:val="none"/>
        </w:rPr>
        <w:t>系统租赁</w:t>
      </w:r>
    </w:p>
    <w:p w14:paraId="591B4CCA">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在主舞台两侧吊装2组线阵列音箱，单组阵列音箱有4只双8″二分频线阵列音箱和一只18″线阵列超低频音箱组成，声场覆盖观众席主要听音区域。</w:t>
      </w:r>
    </w:p>
    <w:p w14:paraId="1AA330C4">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在舞台前沿设置4只台唇音箱和2只双18″低频音箱嵌入舞台前沿，在中后场设置</w:t>
      </w:r>
      <w:r>
        <w:rPr>
          <w:rFonts w:hint="eastAsia" w:ascii="宋体" w:hAnsi="宋体" w:eastAsia="宋体" w:cs="宋体"/>
          <w:color w:val="auto"/>
          <w:sz w:val="21"/>
          <w:szCs w:val="21"/>
          <w:highlight w:val="none"/>
          <w:lang w:val="en-US" w:eastAsia="zh-CN"/>
        </w:rPr>
        <w:t>6只</w:t>
      </w:r>
      <w:r>
        <w:rPr>
          <w:rFonts w:hint="eastAsia" w:ascii="宋体" w:hAnsi="宋体" w:eastAsia="宋体" w:cs="宋体"/>
          <w:color w:val="auto"/>
          <w:sz w:val="21"/>
          <w:szCs w:val="21"/>
          <w:highlight w:val="none"/>
          <w:lang w:val="zh-CN" w:eastAsia="zh-CN"/>
        </w:rPr>
        <w:t>辅助音箱，声场覆盖周边区域作为补声，避免声音出现死角。</w:t>
      </w:r>
    </w:p>
    <w:p w14:paraId="1C5CE4E5">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舞台上设置4只流动返听音箱。</w:t>
      </w:r>
    </w:p>
    <w:p w14:paraId="62B5437B">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功放功率严格按照音箱功率的1.5倍以上配置。</w:t>
      </w:r>
    </w:p>
    <w:p w14:paraId="212E1193">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zh-CN" w:eastAsia="zh-CN"/>
        </w:rPr>
        <w:t>1台24路数字调音台（给音频提供接口，处理音色效果）。</w:t>
      </w:r>
      <w:r>
        <w:rPr>
          <w:rFonts w:hint="eastAsia" w:ascii="宋体" w:hAnsi="宋体" w:eastAsia="宋体" w:cs="宋体"/>
          <w:color w:val="auto"/>
          <w:sz w:val="21"/>
          <w:szCs w:val="21"/>
          <w:highlight w:val="none"/>
          <w:lang w:val="en-US" w:eastAsia="zh-CN"/>
        </w:rPr>
        <w:t>应配</w:t>
      </w:r>
      <w:r>
        <w:rPr>
          <w:rFonts w:hint="eastAsia" w:ascii="宋体" w:hAnsi="宋体" w:eastAsia="宋体" w:cs="宋体"/>
          <w:color w:val="auto"/>
          <w:sz w:val="21"/>
          <w:szCs w:val="21"/>
          <w:highlight w:val="none"/>
          <w:lang w:val="zh-CN" w:eastAsia="zh-CN"/>
        </w:rPr>
        <w:t>置数字音频媒体矩阵（提升音质效果和防啸叫处理）；拥有AFC(反馈抑制)、AEC(回声消除)、ANS(噪声抑制)、ANC(噪声增益 补偿)、AGC(自动增益)、增益共享、门限自动混音、闪避器等处理模块。</w:t>
      </w:r>
    </w:p>
    <w:p w14:paraId="6AE1E0A3">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会议</w:t>
      </w:r>
      <w:r>
        <w:rPr>
          <w:rFonts w:hint="eastAsia" w:ascii="宋体" w:hAnsi="宋体" w:eastAsia="宋体" w:cs="宋体"/>
          <w:b/>
          <w:bCs/>
          <w:color w:val="auto"/>
          <w:sz w:val="21"/>
          <w:szCs w:val="21"/>
          <w:highlight w:val="none"/>
          <w:lang w:val="en-US" w:eastAsia="zh-CN"/>
        </w:rPr>
        <w:t>发言</w:t>
      </w:r>
      <w:r>
        <w:rPr>
          <w:rFonts w:hint="eastAsia" w:ascii="宋体" w:hAnsi="宋体" w:eastAsia="宋体" w:cs="宋体"/>
          <w:color w:val="auto"/>
          <w:sz w:val="21"/>
          <w:szCs w:val="21"/>
          <w:highlight w:val="none"/>
        </w:rPr>
        <w:t>系统租赁</w:t>
      </w:r>
    </w:p>
    <w:p w14:paraId="4ED6E096">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配置不少于无线数字会议鹅颈话筒9台用于固定发言，无线手持话筒3套与无线头戴话筒1套用于移动发言、会议主持、表演等。设置4只合唱话筒。</w:t>
      </w:r>
    </w:p>
    <w:p w14:paraId="6865E250">
      <w:pPr>
        <w:pStyle w:val="292"/>
        <w:keepNext w:val="0"/>
        <w:keepLines w:val="0"/>
        <w:pageBreakBefore w:val="0"/>
        <w:numPr>
          <w:ilvl w:val="0"/>
          <w:numId w:val="1"/>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LED显示系统租赁</w:t>
      </w:r>
    </w:p>
    <w:p w14:paraId="10988D4D">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auto"/>
          <w:kern w:val="0"/>
          <w:szCs w:val="21"/>
          <w:highlight w:val="none"/>
          <w:lang w:val="en-US" w:eastAsia="zh-CN" w:bidi="ar"/>
        </w:rPr>
      </w:pPr>
      <w:bookmarkStart w:id="23" w:name="OLE_LINK36"/>
      <w:r>
        <w:rPr>
          <w:rFonts w:hint="eastAsia" w:ascii="宋体" w:hAnsi="宋体" w:eastAsia="宋体" w:cs="宋体"/>
          <w:i w:val="0"/>
          <w:iCs w:val="0"/>
          <w:color w:val="auto"/>
          <w:kern w:val="0"/>
          <w:sz w:val="21"/>
          <w:szCs w:val="21"/>
          <w:highlight w:val="none"/>
          <w:u w:val="none"/>
          <w:lang w:val="en-US" w:eastAsia="zh-CN" w:bidi="ar"/>
        </w:rPr>
        <w:t>主显示屏和</w:t>
      </w:r>
      <w:r>
        <w:rPr>
          <w:rFonts w:hint="eastAsia" w:ascii="宋体" w:hAnsi="宋体" w:eastAsia="宋体" w:cs="宋体"/>
          <w:color w:val="auto"/>
          <w:kern w:val="0"/>
          <w:szCs w:val="21"/>
          <w:highlight w:val="none"/>
          <w:lang w:bidi="ar"/>
        </w:rPr>
        <w:t>侧墙八字显示屏（2侧）</w:t>
      </w:r>
      <w:r>
        <w:rPr>
          <w:rFonts w:hint="eastAsia" w:ascii="宋体" w:hAnsi="宋体" w:eastAsia="宋体" w:cs="宋体"/>
          <w:i w:val="0"/>
          <w:iCs w:val="0"/>
          <w:color w:val="auto"/>
          <w:kern w:val="0"/>
          <w:sz w:val="21"/>
          <w:szCs w:val="21"/>
          <w:highlight w:val="none"/>
          <w:u w:val="none"/>
          <w:lang w:val="en-US" w:eastAsia="zh-CN" w:bidi="ar"/>
        </w:rPr>
        <w:t>：配置</w:t>
      </w:r>
      <w:bookmarkStart w:id="24" w:name="OLE_LINK35"/>
      <w:r>
        <w:rPr>
          <w:rFonts w:hint="eastAsia" w:ascii="宋体" w:hAnsi="宋体" w:eastAsia="宋体" w:cs="宋体"/>
          <w:i w:val="0"/>
          <w:iCs w:val="0"/>
          <w:color w:val="auto"/>
          <w:kern w:val="0"/>
          <w:sz w:val="21"/>
          <w:szCs w:val="21"/>
          <w:highlight w:val="none"/>
          <w:u w:val="none"/>
          <w:lang w:val="en-US" w:eastAsia="zh-CN" w:bidi="ar"/>
        </w:rPr>
        <w:t>室内P1.86全彩LED显示屏</w:t>
      </w:r>
      <w:bookmarkEnd w:id="23"/>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Cs w:val="21"/>
          <w:highlight w:val="none"/>
          <w:lang w:bidi="ar"/>
        </w:rPr>
        <w:t>点间距≤1.86,</w:t>
      </w:r>
      <w:r>
        <w:rPr>
          <w:rFonts w:hint="eastAsia" w:ascii="宋体" w:hAnsi="宋体" w:eastAsia="宋体" w:cs="宋体"/>
          <w:color w:val="auto"/>
          <w:kern w:val="0"/>
          <w:szCs w:val="21"/>
          <w:highlight w:val="none"/>
          <w:lang w:val="en-US" w:eastAsia="zh-CN" w:bidi="ar"/>
        </w:rPr>
        <w:t>包含</w:t>
      </w:r>
      <w:r>
        <w:rPr>
          <w:rFonts w:hint="eastAsia" w:ascii="宋体" w:hAnsi="宋体" w:eastAsia="宋体" w:cs="宋体"/>
          <w:i w:val="0"/>
          <w:iCs w:val="0"/>
          <w:color w:val="auto"/>
          <w:kern w:val="0"/>
          <w:sz w:val="21"/>
          <w:szCs w:val="21"/>
          <w:highlight w:val="none"/>
          <w:u w:val="none"/>
          <w:lang w:val="en-US" w:eastAsia="zh-CN" w:bidi="ar"/>
        </w:rPr>
        <w:t>控制系统及配套控制软件</w:t>
      </w:r>
      <w:bookmarkEnd w:id="24"/>
      <w:r>
        <w:rPr>
          <w:rFonts w:hint="eastAsia" w:ascii="宋体" w:hAnsi="宋体" w:eastAsia="宋体" w:cs="宋体"/>
          <w:i w:val="0"/>
          <w:iCs w:val="0"/>
          <w:color w:val="auto"/>
          <w:kern w:val="0"/>
          <w:sz w:val="21"/>
          <w:szCs w:val="21"/>
          <w:highlight w:val="none"/>
          <w:u w:val="none"/>
          <w:lang w:val="en-US" w:eastAsia="zh-CN" w:bidi="ar"/>
        </w:rPr>
        <w:t>、发送卡、显示屏框架、</w:t>
      </w:r>
      <w:r>
        <w:rPr>
          <w:rFonts w:hint="eastAsia" w:ascii="宋体" w:hAnsi="宋体" w:eastAsia="宋体" w:cs="宋体"/>
          <w:color w:val="auto"/>
          <w:kern w:val="0"/>
          <w:szCs w:val="21"/>
          <w:highlight w:val="none"/>
          <w:lang w:bidi="ar"/>
        </w:rPr>
        <w:t>融媒体中心</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配电箱等设备。</w:t>
      </w:r>
    </w:p>
    <w:p w14:paraId="12F1D3D8">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会</w:t>
      </w:r>
      <w:r>
        <w:rPr>
          <w:rFonts w:hint="eastAsia" w:ascii="宋体" w:hAnsi="宋体" w:eastAsia="宋体" w:cs="宋体"/>
          <w:color w:val="auto"/>
          <w:kern w:val="0"/>
          <w:szCs w:val="21"/>
          <w:highlight w:val="none"/>
          <w:lang w:bidi="ar"/>
        </w:rPr>
        <w:t>标显示屏</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配置</w:t>
      </w:r>
      <w:r>
        <w:rPr>
          <w:rFonts w:hint="eastAsia" w:ascii="宋体" w:hAnsi="宋体" w:eastAsia="宋体" w:cs="宋体"/>
          <w:color w:val="auto"/>
          <w:kern w:val="0"/>
          <w:szCs w:val="21"/>
          <w:highlight w:val="none"/>
          <w:lang w:bidi="ar"/>
        </w:rPr>
        <w:t>室内双色LED屏</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配套电源、</w:t>
      </w:r>
      <w:r>
        <w:rPr>
          <w:rFonts w:hint="eastAsia" w:ascii="宋体" w:hAnsi="宋体" w:eastAsia="宋体" w:cs="宋体"/>
          <w:color w:val="auto"/>
          <w:kern w:val="0"/>
          <w:szCs w:val="21"/>
          <w:highlight w:val="none"/>
          <w:lang w:bidi="ar"/>
        </w:rPr>
        <w:t>控制系统</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系统软件、</w:t>
      </w:r>
      <w:r>
        <w:rPr>
          <w:rFonts w:hint="eastAsia" w:ascii="宋体" w:hAnsi="宋体" w:eastAsia="宋体" w:cs="宋体"/>
          <w:color w:val="auto"/>
          <w:kern w:val="0"/>
          <w:szCs w:val="21"/>
          <w:highlight w:val="none"/>
          <w:lang w:bidi="ar"/>
        </w:rPr>
        <w:t>框架结构及边框</w:t>
      </w:r>
      <w:r>
        <w:rPr>
          <w:rFonts w:hint="eastAsia" w:ascii="宋体" w:hAnsi="宋体" w:eastAsia="宋体" w:cs="宋体"/>
          <w:color w:val="auto"/>
          <w:kern w:val="0"/>
          <w:szCs w:val="21"/>
          <w:highlight w:val="none"/>
          <w:lang w:val="en-US" w:eastAsia="zh-CN" w:bidi="ar"/>
        </w:rPr>
        <w:t>等设备。</w:t>
      </w:r>
    </w:p>
    <w:p w14:paraId="6F944174">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矩阵切换</w:t>
      </w:r>
      <w:r>
        <w:rPr>
          <w:rFonts w:hint="eastAsia" w:ascii="宋体" w:hAnsi="宋体" w:eastAsia="宋体" w:cs="宋体"/>
          <w:color w:val="auto"/>
          <w:sz w:val="21"/>
          <w:szCs w:val="21"/>
          <w:highlight w:val="none"/>
        </w:rPr>
        <w:t>系统租赁</w:t>
      </w:r>
    </w:p>
    <w:p w14:paraId="65FF873A">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bookmarkStart w:id="25" w:name="OLE_LINK12"/>
      <w:r>
        <w:rPr>
          <w:rFonts w:hint="eastAsia" w:ascii="宋体" w:hAnsi="宋体" w:eastAsia="宋体" w:cs="宋体"/>
          <w:color w:val="auto"/>
          <w:sz w:val="21"/>
          <w:szCs w:val="21"/>
          <w:highlight w:val="none"/>
          <w:lang w:val="en-US" w:eastAsia="zh-CN"/>
        </w:rPr>
        <w:t>配置不少于10拼接节点和8只一体化分布式节点，配套软件。</w:t>
      </w:r>
    </w:p>
    <w:bookmarkEnd w:id="25"/>
    <w:p w14:paraId="77C9FE88">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设置一台网络交换机配套相应的编解码节点终端，将会场内各类计算机信号、摄像机信号、无线图传信号、IPC信号等通过分布式节点接入系统，直接对接LED大屏进行实时呈现，可多路多窗口视频信号进行显示；利用分布式系统实现了音视频信号融合协作。</w:t>
      </w:r>
    </w:p>
    <w:p w14:paraId="0665532A">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（五）环境控制系统租赁</w:t>
      </w:r>
    </w:p>
    <w:p w14:paraId="738304EC">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配置一台环境控制主机，通过无线平板端操作实现会场内设备的操控，将设备开关、音量调节、信号切换、舞台灯光模式操作、舞台幕布开合等复杂的设备操作集中管理控制。</w:t>
      </w:r>
    </w:p>
    <w:p w14:paraId="022EA9DC">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（六）舞台灯光系统租赁</w:t>
      </w:r>
    </w:p>
    <w:p w14:paraId="150EBBB3">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报告厅是多功能用途场所的定位，灯光回路突出建设的超前意识，充分考虑舞台灯光的回路数，以满足对舞台灯光灵活多变的要求，设备配置尽可能考虑到满足会议、表演等多功能 用途的需要。</w:t>
      </w:r>
    </w:p>
    <w:p w14:paraId="32EE7323">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会议照明专用灯具部分面光灯16只，平板灯21只，LED帕灯48只，舞台常规演出的专用灯具及电脑效果灯部分12只、灯光系统的调光及控制设备部分，灯控台1台和直通硅箱1台。</w:t>
      </w:r>
    </w:p>
    <w:p w14:paraId="4F0F40BD">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（七）舞台机械系统租赁</w:t>
      </w:r>
    </w:p>
    <w:p w14:paraId="65E2E307">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舞台机械系统通常是指：在会场所提供的表演区内，直接参与表演活动或为表演提供保障和服务的机械与设备。设计以优越性、先进性、安全性、经济性为出发点，舞台幕布布置有一道舞台对开大幕、一道舞台对开底幕。同时，设置5套铝合金truss架，配套多功能升降吊点20只。</w:t>
      </w:r>
    </w:p>
    <w:p w14:paraId="35BC5A37">
      <w:pPr>
        <w:pStyle w:val="292"/>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（八）现场改造施工</w:t>
      </w:r>
    </w:p>
    <w:p w14:paraId="51303B4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根据舞台软硬件安装需求，场地需进行区域现场改造施工。</w:t>
      </w:r>
    </w:p>
    <w:p w14:paraId="6C8DF571">
      <w:pPr>
        <w:pStyle w:val="2"/>
        <w:rPr>
          <w:rFonts w:hint="eastAsia"/>
          <w:lang w:val="en-US"/>
        </w:rPr>
      </w:pPr>
    </w:p>
    <w:p w14:paraId="6014D794">
      <w:pPr>
        <w:keepNext w:val="0"/>
        <w:keepLines w:val="0"/>
        <w:pageBreakBefore w:val="0"/>
        <w:widowControl/>
        <w:numPr>
          <w:ilvl w:val="0"/>
          <w:numId w:val="3"/>
        </w:numPr>
        <w:kinsoku/>
        <w:wordWrap/>
        <w:overflowPunct/>
        <w:topLinePunct w:val="0"/>
        <w:autoSpaceDE/>
        <w:autoSpaceDN/>
        <w:bidi w:val="0"/>
        <w:adjustRightInd/>
        <w:spacing w:before="75" w:after="75" w:line="360"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租赁清单</w:t>
      </w:r>
    </w:p>
    <w:p w14:paraId="7B1C6DC9">
      <w:pPr>
        <w:keepNext w:val="0"/>
        <w:keepLines w:val="0"/>
        <w:pageBreakBefore w:val="0"/>
        <w:widowControl/>
        <w:numPr>
          <w:ilvl w:val="0"/>
          <w:numId w:val="0"/>
        </w:numPr>
        <w:kinsoku/>
        <w:wordWrap/>
        <w:overflowPunct/>
        <w:topLinePunct w:val="0"/>
        <w:autoSpaceDE/>
        <w:autoSpaceDN/>
        <w:bidi w:val="0"/>
        <w:adjustRightInd/>
        <w:spacing w:before="75" w:after="75" w:line="360" w:lineRule="auto"/>
        <w:ind w:leftChars="0" w:firstLine="211" w:firstLineChars="1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3.1、专业扩声系统</w:t>
      </w:r>
    </w:p>
    <w:tbl>
      <w:tblPr>
        <w:tblStyle w:val="49"/>
        <w:tblW w:w="51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329"/>
        <w:gridCol w:w="5066"/>
        <w:gridCol w:w="1260"/>
        <w:gridCol w:w="700"/>
        <w:gridCol w:w="750"/>
      </w:tblGrid>
      <w:tr w14:paraId="2226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7F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1D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8A3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详细参数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F3E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参考品牌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A54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8E0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25CB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C6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D2A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双8″二分频线阵列音箱</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5F34F8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系统组成：LF8″×2，HF 3″×1，两路三单元，全频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频率响应：60Hz～20KHz（-10dB），70Hz～20kHz（±3dB）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功率：≥500W RMS，≥2000W PEAK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▲灵敏度（1W@1m）：≥99dB，</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▲最大声压级（峰值）：≥132dB，</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w:t>
            </w:r>
            <w:bookmarkStart w:id="26" w:name="OLE_LINK59"/>
            <w:r>
              <w:rPr>
                <w:rFonts w:hint="eastAsia" w:ascii="宋体" w:hAnsi="宋体" w:eastAsia="宋体" w:cs="宋体"/>
                <w:b w:val="0"/>
                <w:bCs w:val="0"/>
                <w:i w:val="0"/>
                <w:iCs w:val="0"/>
                <w:color w:val="auto"/>
                <w:kern w:val="0"/>
                <w:sz w:val="21"/>
                <w:szCs w:val="21"/>
                <w:highlight w:val="none"/>
                <w:u w:val="none"/>
                <w:lang w:val="en-US" w:eastAsia="zh-CN" w:bidi="ar"/>
              </w:rPr>
              <w:t>复印（扫描）件）</w:t>
            </w:r>
            <w:bookmarkEnd w:id="26"/>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覆盖角度：水平90°，垂直角度根据阵列的数量和角度决定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推荐分频点：125Hz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吊装点：快速三点式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连接器：SPEAKEON NL4×2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净重：28Kg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尺寸(宽×高×深)：780mm×275mm×470mm</w:t>
            </w:r>
          </w:p>
          <w:p w14:paraId="2A01932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音箱设备生产厂家应具备对产品的自主检测及质检复检实力，投标人应提供所投音箱设备品牌厂家的消声实验室相关参数简介及第三方权威机构出具的相关检测报告复印件（复印件加盖公章）</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84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3B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455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1E0B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265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51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18″线阵列超低频音箱</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14A4FD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系统组成：LF 18″×1，超低频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频率响应：28Hz～250Hz（-10dB），35Hz～300Hz（-3dB）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功率：≥600W RMS，≥2400W PEAK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灵敏度（1W@1m）：≥99dB</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最大声压级（峰值）：≥133dB</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吊装点：快速三点式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连接器：SPEAKEON NL4×2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净重：42Kg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尺寸(宽×高×深)：780mm×530mm×620mm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D44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01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8ED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76A4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1F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EB7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线阵安装支架</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11857C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线阵配套吊架</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69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6A6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3C1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5389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C3E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41C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6B5917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承重1吨，行程6米，电压380V，功率0.75KW</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F53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FE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5C8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79F2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F9F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8C9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行程控制器</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E5A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2路行程控制器</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C9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0D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BC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1553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7DA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3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辅助音箱</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F8C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系统组成：12″二路全频、返送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功率：额定≥250W、峰值≥1000W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灵敏度：≥99dB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▲最大声压级：≥129dB，</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频率响应：60Hz～20kHz（-10dB），70Hz～16kHz（-3dB）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覆盖范围：90°×50°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连接插口：两个NEUTRIK插座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音箱净重：25Kg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音箱尺寸（宽×高×深）：410mm×550mm×350mm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994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741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2DE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425F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DA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45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安装支架</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020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用于辅助音箱壁挂及中置音箱桁架安装</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30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34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434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1EC0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06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C28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返听音箱（两侧）</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80C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系统组成：12″二路全频、返送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功率：额定≥250W、峰值≥1000W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▲灵敏度：≥99dB，</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频率响应：60Hz～20kHz（-10dB），70Hz～16kHz（-3dB）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覆盖范围：90°×50°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连接插口：两个NEUTRIK插座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音箱净重：25Kg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音箱尺寸（宽×高×深）：410mm×550mm×350mm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48E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CE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C3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33AB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AB0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6F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双18″低频音箱</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ADD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系统组成：双18″超低频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功率：额定≥1600W、峰值≥6400W</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灵敏度：≥101dB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▲最大声压级：≥139dB，</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频率响应：38Hz～2kHz（-3dB）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推荐分频点：80Hz~125Hz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额定阻抗：4Ω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连接插口：NL4×2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音箱净重：69Kg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音箱尺寸（宽×高×深）：1236mm×600mm×575mm</w:t>
            </w:r>
          </w:p>
          <w:p w14:paraId="698C075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▲音箱设备生产厂家应具备对产品的自主检测及质检复检实力，投标人应提供所投音箱设备品牌厂家的消声实验室相关参数简介及第三方权威机构出具的相关检测报告复印件（复印件加盖公章）</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6B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684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68D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6F8E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9E3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D5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台唇音箱</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1EE0159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系统组成：12″二路全频、返送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功率：额定≥250W、峰值≥1000W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灵敏度：≥99dB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频率响应：60Hz～20kHz（-10dB），70Hz～16kHz（-3dB）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覆盖范围：90°×50°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连接插口：两个NEUTRIK插座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音箱净重：25Kg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音箱尺寸（宽×高×深）：410mm×550mm×350mm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F50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CC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72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r>
      <w:tr w14:paraId="2CB1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02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16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返听音箱（中区）</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50D281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系统组成：12″二路全频、返送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功率：额定≥250W、峰值≥1000W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灵敏度：≥99dB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频率响应：60Hz～20kHz（-10dB），70Hz～16kHz（-3dB）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覆盖范围：90°×50°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连接插口：两个NEUTRIK插座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音箱净重：25Kg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音箱尺寸（宽×高×深）：410mm×550mm×350mm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503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31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8B1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4AF2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F3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676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四通道数字功率放大器（线阵主音）</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6AEEAF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功放类型：D类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▲立体声功率：≥4×1000W（8Ω）、≥4×1700W（4Ω）、桥接功率：≥2×2000W（16Ω）、≥2×3400W（8Ω）；</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RMS输出电压（THD=1%,1kHz,8Ω）：89.4V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输入灵敏度（额定输出功率，1kHz）：38dB、35dB、32dB、29dB可选择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THD+N（10% 额定输出功率，典型值）：0.01%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串扰抑制（低于额定功率，20Hz~1kHz）：≥90dB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频率响应（10% 额定输出功率，8Ω，20Hz~20 kHz）：±0.2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输入阻抗：20kΩ（平衡) ，10kΩ（非平衡)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阻尼系数（8Ω，20Hz~200Hz）：≥5000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信噪比（A记权，20Hz~20kHz）：≥109dB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电源要求：220VAC (±10%)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尺寸（W×H×D）：483×44×370mm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2D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98A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47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4E67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4A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BB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二通道数字功率放大器（线阵低音）</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6A4022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功放类型：D类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立体声功率：≥2×1000W（</w:t>
            </w:r>
            <w:bookmarkStart w:id="27" w:name="OLE_LINK39"/>
            <w:r>
              <w:rPr>
                <w:rFonts w:hint="eastAsia" w:ascii="宋体" w:hAnsi="宋体" w:eastAsia="宋体" w:cs="宋体"/>
                <w:i w:val="0"/>
                <w:iCs w:val="0"/>
                <w:color w:val="auto"/>
                <w:kern w:val="0"/>
                <w:sz w:val="21"/>
                <w:szCs w:val="21"/>
                <w:highlight w:val="none"/>
                <w:u w:val="none"/>
                <w:lang w:val="en-US" w:eastAsia="zh-CN" w:bidi="ar"/>
              </w:rPr>
              <w:t>8Ω</w:t>
            </w:r>
            <w:bookmarkEnd w:id="27"/>
            <w:r>
              <w:rPr>
                <w:rFonts w:hint="eastAsia" w:ascii="宋体" w:hAnsi="宋体" w:eastAsia="宋体" w:cs="宋体"/>
                <w:i w:val="0"/>
                <w:iCs w:val="0"/>
                <w:color w:val="auto"/>
                <w:kern w:val="0"/>
                <w:sz w:val="21"/>
                <w:szCs w:val="21"/>
                <w:highlight w:val="none"/>
                <w:u w:val="none"/>
                <w:lang w:val="en-US" w:eastAsia="zh-CN" w:bidi="ar"/>
              </w:rPr>
              <w:t>）、≥2×1500W（</w:t>
            </w:r>
            <w:bookmarkStart w:id="28" w:name="OLE_LINK50"/>
            <w:r>
              <w:rPr>
                <w:rFonts w:hint="eastAsia" w:ascii="宋体" w:hAnsi="宋体" w:eastAsia="宋体" w:cs="宋体"/>
                <w:i w:val="0"/>
                <w:iCs w:val="0"/>
                <w:color w:val="auto"/>
                <w:kern w:val="0"/>
                <w:sz w:val="21"/>
                <w:szCs w:val="21"/>
                <w:highlight w:val="none"/>
                <w:u w:val="none"/>
                <w:lang w:val="en-US" w:eastAsia="zh-CN" w:bidi="ar"/>
              </w:rPr>
              <w:t>4Ω</w:t>
            </w:r>
            <w:bookmarkEnd w:id="28"/>
            <w:r>
              <w:rPr>
                <w:rFonts w:hint="eastAsia" w:ascii="宋体" w:hAnsi="宋体" w:eastAsia="宋体" w:cs="宋体"/>
                <w:i w:val="0"/>
                <w:iCs w:val="0"/>
                <w:color w:val="auto"/>
                <w:kern w:val="0"/>
                <w:sz w:val="21"/>
                <w:szCs w:val="21"/>
                <w:highlight w:val="none"/>
                <w:u w:val="none"/>
                <w:lang w:val="en-US" w:eastAsia="zh-CN" w:bidi="ar"/>
              </w:rPr>
              <w:t>）、桥接功率：≥2000W（16Ω）、≥3000W（8Ω）；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RMS输出电压（THD=1%,1kHz）：89.4V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输入灵敏度（额定输出功率，1kHz）：1Vrms，0.7Vrms可选择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串扰抑制（低于额定功率， 20 Hz ~1 kHz）：≥75dB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频率响应（10% 额定输出功率，8Ω，20Hz~20 kHz）：±0.2dB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输入阻抗：20kΩ（平衡） ，10kΩ（非平衡）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▲阻尼系数（8Ω，20Hz~200Hz）：&gt;1000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电源要求：220VAC（±10%）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尺寸（W×H×D）：480×44×291mm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A8D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CD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005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295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0B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65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二通道数字功率放大器（低音）</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A5A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D类集成数字功放电路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▲额定功率：≥1800W×2（8Ω），≥3050W×2（4Ω），≥5200W×2（2Ω），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桥接功率：≥3600W（16Ω），≥6100W（8Ω），≥10400W（4Ω）；</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RMS输出电压(THD=1%,1kHz)：109.5V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频率响应特性：20Hz - 20 kHz，±0.2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输入灵敏度（RMS）：35 dB、32dB、29 dB、26dB可选择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 (10% 额定输出功率，典型值)：0.01%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阻尼系数：≥5000（20 Hz -100 Hz，8Ω）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串扰抑制：≥90 dB（低于额定功率，20 Hz -1 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电源要求：90-260VAC，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尺寸(W×H×D)：483×44×370mm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净重：9kg</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A9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C66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0879">
            <w:pPr>
              <w:keepNext w:val="0"/>
              <w:keepLines w:val="0"/>
              <w:pageBreakBefore w:val="0"/>
              <w:widowControl/>
              <w:suppressLineNumbers w:val="0"/>
              <w:tabs>
                <w:tab w:val="center" w:pos="326"/>
                <w:tab w:val="left" w:pos="440"/>
              </w:tabs>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bookmarkStart w:id="29" w:name="OLE_LINK52"/>
            <w:bookmarkStart w:id="30" w:name="OLE_LINK51"/>
            <w:r>
              <w:rPr>
                <w:rFonts w:hint="eastAsia" w:ascii="宋体" w:hAnsi="宋体" w:eastAsia="宋体" w:cs="宋体"/>
                <w:i w:val="0"/>
                <w:iCs w:val="0"/>
                <w:color w:val="auto"/>
                <w:kern w:val="0"/>
                <w:sz w:val="21"/>
                <w:szCs w:val="21"/>
                <w:highlight w:val="none"/>
                <w:u w:val="none"/>
                <w:lang w:val="en-US" w:eastAsia="zh-CN" w:bidi="ar"/>
              </w:rPr>
              <w:tab/>
            </w:r>
            <w:bookmarkEnd w:id="29"/>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ab/>
            </w:r>
            <w:bookmarkEnd w:id="30"/>
          </w:p>
        </w:tc>
      </w:tr>
      <w:tr w14:paraId="55D9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DDF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CD4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二通道数字功率放大器（辅助）</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06D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功放类型：D类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▲立体声功率：≥2×450W（8Ω）、≥2×600W（4Ω），桥接功率：≥900W（16Ω）、≥1200W（8Ω）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RMS输出电压（THD=1%,1kHz）：60V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输入灵敏度（额定输出功率，1kHz）：1Vrms，0.7Vrms可选择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串扰抑制（低于额定功率， 20 Hz ~1 kHz）：≥75dB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频率响应（10% 额定输出功率，8Ω，20Hz~20 kHz）：±0.2dB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输入阻抗：20kΩ（平衡） ，10kΩ（非平衡）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阻尼系数（8Ω，20Hz~200Hz）：&gt;1000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电源要求：220VAC（±10%）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尺寸（W×H×D）：480×44×291mm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A3B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5C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FB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5FE3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3A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FC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二通道数字功率放大器（返听2）</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778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功放类型：D类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立体声功率：≥2×450W（8Ω）、≥2×600W（4Ω），桥接功率：≥900W（16Ω）、≥1200W（8Ω）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RMS输出电压（THD=1%,1kHz）：60V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输入灵敏度（额定输出功率，1kHz）：1Vrms，0.7Vrms可选择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▲串扰抑制（低于额定功率， 20 Hz ~1 kHz）：≥75dB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频率响应（10% 额定输出功率，8Ω，20Hz~20 kHz）：±0.2dB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输入阻抗：20kΩ（平衡） ，10kΩ（非平衡）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阻尼系数（8Ω，20Hz~200Hz）：&gt;1000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电源要求：220VAC（±10%）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尺寸（W×H×D）：480×44×291mm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C1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26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D45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2F8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556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0A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四通道数字功率放大器（台唇）</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FF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功放类型：D类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▲立体声功率：≥4×600W（8Ω）、≥4×900W（4Ω），桥接功率：≥2×1200W（16Ω）、≥2×1800W（8Ω）；</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RMS输出电压（THD=1%,1kHz,8Ω）：69.3V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输入灵敏度（额定输出功率，1kHz）：1Vrms，0.7Vrms可选择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串扰抑制（低于额定功率，20Hz~1kHz）：≥75dB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频率响应（10% 额定输出功率，8Ω，20Hz~20 kHz）:±0.2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输入阻抗：20kΩ（平衡) ，10kΩ（非平衡)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阻尼系数（8Ω，20Hz~200Hz）：≥1000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信噪比（A记权，20Hz~20kHz）：≥103dB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电源要求：220VAC (±10%)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尺寸（W×H×D）：480×44×291mm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2C05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98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A7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16E1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5D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FB0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二通道数字功率放大器（返听1）</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top"/>
          </w:tcPr>
          <w:p w14:paraId="60A0D9C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功放类型：D类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▲立体声功率：≥2×450W（8Ω）、≥2×600W（4Ω），桥接功率：≥900W（16Ω）、≥1200W（8Ω）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RMS输出电压（THD=1%,1kHz）：60V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输入灵敏度（额定输出功率，1kHz）：1Vrms，0.7Vrms可选择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THD+N（10%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IMD-SMPTE（10%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DIM30（10% 额定输出功率，典型值）：0.05%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串扰抑制（低于额定功率， 20 Hz ~1 kHz）：≥75dB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频率响应（10% 额定输出功率，8Ω，20Hz~20 kHz）：±0.2dB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输入阻抗：20kΩ（平衡） ，10kΩ（非平衡）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阻尼系数（8Ω，20Hz~200Hz）：&gt;1000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信噪比(A记权，20Hz~20kHz）：≥105dB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电源要求：220VAC（±10%） 50/60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保护功能：过热压限、过载保护、输出直流保护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尺寸（W×H×D）：480×44×291mm</w:t>
            </w:r>
          </w:p>
          <w:p w14:paraId="2F47F52B">
            <w:pPr>
              <w:pStyle w:val="2"/>
              <w:rPr>
                <w:rFonts w:hint="eastAsia"/>
                <w:lang w:val="en-US" w:eastAsia="zh-CN"/>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A5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1D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55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FFC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A7D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CCE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音频媒体矩阵</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D0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≥16路平衡式话筒/线路输入，采用凤凰插接口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≥16路平衡时输出，采用凤凰插接口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面板上支持多种音频格式的播放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支持PC、中控平台、按键面板、触摸面板等方式进行多重控制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内置信号发生器、自动混音（AM）、自动增益控制（AGC）、反馈消除（AFC）、回声消除（AEC）、噪声消除（ANC）等主要算法；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输入每通道：前级放大、信号发生器、扩展器、压缩器、≥5段参量均衡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输出每通道：≥8段参量均衡、延时器、分频器、限幅器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内置图形可视化反馈抑制功能界面，让反馈抑制体现得更加清晰明了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全功能矩阵混音功能，内置专利性分量式矩阵调节功能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内置自动摄像跟踪功能，轻松实现视频会议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支持场景预设功能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几十余种专业音频处理模块，比如：5段全参量均衡器，8段图示均衡器，高精准得压缩及限幅器，高灵敏度的扩展及自动增益，分频器，自动混音器，延时器，矩阵混音器，分量矩阵调节器，噪声门限，静音模块，信号发生器和信号指示电平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内置中控代码生成器，无需自行套用公式编辑代码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设备提供了通用可编程i/o端口，并设置消防联动等功能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RS-485双向串行控制接口，可控制外部其它设备如：视频矩阵、摄像机等RS-485设备，或接收第三方RS-485控制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每个输入通道提供+48V 直流7mA幻象电源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可通过USB、WIFI、TCP/IP接口和控制设备连接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▲支持≥8路逻辑输入，≥4路电压输出控制的GPIO控制接口。直观、简洁的图形化控制软件界面使操作者的良好体验得到极致的放大</w:t>
            </w:r>
          </w:p>
          <w:p w14:paraId="6349FC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567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CD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C74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1C2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A3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F9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音频媒体矩阵</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E11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≥8路平衡式话筒/线路输入，采用凤凰插接口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≥8路平衡时输出，采用凤凰插接口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面板上支持多种音频格式的播放，可扩展USB多媒体存储录制功能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支持PC、中控平台、按键面板、触摸面板等方式进行多重控制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内置信号发生器、自动混音（AM）、自动增益控制（AGC）、反馈消除（AFC）、回声消除（AEC）、噪声消除（ANC）等主要算法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输入每通道：前级放大、信号发生器、扩展器、压缩器、5段参量均衡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输出每通道：≥8段参量均衡、延时器、分频器、限幅器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内置图形可视化反馈抑制功能界面，让反馈抑制体现得更加清晰明了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全功能矩阵混音功能，内置专利性分量式矩阵调节功能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内置自动摄像跟踪功能，轻松实现视频会议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支持场景预设功能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断电自动保护记忆功能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几十余种专业音频处理模块，比如：5段全参量均衡器，8段图示均衡器，高精准得压缩及限幅器，高灵敏度的扩展及自动增益，分频器，自动混音器，延时器，矩阵混音器，分量矩阵调节器，噪声门限，静音模块，信号发生器和信号指示电平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内置中控代码生成器，无需自行套用公式编辑代码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▲设备提供了通用可编程i/o端口，并设置消防联动等功能RS-485双向串行控制接口，可控制外部其它设备如：视频矩阵、摄像机等RS-485设备，或接收第三方RS-485控制每个输入通道提供+48V 直流7mA幻象电源，可通过USB、WIFI、TCP/IP接口和控制设备连接支持≥8路逻辑输入，≥4路电压输出控制的GPIO控制接口直观、简洁的图形化控制软件界面使操作者的良好体验得到极致的放大</w:t>
            </w:r>
          </w:p>
          <w:p w14:paraId="789219A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C5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516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2D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2A68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2D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3C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24路数字调音台</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F5B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≥10寸电阻触摸屏1280x800分辨率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≥17个100mm电动推子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中英文界面随时切换且无需重启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内置USB录音、放音功能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可以播放APE、FLAC、MP3、WAV无损音频格式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USB播放器可以识别中文歌曲名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▲内置16个通道独立的反馈抑制器，内置≥16路自动混音（增益共享型）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带≥8个DCA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具有增益共享型自动混音功能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iPad触摸屏全功能控制，实时数据同步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支持≥8个终端同时控制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内置≥2个效果器模块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可通过网络或者USB电阻盘升级ARM固件、DSP固件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每个输入通道具有≥4段参数均衡、噪声门、反馈抑制器、高低通、压缩、反相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每个输出通道具有参数均衡、高低通、压缩、反相、1秒延时器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输出通道L/R、10BUS、HeadPhone(L/R)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10BUS混音总线可选择推子前、推子后（PRE/POST）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支持≥100组场景预设功能，可导出、导入USB存储器，便于数据备份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≥32个PEQ模式存储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内置信号发生器：正弦波、粉红噪声、白噪声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通道参数拷贝功能，相同的通道快速复制数据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接线方式：平衡式输入、输出卡侬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≥8个推子编组、≥8个用户自定义按键、≥4个快速静音组按键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具有面板锁定按键（防止误操作）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通道名称可自定义。</w:t>
            </w:r>
          </w:p>
          <w:p w14:paraId="0696DFCF">
            <w:pPr>
              <w:pStyle w:val="2"/>
              <w:rPr>
                <w:rFonts w:hint="eastAsia"/>
                <w:lang w:val="en-US" w:eastAsia="zh-CN"/>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29A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80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7FA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345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95A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B0E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072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设计整机容量50A（11KVA），保证系统的供电安全。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12路高性能智能净化电源系统，每路延时2秒；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配置安全的空开和美观大方的数字电压表头；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进线端采用大型接线端子接入，配保护罩，确保使用安全；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▲输出端采用定制加厚弹片的万能插座，每路输出AC220V/13A，适用各种类型插头；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配置专业定制的40A双重净化器，专用EMI滤波器（符合欧洲CISPR及美国FCC规范），消除系统电源（特别是灯光系统）的电磁干扰，保证系统的工作稳定，对于音频系统提高音色也有明显的作用；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采用工业级高性能MCU控制，智能化设计，系统稳定可靠；开放控制协议，既可满足中央控制器控制，又可连接各种控制面板，适应各种系统的配套要求；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多种控制方式，使用灵活方便：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钥匙锁控制：钥匙可专人保管，方便管理；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外部控制：REM控制，通过DC5~12V直流电平可控制本机启动，方便接入其它定时控制设备；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RS232串口控制(IN/OUT)：可由中控主机，控制面板和PC机，使用软通过串口连接进行控制；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级连控制：当一台设备不够使用时，通过RS232串口级连254台电源，通过电平可进行无限扩容。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19英寸3U标准机柜设计，铝合金材质、喷砂银白色面板。</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A14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457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7F1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26AE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C5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6C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有源监听音箱</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A4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1.系统：5"监听音箱；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3.输出功率(低音)：≥40W；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4.输出功率(高音)：≥30W；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5.最大SPL@1m：≥100dB；</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421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6D1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6DA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BDB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271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EE8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42U扩声机柜</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94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标准机柜，2000*600*600mm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86B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45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A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6763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E6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20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舞台音箱插座</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5E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1位插座，包含一路音箱接口，</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42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AB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43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r>
      <w:tr w14:paraId="100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95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0F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多媒体插座</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66A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2位插座，包含HDMI、网口、音频、卡农母、电源等接口</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D8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C7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3F4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r>
      <w:tr w14:paraId="6069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A1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DD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扩声系统接插件配件</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88A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定制优质音频插件，所需音频跳线、音箱跳线等</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FF7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68B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57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EB7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2D4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7C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A19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双芯屏蔽话筒线</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F1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6E2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B6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r>
      <w:tr w14:paraId="3A3F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98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BB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2*2.5音箱线</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7C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2*2.5平方护套音箱线</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FD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688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9F4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r>
      <w:tr w14:paraId="687E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C4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0D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HDMI线</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2E6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2米HDMI高清线</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DE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CF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AC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14:paraId="0160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7C5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3C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HDMI线</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5F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20米HDMI高清线</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86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372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AF6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14:paraId="5574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B5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C0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HDMI线</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CA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25米光纤HDMI高清线</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BD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241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9F4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14:paraId="46D6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8CE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854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低压无卤网线</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8B9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六类非屏蔽网线，305米/箱</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7FE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B5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FB1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w:t>
            </w:r>
          </w:p>
        </w:tc>
      </w:tr>
      <w:tr w14:paraId="3BE7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167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75C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音频桥架</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641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国标，防火桥架，100*100mm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47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CC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C8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F13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527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C1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音频管路</w:t>
            </w:r>
          </w:p>
        </w:tc>
        <w:tc>
          <w:tcPr>
            <w:tcW w:w="2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8B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JDG25管路</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DA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06A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EBC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bl>
    <w:p w14:paraId="6AB5B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p>
    <w:p w14:paraId="66E5F0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3.2、会议发言系统</w:t>
      </w:r>
    </w:p>
    <w:tbl>
      <w:tblPr>
        <w:tblStyle w:val="49"/>
        <w:tblW w:w="50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387"/>
        <w:gridCol w:w="5085"/>
        <w:gridCol w:w="1092"/>
        <w:gridCol w:w="811"/>
        <w:gridCol w:w="740"/>
      </w:tblGrid>
      <w:tr w14:paraId="07CC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55D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100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66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详细参数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879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参考品牌</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C8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56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6C4B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75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9B7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真分集手持无线系统</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4F2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采用四天线组合双通道单接收系统。独有高灵敏分集选讯电路，最大限度降低断频的发生。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双通道独立AFS频率自动搜索功能，能迅速扫描所在工作环境中干忧最少的频率并锁定。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接收机与发射机通过IR红外对频技术，一键同步对码。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专业演出级别的相位锁定电路，配合杂讯锁定静噪控制与数码导频技术，当发射器关闭时，导频控制将AF信号静音以抑制噪声，同时将对应的接收机静音。保证了对干忧信号的有效阻隔。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背光式LED显示屏指示了RF和AF信号强度、电池状态、分集通道指示(A/B)、频率、频率组/频道等工作状态。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SQ接收距离-65~-100dBm可调，并具有操作锁键功能,防止误操作。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高动态响应，频率响应宽，高频噪声极低，具有极佳的音质效果.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『接收机』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振荡模式：PLL相位锁定频率合成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射频稳定度：±0.005%（-10~50℃）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载波频率：UHF640~690MHz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频率宽度：50MHz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信道：200CH（以250KHz步进）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操作方式：手动调整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灵敏度：在偏移度等于25KHz，输入–95dBm时，S/N＞80dB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最大偏移度：±48KHz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综合S/N比：＞102dB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综合T.H.D：＜0.5%@1KHz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频率响应：50Hz~15KHz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最大输出电压：0dBV@45KHz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输出插座：XLR平衡式及6.3不平衡式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静音控制模式：音码及杂讯双重静音控制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静音调整：-65dB~-100dB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电子SQ可调:八段电子SQ可调（约30米~200米离距离可调）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电源供应：DC12~15V/450~1000mA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『手持话筒』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管身材质：全铝金属管体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换能类型：动圈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振荡模式：PLL相位锁定频率合成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载波频段：UHF640~690MHz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频带宽度：50MHz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频率调整：自动追锁接收机工作频道/手动调节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输出功率：15mW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谐波幅射：＜55dBc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最大偏移度：±48KHz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使用电池：5号（AA）电池两只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操作显示：LCD同时显示电池容量，频道</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1CA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C76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F04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BA9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A3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8C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真分集头戴无线系统</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04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采用四天线组合双通道单接收系统。独有高灵敏分集选讯电路，最大限度降低断频的发生。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双通道独立AFS频率自动搜索功能，能迅速扫描所在工作环境中干忧最少的频率并锁定。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接收机与发射机通过IR红外对频技术，一键同步对码。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专业演出级别的相位锁定电路，配合杂讯锁定静噪控制与数码导频技术，当发射器关闭时，导频控制将AF信号静音以抑制噪声，同时将对应的接收机静音。保证了对干忧信号的有效阻隔。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背光式LED显示屏指示了RF和AF信号强度、电池状态、分集通道指示(A/B)、频率、频率组/频道等工作状态。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SQ接收距离-65~-100dBm可调，并具有操作锁键功能,防止误操作。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高动态响应，频率响应宽，高频噪声极低，具有极佳的音质效果。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『接收机』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振荡模式：PLL相位锁定频率合成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射频稳定度：±0.005%（-10~50℃）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载波频率：UHF640~690MHz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频率宽度：50MHz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信道：200CH（以250KHz步进）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操作方式：手动调整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灵敏度：在偏移度等于25KHz，输入–95dBm时，S/N＞80dB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最大偏移度：±48KHz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综合S/N比：＞102dB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综合T.H.D：＜0.5%@1KHz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频率响应：50Hz~15KHz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最大输出电压：0dBV@45KHz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输出插座：XLR平衡式及6.3不平衡式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静音控制模式：音码及杂讯双重静音控制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静音调整：-65dB~-100dB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电子SQ可调:八段电子SQ可调（约30米~200米离距离可调）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电源供应：DC12~15V/450~1000mA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『头戴话筒』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头梁材质：ABS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换能类型：电容式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最大声压级：105dB SPL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频率响应：40~18KHz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指向性：超心型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输出阻抗：最大680Ω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线长：1m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重量：22g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『发射机』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机身材质：ABS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射频输出量：&gt;15mW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使用电池：5号（AA）电池两只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最长工作时长：8小时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显示内容：电池电量、频点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重量：73g</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A07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CE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83F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8AA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6E7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0F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指向性天线</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FF4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天线类型:对数周期指向(LPDA)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频率范围: 400-950MHz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输出接口:卡口母座( BNC)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天线阻抗: 50Ω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内置强波器:+2db,+6db,+8db,+12db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工作状态指示:带电源与增益量LED指示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指向性:水平90°垂直60°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指向极性:垂直极化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工作电压:偏压电源8～15 V DC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外观尺寸(mm) : 320 x 275 x 22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0D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AD5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EEC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922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F85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69B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放大器</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31F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有效工作频率为400MHz-950MHz，信号增益+ 2dBm到+ 12dBm可调。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基本兼容市面上大部分品牌UHF频段无线麦克风接收机工作使用。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在天线板安装了高效的强滤波电路,有效过滤与隔离了工作范围外的干忧信号的输入。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在天线板加入了高性能的高频增益芯片,可对话筒信号进行无损的增强与补偿。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系统分配主机提供了8 + 2路稳定高质量信号输出(可多机级联增路)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系统分配主机提供了4路稳定的DC电源输出,专为话简接收机供电。( 每路负载12V/1A)。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所有同轴电缆线材为5层结构的带屏蔽铝箔的高频铜芯专用线。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系统提供两个可伸缩与转向调节的天线板金属安装支架。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定向天线翼板与增益强波器控制电路巧妙-体化设计,结构更简洁耐用。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天线翼板电路工作部分由防淋雨防晒的金属外壳提供长效的保护,适合户外长期固定安装。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系统主机设计有系统连接状态指示灯,当天线板正常安装并工作的时候,指示灯长亮。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天线翼板设计有连接状态指示灯,当与系统主机正常连接并工作的时候,指示灯长亮。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分配主机参数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高频信号输入: 2路BNC输入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适用频带范围: 400～950MHz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输入截断点: +32dBm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RF输出端增益: +1.0dB+1dB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输出/入增益: +1.0dB+1dB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输出端隔离度: &gt; 18dB在400～1000MHz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输出/入阻抗: 50Ω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天线输出接头: BNC插座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天线输入接头供电: +8.0V DC / 200mA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电源供应: 12～15V DC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消耗电流:约200mA/12V DC输入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尺寸(mm) : 482(长) x 200(宽) x 45(高)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注:各项规格如有误差,以实际产品为依据</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252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01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CDD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03FD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520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7E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升降式合唱话筒</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CB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1.换能方式：电容式；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2.频率响应：30Hz-16kHz；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3.指向性：超心型指向；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4.输出阻抗（欧姆）：75Ω；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5.灵敏度：-43dB±2dB；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6.三速可调，下限遇阻停功能，PWM，调速“软启动”功能。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7.行程 ≥8米,电机 德昌汽车电机（直流）,负重≥8KG；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8.定位方式 电子定位（带双重保护）；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9.精度 伸缩5mm ，左右偏转 ±1°；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10.遥控距离 50米（空旷）；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11.调节范围 角度可调±10°，丝杆上下可调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12.控制接口 无线遥控，按键、RS232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A5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FB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08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7DD2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223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43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落地合唱话筒</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62C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1.换能方式：电容式；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2.频率响应：30Hz-16kHz；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3.指向性：超心型指向；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4.输出阻抗（欧姆）：75Ω；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5.灵敏度：-43dB±2dB；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6.可调节高度：0.1米 - 1.65米；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7.供电电压：幻象48V（幻象指既传输电流，也传输声音）；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8.底座规格：圆锥形直径240，高60；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9.单支话筒重量：10.13kg。</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81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725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1D3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4A4E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E74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E22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智能四通道反馈抑制器</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93B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采用回音抵消和清除混响的算法，有效滤除房间混响，从而实现精除声学反馈的目的。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通过添加屏蔽噪音（听不到的噪声)到输出信号，或将输出信号的频率变动5Hz,反馈抑制器可以检测出信号中导致混响的成分，并在反馈出现之前将其除去，同时保持初始信号完好无损。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输入通道数量：≥4通道(4通道平衡线路/话简输入成者选择4通道6.35非平衡输入）,提供48V幻像供电开关选择模組，可为4支麦克风提供电源。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带液晶显示屏可直观显示当时音频的频谱与工作状态。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自动适应声学环境，消除反馈于未然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多达12dB 附加增益，有效预防反馈发生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≥4通道平衡的线路或话筒输入，提供幻象电源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自适应性过滤器可以在“快速"模式和“精确”模式之间进行转换。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快速模式适用于话简位置经常变化的场合:例如，在配有多个转换话筒的讨论系统中。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精确模式适用于话简位置固定的场合：例如，声学环境比较复杂的讲坛。自适应性过滤器能够以较慢的速度收敛，从而抑制更多的混响成分。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在声学反馈发生之前，可以额外获得多达12dB的增益，具体取决于声学环境和所选的操作模式。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了自动混合器，以实现≥4路话简输入。许多情况下，如在演讲台、讲坛或会议桌上,采用≥4个话简可以更好地捕捉正在移动中的演讲者的声音。而这样常常会增加声学反馈的风险。鉴于这一问题，反馈抑制器中的自动混合器将会自动降低信号输入较弱的那个话筒的增益，同时提高信号输入较强的另一个话简的增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超宽频响电路找术，无变音，无金属尾音，强力抑制回声。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数字移频技术，超强防啸叫，声音圆润稳定，无发飘和发干等现象。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超级稳定，内置晶体报荡，软件算法，稳定性能好，受温度和外界干扰很小。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可根据应用场合定制合适音频规谱，从而大幅度提升系统增益。</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B5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70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F82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B56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A77C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7F3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无线智能会议主机</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F1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主机面板采用坚固的铝合金，精准数控加工立体面和表面阳极化抗氧化处理，拉丝银铝板与有机片的结合，外形美观耐用，19英寸标准机柜2U设计大小；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主机最大可使用≥128支话筒，可匹配多支主席、代表话筒；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主机具备两种发言模式：主席模式、先进先出模式，发言人数可调1-4人同时发言；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主机配备彩色显示屏，可选择中英文语言菜单显示；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主机具备RS-485和RS-232接口控制摄像头，可连接中控实现视频跟踪，增加高清HDMI无缝矩阵可实现高清视频会议，通过USB接口连接电脑软件调试简单直观；</w:t>
            </w:r>
            <w:r>
              <w:rPr>
                <w:rFonts w:hint="eastAsia" w:ascii="宋体" w:hAnsi="宋体" w:eastAsia="宋体" w:cs="宋体"/>
                <w:i w:val="0"/>
                <w:iCs w:val="0"/>
                <w:color w:val="auto"/>
                <w:kern w:val="0"/>
                <w:sz w:val="21"/>
                <w:szCs w:val="21"/>
                <w:highlight w:val="none"/>
                <w:u w:val="none"/>
                <w:lang w:val="en-US" w:eastAsia="zh-CN" w:bidi="ar"/>
              </w:rPr>
              <w:br w:type="textWrapping"/>
            </w:r>
            <w:bookmarkStart w:id="31" w:name="OLE_LINK45"/>
            <w:r>
              <w:rPr>
                <w:rFonts w:hint="eastAsia" w:ascii="宋体" w:hAnsi="宋体" w:eastAsia="宋体" w:cs="宋体"/>
                <w:i w:val="0"/>
                <w:iCs w:val="0"/>
                <w:color w:val="auto"/>
                <w:kern w:val="0"/>
                <w:sz w:val="21"/>
                <w:szCs w:val="21"/>
                <w:highlight w:val="none"/>
                <w:u w:val="none"/>
                <w:lang w:val="en-US" w:eastAsia="zh-CN" w:bidi="ar"/>
              </w:rPr>
              <w:t>▲</w:t>
            </w:r>
            <w:bookmarkEnd w:id="31"/>
            <w:r>
              <w:rPr>
                <w:rFonts w:hint="eastAsia" w:ascii="宋体" w:hAnsi="宋体" w:eastAsia="宋体" w:cs="宋体"/>
                <w:i w:val="0"/>
                <w:iCs w:val="0"/>
                <w:color w:val="auto"/>
                <w:kern w:val="0"/>
                <w:sz w:val="21"/>
                <w:szCs w:val="21"/>
                <w:highlight w:val="none"/>
                <w:u w:val="none"/>
                <w:lang w:val="en-US" w:eastAsia="zh-CN" w:bidi="ar"/>
              </w:rPr>
              <w:t>UHF频率自动跟踪锁定功能，具备20组系统通道可供选择，选择一次即可同时改变四通道使用频率；</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内置中度啸叫抑制功能，可降低一定啸叫程度；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主席话筒具备优先功能,一键关闭所有开启中的代表话筒；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主机具备实时监测功能，主机断电，会议单元自动关闭，方便、环保节能；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无线会议系统具备高强度防手机电磁波干扰设计，可以杜绝手机信号干扰噪音；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内置高保真音质MP3录音，最大支持≥32G U盘，录音清晰、储存方便；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主机具备RS-232输出话筒打开代码，可实现中控联动、中控视频跟踪；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A4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094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9C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2201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9B6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59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主席话筒</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560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话筒具备高强度防手机电磁波干扰设计，可以杜绝手机干扰噪音邻频干扰抑制；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主席话筒具备优先功能,一键关闭所有开启中的代表话筒；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话筒具有≥2.4寸彩色显示屏，色彩艳丽，实时显示话筒状态：剩余电量、ID号、使用频道以及发言时间计算；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▲会议单元具有充电口，可支持直供电，内置锂电池，电池容量达3500mAh，可持续≥8小时发言或连续≥15小时工作或可直供电不限工作时间；</w:t>
            </w:r>
            <w:r>
              <w:rPr>
                <w:rFonts w:hint="eastAsia" w:ascii="宋体" w:hAnsi="宋体" w:eastAsia="宋体" w:cs="宋体"/>
                <w:b w:val="0"/>
                <w:bCs w:val="0"/>
                <w:i w:val="0"/>
                <w:iCs w:val="0"/>
                <w:color w:val="auto"/>
                <w:kern w:val="0"/>
                <w:sz w:val="21"/>
                <w:szCs w:val="21"/>
                <w:highlight w:val="none"/>
                <w:u w:val="none"/>
                <w:lang w:val="en-US" w:eastAsia="zh-CN" w:bidi="ar"/>
              </w:rPr>
              <w:t>（需提供由第三方检测机构出具的检测或检验报告复印（扫描）件）；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话筒表面使用哑光黑铝合金面板，搭配黑色有机玻璃，银白色倒边，靓丽优雅，坚固耐用；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话筒开关使用汽车级别橡胶开关按键，具有持久耐用，轻微机械声特点；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配备专业高保真、超心型指向性电容咪芯，可插拔式方形短咪杆，声音洪亮清脆，增加高速反馈抑制器可增加拾音距离≥100CM；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C25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C6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844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3372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45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3C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列席话筒</w:t>
            </w:r>
          </w:p>
        </w:tc>
        <w:tc>
          <w:tcPr>
            <w:tcW w:w="2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05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话筒具备高强度防手机电磁波干扰设计，可以杜绝手机干扰噪音邻频干扰抑制；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主席话筒具备优先功能,一键关闭所有开启中的代表话筒；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话筒具有≥2.4寸彩色显示屏，色彩艳丽，实时显示话筒状态：剩余电量、ID号、使用频道以及发言时间计算；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会议单元具有充电口，可支持直供电，内置锂电池，电池容量达≥3500mAh，可持续≥8小时发言或连续≥15小时工作或可直供电不限工作时间；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话筒表面使用哑光黑铝合金面板，搭配黑色有机玻璃，银白色倒边，靓丽优雅，坚固耐用；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话筒开关使用汽车级别橡胶开关按键，具有持久耐用，轻微机械声特点；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配备专业高保真、超心型指向性电容咪芯，可插拔式方形短咪杆，声音洪亮清脆，增加高速反馈抑制器可增加拾音距离≥100CM；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51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F82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F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bl>
    <w:p w14:paraId="6EC6F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bookmarkStart w:id="32" w:name="OLE_LINK44"/>
    </w:p>
    <w:p w14:paraId="551FF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3.3、LED显示系统</w:t>
      </w:r>
    </w:p>
    <w:tbl>
      <w:tblPr>
        <w:tblStyle w:val="49"/>
        <w:tblW w:w="520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378"/>
        <w:gridCol w:w="5119"/>
        <w:gridCol w:w="1220"/>
        <w:gridCol w:w="815"/>
        <w:gridCol w:w="773"/>
      </w:tblGrid>
      <w:tr w14:paraId="78FBA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8" w:type="pct"/>
            <w:tcBorders>
              <w:bottom w:val="single" w:color="000000" w:sz="4" w:space="0"/>
              <w:right w:val="single" w:color="000000" w:sz="4" w:space="0"/>
            </w:tcBorders>
            <w:shd w:val="clear" w:color="auto" w:fill="auto"/>
            <w:vAlign w:val="center"/>
          </w:tcPr>
          <w:p w14:paraId="3F7D2321">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682" w:type="pct"/>
            <w:tcBorders>
              <w:left w:val="single" w:color="000000" w:sz="4" w:space="0"/>
              <w:bottom w:val="single" w:color="000000" w:sz="4" w:space="0"/>
              <w:right w:val="single" w:color="000000" w:sz="4" w:space="0"/>
            </w:tcBorders>
            <w:shd w:val="clear" w:color="auto" w:fill="auto"/>
            <w:vAlign w:val="center"/>
          </w:tcPr>
          <w:p w14:paraId="63D1D89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设备名称</w:t>
            </w:r>
          </w:p>
        </w:tc>
        <w:tc>
          <w:tcPr>
            <w:tcW w:w="2536" w:type="pct"/>
            <w:tcBorders>
              <w:left w:val="single" w:color="000000" w:sz="4" w:space="0"/>
              <w:bottom w:val="single" w:color="000000" w:sz="4" w:space="0"/>
              <w:right w:val="single" w:color="000000" w:sz="4" w:space="0"/>
            </w:tcBorders>
            <w:shd w:val="clear" w:color="auto" w:fill="auto"/>
            <w:vAlign w:val="center"/>
          </w:tcPr>
          <w:p w14:paraId="4DD460C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详细参数</w:t>
            </w:r>
          </w:p>
        </w:tc>
        <w:tc>
          <w:tcPr>
            <w:tcW w:w="604" w:type="pct"/>
            <w:tcBorders>
              <w:left w:val="single" w:color="000000" w:sz="4" w:space="0"/>
              <w:bottom w:val="single" w:color="000000" w:sz="4" w:space="0"/>
              <w:right w:val="single" w:color="000000" w:sz="4" w:space="0"/>
            </w:tcBorders>
            <w:shd w:val="clear" w:color="auto" w:fill="auto"/>
            <w:vAlign w:val="center"/>
          </w:tcPr>
          <w:p w14:paraId="09690F5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参考品牌</w:t>
            </w:r>
          </w:p>
        </w:tc>
        <w:tc>
          <w:tcPr>
            <w:tcW w:w="403" w:type="pct"/>
            <w:tcBorders>
              <w:left w:val="single" w:color="000000" w:sz="4" w:space="0"/>
              <w:bottom w:val="single" w:color="000000" w:sz="4" w:space="0"/>
              <w:right w:val="single" w:color="000000" w:sz="4" w:space="0"/>
            </w:tcBorders>
            <w:shd w:val="clear" w:color="auto" w:fill="auto"/>
            <w:vAlign w:val="center"/>
          </w:tcPr>
          <w:p w14:paraId="439BC85E">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383" w:type="pct"/>
            <w:tcBorders>
              <w:left w:val="single" w:color="000000" w:sz="4" w:space="0"/>
              <w:bottom w:val="single" w:color="000000" w:sz="4" w:space="0"/>
              <w:right w:val="single" w:color="000000" w:sz="4" w:space="0"/>
            </w:tcBorders>
            <w:shd w:val="clear" w:color="auto" w:fill="auto"/>
            <w:vAlign w:val="center"/>
          </w:tcPr>
          <w:p w14:paraId="3F3763D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r>
      <w:tr w14:paraId="1B1E4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88" w:type="pct"/>
            <w:tcBorders>
              <w:top w:val="single" w:color="000000" w:sz="4" w:space="0"/>
              <w:bottom w:val="single" w:color="000000" w:sz="4" w:space="0"/>
              <w:right w:val="single" w:color="000000" w:sz="4" w:space="0"/>
            </w:tcBorders>
            <w:shd w:val="clear" w:color="auto" w:fill="auto"/>
            <w:noWrap/>
            <w:vAlign w:val="center"/>
          </w:tcPr>
          <w:p w14:paraId="2636EDFD">
            <w:pPr>
              <w:widowControl/>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一</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E10B">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主显示屏</w:t>
            </w:r>
          </w:p>
        </w:tc>
        <w:tc>
          <w:tcPr>
            <w:tcW w:w="2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F910">
            <w:pPr>
              <w:widowControl/>
              <w:jc w:val="center"/>
              <w:rPr>
                <w:rFonts w:hint="eastAsia" w:ascii="宋体" w:hAnsi="宋体" w:eastAsia="宋体" w:cs="宋体"/>
                <w:b/>
                <w:bCs/>
                <w:color w:val="auto"/>
                <w:szCs w:val="21"/>
                <w:highlight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275E">
            <w:pPr>
              <w:widowControl/>
              <w:jc w:val="center"/>
              <w:rPr>
                <w:rFonts w:hint="eastAsia" w:ascii="宋体" w:hAnsi="宋体" w:eastAsia="宋体" w:cs="宋体"/>
                <w:color w:val="auto"/>
                <w:szCs w:val="21"/>
                <w:highlight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327C">
            <w:pPr>
              <w:widowControl/>
              <w:jc w:val="center"/>
              <w:rPr>
                <w:rFonts w:hint="eastAsia" w:ascii="宋体" w:hAnsi="宋体" w:eastAsia="宋体" w:cs="宋体"/>
                <w:color w:val="auto"/>
                <w:szCs w:val="21"/>
                <w:highlight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C6B">
            <w:pPr>
              <w:widowControl/>
              <w:jc w:val="center"/>
              <w:rPr>
                <w:rFonts w:hint="eastAsia" w:ascii="宋体" w:hAnsi="宋体" w:eastAsia="宋体" w:cs="宋体"/>
                <w:color w:val="auto"/>
                <w:szCs w:val="21"/>
                <w:highlight w:val="none"/>
              </w:rPr>
            </w:pPr>
          </w:p>
        </w:tc>
      </w:tr>
      <w:tr w14:paraId="5D7A6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388" w:type="pct"/>
            <w:tcBorders>
              <w:top w:val="single" w:color="000000" w:sz="4" w:space="0"/>
              <w:bottom w:val="single" w:color="000000" w:sz="4" w:space="0"/>
              <w:right w:val="single" w:color="000000" w:sz="4" w:space="0"/>
            </w:tcBorders>
            <w:shd w:val="clear" w:color="auto" w:fill="auto"/>
            <w:vAlign w:val="center"/>
          </w:tcPr>
          <w:p w14:paraId="6A83F3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B3F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室内P1.86全彩LED显示屏</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7B51">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点间距≤1.86,尺寸8000mm*4160mm  </w:t>
            </w:r>
          </w:p>
          <w:p w14:paraId="5F4B9F72">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模组尺寸：320mm*160mm；刷新率≥3840HZ;</w:t>
            </w:r>
          </w:p>
          <w:p w14:paraId="60D1B683">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按照SJ/T 11281-2017 方法测量，像素中心间距相对偏差等级、水平和垂直相对错位等级符合C级≤5%；模组平整度≤0.1mm；模组间间间隙≤0.1mm；模组间相对错位值≤1%</w:t>
            </w:r>
          </w:p>
          <w:p w14:paraId="77BD9833">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对比度：9000:1；亮度≥600Cd/㎡；亮度均匀性（校正后）≥99%；发光点中心距偏差≤0.8% </w:t>
            </w:r>
          </w:p>
          <w:p w14:paraId="018105E0">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水平视角≥170°;垂直视角：≥170°；</w:t>
            </w:r>
          </w:p>
          <w:p w14:paraId="4332F56E">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最大功耗≤420W/㎡；平均功耗≤150W/㎡ ;    </w:t>
            </w:r>
          </w:p>
          <w:p w14:paraId="64D51404">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平均使用寿命≥100000小时；平均无故障时间≥100000小时；平均故障修复时间≤5分钟； </w:t>
            </w:r>
          </w:p>
          <w:p w14:paraId="490998EE">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色温：100-20000可调，色温为6500K时，100%，75%，50%，25%四档电平白场调节色温误差≤100K。色准：△E≤0.9；</w:t>
            </w:r>
          </w:p>
          <w:p w14:paraId="54E1CE91">
            <w:pPr>
              <w:widowControl/>
              <w:numPr>
                <w:ilvl w:val="0"/>
                <w:numId w:val="4"/>
              </w:numPr>
              <w:jc w:val="left"/>
              <w:textAlignment w:val="center"/>
              <w:rPr>
                <w:rFonts w:hint="eastAsia" w:ascii="宋体" w:hAnsi="宋体" w:eastAsia="宋体" w:cs="宋体"/>
                <w:color w:val="auto"/>
                <w:kern w:val="0"/>
                <w:szCs w:val="21"/>
                <w:highlight w:val="none"/>
                <w:lang w:bidi="ar"/>
              </w:rPr>
            </w:pPr>
            <w:bookmarkStart w:id="33" w:name="OLE_LINK33"/>
            <w:r>
              <w:rPr>
                <w:rFonts w:hint="eastAsia" w:ascii="宋体" w:hAnsi="宋体" w:eastAsia="宋体" w:cs="宋体"/>
                <w:color w:val="auto"/>
                <w:kern w:val="0"/>
                <w:szCs w:val="21"/>
                <w:highlight w:val="none"/>
                <w:lang w:eastAsia="zh-CN" w:bidi="ar"/>
              </w:rPr>
              <w:t>▲</w:t>
            </w:r>
            <w:bookmarkEnd w:id="33"/>
            <w:r>
              <w:rPr>
                <w:rFonts w:hint="eastAsia" w:ascii="宋体" w:hAnsi="宋体" w:eastAsia="宋体" w:cs="宋体"/>
                <w:color w:val="auto"/>
                <w:kern w:val="0"/>
                <w:szCs w:val="21"/>
                <w:highlight w:val="none"/>
                <w:lang w:bidi="ar"/>
              </w:rPr>
              <w:t>色度均匀性（校正后）：±0.0015CxCy；像素光强均匀性LRJ≤8%;LGJ≤8%;LBJ≤8%；亮度鉴别等级C级：Bj≥21。</w:t>
            </w:r>
            <w:r>
              <w:rPr>
                <w:rFonts w:hint="eastAsia" w:ascii="宋体" w:hAnsi="宋体" w:eastAsia="宋体" w:cs="宋体"/>
                <w:b w:val="0"/>
                <w:bCs w:val="0"/>
                <w:color w:val="auto"/>
                <w:kern w:val="0"/>
                <w:szCs w:val="21"/>
                <w:highlight w:val="none"/>
                <w:lang w:bidi="ar"/>
              </w:rPr>
              <w:t>（提供由CMA、ilAC-MRA及CNAS授权的第三方检测机构出具的检测报告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p>
          <w:p w14:paraId="33B73285">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具有LED显示屏驱动方法、LED显示屏及存储介质和显示装置的防撞保护装置；</w:t>
            </w:r>
          </w:p>
          <w:p w14:paraId="44DF7BEC">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带有智能节电功能，带电黑屏节电功能，开启智能节电功能比没有开启节能60%以上。颜色处理位数≥14Bit；支持软件实现不同亮度情况下，灰度10-22bit 任意设置；</w:t>
            </w:r>
          </w:p>
          <w:p w14:paraId="1EFA1A40">
            <w:pPr>
              <w:widowControl/>
              <w:numPr>
                <w:ilvl w:val="0"/>
                <w:numId w:val="4"/>
              </w:numPr>
              <w:jc w:val="left"/>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采用模组、控制盒、结构采用模块化拼装设计；一体化控制平台，模块化统一管理，可针对LED显示模块进行统一管理，设置亮度坐标、色温、灰度等参数；具有H2S宽动态处理技术，解决主控机二次重复播放时的衰减等现象；</w:t>
            </w:r>
            <w:r>
              <w:rPr>
                <w:rFonts w:hint="eastAsia" w:ascii="宋体" w:hAnsi="宋体" w:eastAsia="宋体" w:cs="宋体"/>
                <w:b w:val="0"/>
                <w:bCs w:val="0"/>
                <w:color w:val="auto"/>
                <w:kern w:val="0"/>
                <w:szCs w:val="21"/>
                <w:highlight w:val="none"/>
                <w:lang w:bidi="ar"/>
              </w:rPr>
              <w:t>（提供由CMA、ilAC-MRA及CNAS授权的第三方检测机构出具的检测报告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p>
          <w:p w14:paraId="40235F92">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根据SJ/T 11590-2016 LED显示屏图像质量主观评价方法，频闪现象，图像均匀性，大面积色彩还原，亮度鉴别等级，伪轮廓现象，图像清晰度，检测结果评分5分，主观评价为优； </w:t>
            </w:r>
          </w:p>
          <w:p w14:paraId="5393BFDD">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通过传导抗扰度、辐射抗扰度及工频磁场试验，测试过程中样品均无异常；采用数字化网络传输技术或标准化HDCP传输技术，支持Tyte-C接口或者HDCP协议的接口实现5G达带载带宽传输； </w:t>
            </w:r>
          </w:p>
          <w:p w14:paraId="442D253A">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具备旋转式灯板设计，弱化跨板耦合效应，保证更优势的显示效果；支持灯板出现短路时，灯板会自动保护，支持换灯后，校正参数自动回读功能不需要人工操作</w:t>
            </w:r>
            <w:r>
              <w:rPr>
                <w:rFonts w:hint="eastAsia" w:ascii="宋体" w:hAnsi="宋体" w:eastAsia="宋体" w:cs="宋体"/>
                <w:b w:val="0"/>
                <w:bCs w:val="0"/>
                <w:color w:val="auto"/>
                <w:kern w:val="0"/>
                <w:szCs w:val="21"/>
                <w:highlight w:val="none"/>
                <w:lang w:bidi="ar"/>
              </w:rPr>
              <w:t>（提供由CMA、ilAC-MRA及CNAS授权的第三方检测机构出具的检测报告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r>
              <w:rPr>
                <w:rFonts w:hint="eastAsia" w:ascii="宋体" w:hAnsi="宋体" w:eastAsia="宋体" w:cs="宋体"/>
                <w:color w:val="auto"/>
                <w:kern w:val="0"/>
                <w:szCs w:val="21"/>
                <w:highlight w:val="none"/>
                <w:lang w:bidi="ar"/>
              </w:rPr>
              <w:t>；</w:t>
            </w:r>
          </w:p>
          <w:p w14:paraId="76D500EC">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具备0级防霉特性，符合《GBT2423.16-2008电工电子产品环境试验 第二部分：试验方法试验J及导则：长霉》的测试要求；长时间没有使用屏体，屏体自动切入除湿模式，使屏体从10%到100%亮度逐步显示，达到保护LED灯； </w:t>
            </w:r>
          </w:p>
          <w:p w14:paraId="3A1AC008">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依据标准进行过光生物安全和低紫外线试验，试验后属于无危害类产品；视觉舒适度（VICO指数）0-1级，去除100%紫外线，消除80%摩尔纹；</w:t>
            </w:r>
          </w:p>
          <w:p w14:paraId="29ABDF9C">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支持支持BT.2020\DCT-P3\BT.709，sRGB等多种色域之间的转换，色域支持范围NTSC≥125%；</w:t>
            </w:r>
          </w:p>
          <w:p w14:paraId="68D4E46F">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显示屏具有防潮、防尘、防腐蚀、防电磁干扰、防静电等功能，并具有过流、断路、过压、欠压保护；LED显示屏接插件支持不关屏热插拔修维护功能；</w:t>
            </w:r>
          </w:p>
          <w:p w14:paraId="6AD1E9C1">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显示屏具有坏点检测方法、装置、计算机设备和存储介质</w:t>
            </w:r>
          </w:p>
          <w:p w14:paraId="31A2A6AC">
            <w:pPr>
              <w:widowControl/>
              <w:numPr>
                <w:ilvl w:val="0"/>
                <w:numId w:val="4"/>
              </w:numPr>
              <w:jc w:val="left"/>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LED显示屏具备现场屏体开关机次数及使用时长记录，以及对现场温湿度的监测反馈，并形成数据保存周期为100天，并可在控制软件端提取数据，保证用户实施了解现场屏体及使用环境情况；</w:t>
            </w:r>
            <w:r>
              <w:rPr>
                <w:rFonts w:hint="eastAsia" w:ascii="宋体" w:hAnsi="宋体" w:eastAsia="宋体" w:cs="宋体"/>
                <w:b w:val="0"/>
                <w:bCs w:val="0"/>
                <w:color w:val="auto"/>
                <w:kern w:val="0"/>
                <w:szCs w:val="21"/>
                <w:highlight w:val="none"/>
                <w:lang w:bidi="ar"/>
              </w:rPr>
              <w:t>（提供由CMA、ilAC-MRA及CNAS授权的第三方检测机构出具的检测报告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p>
          <w:p w14:paraId="405752A9">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辐照强度：0.76W/㎡.nm@340nm,温度60℃。冷凝温度：50℃、24循环，288H，试验后，样品外观无异常，符合5级；</w:t>
            </w:r>
          </w:p>
          <w:p w14:paraId="1C23FDC0">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显示屏画面延迟≤1ms，画面信噪比≥60dB；具备纳秒级显示技术无拖尾重影叠加现象，画质稳定流畅；</w:t>
            </w:r>
          </w:p>
          <w:p w14:paraId="37CB0DC4">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LED显示屏具有区域图像死灯率检测系统和屏幕图像录播及播放系统</w:t>
            </w:r>
          </w:p>
          <w:p w14:paraId="57AB3297">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所投屏体须通过CCC强制认证，不接受OEM产品，要求3c证书中申请人、制造商、生产企业三者名称须一致或为同一集团、法人企业，并提供证书</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6E92D2AF">
            <w:pPr>
              <w:widowControl/>
              <w:numPr>
                <w:ilvl w:val="0"/>
                <w:numId w:val="4"/>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为保证项目具备完好的售后服务，生产厂家需通过五星售后服务认证；</w:t>
            </w:r>
          </w:p>
          <w:p w14:paraId="02247CF1">
            <w:pPr>
              <w:widowControl/>
              <w:numPr>
                <w:ilvl w:val="0"/>
                <w:numId w:val="4"/>
              </w:numPr>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为保证所投设备的安全性，所投LED显示屏生产厂家的信息系统安全集成服务资质符合CCRC-ISV-C01:2021中信息安全服务规范，并达到三级服务资质</w:t>
            </w:r>
            <w:r>
              <w:rPr>
                <w:rFonts w:hint="eastAsia" w:ascii="宋体" w:hAnsi="宋体" w:eastAsia="宋体" w:cs="宋体"/>
                <w:color w:val="auto"/>
                <w:kern w:val="0"/>
                <w:szCs w:val="21"/>
                <w:highlight w:val="none"/>
                <w:lang w:eastAsia="zh-CN" w:bidi="ar"/>
              </w:rPr>
              <w:t>。</w:t>
            </w:r>
          </w:p>
          <w:p w14:paraId="6B62627B">
            <w:pPr>
              <w:widowControl/>
              <w:numPr>
                <w:ilvl w:val="0"/>
                <w:numId w:val="0"/>
              </w:numPr>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B5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03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r>
              <w:rPr>
                <w:rFonts w:hint="eastAsia" w:ascii="宋体" w:hAnsi="宋体" w:eastAsia="宋体" w:cs="宋体"/>
                <w:color w:val="auto"/>
                <w:kern w:val="0"/>
                <w:szCs w:val="21"/>
                <w:highlight w:val="none"/>
                <w:vertAlign w:val="superscript"/>
                <w:lang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CD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33.2</w:t>
            </w:r>
          </w:p>
        </w:tc>
      </w:tr>
      <w:tr w14:paraId="6203E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6" w:hRule="atLeast"/>
        </w:trPr>
        <w:tc>
          <w:tcPr>
            <w:tcW w:w="388" w:type="pct"/>
            <w:tcBorders>
              <w:top w:val="single" w:color="000000" w:sz="4" w:space="0"/>
              <w:bottom w:val="single" w:color="000000" w:sz="4" w:space="0"/>
              <w:right w:val="single" w:color="000000" w:sz="4" w:space="0"/>
            </w:tcBorders>
            <w:shd w:val="clear" w:color="auto" w:fill="auto"/>
            <w:vAlign w:val="center"/>
          </w:tcPr>
          <w:p w14:paraId="50016D0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3CD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控制系统</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D18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1.单卡最大带载 512×512像素，最多支持 24 组RGB 并行数据；</w:t>
            </w:r>
          </w:p>
          <w:p w14:paraId="03055AE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 采用 12 个标准HUB75接口，具有高稳定性和高可靠性，适用于多种环境的搭建；</w:t>
            </w:r>
          </w:p>
          <w:p w14:paraId="49960D3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3.支持逐点亮色度校正，可以对每个灯点的亮度和色度进行校正，有效消除色差，使整屏的亮度和色度达到高度均匀一致，提高显示屏的画质。</w:t>
            </w:r>
          </w:p>
          <w:p w14:paraId="691D014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4.快速亮暗线调节，在调试软件上进行快速亮暗线调节，快速解决因箱体及模组拼接造成的显示屏亮暗线，调节过程中即时生效，简单易用。</w:t>
            </w:r>
          </w:p>
          <w:p w14:paraId="2A8BA3C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5.配合支持 3D 功能的独立主控，在软件或独立主控的操作面板上开启 3D 功能，并设置 3D 参数，使画面显示 3D 效果。</w:t>
            </w:r>
          </w:p>
          <w:p w14:paraId="73EBC09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6.支持灯板flash 管理，校正系数双备份，更换灯板后，无需重新上传校正系数，屏体重新上电即可使用对应灯板校正系数。</w:t>
            </w:r>
          </w:p>
          <w:p w14:paraId="501A1EB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7.支持可以回读接收卡的固定程序并可保存到保底；软件可以回读接收卡配置参数</w:t>
            </w:r>
          </w:p>
          <w:p w14:paraId="453D642B">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8.可配合多功能卡，实现当温度高于设定值时，自动断电，或打开风扇空调降低温度，保证屏体安全</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83E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BF3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D8A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1F095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388" w:type="pct"/>
            <w:tcBorders>
              <w:top w:val="single" w:color="000000" w:sz="4" w:space="0"/>
              <w:bottom w:val="single" w:color="000000" w:sz="4" w:space="0"/>
              <w:right w:val="single" w:color="000000" w:sz="4" w:space="0"/>
            </w:tcBorders>
            <w:shd w:val="clear" w:color="auto" w:fill="auto"/>
            <w:vAlign w:val="center"/>
          </w:tcPr>
          <w:p w14:paraId="7E68F60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51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控制软件</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9CE1">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所投软件与LED屏体为同一厂家，需提供控制软件著作权证书</w:t>
            </w:r>
            <w:r>
              <w:rPr>
                <w:rFonts w:hint="eastAsia" w:ascii="宋体" w:hAnsi="宋体" w:eastAsia="宋体" w:cs="宋体"/>
                <w:b/>
                <w:bCs/>
                <w:color w:val="auto"/>
                <w:kern w:val="0"/>
                <w:szCs w:val="21"/>
                <w:highlight w:val="none"/>
                <w:lang w:eastAsia="zh-CN" w:bidi="ar"/>
              </w:rPr>
              <w:t>复印（扫描）件</w:t>
            </w:r>
            <w:r>
              <w:rPr>
                <w:rFonts w:hint="eastAsia" w:ascii="宋体" w:hAnsi="宋体" w:eastAsia="宋体" w:cs="宋体"/>
                <w:b/>
                <w:bCs/>
                <w:color w:val="auto"/>
                <w:kern w:val="0"/>
                <w:szCs w:val="21"/>
                <w:highlight w:val="none"/>
                <w:lang w:bidi="ar"/>
              </w:rPr>
              <w:t>。</w:t>
            </w:r>
          </w:p>
          <w:p w14:paraId="6FF9ABB5">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1.软件具有单一客户端、多个客户端登录功能，支持默认布局登录。</w:t>
            </w:r>
          </w:p>
          <w:p w14:paraId="0D0B6971">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软件不依赖第三方硬件而具备对显示屏、拼接控制器、LED播放控制器、PLC配电箱、矩阵等设备进行集成控制。</w:t>
            </w:r>
            <w:r>
              <w:rPr>
                <w:rFonts w:hint="eastAsia" w:ascii="宋体" w:hAnsi="宋体" w:eastAsia="宋体" w:cs="宋体"/>
                <w:b w:val="0"/>
                <w:bCs w:val="0"/>
                <w:color w:val="auto"/>
                <w:kern w:val="0"/>
                <w:szCs w:val="21"/>
                <w:highlight w:val="none"/>
                <w:lang w:bidi="ar"/>
              </w:rPr>
              <w:t>（需提供具有CMA、ilac-MRA及CNAS标识第三方检测机构检测报告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p>
          <w:p w14:paraId="7BDE0F3B">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3.软件支持单台、多台发送卡级联控制，获取输入源连接状态、接收卡温度、电压等信息；支持调节发送卡亮度、色温和设置分辨率。</w:t>
            </w:r>
          </w:p>
          <w:p w14:paraId="2D8770E5">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4.软件支持添加、修改、删除LED显示屏。</w:t>
            </w:r>
          </w:p>
          <w:p w14:paraId="7BC48D1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5.软件支持视频流媒体平台数据对接。</w:t>
            </w:r>
          </w:p>
          <w:p w14:paraId="15C549D3">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6.软件需具备设备状态监控及告警功能，监控发送卡输入源连接状态、接收卡温度、电压，监控信息显示，导出监控信息，监控信息实时刷新，监控信息邮件通知，告警设置和显示。                                                                   </w:t>
            </w:r>
          </w:p>
          <w:p w14:paraId="622AA0F0">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7.软件支持自定义操作界面布局管理、记录客户端退出时的界面布局及虚拟屏开窗、移窗、改变大小吸附对齐功能。</w:t>
            </w:r>
          </w:p>
          <w:p w14:paraId="544A3E5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8.软件支持单台、多台PLC配电箱级联控制、支持显示屏选择指定的线路、支持配电箱线路的单独开关、支持大屏系统一键开关机及定时开关机。</w:t>
            </w:r>
          </w:p>
          <w:p w14:paraId="58B3433E">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9.LED制造商生产企业应通过软件能力成熟度等级认证不小于5级（CMMI5）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B00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D4B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B05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4E6DC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5" w:hRule="atLeast"/>
        </w:trPr>
        <w:tc>
          <w:tcPr>
            <w:tcW w:w="388" w:type="pct"/>
            <w:tcBorders>
              <w:top w:val="single" w:color="000000" w:sz="4" w:space="0"/>
              <w:bottom w:val="single" w:color="000000" w:sz="4" w:space="0"/>
              <w:right w:val="single" w:color="000000" w:sz="4" w:space="0"/>
            </w:tcBorders>
            <w:shd w:val="clear" w:color="auto" w:fill="auto"/>
            <w:vAlign w:val="center"/>
          </w:tcPr>
          <w:p w14:paraId="34FBA41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57F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发送卡</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C021">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1、输入：1xDVI、1 xHDMI、1xAudio，6网口输出或6路光纤输出，视频源带载能力：1920×1200，2048×1152，2560×960，最大带载230万。                                     2、支持对播放视频进行图像识别，对显示画面进行智能优化。</w:t>
            </w:r>
          </w:p>
          <w:p w14:paraId="36CB9C75">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3、支持局域网控制，发送命令；支持系统信号输出列表在线提醒功能，信号源在线是激活状态，信号下线是灰色未激活状态。</w:t>
            </w:r>
          </w:p>
          <w:p w14:paraId="01F5D70D">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4、支持Ucare可视化运维平台，可监控屏体状况，管理项目信息，屏体自动检测。</w:t>
            </w:r>
          </w:p>
          <w:p w14:paraId="3F614CD8">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支持对拼接控制器、矩阵联动控制，一键调看指定信号；免编程增加矩阵类型。</w:t>
            </w:r>
            <w:r>
              <w:rPr>
                <w:rFonts w:hint="eastAsia" w:ascii="宋体" w:hAnsi="宋体" w:eastAsia="宋体" w:cs="宋体"/>
                <w:b w:val="0"/>
                <w:bCs w:val="0"/>
                <w:color w:val="auto"/>
                <w:kern w:val="0"/>
                <w:szCs w:val="21"/>
                <w:highlight w:val="none"/>
                <w:lang w:bidi="ar"/>
              </w:rPr>
              <w:t>（提供第三方检测机构出具的CNAS、 CMA、ilac-MRA的检测报告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p>
          <w:p w14:paraId="6E7E14F8">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6、支持视频监控平台对接；支持SDK对外接口。</w:t>
            </w:r>
          </w:p>
          <w:p w14:paraId="42A589EE">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7、LED控制器与LED显示屏为同一品牌,提供3C证书。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0E1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2E4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AD7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r>
      <w:tr w14:paraId="483F1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388" w:type="pct"/>
            <w:tcBorders>
              <w:top w:val="single" w:color="000000" w:sz="4" w:space="0"/>
              <w:bottom w:val="single" w:color="000000" w:sz="4" w:space="0"/>
              <w:right w:val="single" w:color="000000" w:sz="4" w:space="0"/>
            </w:tcBorders>
            <w:shd w:val="clear" w:color="auto" w:fill="auto"/>
            <w:vAlign w:val="center"/>
          </w:tcPr>
          <w:p w14:paraId="4AF4DA4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8EE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显示屏框架</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6D7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整体镀锌钢结构，整屏外表采用0.8mm厚304不锈钢折边汽车烤漆包边装饰；大屏以外的墙体环境装饰，要求背景整体墙面与大屏保持一个平面，边框与外围装饰颜色整体要协调，所选材质、材型、与设计风格必须依据用户现场实际情况，投标时提供与大屏为一个整体的设计效果图。</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DEF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国产</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F2D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E4A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33.2</w:t>
            </w:r>
          </w:p>
        </w:tc>
      </w:tr>
      <w:tr w14:paraId="4FEC6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6" w:hRule="atLeast"/>
        </w:trPr>
        <w:tc>
          <w:tcPr>
            <w:tcW w:w="388" w:type="pct"/>
            <w:tcBorders>
              <w:top w:val="single" w:color="000000" w:sz="4" w:space="0"/>
              <w:bottom w:val="single" w:color="000000" w:sz="4" w:space="0"/>
              <w:right w:val="single" w:color="000000" w:sz="4" w:space="0"/>
            </w:tcBorders>
            <w:shd w:val="clear" w:color="auto" w:fill="auto"/>
            <w:vAlign w:val="center"/>
          </w:tcPr>
          <w:p w14:paraId="780F3F9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53E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融媒体中心</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D63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1、19英寸标准机架安装，金属结构机箱，外壳防护等级符合GB/T4208-2017中IP20的要求；</w:t>
            </w:r>
          </w:p>
          <w:p w14:paraId="59115E8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2、采用X86嵌入式系统架构，内存不低于16G 、硬盘不低于250G SSD；</w:t>
            </w:r>
          </w:p>
          <w:p w14:paraId="098FAA1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3、不少于3路DP独立输出，2路接口拼接同步显示，单路输出不低于4096*2160@60Hz，拼接带载分辨率不低于8192*2160@60Hz；</w:t>
            </w:r>
          </w:p>
          <w:p w14:paraId="3DF9022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4、不少于1路MIC IN ，1路Line IN ，1路Line OUT音频接口，支持接口扩展；</w:t>
            </w:r>
          </w:p>
          <w:p w14:paraId="4D08DEF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5、支持接口虚拟放大缩小，支持输出接口标记，定位输出接口位置；</w:t>
            </w:r>
          </w:p>
          <w:p w14:paraId="41743C8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6、支持通过平板或手机端控制软件对多媒体服务器进行播放、暂停、停止、节目切换、音量调节、黑屏等功能操作；</w:t>
            </w:r>
          </w:p>
          <w:p w14:paraId="15C3B86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7、支持3D视频源播放输出，分辨率不低于3840x1080@60Hz；</w:t>
            </w:r>
            <w:r>
              <w:rPr>
                <w:rFonts w:hint="eastAsia" w:ascii="宋体" w:hAnsi="宋体" w:eastAsia="宋体" w:cs="宋体"/>
                <w:b w:val="0"/>
                <w:bCs w:val="0"/>
                <w:color w:val="auto"/>
                <w:kern w:val="0"/>
                <w:szCs w:val="21"/>
                <w:highlight w:val="none"/>
                <w:lang w:bidi="ar"/>
              </w:rPr>
              <w:t>(提供CNAS认可的检测机构出具的测试报告</w:t>
            </w:r>
            <w:r>
              <w:rPr>
                <w:rFonts w:hint="eastAsia" w:ascii="宋体" w:hAnsi="宋体" w:eastAsia="宋体" w:cs="宋体"/>
                <w:b w:val="0"/>
                <w:bCs w:val="0"/>
                <w:color w:val="auto"/>
                <w:kern w:val="0"/>
                <w:szCs w:val="21"/>
                <w:highlight w:val="none"/>
                <w:lang w:eastAsia="zh-CN" w:bidi="ar"/>
              </w:rPr>
              <w:t>复印（扫描）件</w:t>
            </w:r>
            <w:r>
              <w:rPr>
                <w:rFonts w:hint="eastAsia" w:ascii="宋体" w:hAnsi="宋体" w:eastAsia="宋体" w:cs="宋体"/>
                <w:b w:val="0"/>
                <w:bCs w:val="0"/>
                <w:color w:val="auto"/>
                <w:kern w:val="0"/>
                <w:szCs w:val="21"/>
                <w:highlight w:val="none"/>
                <w:lang w:bidi="ar"/>
              </w:rPr>
              <w:t>）</w:t>
            </w:r>
          </w:p>
          <w:p w14:paraId="09D8637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8、支持多画面同时播放时按照主计时媒体进行跳转；</w:t>
            </w:r>
          </w:p>
          <w:p w14:paraId="5AFAC7A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9、支持预编辑输出，可在预览编辑完成后再进行媒体素材的一键输出播放，支持切换特效及抠像功能；</w:t>
            </w:r>
          </w:p>
          <w:p w14:paraId="75EBE5C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10、支持多种媒体类型，包含不限于图片、音频、视频、PPT、NDI媒体、采集设备、网站、流媒体、播放合集等；支持多个不同规格素材同步播出；</w:t>
            </w:r>
          </w:p>
          <w:p w14:paraId="77FEC6A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11、支持输出画面拆分重组，实现画面任意排序，支持输出任意角度旋转，满足对不规则显示屏的拼接带载；</w:t>
            </w:r>
          </w:p>
          <w:p w14:paraId="2A7CD73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12、支持将多个音频媒体的声音从多个音频通道输出，支持音量大小的调节；(投标人提供CNAS认可的检测机构出具的测试报告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8CB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D7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F36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0BEF2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388" w:type="pct"/>
            <w:tcBorders>
              <w:top w:val="single" w:color="000000" w:sz="4" w:space="0"/>
              <w:bottom w:val="single" w:color="000000" w:sz="4" w:space="0"/>
              <w:right w:val="single" w:color="000000" w:sz="4" w:space="0"/>
            </w:tcBorders>
            <w:shd w:val="clear" w:color="auto" w:fill="auto"/>
            <w:vAlign w:val="center"/>
          </w:tcPr>
          <w:p w14:paraId="4A1130F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0EA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配电箱</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C2F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1、具有PLC功能</w:t>
            </w:r>
          </w:p>
          <w:p w14:paraId="06D2F67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为了方便对LED显示屏的使用，进一步提高系统的智能化管理和动力电源的集成度与稳定性，采用“显示屏智能上电系统”，提供安全智能化PLC控制管理系统软件著作权证书</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126E998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3、通过该系统可以实现对LED显示屏的远程有线控制上电，实现定时开关屏体，方便用户的使用。</w:t>
            </w:r>
          </w:p>
          <w:p w14:paraId="0CD8FD1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4、同时，屏体采用“分步加电”的上电方式，既要避免大负载对电网瞬间的冲击，又要有效地保护显示屏体的工作组件，延长屏体的使用寿命。                                           </w:t>
            </w:r>
          </w:p>
          <w:p w14:paraId="62DDA10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5、所投配电系统与LED屏体为同一厂家，提供3C证书</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F57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5BA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E0F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654F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388" w:type="pct"/>
            <w:tcBorders>
              <w:top w:val="single" w:color="000000" w:sz="4" w:space="0"/>
              <w:bottom w:val="single" w:color="000000" w:sz="4" w:space="0"/>
              <w:right w:val="single" w:color="000000" w:sz="4" w:space="0"/>
            </w:tcBorders>
            <w:shd w:val="clear" w:color="auto" w:fill="auto"/>
            <w:noWrap/>
            <w:vAlign w:val="center"/>
          </w:tcPr>
          <w:p w14:paraId="14163B3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987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侧墙八字显示屏（2侧）</w:t>
            </w:r>
          </w:p>
        </w:tc>
        <w:tc>
          <w:tcPr>
            <w:tcW w:w="2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8016">
            <w:pPr>
              <w:widowControl/>
              <w:jc w:val="left"/>
              <w:textAlignment w:val="center"/>
              <w:rPr>
                <w:rFonts w:hint="eastAsia" w:ascii="宋体" w:hAnsi="宋体" w:eastAsia="宋体" w:cs="宋体"/>
                <w:color w:val="auto"/>
                <w:kern w:val="0"/>
                <w:szCs w:val="21"/>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0035">
            <w:pPr>
              <w:widowControl/>
              <w:jc w:val="center"/>
              <w:textAlignment w:val="center"/>
              <w:rPr>
                <w:rFonts w:hint="eastAsia" w:ascii="宋体" w:hAnsi="宋体" w:eastAsia="宋体" w:cs="宋体"/>
                <w:color w:val="auto"/>
                <w:kern w:val="0"/>
                <w:szCs w:val="21"/>
                <w:highlight w:val="none"/>
                <w:lang w:bidi="ar"/>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A15C">
            <w:pPr>
              <w:widowControl/>
              <w:jc w:val="center"/>
              <w:textAlignment w:val="center"/>
              <w:rPr>
                <w:rFonts w:hint="eastAsia" w:ascii="宋体" w:hAnsi="宋体" w:eastAsia="宋体" w:cs="宋体"/>
                <w:color w:val="auto"/>
                <w:kern w:val="0"/>
                <w:szCs w:val="21"/>
                <w:highlight w:val="none"/>
                <w:lang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632C">
            <w:pPr>
              <w:widowControl/>
              <w:jc w:val="center"/>
              <w:textAlignment w:val="center"/>
              <w:rPr>
                <w:rFonts w:hint="eastAsia" w:ascii="宋体" w:hAnsi="宋体" w:eastAsia="宋体" w:cs="宋体"/>
                <w:color w:val="auto"/>
                <w:kern w:val="0"/>
                <w:szCs w:val="21"/>
                <w:highlight w:val="none"/>
                <w:lang w:bidi="ar"/>
              </w:rPr>
            </w:pPr>
          </w:p>
        </w:tc>
      </w:tr>
      <w:tr w14:paraId="3BDDD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88" w:type="pct"/>
            <w:tcBorders>
              <w:top w:val="single" w:color="000000" w:sz="4" w:space="0"/>
              <w:bottom w:val="single" w:color="000000" w:sz="4" w:space="0"/>
              <w:right w:val="single" w:color="000000" w:sz="4" w:space="0"/>
            </w:tcBorders>
            <w:shd w:val="clear" w:color="auto" w:fill="auto"/>
            <w:vAlign w:val="center"/>
          </w:tcPr>
          <w:p w14:paraId="0EABBC2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42E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室内P1.86全彩LED显示屏</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8EED">
            <w:pPr>
              <w:widowControl/>
              <w:numPr>
                <w:ilvl w:val="0"/>
                <w:numId w:val="5"/>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点间距≤1.86</w:t>
            </w:r>
          </w:p>
          <w:p w14:paraId="33100AE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2.模组尺寸：320mm*160mm；刷新率≥3840HZ;</w:t>
            </w:r>
          </w:p>
          <w:p w14:paraId="6A97283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3.按照SJ/T 11281-2017 方法测量，像素中心间距相对偏差等级、水平和垂直相对错位等级符合C级≤5%；模组平整度≤0.1mm；模组间间间隙≤0.1mm；模组间相对错位值≤1%</w:t>
            </w:r>
          </w:p>
          <w:p w14:paraId="08FBFC5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4.对比度：9000:1；亮度≥600Cd/㎡；亮度均匀性（校正后）≥99%；发光点中心距偏差≤0.8% </w:t>
            </w:r>
          </w:p>
          <w:p w14:paraId="225DA2F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5.水平视角≥170°;垂直视角：≥170°；</w:t>
            </w:r>
          </w:p>
          <w:p w14:paraId="5ED5AED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6.最大功耗≤420W/㎡；平均功耗≤150W/㎡ ;    </w:t>
            </w:r>
          </w:p>
          <w:p w14:paraId="6015694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7.平均使用寿命≥100000小时；平均无故障时间≥100000小时；平均故障修复时间≤5分钟； </w:t>
            </w:r>
          </w:p>
          <w:p w14:paraId="6989FB9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8.色温：100-20000可调，色温为6500K时，100%，75%，50%，25%四档电平白场调节色温误差≤100K。色准：△E≤0.9；</w:t>
            </w:r>
          </w:p>
          <w:p w14:paraId="1E6A7DD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9.色度均匀性（校正后）：±0.0015CxCy；像素光强均匀性LRJ≤8%;LGJ≤8%;LBJ≤8%；亮度鉴别等级C级：Bj≥21。；</w:t>
            </w:r>
          </w:p>
          <w:p w14:paraId="6DAEAD8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10.具有LED显示屏驱动方法、LED显示屏及存储介质和显示装置的防撞保护装置；（提供证明文件</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4A40738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11.带有智能节电功能，带电黑屏节电功能，开启智能节电功能比没有开启节能60%以上。颜色处理位数≥14Bit；支持软件实现不同亮度情况下，灰度10-22bit 任意设置；</w:t>
            </w:r>
          </w:p>
          <w:p w14:paraId="6BB22D0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12.采用模组、控制盒、结构采用模块化拼装设计；一体化控制平台，模块化统一管理，可针对LED显示模块进行统一管理，设置亮度坐标、色温、灰度等参数；具有H2S宽动态处理技术，解决主控机二次重复播放时的衰减等现象；（提供由CMA、ilAC-MRA及CNAS授权的第三方检测机构出具的检测报告</w:t>
            </w:r>
            <w:bookmarkStart w:id="34" w:name="OLE_LINK37"/>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bookmarkEnd w:id="34"/>
            <w:r>
              <w:rPr>
                <w:rFonts w:hint="eastAsia" w:ascii="宋体" w:hAnsi="宋体" w:eastAsia="宋体" w:cs="宋体"/>
                <w:color w:val="auto"/>
                <w:kern w:val="0"/>
                <w:szCs w:val="21"/>
                <w:highlight w:val="none"/>
                <w:lang w:bidi="ar"/>
              </w:rPr>
              <w:t>；</w:t>
            </w:r>
          </w:p>
          <w:p w14:paraId="5103EBA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13.根据SJ/T 11590-2016 LED显示屏图像质量主观评价方法，频闪现象，图像均匀性，大面积色彩还原，亮度鉴别等级，伪轮廓现象，图像清晰度，检测结果评分5分，主观评价为优； </w:t>
            </w:r>
          </w:p>
          <w:p w14:paraId="245AA04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14.通过传导抗扰度、辐射抗扰度及工频磁场试验，测试过程中样品均无异常；采用数字化网络传输技术或标准化HDCP传输技术，支持Tyte-C接口或者HDCP协议的接口实现5G达带载带宽传输； </w:t>
            </w:r>
          </w:p>
          <w:p w14:paraId="0DA1AAD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15.具备旋转式灯板设计，弱化跨板耦合效应，保证更优势的显示效果；支持灯板出现短路时，灯板会自动保护，支持换灯后，校正参数自动回读功能不需要人工操作（提供由CMA、ilAC-MRA及CNAS授权的第三方检测机构出具的检测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6C3C6B3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16.具备0级防霉特性，符合《GBT2423.16-2008电工电子产品环境试验 第二部分：试验方法试验J及导则：长霉》的测试要求；长时间没有使用屏体，屏体自动切入除湿模式，使屏体从10%到100%亮度逐步显示，达到保护LED灯； </w:t>
            </w:r>
          </w:p>
          <w:p w14:paraId="5E04010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17.依据标准进行过光生物安全和低紫外线试验，试验后属于无危害类产品；视觉舒适度（VICO指数）0-1级，去除100%紫外线，消除80%摩尔纹；</w:t>
            </w:r>
          </w:p>
          <w:p w14:paraId="6B09081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18.支持支持BT.2020\DCT-P3\BT.709，sRGB等多种色域之间的转换，色域支持范围NTSC≥125%；</w:t>
            </w:r>
          </w:p>
          <w:p w14:paraId="220FC20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19.显示屏具有防潮、防尘、防腐蚀、防电磁干扰、防静电等功能，并具有过流、断路、过压、欠压保护；LED显示屏接插件支持不关屏热插拔修维护功能；</w:t>
            </w:r>
          </w:p>
          <w:p w14:paraId="23504D8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20.显示屏具有坏点检测方法、装置、计算机设备和存储介质（提供证明文件</w:t>
            </w:r>
            <w:r>
              <w:rPr>
                <w:rFonts w:hint="eastAsia" w:ascii="宋体" w:hAnsi="宋体" w:eastAsia="宋体" w:cs="宋体"/>
                <w:color w:val="auto"/>
                <w:kern w:val="0"/>
                <w:szCs w:val="21"/>
                <w:highlight w:val="none"/>
                <w:lang w:val="en-US" w:eastAsia="zh-CN" w:bidi="ar"/>
              </w:rPr>
              <w:t>复印（扫描）件</w:t>
            </w:r>
            <w:r>
              <w:rPr>
                <w:rFonts w:hint="eastAsia" w:ascii="宋体" w:hAnsi="宋体" w:eastAsia="宋体" w:cs="宋体"/>
                <w:color w:val="auto"/>
                <w:kern w:val="0"/>
                <w:szCs w:val="21"/>
                <w:highlight w:val="none"/>
                <w:lang w:bidi="ar"/>
              </w:rPr>
              <w:t>）</w:t>
            </w:r>
          </w:p>
          <w:p w14:paraId="1B612F5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21.LED显示屏具备现场屏体开关机次数及使用时长记录，以及对现场温湿度的监测反馈，并形成数据保存周期为100天，并可在控制软件端提取数据，保证用户实施了解现场屏体及使用环境情况；；</w:t>
            </w:r>
          </w:p>
          <w:p w14:paraId="1F954E9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22.辐照强度：0.76W/㎡.nm@340nm,温度60℃。冷凝温度：50℃、24循环，288H，试验后，样品外观无异常，符合5级；</w:t>
            </w:r>
          </w:p>
          <w:p w14:paraId="6F87263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23.显示屏画面延迟≤1ms，画面信噪比≥60dB；具备纳秒级显示技术无拖尾重影叠加现象，画质稳定流畅；</w:t>
            </w:r>
          </w:p>
          <w:p w14:paraId="609DD35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24.LED显示屏具有区域图像死灯率检测系统和屏幕图像录播及播放系统</w:t>
            </w:r>
          </w:p>
          <w:p w14:paraId="0A8171A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25.所投屏体须通过CCC强制认证，不接受OEM产品，要求3c证书中申请人、制造商、生产企业三者名称须一致或为同一集团、法人企业，并提供证书</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20AC30A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26.为保证项目具备完好的售后服务，生产厂家需通过五星售后服务认证；</w:t>
            </w:r>
          </w:p>
          <w:p w14:paraId="14AEEF7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27.为保证所投设备的安全性，所投LED显示屏生产厂家的信息系统安全集成服务资质符合CCRC-ISV-C01:2021中信息安全服务规范，并达到三级服务资质（需提供中国网络安全审查技术认证中心颁发的证书</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w:t>
            </w:r>
          </w:p>
          <w:p w14:paraId="66BADF7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77E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0AF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124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15.76</w:t>
            </w:r>
          </w:p>
        </w:tc>
      </w:tr>
      <w:tr w14:paraId="7C664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388" w:type="pct"/>
            <w:tcBorders>
              <w:top w:val="single" w:color="000000" w:sz="4" w:space="0"/>
              <w:bottom w:val="single" w:color="000000" w:sz="4" w:space="0"/>
              <w:right w:val="single" w:color="000000" w:sz="4" w:space="0"/>
            </w:tcBorders>
            <w:shd w:val="clear" w:color="auto" w:fill="auto"/>
            <w:vAlign w:val="center"/>
          </w:tcPr>
          <w:p w14:paraId="723010B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C9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控制系统</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FDE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1.单卡最大带载 512×512像素，最多支持 24 组RGB 并行数据；</w:t>
            </w:r>
          </w:p>
          <w:p w14:paraId="5A0FABF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 采用 12 个标准HUB75接口，具有高稳定性和高可靠性，适用于多种环境的搭建；</w:t>
            </w:r>
          </w:p>
          <w:p w14:paraId="60C8F91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3.支持逐点亮色度校正，可以对每个灯点的亮度和色度进行校正，有效消除色差，使整屏的亮度和色度达到高度均匀一致，提高显示屏的画质。</w:t>
            </w:r>
          </w:p>
          <w:p w14:paraId="5F5B24F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4.快速亮暗线调节，在调试软件上进行快速亮暗线调节，快速解决因箱体及模组拼接造成的显示屏亮暗线，调节过程中即时生效，简单易用。</w:t>
            </w:r>
          </w:p>
          <w:p w14:paraId="58BE378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5.配合支持 3D 功能的独立主控，在软件或独立主控的操作面板上开启 3D 功能，并设置 3D 参数，使画面显示 3D 效果。</w:t>
            </w:r>
          </w:p>
          <w:p w14:paraId="0B9CB6A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6.支持灯板flash 管理，校正系数双备份，更换灯板后，无需重新上传校正系数，屏体重新上电即可使用对应灯板校正系数。</w:t>
            </w:r>
          </w:p>
          <w:p w14:paraId="21565D6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7.支持可以回读接收卡的固定程序并可保存到保底；软件可以回读接收卡配置参数</w:t>
            </w:r>
          </w:p>
          <w:p w14:paraId="108DCB8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8.可配合多功能卡，实现当温度高于设定值时，自动断电，或打开风扇空调降低温度，保证屏体安全</w:t>
            </w:r>
          </w:p>
          <w:p w14:paraId="4158844C">
            <w:pPr>
              <w:widowControl/>
              <w:jc w:val="left"/>
              <w:textAlignment w:val="center"/>
              <w:rPr>
                <w:rFonts w:hint="eastAsia" w:ascii="宋体" w:hAnsi="宋体" w:eastAsia="宋体" w:cs="宋体"/>
                <w:color w:val="auto"/>
                <w:kern w:val="0"/>
                <w:szCs w:val="21"/>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40C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070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E7F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5224C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0" w:hRule="atLeast"/>
        </w:trPr>
        <w:tc>
          <w:tcPr>
            <w:tcW w:w="388" w:type="pct"/>
            <w:tcBorders>
              <w:top w:val="single" w:color="000000" w:sz="4" w:space="0"/>
              <w:bottom w:val="single" w:color="000000" w:sz="4" w:space="0"/>
              <w:right w:val="single" w:color="000000" w:sz="4" w:space="0"/>
            </w:tcBorders>
            <w:shd w:val="clear" w:color="auto" w:fill="auto"/>
            <w:vAlign w:val="center"/>
          </w:tcPr>
          <w:p w14:paraId="3F75540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2B1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控制软件</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578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所投软件与LED屏体为同一厂家，需提供控制软件著作权证书</w:t>
            </w:r>
            <w:r>
              <w:rPr>
                <w:rFonts w:hint="eastAsia" w:ascii="宋体" w:hAnsi="宋体" w:eastAsia="宋体" w:cs="宋体"/>
                <w:b/>
                <w:bCs/>
                <w:color w:val="auto"/>
                <w:kern w:val="0"/>
                <w:szCs w:val="21"/>
                <w:highlight w:val="none"/>
                <w:lang w:eastAsia="zh-CN" w:bidi="ar"/>
              </w:rPr>
              <w:t>复印（扫描）件</w:t>
            </w:r>
            <w:r>
              <w:rPr>
                <w:rFonts w:hint="eastAsia" w:ascii="宋体" w:hAnsi="宋体" w:eastAsia="宋体" w:cs="宋体"/>
                <w:b/>
                <w:bCs/>
                <w:color w:val="auto"/>
                <w:kern w:val="0"/>
                <w:szCs w:val="21"/>
                <w:highlight w:val="none"/>
                <w:lang w:bidi="ar"/>
              </w:rPr>
              <w:t>。</w:t>
            </w:r>
          </w:p>
          <w:p w14:paraId="7235916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1.软件具有单一客户端、多个客户端登录功能，支持默认布局登录。</w:t>
            </w:r>
          </w:p>
          <w:p w14:paraId="75AE641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2.软件不依赖第三方硬件而具备对显示屏、拼接控制器、LED播放控制器、PLC配电箱、矩阵等设备进行集成控制。</w:t>
            </w:r>
          </w:p>
          <w:p w14:paraId="071AD9B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3.软件支持单台、多台发送卡级联控制，获取输入源连接状态、接收卡温度、电压等信息；支持调节发送卡亮度、色温和设置分辨率。</w:t>
            </w:r>
          </w:p>
          <w:p w14:paraId="7F29BE0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4.软件支持添加、修改、删除LED显示屏。</w:t>
            </w:r>
          </w:p>
          <w:p w14:paraId="5683141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5.软件支持视频流媒体平台数据对接。</w:t>
            </w:r>
          </w:p>
          <w:p w14:paraId="67044CE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6.软件需具备设备状态监控及告警功能，监控发送卡输入源连接状态、接收卡温度、电压，监控信息显示，导出监控信息，监控信息实时刷新，监控信息邮件通知，告警设置和显示。                                                                   </w:t>
            </w:r>
          </w:p>
          <w:p w14:paraId="62200E9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7.软件支持自定义操作界面布局管理、记录客户端退出时的界面布局及虚拟屏开窗、移窗、改变大小吸附对齐功能。</w:t>
            </w:r>
          </w:p>
          <w:p w14:paraId="0F97008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8.软件支持单台、多台PLC配电箱级联控制、支持显示屏选择指定的线路、支持配电箱线路的单独开关、支持大屏系统一键开关机及定时开关机。</w:t>
            </w:r>
          </w:p>
          <w:p w14:paraId="2600E22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9.LED制造商生产企业应通过软件能力成熟度等级认证不小于5级（CMMI5）（</w:t>
            </w:r>
            <w:r>
              <w:rPr>
                <w:rFonts w:hint="eastAsia" w:ascii="宋体" w:hAnsi="宋体" w:eastAsia="宋体" w:cs="宋体"/>
                <w:color w:val="auto"/>
                <w:kern w:val="0"/>
                <w:szCs w:val="21"/>
                <w:highlight w:val="none"/>
                <w:lang w:eastAsia="zh-CN" w:bidi="ar"/>
              </w:rPr>
              <w:t>需提供相关证书复印（扫描）件</w:t>
            </w:r>
            <w:r>
              <w:rPr>
                <w:rFonts w:hint="eastAsia" w:ascii="宋体" w:hAnsi="宋体" w:eastAsia="宋体" w:cs="宋体"/>
                <w:color w:val="auto"/>
                <w:kern w:val="0"/>
                <w:szCs w:val="21"/>
                <w:highlight w:val="none"/>
                <w:lang w:bidi="ar"/>
              </w:rPr>
              <w:t>）</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57C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ADA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85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14:paraId="6DE51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8" w:type="pct"/>
            <w:tcBorders>
              <w:top w:val="single" w:color="000000" w:sz="4" w:space="0"/>
              <w:bottom w:val="single" w:color="000000" w:sz="4" w:space="0"/>
              <w:right w:val="single" w:color="000000" w:sz="4" w:space="0"/>
            </w:tcBorders>
            <w:shd w:val="clear" w:color="auto" w:fill="auto"/>
            <w:vAlign w:val="center"/>
          </w:tcPr>
          <w:p w14:paraId="07B7417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197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发送卡</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FCB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1、输入：1xDVI、1 xHDMI、1xAudio，6网口输出或6路光纤输出，视频源带载能力：1920×1200，2048×1152，2560×960，最大带载230万。                                     </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2、支持对播放视频进行图像识别，对显示画面进行智能优化。（提供第三方检测机构出具的CNAS、 CMA、ilac-MRA的检测报告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3A97903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3、支持局域网控制，发送命令；支持系统信号输出列表在线提醒功能，信号源在线是激活状态，信号下线是灰色未激活状态。（提供第三方检测机构出具的CNAS、 CMA、ilac-MRA的检测报告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44AEA31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4、支持Ucare可视化运维平台，可监控屏体状况，管理项目信息，屏体自动检测。（提供第三方检测机构出具的CNAS、 CMA、ilac-MRA的检测报告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17DF98CE">
            <w:pPr>
              <w:widowControl/>
              <w:numPr>
                <w:ilvl w:val="0"/>
                <w:numId w:val="6"/>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支持对拼接控制器、矩阵联动控制，一键调看指定信号；免编程增加矩阵类型。</w:t>
            </w:r>
          </w:p>
          <w:p w14:paraId="06119A59">
            <w:pPr>
              <w:widowControl/>
              <w:numPr>
                <w:ilvl w:val="0"/>
                <w:numId w:val="6"/>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支持视频监控平台对接；支持SDK对外接口。</w:t>
            </w:r>
          </w:p>
          <w:p w14:paraId="1865FE5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7、LED控制器与LED显示屏为同一品牌,提供3C证书。</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72A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47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30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r>
      <w:tr w14:paraId="0663B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8" w:hRule="atLeast"/>
        </w:trPr>
        <w:tc>
          <w:tcPr>
            <w:tcW w:w="388" w:type="pct"/>
            <w:tcBorders>
              <w:top w:val="single" w:color="000000" w:sz="4" w:space="0"/>
              <w:bottom w:val="single" w:color="000000" w:sz="4" w:space="0"/>
              <w:right w:val="single" w:color="000000" w:sz="4" w:space="0"/>
            </w:tcBorders>
            <w:shd w:val="clear" w:color="auto" w:fill="auto"/>
            <w:vAlign w:val="center"/>
          </w:tcPr>
          <w:p w14:paraId="45DAF1A8">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5</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28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显示屏框架</w:t>
            </w:r>
          </w:p>
        </w:tc>
        <w:tc>
          <w:tcPr>
            <w:tcW w:w="2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EE2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整体镀锌钢结构，整屏外表采用0.8mm厚304不锈钢折边汽车烤漆包边装饰；大屏以外的墙体环境装饰，要求背景整体墙面与大屏保持一个平面，边框与外围装饰颜色整体要协调，所选材质、材型、与设计风格必须依据用户现场实际情况，投标时提供与大屏为一个整体的设计效果图。</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84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国产</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3D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082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15.76</w:t>
            </w:r>
          </w:p>
        </w:tc>
      </w:tr>
      <w:tr w14:paraId="35A06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88" w:type="pct"/>
            <w:tcBorders>
              <w:top w:val="single" w:color="000000" w:sz="4" w:space="0"/>
              <w:bottom w:val="single" w:color="000000" w:sz="4" w:space="0"/>
              <w:right w:val="single" w:color="000000" w:sz="4" w:space="0"/>
            </w:tcBorders>
            <w:shd w:val="clear" w:color="auto" w:fill="auto"/>
            <w:noWrap/>
            <w:vAlign w:val="center"/>
          </w:tcPr>
          <w:p w14:paraId="44E7C0B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3D2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会标显示屏</w:t>
            </w:r>
          </w:p>
        </w:tc>
        <w:tc>
          <w:tcPr>
            <w:tcW w:w="2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5E8A">
            <w:pPr>
              <w:widowControl/>
              <w:jc w:val="left"/>
              <w:textAlignment w:val="center"/>
              <w:rPr>
                <w:rFonts w:hint="eastAsia" w:ascii="宋体" w:hAnsi="宋体" w:eastAsia="宋体" w:cs="宋体"/>
                <w:color w:val="auto"/>
                <w:kern w:val="0"/>
                <w:szCs w:val="21"/>
                <w:highlight w:val="none"/>
                <w:lang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F6D1">
            <w:pPr>
              <w:widowControl/>
              <w:jc w:val="center"/>
              <w:textAlignment w:val="center"/>
              <w:rPr>
                <w:rFonts w:hint="eastAsia" w:ascii="宋体" w:hAnsi="宋体" w:eastAsia="宋体" w:cs="宋体"/>
                <w:color w:val="auto"/>
                <w:kern w:val="0"/>
                <w:szCs w:val="21"/>
                <w:highlight w:val="none"/>
                <w:lang w:bidi="ar"/>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04E4">
            <w:pPr>
              <w:widowControl/>
              <w:jc w:val="center"/>
              <w:textAlignment w:val="center"/>
              <w:rPr>
                <w:rFonts w:hint="eastAsia" w:ascii="宋体" w:hAnsi="宋体" w:eastAsia="宋体" w:cs="宋体"/>
                <w:color w:val="auto"/>
                <w:kern w:val="0"/>
                <w:szCs w:val="21"/>
                <w:highlight w:val="none"/>
                <w:lang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A80D">
            <w:pPr>
              <w:widowControl/>
              <w:jc w:val="center"/>
              <w:textAlignment w:val="center"/>
              <w:rPr>
                <w:rFonts w:hint="eastAsia" w:ascii="宋体" w:hAnsi="宋体" w:eastAsia="宋体" w:cs="宋体"/>
                <w:color w:val="auto"/>
                <w:kern w:val="0"/>
                <w:szCs w:val="21"/>
                <w:highlight w:val="none"/>
                <w:lang w:bidi="ar"/>
              </w:rPr>
            </w:pPr>
          </w:p>
        </w:tc>
      </w:tr>
      <w:tr w14:paraId="56A37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388" w:type="pct"/>
            <w:tcBorders>
              <w:top w:val="single" w:color="000000" w:sz="4" w:space="0"/>
              <w:bottom w:val="single" w:color="000000" w:sz="4" w:space="0"/>
              <w:right w:val="single" w:color="000000" w:sz="4" w:space="0"/>
            </w:tcBorders>
            <w:shd w:val="clear" w:color="auto" w:fill="auto"/>
            <w:vAlign w:val="center"/>
          </w:tcPr>
          <w:p w14:paraId="54E727A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19D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室内双色LED屏</w:t>
            </w:r>
          </w:p>
        </w:tc>
        <w:tc>
          <w:tcPr>
            <w:tcW w:w="2536" w:type="pct"/>
            <w:tcBorders>
              <w:top w:val="nil"/>
              <w:left w:val="nil"/>
              <w:bottom w:val="single" w:color="000000" w:sz="4" w:space="0"/>
              <w:right w:val="single" w:color="000000" w:sz="4" w:space="0"/>
            </w:tcBorders>
            <w:shd w:val="clear" w:color="auto" w:fill="auto"/>
            <w:vAlign w:val="center"/>
          </w:tcPr>
          <w:p w14:paraId="4F9A0F9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P4.75，屏体尺寸：长14136mm*高608mm，整屏尺寸含边框：长约14236mm*高约708mm；物理点间距：4.75mm，物理密度：44100点/m2，发光点颜色： 1RG，控制方式：恒流控制，扫描方式: 1/32扫描</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18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5E8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平方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DFC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8.6</w:t>
            </w:r>
          </w:p>
        </w:tc>
      </w:tr>
      <w:tr w14:paraId="5D874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388" w:type="pct"/>
            <w:tcBorders>
              <w:top w:val="single" w:color="000000" w:sz="4" w:space="0"/>
              <w:bottom w:val="single" w:color="000000" w:sz="4" w:space="0"/>
              <w:right w:val="single" w:color="000000" w:sz="4" w:space="0"/>
            </w:tcBorders>
            <w:shd w:val="clear" w:color="auto" w:fill="auto"/>
            <w:vAlign w:val="center"/>
          </w:tcPr>
          <w:p w14:paraId="713DB45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EFB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w:t>
            </w:r>
          </w:p>
        </w:tc>
        <w:tc>
          <w:tcPr>
            <w:tcW w:w="2536" w:type="pct"/>
            <w:tcBorders>
              <w:top w:val="nil"/>
              <w:left w:val="nil"/>
              <w:bottom w:val="single" w:color="000000" w:sz="4" w:space="0"/>
              <w:right w:val="single" w:color="000000" w:sz="4" w:space="0"/>
            </w:tcBorders>
            <w:shd w:val="clear" w:color="auto" w:fill="auto"/>
            <w:vAlign w:val="center"/>
          </w:tcPr>
          <w:p w14:paraId="6308126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200W</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178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E29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FE4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4531A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388" w:type="pct"/>
            <w:tcBorders>
              <w:top w:val="single" w:color="000000" w:sz="4" w:space="0"/>
              <w:bottom w:val="single" w:color="auto" w:sz="4" w:space="0"/>
              <w:right w:val="single" w:color="000000" w:sz="4" w:space="0"/>
            </w:tcBorders>
            <w:shd w:val="clear" w:color="auto" w:fill="auto"/>
            <w:vAlign w:val="center"/>
          </w:tcPr>
          <w:p w14:paraId="6956C8A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68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CAD214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控制系统</w:t>
            </w:r>
          </w:p>
        </w:tc>
        <w:tc>
          <w:tcPr>
            <w:tcW w:w="2536" w:type="pct"/>
            <w:tcBorders>
              <w:top w:val="nil"/>
              <w:left w:val="nil"/>
              <w:bottom w:val="single" w:color="auto" w:sz="4" w:space="0"/>
              <w:right w:val="single" w:color="000000" w:sz="4" w:space="0"/>
            </w:tcBorders>
            <w:shd w:val="clear" w:color="auto" w:fill="auto"/>
            <w:vAlign w:val="center"/>
          </w:tcPr>
          <w:p w14:paraId="7FF58D8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计算机联网控制显示。</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C3D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975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806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67D0B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2459062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B97A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系统软件</w:t>
            </w:r>
          </w:p>
        </w:tc>
        <w:tc>
          <w:tcPr>
            <w:tcW w:w="2536" w:type="pct"/>
            <w:tcBorders>
              <w:top w:val="single" w:color="auto" w:sz="4" w:space="0"/>
              <w:left w:val="single" w:color="auto" w:sz="4" w:space="0"/>
              <w:bottom w:val="single" w:color="auto" w:sz="4" w:space="0"/>
              <w:right w:val="single" w:color="auto" w:sz="4" w:space="0"/>
            </w:tcBorders>
            <w:shd w:val="clear" w:color="auto" w:fill="auto"/>
            <w:vAlign w:val="center"/>
          </w:tcPr>
          <w:p w14:paraId="3EAD790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软件安装：显示、编辑、处理。</w:t>
            </w:r>
          </w:p>
        </w:tc>
        <w:tc>
          <w:tcPr>
            <w:tcW w:w="604" w:type="pct"/>
            <w:tcBorders>
              <w:top w:val="single" w:color="000000" w:sz="4" w:space="0"/>
              <w:left w:val="single" w:color="auto" w:sz="4" w:space="0"/>
              <w:bottom w:val="single" w:color="auto" w:sz="4" w:space="0"/>
              <w:right w:val="single" w:color="000000" w:sz="4" w:space="0"/>
            </w:tcBorders>
            <w:shd w:val="clear" w:color="auto" w:fill="auto"/>
            <w:vAlign w:val="center"/>
          </w:tcPr>
          <w:p w14:paraId="5831422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洲明/蓝普视讯/青松</w:t>
            </w:r>
          </w:p>
        </w:tc>
        <w:tc>
          <w:tcPr>
            <w:tcW w:w="4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32C019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931667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7DA74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388" w:type="pct"/>
            <w:tcBorders>
              <w:top w:val="single" w:color="auto" w:sz="4" w:space="0"/>
              <w:bottom w:val="single" w:color="auto" w:sz="4" w:space="0"/>
              <w:right w:val="single" w:color="auto" w:sz="4" w:space="0"/>
            </w:tcBorders>
            <w:shd w:val="clear" w:color="auto" w:fill="auto"/>
            <w:vAlign w:val="center"/>
          </w:tcPr>
          <w:p w14:paraId="1A99B7C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E318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框架结构及边框</w:t>
            </w:r>
          </w:p>
        </w:tc>
        <w:tc>
          <w:tcPr>
            <w:tcW w:w="2536" w:type="pct"/>
            <w:tcBorders>
              <w:top w:val="single" w:color="auto" w:sz="4" w:space="0"/>
              <w:left w:val="single" w:color="auto" w:sz="4" w:space="0"/>
              <w:bottom w:val="single" w:color="auto" w:sz="4" w:space="0"/>
              <w:right w:val="single" w:color="auto" w:sz="4" w:space="0"/>
            </w:tcBorders>
            <w:shd w:val="clear" w:color="auto" w:fill="auto"/>
            <w:vAlign w:val="center"/>
          </w:tcPr>
          <w:p w14:paraId="31E0A98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4*4镀锌钢管，内部钢架结构，铝合金超薄包边。</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F80FB0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国产</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570A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1FC6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8.6</w:t>
            </w:r>
          </w:p>
        </w:tc>
      </w:tr>
    </w:tbl>
    <w:p w14:paraId="6F9EA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p>
    <w:p w14:paraId="62877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3.4、矩阵切换系统</w:t>
      </w:r>
    </w:p>
    <w:tbl>
      <w:tblPr>
        <w:tblStyle w:val="49"/>
        <w:tblW w:w="52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654"/>
        <w:gridCol w:w="4848"/>
        <w:gridCol w:w="1245"/>
        <w:gridCol w:w="767"/>
        <w:gridCol w:w="808"/>
      </w:tblGrid>
      <w:tr w14:paraId="3D273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2" w:type="pct"/>
            <w:tcBorders>
              <w:bottom w:val="single" w:color="000000" w:sz="4" w:space="0"/>
              <w:right w:val="single" w:color="000000" w:sz="4" w:space="0"/>
            </w:tcBorders>
            <w:shd w:val="clear" w:color="auto" w:fill="D7D7D7" w:themeFill="background1" w:themeFillShade="D8"/>
            <w:vAlign w:val="center"/>
          </w:tcPr>
          <w:p w14:paraId="181322D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821" w:type="pct"/>
            <w:tcBorders>
              <w:left w:val="single" w:color="000000" w:sz="4" w:space="0"/>
              <w:bottom w:val="single" w:color="000000" w:sz="4" w:space="0"/>
              <w:right w:val="single" w:color="000000" w:sz="4" w:space="0"/>
            </w:tcBorders>
            <w:shd w:val="clear" w:color="auto" w:fill="D7D7D7" w:themeFill="background1" w:themeFillShade="D8"/>
            <w:vAlign w:val="center"/>
          </w:tcPr>
          <w:p w14:paraId="4A76D68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设备名称</w:t>
            </w:r>
          </w:p>
        </w:tc>
        <w:tc>
          <w:tcPr>
            <w:tcW w:w="2405" w:type="pct"/>
            <w:tcBorders>
              <w:left w:val="single" w:color="000000" w:sz="4" w:space="0"/>
              <w:bottom w:val="single" w:color="000000" w:sz="4" w:space="0"/>
              <w:right w:val="single" w:color="000000" w:sz="4" w:space="0"/>
            </w:tcBorders>
            <w:shd w:val="clear" w:color="auto" w:fill="D7D7D7" w:themeFill="background1" w:themeFillShade="D8"/>
            <w:vAlign w:val="center"/>
          </w:tcPr>
          <w:p w14:paraId="508745F0">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详细参数</w:t>
            </w:r>
          </w:p>
        </w:tc>
        <w:tc>
          <w:tcPr>
            <w:tcW w:w="618" w:type="pct"/>
            <w:tcBorders>
              <w:left w:val="single" w:color="000000" w:sz="4" w:space="0"/>
              <w:bottom w:val="single" w:color="000000" w:sz="4" w:space="0"/>
              <w:right w:val="single" w:color="000000" w:sz="4" w:space="0"/>
            </w:tcBorders>
            <w:shd w:val="clear" w:color="auto" w:fill="D7D7D7" w:themeFill="background1" w:themeFillShade="D8"/>
            <w:vAlign w:val="center"/>
          </w:tcPr>
          <w:p w14:paraId="4BEABCD1">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参考品牌</w:t>
            </w:r>
          </w:p>
        </w:tc>
        <w:tc>
          <w:tcPr>
            <w:tcW w:w="380" w:type="pct"/>
            <w:tcBorders>
              <w:left w:val="single" w:color="000000" w:sz="4" w:space="0"/>
              <w:bottom w:val="single" w:color="000000" w:sz="4" w:space="0"/>
              <w:right w:val="single" w:color="000000" w:sz="4" w:space="0"/>
            </w:tcBorders>
            <w:shd w:val="clear" w:color="auto" w:fill="D7D7D7" w:themeFill="background1" w:themeFillShade="D8"/>
            <w:vAlign w:val="center"/>
          </w:tcPr>
          <w:p w14:paraId="40A2A67D">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单位</w:t>
            </w:r>
          </w:p>
        </w:tc>
        <w:tc>
          <w:tcPr>
            <w:tcW w:w="401" w:type="pct"/>
            <w:tcBorders>
              <w:left w:val="single" w:color="000000" w:sz="4" w:space="0"/>
              <w:bottom w:val="single" w:color="000000" w:sz="4" w:space="0"/>
              <w:right w:val="single" w:color="000000" w:sz="4" w:space="0"/>
            </w:tcBorders>
            <w:shd w:val="clear" w:color="auto" w:fill="D7D7D7" w:themeFill="background1" w:themeFillShade="D8"/>
            <w:vAlign w:val="center"/>
          </w:tcPr>
          <w:p w14:paraId="441848C0">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w:t>
            </w:r>
          </w:p>
        </w:tc>
      </w:tr>
      <w:tr w14:paraId="1F1FC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372" w:type="pct"/>
            <w:tcBorders>
              <w:top w:val="single" w:color="000000" w:sz="4" w:space="0"/>
              <w:bottom w:val="single" w:color="000000" w:sz="4" w:space="0"/>
              <w:right w:val="single" w:color="000000" w:sz="4" w:space="0"/>
            </w:tcBorders>
            <w:shd w:val="clear" w:color="auto" w:fill="auto"/>
            <w:vAlign w:val="center"/>
          </w:tcPr>
          <w:p w14:paraId="1E2F68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73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24口POE千兆交换机</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568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24个10/100/1000Base-T以太网端口，4个千兆SFP；支持POE+，功率约380W；</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AF9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华为/华三/锐捷</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15B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E61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3669C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tcBorders>
              <w:top w:val="single" w:color="000000" w:sz="4" w:space="0"/>
              <w:bottom w:val="single" w:color="000000" w:sz="4" w:space="0"/>
              <w:right w:val="single" w:color="000000" w:sz="4" w:space="0"/>
            </w:tcBorders>
            <w:shd w:val="clear" w:color="auto" w:fill="auto"/>
            <w:vAlign w:val="center"/>
          </w:tcPr>
          <w:p w14:paraId="46265AF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893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4K分布式一体节点</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1DA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1、系统采用嵌入式、全网络 IP 分布式架构设计，无中心服务器，可以依靠网络快速延伸增加系统节点，每个节点只需要配置 IP 即可接入网络，且系统任意一个节点故障，均不影响系统其他部分的正常运行；无风扇设计，噪音低于35dB。（提供CNAS认可的检测机构出具的测试报告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51384DB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2、设备具备7x24小时连续工作能力，MTBF值≥420000H；前面板支持监测电源状态、设备运行状态、网口连接状态、视频传输处理状态。（投标人提供CNAS认可的检测机构出具的测试报告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648202C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3、支持前液晶面板，显示设备IP等设备基础信息。</w:t>
            </w:r>
          </w:p>
          <w:p w14:paraId="1893F23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4、系统搭配客户端配置软件，支持跨网段设备搜索，点名查找，支持设置设备网络参数，具有设备IP冲突检测功能，可自动检测分布式系统中节点的IP地址冲突情况 。</w:t>
            </w:r>
          </w:p>
          <w:p w14:paraId="70DE327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5、支持HDMI2.0接口输入、环出，分辨率支持4Kx2K输入；支持标准3.5mm模拟音频输入、输出接口，LINE IN和MIC IN两种模式输入；支持1×RS232，1×RS485，1×红外输入接口，1×红外输出接口，1×I/O接口；支持USB-Type-B类型接口；支持POE供电、DC12V外接电源、集中供电箱等供电方式。</w:t>
            </w:r>
          </w:p>
          <w:p w14:paraId="6553F8D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6、支持Windows、中标麒麟（Kylin）、磐石、红帽、Ubuntu、Mac OS 、UOS等不同操作系统信号源的接管调度。 </w:t>
            </w:r>
          </w:p>
          <w:p w14:paraId="38050FD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7、支持HEVC/AVC编码方式，且支持H264/H 265 可选。支持设置高中低三种图像质量，支持码率类型设置为定码率或变码率，软件上码率可调，范围为512k~64M。且主码流支持组播和单播，子码流支持单播。  </w:t>
            </w:r>
          </w:p>
          <w:p w14:paraId="75AF5E7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8、支持信号源管理，支持手动添加单路或者多路信号源，批量导入信号源，输入信号源的属性读取和设置，读取EDID、色彩空间/采样率、位深，输入接口自定义重命名，设置信号源所属区域。EDID 自定义调节，宽度最大3840、高度最大3840；（提供CNAS认可的检测机构出具的测试报告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08346A3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支持输入源画面实时预览，编辑区实时查看大屏显示画面，场景布局可视化呈现，软件画面与大屏画面完全同步。支持设置截取参数作为新输入源，不影响原始输入源的使用，可使用不同截取源快速开窗，支持保存到场景中。</w:t>
            </w:r>
          </w:p>
          <w:p w14:paraId="012BF56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10、支持在输入信号源上叠加任意字符（台标），可叠加文字，图片，台标，时间等信息，可自定义字体、颜色、大小、位置、背景色等参数；</w:t>
            </w:r>
          </w:p>
          <w:p w14:paraId="65B6E61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平台全面兼容不同厂家Onvif协议及RTSP协议的IPC摄像机，和RTSP协议的NVR录像机的接入和使用，支持单个添加，批量添加和扫描添加等多种网络源接管方式。以及支持融合网关、媒体中心等资源接入各类电脑主机画面。</w:t>
            </w:r>
          </w:p>
          <w:p w14:paraId="2EBAA61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支持多个坐席拼接控制，支持图形可视化绑定坐席节点布局位置，支持将多个坐席节点设置为一个矩阵，使用同一套键鼠漫游控制多个节点。支持仅查看、管控、独占3种信号接管模式。可获取独占用户以及管控信号源的用户列表。</w:t>
            </w:r>
          </w:p>
          <w:p w14:paraId="45F0854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支持测试画面调节，画质调节，输出接口定位。支持输出接口的测试画面和整屏的测试画面输出，支持22种测试画面，支持间距、速度、亮度、线宽调节。支持针对前端视频源进行色彩校正功能。支持文本模式、视频模式、电影模式、视讯模式及护眼模式等多种画质模式选择。</w:t>
            </w:r>
          </w:p>
          <w:p w14:paraId="76682EB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14、支持通过背板图可视化查看设备接口状态和接口参数信息；具备软件点名功能，当软件选中节点时，节点所有指示灯闪烁，方便节点查找。</w:t>
            </w:r>
          </w:p>
          <w:p w14:paraId="485B69F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15、产品满足电磁兼容CLASS A等级要求。主芯片、存储等核心部件均为国产化器件。（投标人提供CNAS认可的检测机构出具的测试报告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1BC21B59">
            <w:pPr>
              <w:widowControl/>
              <w:numPr>
                <w:ilvl w:val="0"/>
                <w:numId w:val="7"/>
              </w:numPr>
              <w:jc w:val="left"/>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提供所投产品3C认证、产品彩页等证明材料；（提供证明材料</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w:t>
            </w:r>
          </w:p>
          <w:p w14:paraId="04CF6360">
            <w:pPr>
              <w:widowControl/>
              <w:jc w:val="left"/>
              <w:textAlignment w:val="center"/>
              <w:rPr>
                <w:rFonts w:hint="eastAsia" w:ascii="宋体" w:hAnsi="宋体" w:eastAsia="宋体" w:cs="宋体"/>
                <w:color w:val="auto"/>
                <w:kern w:val="0"/>
                <w:szCs w:val="21"/>
                <w:highlight w:val="none"/>
                <w:lang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8B0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C80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1DE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r>
      <w:tr w14:paraId="79666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372" w:type="pct"/>
            <w:tcBorders>
              <w:top w:val="single" w:color="000000" w:sz="4" w:space="0"/>
              <w:bottom w:val="single" w:color="000000" w:sz="4" w:space="0"/>
              <w:right w:val="single" w:color="000000" w:sz="4" w:space="0"/>
            </w:tcBorders>
            <w:shd w:val="clear" w:color="auto" w:fill="auto"/>
            <w:vAlign w:val="center"/>
          </w:tcPr>
          <w:p w14:paraId="4E12F84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B44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网络化音视频传输系统</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2C2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VGA、全高清/超高清音视频、DVI、SDI多格式视频流转换IP流处理；</w:t>
            </w:r>
          </w:p>
          <w:p w14:paraId="5666D63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Autoscaler技术，自动缩放输出适应显示器解析度的图像；</w:t>
            </w:r>
          </w:p>
          <w:p w14:paraId="63458C7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串口数据、IR数据、USB数据等转换IP流</w:t>
            </w:r>
          </w:p>
          <w:p w14:paraId="68958B0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HDCP1.2、DVI1.0协议编解码通讯识别；</w:t>
            </w:r>
          </w:p>
          <w:p w14:paraId="1553FE0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输入输出自适应分辨率，edid自适应；</w:t>
            </w:r>
          </w:p>
          <w:p w14:paraId="142472F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低延时高码流高清画质呈现；</w:t>
            </w:r>
          </w:p>
          <w:p w14:paraId="12603E7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格式转换器（Converter）、倍线器（Scaler）、传输器（Transmitter）功能一体；</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7C3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FE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DEA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r>
      <w:tr w14:paraId="1022C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tcBorders>
              <w:top w:val="single" w:color="000000" w:sz="4" w:space="0"/>
              <w:bottom w:val="single" w:color="000000" w:sz="4" w:space="0"/>
              <w:right w:val="single" w:color="000000" w:sz="4" w:space="0"/>
            </w:tcBorders>
            <w:shd w:val="clear" w:color="auto" w:fill="auto"/>
            <w:vAlign w:val="center"/>
          </w:tcPr>
          <w:p w14:paraId="297BBBE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394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4K分布式拼接节点</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290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1、系统采用嵌入式、全网络 IP 分布式架构设计，无中心服务器，可以依靠网络快速延伸增加系统节点，每个节点只需要配置 IP 即可接入网络，且系统任意一个节点故障，均不影响系统其他部分的正常运行；无风扇设计，噪音低于35dB。</w:t>
            </w:r>
          </w:p>
          <w:p w14:paraId="14595D3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2、设备具备7x24小时连续工作能力，MTBF值≥420000H；前面板支持监测电源状态、设备运行状态、网口连接状态、视频传输处理状态。（提供CNAS认可的检测机构出具的测试报告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4EBA63D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3、支持前液晶面板，显示设备IP等设备基础信息。（提供设备照片）</w:t>
            </w:r>
          </w:p>
          <w:p w14:paraId="75F9E86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4、系统采用软硬双同步技术，所有的输出节点输出画面同步误差小于10us，消除了多输出节点拼接画面不同步，或播放高动态画面时的撕裂现象。（提供CNAS认可的检测机构出具的测试报告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5D9F70F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5、支持HDMI2.0接口输出；支持标准3.5mm模拟音频输入、输出接口，LINE IN和MIC IN两种模式输入；支持1×RS232，1×红外输入接口，1×红外输出接口，2×I/O接口；支持3路USB接口；支持POE供电、DC12V外接电源、集中供电箱等供电方式。</w:t>
            </w:r>
          </w:p>
          <w:p w14:paraId="5271DE9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6、图层可在输出接口间漫游，用户可以对图层进行参数设置，包括：拖拽调节图层大小位置、输入源截取、图层优先级、图层叠加、锁定、一键清除、全屏和自适应接口全屏、无极缩放。支持视频无缝切换，视频切换无黑场，无闪屏；支持快速设置大屏黑屏和冻结，支持预编模式，在软件编辑确认好后再一键上屏，确保显示内容无误。 </w:t>
            </w:r>
          </w:p>
          <w:p w14:paraId="4383ED4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7、支持OSD图片、滚动字幕、跑马灯信息、天气预报、时钟、客户值班表、对联式字幕等的叠加显示，支持文字内容、字体间距、文字颜色、文字大小、位置、透明度、背景颜色、移动速度等的参数设置，支持任意比例缩放，支持字幕冻结。 （提供CNAS认可的检测机构出具的测试报告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60EE5FF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8、支持编辑区缩放、视频流开关、吸附对齐、自适应比例以及鹰眼图查看整体布局；输出画面缩小32倍，或放大16倍后仍然保持清晰不失真。</w:t>
            </w:r>
          </w:p>
          <w:p w14:paraId="330312B3">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9、支持20路2K分辨率视频流H.264/H.265 解码能力。支持TCP/UDP/RTSP/RTP/RTMP/ONVIF/H.323/SIP/HTTP等协议流媒体数据。支持IPC码流转发500路以上，以增强IPC多路并发数量</w:t>
            </w:r>
            <w:r>
              <w:rPr>
                <w:rFonts w:hint="eastAsia" w:ascii="宋体" w:hAnsi="宋体" w:eastAsia="宋体" w:cs="宋体"/>
                <w:color w:val="auto"/>
                <w:kern w:val="0"/>
                <w:szCs w:val="21"/>
                <w:highlight w:val="none"/>
                <w:lang w:eastAsia="zh-CN" w:bidi="ar"/>
              </w:rPr>
              <w:t>。</w:t>
            </w:r>
          </w:p>
          <w:p w14:paraId="4F77FEC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10、支持设置视频源轮巡模式，支持在屏幕上指定区域进行循环显示；支持分组、轮巡间隔、分割模式设置。支持定时和循环2种模式的场景轮巡，满足多种用户使用场景。可对多个不同规模，不同类型的显示屏进行统一管理和联合调度，进行预案设置和排期。（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3F23F93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11、支持对计算机类源进行反向控制。可通过远程控制电脑信号源，在软件端和pad端控制输入源画面的显示和切换以及远程操作电脑主机里的文件和内容。</w:t>
            </w:r>
          </w:p>
          <w:p w14:paraId="0808DB9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支持推送信号源至大屏进行信息共享，并且支持席位将画面一键推送至其他多个大屏和坐席。并且支持对显示大屏操作，包括LED屏幕亮度调节、OSD开关、BKG开关、黑屏、冻结以及多屏控制功能。支持软件盘和触控屏OSD坐席。</w:t>
            </w:r>
          </w:p>
          <w:p w14:paraId="762A020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13、坐席节点支持RTSP协议，可以直接解码网络摄像机信号源，显示到坐席界面上，不再需要第三方提供转码服务器。支持USB切换、固定、开关功能。实现单个U盘在多个业务系统之间切换；或固定在某个业务系统，桌面切换不影响数据传输；实现USB数据接口开启、关闭操作，保证数据安全。（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369BCFE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14、支持自由布局模式和按照预设模板布局，支持图层画面快速按照图层布局分割线和按接口填充和还原，支持用户自定义异形图层布局模板；支持接口异形拼接，可以实现非矩形拼接显示。</w:t>
            </w:r>
          </w:p>
          <w:p w14:paraId="541CBD7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15、产品满足电磁兼容CLASS A等级要求。主芯片、存储等核心部件均为国产化器件。</w:t>
            </w:r>
          </w:p>
          <w:p w14:paraId="72B75751">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16</w:t>
            </w:r>
            <w:bookmarkStart w:id="35" w:name="OLE_LINK49"/>
            <w:r>
              <w:rPr>
                <w:rFonts w:hint="eastAsia" w:ascii="宋体" w:hAnsi="宋体" w:eastAsia="宋体" w:cs="宋体"/>
                <w:color w:val="auto"/>
                <w:kern w:val="0"/>
                <w:szCs w:val="21"/>
                <w:highlight w:val="none"/>
                <w:lang w:bidi="ar"/>
              </w:rPr>
              <w:t>、</w:t>
            </w:r>
            <w:bookmarkEnd w:id="35"/>
            <w:r>
              <w:rPr>
                <w:rFonts w:hint="eastAsia" w:ascii="宋体" w:hAnsi="宋体" w:eastAsia="宋体" w:cs="宋体"/>
                <w:color w:val="auto"/>
                <w:kern w:val="0"/>
                <w:szCs w:val="21"/>
                <w:highlight w:val="none"/>
                <w:lang w:bidi="ar"/>
              </w:rPr>
              <w:t>提供所投产品3C认证、产品彩页等证明材料；（提供证明材料</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3C9B95F7">
            <w:pPr>
              <w:widowControl/>
              <w:jc w:val="left"/>
              <w:textAlignment w:val="center"/>
              <w:rPr>
                <w:rFonts w:hint="eastAsia" w:ascii="宋体" w:hAnsi="宋体" w:eastAsia="宋体" w:cs="宋体"/>
                <w:color w:val="auto"/>
                <w:kern w:val="0"/>
                <w:szCs w:val="21"/>
                <w:highlight w:val="none"/>
                <w:lang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490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9E8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C9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r>
      <w:tr w14:paraId="2673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72" w:type="pct"/>
            <w:tcBorders>
              <w:top w:val="single" w:color="000000" w:sz="4" w:space="0"/>
              <w:bottom w:val="single" w:color="000000" w:sz="4" w:space="0"/>
              <w:right w:val="single" w:color="000000" w:sz="4" w:space="0"/>
            </w:tcBorders>
            <w:shd w:val="clear" w:color="auto" w:fill="auto"/>
            <w:vAlign w:val="center"/>
          </w:tcPr>
          <w:p w14:paraId="26ABBA5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71A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网络化音视频传输系统</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61C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VGA、全高清/超高清音视频、DVI、SDI多格式视频流转换IP流处理；</w:t>
            </w:r>
          </w:p>
          <w:p w14:paraId="0EBDCC3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Autoscaler技术，自动缩放输出适应显示器解析度的图像；</w:t>
            </w:r>
          </w:p>
          <w:p w14:paraId="5AD0268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串口数据、IR数据、USB数据等转换IP流</w:t>
            </w:r>
          </w:p>
          <w:p w14:paraId="7EC8823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HDCP1.2、DVI1.0协议编解码通讯识别；</w:t>
            </w:r>
          </w:p>
          <w:p w14:paraId="479AE30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输入输出自适应分辨率，edid自适应；</w:t>
            </w:r>
          </w:p>
          <w:p w14:paraId="1B5EBA4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低延时高码流高清画质呈现；</w:t>
            </w:r>
          </w:p>
          <w:p w14:paraId="73AF7CC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格式转换器（Converter）、倍线器（Scaler）、传输器（Transmitter）功能一体；</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AEF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29C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0B1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r>
      <w:tr w14:paraId="5C80F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372" w:type="pct"/>
            <w:tcBorders>
              <w:top w:val="single" w:color="000000" w:sz="4" w:space="0"/>
              <w:bottom w:val="single" w:color="000000" w:sz="4" w:space="0"/>
              <w:right w:val="single" w:color="000000" w:sz="4" w:space="0"/>
            </w:tcBorders>
            <w:shd w:val="clear" w:color="auto" w:fill="auto"/>
            <w:vAlign w:val="center"/>
          </w:tcPr>
          <w:p w14:paraId="382639D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CB6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通用可视化管控服务软件</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603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1、支持多媒体服务器和播控系统的可视化控制。 支持触控一键切换播控服务器的预存节目。支持对播控服务器进行黑屏、播放、暂停、停止、音量和播放进度控制。（提供CNAS认可的检测机构出具的测试报告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4089997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2、支持多媒体服务器拖拽式媒体快速开图层、图层切换媒体素材、图层优先级调整（图层置顶、置底、上移一层和下移一层控制）；</w:t>
            </w:r>
          </w:p>
          <w:p w14:paraId="5401CD1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3、支持多媒体服务器上的图层位置（图层X坐标、Y坐标）、大小（图层高度和宽度）的触控和精确调节多种操作方式，图层多角度精准的旋转；</w:t>
            </w:r>
          </w:p>
          <w:p w14:paraId="625212B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4、支持多媒体服务器媒体库目录层级显示、收起和打开，方便快速查看和使用；支持对多媒体服务器播放的PPT进行翻页控制（上一页、下一页）；</w:t>
            </w:r>
          </w:p>
          <w:p w14:paraId="4F88B34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5、支持图层优先级调节、快速铺满布局和接口、图层一键全屏、图层拖拽缩放、图层快速替换、清除图层、图层冻结、图层锁定等操作。支持精准吸附功能，窗口移动可以快速上下左右和四角自动对齐吸附；</w:t>
            </w:r>
          </w:p>
          <w:p w14:paraId="39BE099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6、支持大屏区域进行开窗操作，平台自带精准吸附功能，窗口移动可以快速上下左右和四角自动对齐吸附，缩短操作路径；</w:t>
            </w:r>
          </w:p>
          <w:p w14:paraId="68A0FB6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7、支持视频拼接服务器及编解码器设备大屏黑屏、冻结、清除等操作，支持操作区域锁定、实时视频画面关闭和开启；（提供CNAS认可的检测机构出具的测试报告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5FB60CD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8、支持LED大屏亮度调节功能，在大屏控制工具栏可随时进行LED大屏亮度调节，滑竿式设计提升调节操作体验，调节完成可一键固化，系统和大屏重启后亮度不变；</w:t>
            </w:r>
          </w:p>
          <w:p w14:paraId="2F7345C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9、支持实时和预编两种上屏模式，实现大屏显示内容的灵活管理与调度；支持图层反控，可远程操控被控主机，进行相关键鼠操作；</w:t>
            </w:r>
          </w:p>
          <w:p w14:paraId="78660B3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10、支持局域网中IPC摄像头的添加及画面预览，IPC云台上下左右、拉近、拉远、变焦、光圈、预置位保存及调用等功能控制；</w:t>
            </w:r>
          </w:p>
          <w:p w14:paraId="654BB14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11、支持多媒体播放盒节目的查看，切换，播放，暂停，停止，快进，快退；支持PPT上下翻页；</w:t>
            </w:r>
          </w:p>
          <w:p w14:paraId="3F788FB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12、支持信号源、视频拼接处理器、控制系统和拼接大屏全链路拓扑连接全景化展示，支持拓扑的自由放大缩小；支持按区域查看套拓扑图，展示信号源，设备和屏幕连接状态并异常告警；</w:t>
            </w:r>
          </w:p>
          <w:p w14:paraId="02BED12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13、支持以日历的样式显示当前预案排布信息，支持日月视图的切换；全流程智能预案控制，支持一键调用手动预案，或开始/停止自动预案；支持查看所有预案的历史执行记录及未执行预案的编排信息；</w:t>
            </w:r>
          </w:p>
          <w:p w14:paraId="3F97EB4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14、具备全可视化控制和操作，所见即所得，现场控制的准确性和针对性更高；且具备良好的界面设计和用户体验，操作人员使用简单、流畅；（提供CNAS认可的检测机构出具的测试报告</w:t>
            </w:r>
            <w:r>
              <w:rPr>
                <w:rFonts w:hint="eastAsia" w:ascii="宋体" w:hAnsi="宋体" w:eastAsia="宋体" w:cs="宋体"/>
                <w:color w:val="auto"/>
                <w:kern w:val="0"/>
                <w:szCs w:val="21"/>
                <w:highlight w:val="none"/>
                <w:lang w:eastAsia="zh-CN" w:bidi="ar"/>
              </w:rPr>
              <w:t>复印（扫描）件</w:t>
            </w:r>
            <w:r>
              <w:rPr>
                <w:rFonts w:hint="eastAsia" w:ascii="宋体" w:hAnsi="宋体" w:eastAsia="宋体" w:cs="宋体"/>
                <w:color w:val="auto"/>
                <w:kern w:val="0"/>
                <w:szCs w:val="21"/>
                <w:highlight w:val="none"/>
                <w:lang w:bidi="ar"/>
              </w:rPr>
              <w:t>）</w:t>
            </w:r>
          </w:p>
          <w:p w14:paraId="551969D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15、支持账号密码登录，指纹登录，人脸识别登录等多种登录方式；大屏控制模块，支持多个客户端操作同步，让任何时刻的编辑操作都实时高效，安全可靠。</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598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83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950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07512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372" w:type="pct"/>
            <w:tcBorders>
              <w:top w:val="single" w:color="000000" w:sz="4" w:space="0"/>
              <w:bottom w:val="single" w:color="000000" w:sz="4" w:space="0"/>
              <w:right w:val="single" w:color="000000" w:sz="4" w:space="0"/>
            </w:tcBorders>
            <w:shd w:val="clear" w:color="auto" w:fill="auto"/>
            <w:vAlign w:val="center"/>
          </w:tcPr>
          <w:p w14:paraId="7CA822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031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监看显示器</w:t>
            </w:r>
          </w:p>
        </w:tc>
        <w:tc>
          <w:tcPr>
            <w:tcW w:w="2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DEF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24寸液晶显示器</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93F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联想/HP/华为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3D6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F43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bl>
    <w:p w14:paraId="0E9E8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p>
    <w:p w14:paraId="23A060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3.5、环境控制系统</w:t>
      </w:r>
    </w:p>
    <w:tbl>
      <w:tblPr>
        <w:tblStyle w:val="49"/>
        <w:tblW w:w="5228"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108" w:type="dxa"/>
          <w:bottom w:w="0" w:type="dxa"/>
          <w:right w:w="108" w:type="dxa"/>
        </w:tblCellMar>
      </w:tblPr>
      <w:tblGrid>
        <w:gridCol w:w="702"/>
        <w:gridCol w:w="1833"/>
        <w:gridCol w:w="4775"/>
        <w:gridCol w:w="1193"/>
        <w:gridCol w:w="748"/>
        <w:gridCol w:w="875"/>
      </w:tblGrid>
      <w:tr w14:paraId="6DC102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7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1BDC">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D54C">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设备名称</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058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详细参数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A140">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参考品牌</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9444">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C868">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w:t>
            </w:r>
          </w:p>
        </w:tc>
      </w:tr>
      <w:tr w14:paraId="0271E2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D94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95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中央控制主机</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AA4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1.设备采用2U钣金结构机箱，样机的外壳防护等级符合GB/T4208-2017中IP20标准要求，机箱采用激光切割、精密数控折弯成型，保证加工精度及成型质量；</w:t>
            </w:r>
          </w:p>
          <w:p w14:paraId="40CFCD2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2.设备前面板内嵌LCD彩色液晶屏，无需连接额外的电脑和软件，在设备端可实时查看监控设备接口状态及IP地址；</w:t>
            </w:r>
          </w:p>
          <w:p w14:paraId="29DF42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3.搭载32位工业级处理器 ARM Cortex® ，性能稳定可靠；</w:t>
            </w:r>
          </w:p>
          <w:p w14:paraId="7837282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4.设备采用纯硬件插卡式设计架构，内部无操作系统；无系统奔溃，病毒侵染，兼容性等问题；</w:t>
            </w:r>
          </w:p>
          <w:p w14:paraId="2685E51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5.设备支持数据实时存储，意外断电后，重新上电时数据可自动恢复</w:t>
            </w:r>
          </w:p>
          <w:p w14:paraId="06FC1DA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6.具备Ethernet控制接口，支持TCP/UDP网络控制协议。可通过有线/无线路由进行跨区域控制</w:t>
            </w:r>
          </w:p>
          <w:p w14:paraId="5EF9EA5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7.支持RS232,RS485,RS422,Relay,I/O,IR,DMX512,CAN，Modbus等多种协议类型，可方便集成各种类型设备的控制；</w:t>
            </w:r>
          </w:p>
          <w:p w14:paraId="4739B93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8.支持红外学习，并可将红外学习到的命令进行存储和下发。</w:t>
            </w:r>
          </w:p>
          <w:p w14:paraId="2EAFC38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9.支持时间线编程，通过时间线编程，完成一系列复杂交互需求；</w:t>
            </w:r>
          </w:p>
          <w:p w14:paraId="065BBF2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10.支持设备回包数据的实时解析，并反馈至控制界面，可以直观看到控制指令是否正确执行；</w:t>
            </w:r>
          </w:p>
          <w:p w14:paraId="3C61B61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11.支持7个插卡式槽位，无需区分输入输出，可自由选配子卡任意混插。</w:t>
            </w:r>
          </w:p>
          <w:p w14:paraId="180532E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12.支持配置视频矩阵子卡，单卡可支持4路HDMI2.0输入，3路HDMI2.0输出能力；分辨率可达3840*2160@60HZ；</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3B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嗨动/卡莱特/小鸟</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B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D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D2EAC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170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55D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F60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平板</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B52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11寸高刷全面屏，鸿蒙HarmonyOS，影音娱乐办公学习平板6+128GB，屏幕尺寸：10.95英寸；分辨率：2560x1600；运行内存：6GB；内存容量：128GB；CPU核心数：八核；重量：0.845kg；</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8BE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华为/联想/小米</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699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C0B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706D30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46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F3B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064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无线路由器</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F9C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Wi-Fi：IEEE 802.11a/b/g/n/ac/ax无线协议；最高无线速率5378Mbps（2.4GHz 574Mbps，5GHz 4804Mbps）；波束成形（Beamforming）；4×4 MU-MIMO；WMM：基于优先级的数据处理和转发；Wi-Fi多频合一；易展功能；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以太网端口：4个10/100/1000Mbps速率自适应以太网接口，支持WAN/LAN自适应（网口盲插）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安全：WPA-PSK、WPA2-PSK、WPA3无线加密；主人网络、访客网络；管理员身份限定；</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天线类型：外置全向天线，2根2.4G天线，4根5G天线；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电源：直流供电，出厂配送12V/2A电源适配器；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C66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TP-LINK/华为/华三</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50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81B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540A3A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9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BAD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C0D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Pad许可</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CA94">
            <w:pPr>
              <w:widowControl/>
              <w:jc w:val="both"/>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ios </w:t>
            </w:r>
            <w:r>
              <w:rPr>
                <w:rFonts w:hint="eastAsia" w:ascii="宋体" w:hAnsi="宋体" w:eastAsia="宋体" w:cs="宋体"/>
                <w:color w:val="auto"/>
                <w:kern w:val="0"/>
                <w:szCs w:val="21"/>
                <w:highlight w:val="none"/>
                <w:lang w:val="en-US" w:eastAsia="zh-CN" w:bidi="ar"/>
              </w:rPr>
              <w:t>&amp;</w:t>
            </w:r>
            <w:r>
              <w:rPr>
                <w:rFonts w:hint="eastAsia" w:ascii="宋体" w:hAnsi="宋体" w:eastAsia="宋体" w:cs="宋体"/>
                <w:color w:val="auto"/>
                <w:kern w:val="0"/>
                <w:szCs w:val="21"/>
                <w:highlight w:val="none"/>
                <w:lang w:bidi="ar"/>
              </w:rPr>
              <w:t xml:space="preserve"> android平板的软件使用许可证书</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B0A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3D9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C67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7839318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F77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A6B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电源控制器</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D90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1、设备支持220V±10%, 50/60Hz 的输入电压，最大功耗支持8.8KW;</w:t>
            </w:r>
          </w:p>
          <w:p w14:paraId="3315CA4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2、支持8 路大电流时序电源输出，任意一路可根据使用需求修改为直通电源输出；设备前面板支持1路直通电源输出，不受时序控制；</w:t>
            </w:r>
          </w:p>
          <w:p w14:paraId="65B2214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3、前面板配备显示屏，可随时监视市电电压的稳定性；具备过流保护、过压保护、欠压保护等，保护供电设备的使用安全；</w:t>
            </w:r>
          </w:p>
          <w:p w14:paraId="325253A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4、8路电源时序控制，每路输出闭合/断开的延时支持1~9999S自定义；</w:t>
            </w:r>
          </w:p>
          <w:p w14:paraId="759F7B7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5、采用串口通用协议控制，可兼容主流品牌的智能中央控制系统或第三方设备的控制；</w:t>
            </w:r>
          </w:p>
          <w:p w14:paraId="38384B6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6、支持设备之间的级联控制，最大可支持255台设备；1 路 USB 供电，最大支持 5V/1A ；</w:t>
            </w:r>
          </w:p>
          <w:p w14:paraId="353508C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7、支持通过上位机软件实时获取设备电源输出口的闭合/断开状态。</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E5E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1E1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76A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214E7C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51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918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47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系统设计软件</w:t>
            </w:r>
          </w:p>
        </w:tc>
        <w:tc>
          <w:tcPr>
            <w:tcW w:w="2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B67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1、具备全可视化控制和操作，所见即所得，提升现场控制的准确性和针对性；并且具备良好的界面设计和用户体验，操作人员使用简单、流畅；</w:t>
            </w:r>
          </w:p>
          <w:p w14:paraId="40811E4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2、支持多控制端，如移动端、落地一体机等多种客户端操作实时同步，让任何时刻的编辑操作都实时高效，安全可靠；</w:t>
            </w:r>
          </w:p>
          <w:p w14:paraId="6E6CE55A">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3、支持多媒体播控服务器、视频拼接器、音频处理器、智能中控及IPC摄像机的可视化控制。</w:t>
            </w:r>
          </w:p>
          <w:p w14:paraId="7383B16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4、可视化控制平台单模块授权码，单一授权码可任四选一激活（大屏控制、多媒体控制、智能点播/IPC管理、智能反控），单个APP最多可选四个授权码。</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251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嗨动/卡莱特/小鸟</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79E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89E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bl>
    <w:p w14:paraId="2B2899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p>
    <w:bookmarkEnd w:id="32"/>
    <w:p w14:paraId="1259A8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3.6、舞台灯光系统</w:t>
      </w:r>
    </w:p>
    <w:tbl>
      <w:tblPr>
        <w:tblStyle w:val="49"/>
        <w:tblW w:w="521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867"/>
        <w:gridCol w:w="5054"/>
        <w:gridCol w:w="1040"/>
        <w:gridCol w:w="644"/>
        <w:gridCol w:w="819"/>
      </w:tblGrid>
      <w:tr w14:paraId="30F92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33" w:type="pct"/>
            <w:tcBorders>
              <w:bottom w:val="single" w:color="000000" w:sz="4" w:space="0"/>
              <w:right w:val="single" w:color="000000" w:sz="4" w:space="0"/>
            </w:tcBorders>
            <w:shd w:val="clear" w:color="auto" w:fill="auto"/>
            <w:vAlign w:val="center"/>
          </w:tcPr>
          <w:p w14:paraId="075576D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924" w:type="pct"/>
            <w:tcBorders>
              <w:left w:val="single" w:color="000000" w:sz="4" w:space="0"/>
              <w:bottom w:val="single" w:color="000000" w:sz="4" w:space="0"/>
              <w:right w:val="single" w:color="000000" w:sz="4" w:space="0"/>
            </w:tcBorders>
            <w:shd w:val="clear" w:color="auto" w:fill="auto"/>
            <w:vAlign w:val="center"/>
          </w:tcPr>
          <w:p w14:paraId="7718B0D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502" w:type="pct"/>
            <w:tcBorders>
              <w:left w:val="single" w:color="000000" w:sz="4" w:space="0"/>
              <w:bottom w:val="single" w:color="000000" w:sz="4" w:space="0"/>
              <w:right w:val="single" w:color="000000" w:sz="4" w:space="0"/>
            </w:tcBorders>
            <w:shd w:val="clear" w:color="auto" w:fill="auto"/>
            <w:vAlign w:val="center"/>
          </w:tcPr>
          <w:p w14:paraId="34881EE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详细参数</w:t>
            </w:r>
          </w:p>
        </w:tc>
        <w:tc>
          <w:tcPr>
            <w:tcW w:w="514" w:type="pct"/>
            <w:tcBorders>
              <w:left w:val="single" w:color="000000" w:sz="4" w:space="0"/>
              <w:bottom w:val="single" w:color="000000" w:sz="4" w:space="0"/>
              <w:right w:val="single" w:color="000000" w:sz="4" w:space="0"/>
            </w:tcBorders>
            <w:shd w:val="clear" w:color="auto" w:fill="auto"/>
            <w:vAlign w:val="center"/>
          </w:tcPr>
          <w:p w14:paraId="5E5D00B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参考品牌</w:t>
            </w:r>
          </w:p>
        </w:tc>
        <w:tc>
          <w:tcPr>
            <w:tcW w:w="318" w:type="pct"/>
            <w:tcBorders>
              <w:left w:val="single" w:color="000000" w:sz="4" w:space="0"/>
              <w:bottom w:val="single" w:color="000000" w:sz="4" w:space="0"/>
              <w:right w:val="single" w:color="000000" w:sz="4" w:space="0"/>
            </w:tcBorders>
            <w:shd w:val="clear" w:color="auto" w:fill="auto"/>
            <w:vAlign w:val="center"/>
          </w:tcPr>
          <w:p w14:paraId="7B85A7F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05" w:type="pct"/>
            <w:tcBorders>
              <w:left w:val="single" w:color="000000" w:sz="4" w:space="0"/>
              <w:bottom w:val="single" w:color="000000" w:sz="4" w:space="0"/>
              <w:right w:val="single" w:color="000000" w:sz="4" w:space="0"/>
            </w:tcBorders>
            <w:shd w:val="clear" w:color="auto" w:fill="auto"/>
            <w:vAlign w:val="center"/>
          </w:tcPr>
          <w:p w14:paraId="4A3482D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4B203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333" w:type="pct"/>
            <w:tcBorders>
              <w:top w:val="single" w:color="000000" w:sz="4" w:space="0"/>
              <w:bottom w:val="single" w:color="000000" w:sz="4" w:space="0"/>
              <w:right w:val="single" w:color="000000" w:sz="4" w:space="0"/>
            </w:tcBorders>
            <w:shd w:val="clear" w:color="auto" w:fill="auto"/>
            <w:vAlign w:val="center"/>
          </w:tcPr>
          <w:p w14:paraId="0CBCF7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A1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成像面光灯</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6E5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光通量: 8800LM/12500LM，色    温: 3200K/4000K/5500K 可选，光    源：大功率LED，光的角度：19°/26°/36°/50°，额定电压：100～240V，额定功率：150W/200W，控制模式：DMX512，防护等级：IP33，最大环境温度：55°C，最小环境温度：-30°C，灯体最高表面温度：40°C～55°C，寿    命：50000小时，外形尺寸：610X380X495(mm)，重    量:9.5KG</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F7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54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420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14:paraId="478A9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3" w:type="pct"/>
            <w:tcBorders>
              <w:top w:val="single" w:color="000000" w:sz="4" w:space="0"/>
              <w:bottom w:val="single" w:color="000000" w:sz="4" w:space="0"/>
              <w:right w:val="single" w:color="000000" w:sz="4" w:space="0"/>
            </w:tcBorders>
            <w:shd w:val="clear" w:color="auto" w:fill="auto"/>
            <w:vAlign w:val="center"/>
          </w:tcPr>
          <w:p w14:paraId="47ADC3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FF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LED帕灯</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F2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额定电压：AC110V～240V, 50～60Hz   功率:165W；光源： 54×3W LED(R14G14B14W12)/平均寿命：50000H；混色：RGBW(红绿蓝白)线性混色，1670万种颜色（0-100%饱和度可调），内置宏功能。色温校正：3200K～7200K线性调节；发光角度可调节；透镜角度：25°(15°、45°可选)；独立电子频闪1-25Hz，可随机频闪，脉冲频闪，同步异步频闪，单色、混色温频闪。液晶显示菜单：调用各种场景，内置程序可以直接调用执行；控制模式：多种声控、DMX512.内置程序自走、主从联机模式；通道：5/8通道(二种通道模式可选)。灯具连接：三芯信号线IN/OUT   电源线IN/OUT；铸铝外壳，光效高，混光均匀，性能稳定，配一进一出手拉手1米长电源、信号线，1024级超高灰度调光更加柔和。电子调光：0-100%独立电子线性调光，摄像视频真实无闪烁，主从自走自动同步功能，控台正常控制自走永久同步；防护等级：电气Ⅱ级，防火V-1，防护IP20；声控灵敏度：65-130dB；工作环境：-20℃~40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974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F42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20A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r>
      <w:tr w14:paraId="2AF24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333" w:type="pct"/>
            <w:tcBorders>
              <w:top w:val="single" w:color="000000" w:sz="4" w:space="0"/>
              <w:bottom w:val="single" w:color="000000" w:sz="4" w:space="0"/>
              <w:right w:val="single" w:color="000000" w:sz="4" w:space="0"/>
            </w:tcBorders>
            <w:shd w:val="clear" w:color="auto" w:fill="auto"/>
            <w:vAlign w:val="center"/>
          </w:tcPr>
          <w:p w14:paraId="152A1F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2B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平板会议灯</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02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电压:AC100~240V,50/60Hz 功率:128W 光源:256颗0.5W高亮度LED贴片灯珠(暖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白)LED寿命:50,000 小时色温:3200K~6500K可选显指:R&gt;85 光束角度:60度效果:调光0~100%通道:2CH 协议:DMX512 控制模式:DMX512控制保护等级:IP25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6FF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98F8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5FE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r w14:paraId="3A18A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3" w:type="pct"/>
            <w:tcBorders>
              <w:top w:val="single" w:color="000000" w:sz="4" w:space="0"/>
              <w:bottom w:val="single" w:color="000000" w:sz="4" w:space="0"/>
              <w:right w:val="single" w:color="000000" w:sz="4" w:space="0"/>
            </w:tcBorders>
            <w:shd w:val="clear" w:color="auto" w:fill="auto"/>
            <w:vAlign w:val="center"/>
          </w:tcPr>
          <w:p w14:paraId="517D4C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45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bookmarkStart w:id="36" w:name="OLE_LINK60"/>
            <w:r>
              <w:rPr>
                <w:rFonts w:hint="eastAsia" w:ascii="宋体" w:hAnsi="宋体" w:eastAsia="宋体" w:cs="宋体"/>
                <w:i w:val="0"/>
                <w:iCs w:val="0"/>
                <w:color w:val="auto"/>
                <w:kern w:val="0"/>
                <w:sz w:val="21"/>
                <w:szCs w:val="21"/>
                <w:highlight w:val="none"/>
                <w:u w:val="none"/>
                <w:lang w:val="en-US" w:eastAsia="zh-CN" w:bidi="ar"/>
              </w:rPr>
              <w:t>电脑摇头图案灯（三合一）</w:t>
            </w:r>
            <w:bookmarkEnd w:id="36"/>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7E4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电 压: AC100-240V 50/60Hz 2. 灯泡: YODN R17/350W兼容OSRAM PHILIPS R17/350W 3. 色 温: 7500K 4. 灯泡寿命: 2000小时5. 颜 色: 1个颜色盘,13色+白光,可半色、可双向流动6. 图 案: 1个旋转图案盘,9 个可更换图案片+白光,单向旋转,图案盘可抖动7. 固定图案:1个固定图案盘,17种图案,图案盘可抖动,可双向流动8. 棱 镜:1个可旋转十六棱镜,另一个旋转排镜或八棱镜,单向旋转9. 镜 头: 高精密多组胶合光学镜头10. 柔光效果: 可调节柔光角度11. 光 束: 多级光束角度变化效果12. 调 焦: 线性调焦13. 调 光: 0-100%线性调节14. 光束角度:2度-56度15. 投光范围: X向540度,Y向270度,可自动校正定位16. 扫描速度: X向2.6秒/540 度,Y向1.24秒/270度17. 频 闪: 双频闪结构 ,频闪0.5-14次/秒18. 马达数量: 16个超静音马达,其中二个三相马达,16Bit驱动19. 控制方式: 国际标准DMX512,自走模式等。20. 控制通道:2个控制通道模式选择,16/24通道。21. 时间功能:在菜单内可记录灯具和灯泡的工作总时间和工作时间</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B6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4C4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6E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r>
      <w:tr w14:paraId="0DFCA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33" w:type="pct"/>
            <w:tcBorders>
              <w:top w:val="single" w:color="000000" w:sz="4" w:space="0"/>
              <w:bottom w:val="single" w:color="000000" w:sz="4" w:space="0"/>
              <w:right w:val="single" w:color="000000" w:sz="4" w:space="0"/>
            </w:tcBorders>
            <w:shd w:val="clear" w:color="auto" w:fill="auto"/>
            <w:vAlign w:val="center"/>
          </w:tcPr>
          <w:p w14:paraId="07E89B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6C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bookmarkStart w:id="37" w:name="OLE_LINK61"/>
            <w:r>
              <w:rPr>
                <w:rFonts w:hint="eastAsia" w:ascii="宋体" w:hAnsi="宋体" w:eastAsia="宋体" w:cs="宋体"/>
                <w:i w:val="0"/>
                <w:iCs w:val="0"/>
                <w:color w:val="auto"/>
                <w:kern w:val="0"/>
                <w:sz w:val="21"/>
                <w:szCs w:val="21"/>
                <w:highlight w:val="none"/>
                <w:u w:val="none"/>
                <w:lang w:val="en-US" w:eastAsia="zh-CN" w:bidi="ar"/>
              </w:rPr>
              <w:t>电脑灯控制台</w:t>
            </w:r>
            <w:bookmarkEnd w:id="37"/>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30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工程锁。可以按需求定制控台使用时间，到期自动锁定控 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采用功能强大的泰坦 Titan9.0 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▲Intel 酷睿≥I5 双核处理器， ≥128G 固态硬盘， ≥ 4G(DDR3)内存。</w:t>
            </w:r>
            <w:r>
              <w:rPr>
                <w:rFonts w:hint="eastAsia" w:ascii="宋体" w:hAnsi="宋体" w:eastAsia="宋体" w:cs="宋体"/>
                <w:b w:val="0"/>
                <w:bCs w:val="0"/>
                <w:i w:val="0"/>
                <w:iCs w:val="0"/>
                <w:color w:val="auto"/>
                <w:kern w:val="0"/>
                <w:sz w:val="21"/>
                <w:szCs w:val="21"/>
                <w:highlight w:val="none"/>
                <w:u w:val="none"/>
                <w:lang w:val="en-US" w:eastAsia="zh-CN" w:bidi="ar"/>
              </w:rPr>
              <w:t>（需提供产品彩页</w:t>
            </w:r>
            <w:bookmarkStart w:id="38" w:name="OLE_LINK30"/>
            <w:r>
              <w:rPr>
                <w:rFonts w:hint="eastAsia" w:ascii="宋体" w:hAnsi="宋体" w:eastAsia="宋体" w:cs="宋体"/>
                <w:b w:val="0"/>
                <w:bCs w:val="0"/>
                <w:i w:val="0"/>
                <w:iCs w:val="0"/>
                <w:color w:val="auto"/>
                <w:kern w:val="0"/>
                <w:sz w:val="21"/>
                <w:szCs w:val="21"/>
                <w:highlight w:val="none"/>
                <w:u w:val="none"/>
                <w:lang w:val="en-US" w:eastAsia="zh-CN" w:bidi="ar"/>
              </w:rPr>
              <w:t>复印（扫描）件</w:t>
            </w:r>
            <w:bookmarkEnd w:id="38"/>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内置一个≥15.6 寸触摸屏和一个≥15.6 寸液晶屏，亮度 和可视角度更好。并可扩展一个触摸屏。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屏幕向上折弯 20 度，视角更好。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≥8/12 个 DMX 输出端口， ≥4096+个 DMX 通道。 支持 Artnet,并可扩展至 64 个 DMX 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 UPS 电源,断电可供电 30 分钟左右（可以定制断电可工 作时间）防止突然断电系统损坏或丢失程序。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特有的无需接外部电源可以开机工作。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Titan Remote 远程控制。远程触发的 Cue 会在控台显示。 TitanNet Sessions（TitanNet 系统进程控制）联机功能。 支持连接 Tiger Touch Fader Wing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可以连接 Mobile Wing。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现场 CITP 缩略图。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新增 DHCP（自动分配 IP 地址）功能。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DMX 线路设置更方便。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全局素材。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关键帧效果。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声音触发。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内置图形发生器，且内置效果可以同步。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新增剧场模式。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配接信息可以以文档的形式输出。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控台内置播放器时间码，可以很方便编辑灯光秀。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内置像素映射。像素映射在 6.1 的基础上忧化布局编辑，使 用更简单更方便。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个宏按键，可编辑任何程序。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 个重放推杆，支持 1000 个虚拟重放。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强大的 CMY 调色板功能。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支持涂鸦式手写命名功能。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支持中文菜单显示，且内置多国语言。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 CITP 协议，可预览服务器或数字灯的内置素材。 内置数千种灯库，并内置灯库编辑软件。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 Visualiser 可视化舞台模拟软件，支持视频。 提供 MIDI 时间码控制。</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B6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E32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F60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54094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333" w:type="pct"/>
            <w:tcBorders>
              <w:top w:val="single" w:color="000000" w:sz="4" w:space="0"/>
              <w:bottom w:val="single" w:color="000000" w:sz="4" w:space="0"/>
              <w:right w:val="single" w:color="000000" w:sz="4" w:space="0"/>
            </w:tcBorders>
            <w:shd w:val="clear" w:color="auto" w:fill="auto"/>
            <w:vAlign w:val="center"/>
          </w:tcPr>
          <w:p w14:paraId="461526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B8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智能电源直通柜</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02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 智能控制开关，与控制台DMX512信号控制开和关。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供电：三相五线制AC380V±10％，400A，频率50Hz±5％.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 设有总开关,过载与短路双重保护高分断空气开关.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4.三相独立电压，电流，监测，三相A.B.C指示灯指示.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输出：24路X4KW</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A9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9F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12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4176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11" w:hRule="atLeast"/>
        </w:trPr>
        <w:tc>
          <w:tcPr>
            <w:tcW w:w="333" w:type="pct"/>
            <w:tcBorders>
              <w:top w:val="single" w:color="000000" w:sz="4" w:space="0"/>
              <w:bottom w:val="single" w:color="000000" w:sz="4" w:space="0"/>
              <w:right w:val="single" w:color="000000" w:sz="4" w:space="0"/>
            </w:tcBorders>
            <w:shd w:val="clear" w:color="auto" w:fill="auto"/>
            <w:vAlign w:val="center"/>
          </w:tcPr>
          <w:p w14:paraId="29606F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E8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信号放大 器</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A40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≥8路信号放大器是采用最新光电隔离技术，达到国际先进水平，输入输出每路都是采用独立的变压器供电，八个光电隔离信号放大来扩大DMX信号输出 ，放大功能可以令连接延长超过标准的DMX512长度。外观设计轻便，结构坚固，减少问题再发生.是舞台电脑灯，LED灯，灯控台的最佳搭档。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输入电源：AC110V—240V，频率50Hz-60Hz.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输入信号接口：国际标准DMX512信号，三芯/五芯镀金卡侬公座母座并接.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输出信号接口采用三芯镀金卡侬母座.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外形尺寸（mm）：483mm×255mm×45mm  单机重量:3.3KG.</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992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9A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D5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4609A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263E29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2E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灯钩、保险绳</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251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灯钩、保险绳</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B58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66A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3DA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w:t>
            </w:r>
          </w:p>
        </w:tc>
      </w:tr>
      <w:tr w14:paraId="75665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6562C5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D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扁平电缆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9AB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国标，ZR-12*2.5mm²+DMX*2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69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F0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D0B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r>
      <w:tr w14:paraId="006ED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45026A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44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阻燃电源电缆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FA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国标，ZR-RVV2*4mm2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B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8A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E97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w:t>
            </w:r>
          </w:p>
        </w:tc>
      </w:tr>
      <w:tr w14:paraId="2CB10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33" w:type="pct"/>
            <w:tcBorders>
              <w:top w:val="single" w:color="000000" w:sz="4" w:space="0"/>
              <w:bottom w:val="single" w:color="000000" w:sz="4" w:space="0"/>
              <w:right w:val="single" w:color="000000" w:sz="4" w:space="0"/>
            </w:tcBorders>
            <w:shd w:val="clear" w:color="auto" w:fill="auto"/>
            <w:vAlign w:val="center"/>
          </w:tcPr>
          <w:p w14:paraId="38DFB4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99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阻燃电源电缆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6B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国标，ZR-RVV2*2.5mm2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5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267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89A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r>
      <w:tr w14:paraId="4EAA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33" w:type="pct"/>
            <w:tcBorders>
              <w:top w:val="single" w:color="000000" w:sz="4" w:space="0"/>
              <w:bottom w:val="single" w:color="000000" w:sz="4" w:space="0"/>
              <w:right w:val="single" w:color="000000" w:sz="4" w:space="0"/>
            </w:tcBorders>
            <w:shd w:val="clear" w:color="auto" w:fill="auto"/>
            <w:vAlign w:val="center"/>
          </w:tcPr>
          <w:p w14:paraId="2DF4FE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阻燃DMX信号缆</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1BB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国标，ZR-RVVP2*0.5mm2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6A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05A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407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r>
      <w:tr w14:paraId="474B1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1CDF3B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15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灯光桥架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F0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国标，防火桥架，200*100mm</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E4F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4C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12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BCF7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2A7F7D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70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灯光桥架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16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国标，防火桥架，100*100mm</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9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4C0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5B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927C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68E26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59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灯光桥架</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246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国标，防火桥架，50*50mm</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060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DA2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DA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2726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33" w:type="pct"/>
            <w:tcBorders>
              <w:top w:val="single" w:color="000000" w:sz="4" w:space="0"/>
              <w:bottom w:val="single" w:color="000000" w:sz="4" w:space="0"/>
              <w:right w:val="single" w:color="000000" w:sz="4" w:space="0"/>
            </w:tcBorders>
            <w:shd w:val="clear" w:color="auto" w:fill="auto"/>
            <w:vAlign w:val="center"/>
          </w:tcPr>
          <w:p w14:paraId="5873E3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CD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电源地插盒</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3C6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C2E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8A0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277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23E87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33" w:type="pct"/>
            <w:tcBorders>
              <w:top w:val="single" w:color="000000" w:sz="4" w:space="0"/>
              <w:bottom w:val="single" w:color="000000" w:sz="4" w:space="0"/>
              <w:right w:val="single" w:color="000000" w:sz="4" w:space="0"/>
            </w:tcBorders>
            <w:shd w:val="clear" w:color="auto" w:fill="auto"/>
            <w:vAlign w:val="center"/>
          </w:tcPr>
          <w:p w14:paraId="2D9A65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3C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灯光安装辅材</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471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装配件</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E8A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DD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A71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bl>
    <w:p w14:paraId="1DA98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p>
    <w:p w14:paraId="53C0C8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3.7、舞台机械系统</w:t>
      </w:r>
    </w:p>
    <w:tbl>
      <w:tblPr>
        <w:tblStyle w:val="49"/>
        <w:tblW w:w="523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792"/>
        <w:gridCol w:w="4816"/>
        <w:gridCol w:w="1219"/>
        <w:gridCol w:w="773"/>
        <w:gridCol w:w="820"/>
      </w:tblGrid>
      <w:tr w14:paraId="1CFD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355" w:type="pct"/>
            <w:tcBorders>
              <w:bottom w:val="single" w:color="000000" w:sz="4" w:space="0"/>
              <w:right w:val="single" w:color="000000" w:sz="4" w:space="0"/>
            </w:tcBorders>
            <w:shd w:val="clear" w:color="auto" w:fill="auto"/>
            <w:vAlign w:val="center"/>
          </w:tcPr>
          <w:p w14:paraId="77D94B5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883" w:type="pct"/>
            <w:tcBorders>
              <w:left w:val="single" w:color="000000" w:sz="4" w:space="0"/>
              <w:bottom w:val="single" w:color="000000" w:sz="4" w:space="0"/>
              <w:right w:val="single" w:color="000000" w:sz="4" w:space="0"/>
            </w:tcBorders>
            <w:shd w:val="clear" w:color="auto" w:fill="auto"/>
            <w:vAlign w:val="center"/>
          </w:tcPr>
          <w:p w14:paraId="639480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374" w:type="pct"/>
            <w:tcBorders>
              <w:left w:val="single" w:color="000000" w:sz="4" w:space="0"/>
              <w:bottom w:val="single" w:color="000000" w:sz="4" w:space="0"/>
              <w:right w:val="single" w:color="000000" w:sz="4" w:space="0"/>
            </w:tcBorders>
            <w:shd w:val="clear" w:color="auto" w:fill="auto"/>
            <w:vAlign w:val="center"/>
          </w:tcPr>
          <w:p w14:paraId="1BD354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详细参数</w:t>
            </w:r>
          </w:p>
        </w:tc>
        <w:tc>
          <w:tcPr>
            <w:tcW w:w="600" w:type="pct"/>
            <w:tcBorders>
              <w:left w:val="single" w:color="000000" w:sz="4" w:space="0"/>
              <w:bottom w:val="single" w:color="000000" w:sz="4" w:space="0"/>
              <w:right w:val="single" w:color="000000" w:sz="4" w:space="0"/>
            </w:tcBorders>
            <w:shd w:val="clear" w:color="auto" w:fill="auto"/>
            <w:vAlign w:val="center"/>
          </w:tcPr>
          <w:p w14:paraId="34C282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参考品牌</w:t>
            </w:r>
          </w:p>
        </w:tc>
        <w:tc>
          <w:tcPr>
            <w:tcW w:w="381" w:type="pct"/>
            <w:tcBorders>
              <w:left w:val="single" w:color="000000" w:sz="4" w:space="0"/>
              <w:bottom w:val="single" w:color="000000" w:sz="4" w:space="0"/>
              <w:right w:val="single" w:color="000000" w:sz="4" w:space="0"/>
            </w:tcBorders>
            <w:shd w:val="clear" w:color="auto" w:fill="auto"/>
            <w:vAlign w:val="center"/>
          </w:tcPr>
          <w:p w14:paraId="518231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04" w:type="pct"/>
            <w:tcBorders>
              <w:left w:val="single" w:color="000000" w:sz="4" w:space="0"/>
              <w:bottom w:val="single" w:color="000000" w:sz="4" w:space="0"/>
              <w:right w:val="single" w:color="000000" w:sz="4" w:space="0"/>
            </w:tcBorders>
            <w:shd w:val="clear" w:color="auto" w:fill="auto"/>
            <w:vAlign w:val="center"/>
          </w:tcPr>
          <w:p w14:paraId="475C903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01A7A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55" w:type="pct"/>
            <w:tcBorders>
              <w:top w:val="single" w:color="000000" w:sz="4" w:space="0"/>
              <w:bottom w:val="single" w:color="000000" w:sz="4" w:space="0"/>
              <w:right w:val="single" w:color="000000" w:sz="4" w:space="0"/>
            </w:tcBorders>
            <w:shd w:val="clear" w:color="auto" w:fill="auto"/>
            <w:vAlign w:val="center"/>
          </w:tcPr>
          <w:p w14:paraId="7C886D0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738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铝合金truss架</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28F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1、铝合金Truss架总长78m；14米桁架；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2、截面为300*300正方形，主管Φ50*3,辅管30*1.5，小管Φ25*1.5，目字方通接口，外观美观，牢固；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3、提供相关的连接配件；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778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1F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0A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21F9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9" w:hRule="atLeast"/>
        </w:trPr>
        <w:tc>
          <w:tcPr>
            <w:tcW w:w="355" w:type="pct"/>
            <w:tcBorders>
              <w:top w:val="single" w:color="000000" w:sz="4" w:space="0"/>
              <w:bottom w:val="single" w:color="000000" w:sz="4" w:space="0"/>
              <w:right w:val="single" w:color="000000" w:sz="4" w:space="0"/>
            </w:tcBorders>
            <w:shd w:val="clear" w:color="auto" w:fill="auto"/>
            <w:vAlign w:val="center"/>
          </w:tcPr>
          <w:p w14:paraId="23EDF2F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53C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多功能升降吊点</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EC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1.负载能力不小于500kg/台，行程长度不小于12m；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2.整机净重38kg/台；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3.供电电压 220V AC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4.电能消耗400W；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5.▲运行速度不小于1800mm/min；</w:t>
            </w:r>
            <w:r>
              <w:rPr>
                <w:rFonts w:hint="eastAsia" w:ascii="宋体" w:hAnsi="宋体" w:eastAsia="宋体" w:cs="宋体"/>
                <w:b w:val="0"/>
                <w:bCs w:val="0"/>
                <w:i w:val="0"/>
                <w:iCs w:val="0"/>
                <w:color w:val="auto"/>
                <w:kern w:val="0"/>
                <w:sz w:val="21"/>
                <w:szCs w:val="21"/>
                <w:highlight w:val="none"/>
                <w:u w:val="none"/>
                <w:lang w:val="en-US" w:eastAsia="zh-CN" w:bidi="ar"/>
              </w:rPr>
              <w:t>（需提供产品彩页复印（扫描）件）；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6.同步误差每组＜10mm；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7.控制方式调试和运行时均用RS485发码控制；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8.天花开孔φ170mm，天花高度≥750mm</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B0C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674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2A9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r>
      <w:tr w14:paraId="3A260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355" w:type="pct"/>
            <w:tcBorders>
              <w:top w:val="single" w:color="000000" w:sz="4" w:space="0"/>
              <w:bottom w:val="single" w:color="000000" w:sz="4" w:space="0"/>
              <w:right w:val="single" w:color="000000" w:sz="4" w:space="0"/>
            </w:tcBorders>
            <w:shd w:val="clear" w:color="auto" w:fill="auto"/>
            <w:vAlign w:val="center"/>
          </w:tcPr>
          <w:p w14:paraId="3A02F13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06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多功能升降吊点信号收线器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top"/>
          </w:tcPr>
          <w:p w14:paraId="3FA33E8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1.收线器线缆接口：航空插头（9根24平方电源线），1个5针2.DMX512接口(带屏蔽的一根4芯音频线) ，一根CAT5网线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3.产品净重：不大于32kg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4.收线行程：不小于12m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5.输入电压：220VAC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6.输出功率： 80W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7.运行方式：自适应智能吊点速度</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C7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5A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146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r>
      <w:tr w14:paraId="29D3D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355" w:type="pct"/>
            <w:tcBorders>
              <w:top w:val="single" w:color="000000" w:sz="4" w:space="0"/>
              <w:bottom w:val="single" w:color="000000" w:sz="4" w:space="0"/>
              <w:right w:val="single" w:color="000000" w:sz="4" w:space="0"/>
            </w:tcBorders>
            <w:shd w:val="clear" w:color="auto" w:fill="auto"/>
            <w:vAlign w:val="center"/>
          </w:tcPr>
          <w:p w14:paraId="39FC91D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0D0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对开大幕电机</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190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▲1.舞台专用电机600WT，电压220V，400瓦，扭力20牛，速度每秒对拉不小于1米，马达采用优质传统绕制，控制芯片为STM8，执行标准和技术要求 GB/12350-2009  符合 CQC12-000001-2020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2.专用轨道，加厚铝合金，高温高压成型，表面电泳工艺，传动带内置多股钢丝，可负载360公斤，同步齿形，不打滑，外包静音布层，吊轮采用POM材料包轴承方式，经久耐用，20年不腐蚀不老化；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3.单电机配双槽轨道，重叠处可调。</w:t>
            </w:r>
            <w:r>
              <w:rPr>
                <w:rFonts w:hint="eastAsia" w:ascii="宋体" w:hAnsi="宋体" w:eastAsia="宋体" w:cs="宋体"/>
                <w:i w:val="0"/>
                <w:iCs w:val="0"/>
                <w:color w:val="auto"/>
                <w:kern w:val="0"/>
                <w:sz w:val="21"/>
                <w:szCs w:val="21"/>
                <w:highlight w:val="none"/>
                <w:u w:val="none"/>
                <w:lang w:val="en-US" w:eastAsia="zh-CN" w:bidi="ar"/>
              </w:rPr>
              <w:br w:type="textWrapping"/>
            </w:r>
            <w:bookmarkStart w:id="39" w:name="OLE_LINK58"/>
            <w:r>
              <w:rPr>
                <w:rFonts w:hint="eastAsia" w:ascii="宋体" w:hAnsi="宋体" w:eastAsia="宋体" w:cs="宋体"/>
                <w:i w:val="0"/>
                <w:iCs w:val="0"/>
                <w:color w:val="auto"/>
                <w:kern w:val="0"/>
                <w:sz w:val="21"/>
                <w:szCs w:val="21"/>
                <w:highlight w:val="none"/>
                <w:u w:val="none"/>
                <w:lang w:val="en-US" w:eastAsia="zh-CN" w:bidi="ar"/>
              </w:rPr>
              <w:t>▲</w:t>
            </w:r>
            <w:bookmarkEnd w:id="39"/>
            <w:r>
              <w:rPr>
                <w:rFonts w:hint="eastAsia" w:ascii="宋体" w:hAnsi="宋体" w:eastAsia="宋体" w:cs="宋体"/>
                <w:i w:val="0"/>
                <w:iCs w:val="0"/>
                <w:color w:val="auto"/>
                <w:kern w:val="0"/>
                <w:sz w:val="21"/>
                <w:szCs w:val="21"/>
                <w:highlight w:val="none"/>
                <w:u w:val="none"/>
                <w:lang w:val="en-US" w:eastAsia="zh-CN" w:bidi="ar"/>
              </w:rPr>
              <w:t>4.支持485控制/无线遥控，发射距离不小于100米，穿墙不小于30米，待机自动睡眠，任意键唤醒。</w:t>
            </w:r>
            <w:r>
              <w:rPr>
                <w:rFonts w:hint="eastAsia" w:ascii="宋体" w:hAnsi="宋体" w:eastAsia="宋体" w:cs="宋体"/>
                <w:b w:val="0"/>
                <w:bCs w:val="0"/>
                <w:i w:val="0"/>
                <w:iCs w:val="0"/>
                <w:color w:val="auto"/>
                <w:kern w:val="0"/>
                <w:sz w:val="21"/>
                <w:szCs w:val="21"/>
                <w:highlight w:val="none"/>
                <w:u w:val="none"/>
                <w:lang w:val="en-US" w:eastAsia="zh-CN" w:bidi="ar"/>
              </w:rPr>
              <w:t>（需提供产品彩页复印（扫描）件）</w:t>
            </w:r>
            <w:r>
              <w:rPr>
                <w:rFonts w:hint="eastAsia" w:ascii="宋体" w:hAnsi="宋体" w:eastAsia="宋体" w:cs="宋体"/>
                <w:b/>
                <w:bCs/>
                <w:i w:val="0"/>
                <w:iCs w:val="0"/>
                <w:color w:val="auto"/>
                <w:kern w:val="0"/>
                <w:sz w:val="21"/>
                <w:szCs w:val="21"/>
                <w:highlight w:val="none"/>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85D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18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8D5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6A570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355" w:type="pct"/>
            <w:tcBorders>
              <w:top w:val="single" w:color="000000" w:sz="4" w:space="0"/>
              <w:bottom w:val="single" w:color="000000" w:sz="4" w:space="0"/>
              <w:right w:val="single" w:color="000000" w:sz="4" w:space="0"/>
            </w:tcBorders>
            <w:shd w:val="clear" w:color="auto" w:fill="auto"/>
            <w:vAlign w:val="center"/>
          </w:tcPr>
          <w:p w14:paraId="2395F78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7D8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对开底幕电机</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23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1.舞台专用电机600WT，电压220V，400瓦，扭力20牛，速度每秒对拉不小于1米，马达采用优质传统绕制，控制芯片为STM8，执行标准和技术要求 GB/12350-2009  符合 CQC12-000001-2020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2.专用轨道，加厚铝合金，高温高压成型，表面电泳工艺，传动带内置多股钢丝，可负载360公斤，同步齿形，不打滑，外包静音布层，吊轮采用POM材料包轴承方式，经久耐用，20年不腐蚀不老化；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3.单电机配双槽轨道，重叠处可调。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▲4.支持485控制/无线遥控，发射距离不小于100米，穿墙不小于30米，待机自动睡眠，任意键唤醒。</w:t>
            </w:r>
            <w:r>
              <w:rPr>
                <w:rFonts w:hint="eastAsia" w:ascii="宋体" w:hAnsi="宋体" w:eastAsia="宋体" w:cs="宋体"/>
                <w:b w:val="0"/>
                <w:bCs w:val="0"/>
                <w:i w:val="0"/>
                <w:iCs w:val="0"/>
                <w:color w:val="auto"/>
                <w:kern w:val="0"/>
                <w:sz w:val="21"/>
                <w:szCs w:val="21"/>
                <w:highlight w:val="none"/>
                <w:u w:val="none"/>
                <w:lang w:val="en-US" w:eastAsia="zh-CN" w:bidi="ar"/>
              </w:rPr>
              <w:t>（需提供产品彩页复印（扫描）件）</w:t>
            </w:r>
            <w:r>
              <w:rPr>
                <w:rFonts w:hint="eastAsia" w:ascii="宋体" w:hAnsi="宋体" w:eastAsia="宋体" w:cs="宋体"/>
                <w:b/>
                <w:bCs/>
                <w:i w:val="0"/>
                <w:iCs w:val="0"/>
                <w:color w:val="auto"/>
                <w:kern w:val="0"/>
                <w:sz w:val="21"/>
                <w:szCs w:val="21"/>
                <w:highlight w:val="none"/>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441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E20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59E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68FD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55" w:type="pct"/>
            <w:tcBorders>
              <w:top w:val="single" w:color="000000" w:sz="4" w:space="0"/>
              <w:bottom w:val="single" w:color="000000" w:sz="4" w:space="0"/>
              <w:right w:val="single" w:color="000000" w:sz="4" w:space="0"/>
            </w:tcBorders>
            <w:shd w:val="clear" w:color="auto" w:fill="auto"/>
            <w:vAlign w:val="center"/>
          </w:tcPr>
          <w:p w14:paraId="2AFA47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03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枣红色加密金丝绒对开大幕</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A6B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阻燃，采用防火浸泡处理，符合国家规定的《GB8624-2012》B1等级标准。绒布均为一级品，无级外色差，无破洞、无倒绒等。</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71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BBF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536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279</w:t>
            </w:r>
          </w:p>
        </w:tc>
      </w:tr>
      <w:tr w14:paraId="54FFC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55" w:type="pct"/>
            <w:tcBorders>
              <w:top w:val="single" w:color="000000" w:sz="4" w:space="0"/>
              <w:bottom w:val="single" w:color="000000" w:sz="4" w:space="0"/>
              <w:right w:val="single" w:color="000000" w:sz="4" w:space="0"/>
            </w:tcBorders>
            <w:shd w:val="clear" w:color="auto" w:fill="auto"/>
            <w:vAlign w:val="center"/>
          </w:tcPr>
          <w:p w14:paraId="2671E6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256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枣红色对开大幕衬里</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32B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阻燃，采用防火浸泡处理，符合国家规定的《GB8624-2012》B1等级标准。绒布均为一级品，无级外色差，无破洞、无倒绒等。</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6B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DB9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55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r>
      <w:tr w14:paraId="0DE18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355" w:type="pct"/>
            <w:tcBorders>
              <w:top w:val="single" w:color="000000" w:sz="4" w:space="0"/>
              <w:bottom w:val="single" w:color="000000" w:sz="4" w:space="0"/>
              <w:right w:val="single" w:color="000000" w:sz="4" w:space="0"/>
            </w:tcBorders>
            <w:shd w:val="clear" w:color="auto" w:fill="auto"/>
            <w:vAlign w:val="center"/>
          </w:tcPr>
          <w:p w14:paraId="176EF80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70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红色加密金丝绒对开大幕</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731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阻燃，采用防火浸泡处理，符合国家规定的《GB8624-2012》B1等级标准。绒布均为一级品，无级外色差，无破洞、无倒绒等。</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BAB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A3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C1D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279</w:t>
            </w:r>
          </w:p>
        </w:tc>
      </w:tr>
      <w:tr w14:paraId="53045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55" w:type="pct"/>
            <w:tcBorders>
              <w:top w:val="single" w:color="000000" w:sz="4" w:space="0"/>
              <w:bottom w:val="single" w:color="000000" w:sz="4" w:space="0"/>
              <w:right w:val="single" w:color="000000" w:sz="4" w:space="0"/>
            </w:tcBorders>
            <w:shd w:val="clear" w:color="auto" w:fill="auto"/>
            <w:vAlign w:val="center"/>
          </w:tcPr>
          <w:p w14:paraId="29DB0F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05D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红色对开大幕衬里</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58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阻燃，采用防火浸泡处理，符合国家规定的《GB8624-2012》B1等级标准。绒布均为一级品，无级外色差，无破洞、无倒绒等。</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0B3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DESFINE/SPON/TOG</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A3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D6F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r>
      <w:tr w14:paraId="3C618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55" w:type="pct"/>
            <w:tcBorders>
              <w:top w:val="single" w:color="000000" w:sz="4" w:space="0"/>
              <w:bottom w:val="single" w:color="000000" w:sz="4" w:space="0"/>
              <w:right w:val="single" w:color="000000" w:sz="4" w:space="0"/>
            </w:tcBorders>
            <w:shd w:val="clear" w:color="auto" w:fill="auto"/>
            <w:vAlign w:val="center"/>
          </w:tcPr>
          <w:p w14:paraId="2416B31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891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阻燃电源电缆</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95E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国标，ZR-RVV4*2.5mm2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9AA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AB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AE4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r>
      <w:tr w14:paraId="6F3BA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55" w:type="pct"/>
            <w:tcBorders>
              <w:top w:val="single" w:color="000000" w:sz="4" w:space="0"/>
              <w:bottom w:val="single" w:color="000000" w:sz="4" w:space="0"/>
              <w:right w:val="single" w:color="000000" w:sz="4" w:space="0"/>
            </w:tcBorders>
            <w:shd w:val="clear" w:color="auto" w:fill="auto"/>
            <w:vAlign w:val="center"/>
          </w:tcPr>
          <w:p w14:paraId="74AD8E2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555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阻燃电源电缆</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26D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国标，ZR-RVV3*1.0mm2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A5D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704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02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r>
      <w:tr w14:paraId="733EA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55" w:type="pct"/>
            <w:tcBorders>
              <w:top w:val="single" w:color="000000" w:sz="4" w:space="0"/>
              <w:bottom w:val="single" w:color="000000" w:sz="4" w:space="0"/>
              <w:right w:val="single" w:color="000000" w:sz="4" w:space="0"/>
            </w:tcBorders>
            <w:shd w:val="clear" w:color="auto" w:fill="auto"/>
            <w:vAlign w:val="center"/>
          </w:tcPr>
          <w:p w14:paraId="17CB375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60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阻燃电源电缆</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53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国标，ZR-RVV3*2.5mm2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E5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ED5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0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r>
      <w:tr w14:paraId="3A94E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355" w:type="pct"/>
            <w:tcBorders>
              <w:top w:val="single" w:color="000000" w:sz="4" w:space="0"/>
              <w:bottom w:val="single" w:color="000000" w:sz="4" w:space="0"/>
              <w:right w:val="single" w:color="000000" w:sz="4" w:space="0"/>
            </w:tcBorders>
            <w:shd w:val="clear" w:color="auto" w:fill="auto"/>
            <w:vAlign w:val="center"/>
          </w:tcPr>
          <w:p w14:paraId="0717C6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D8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阻燃DMX信号缆</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FE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国标，ZR-RVV3*1.5mm2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CC4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F0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52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r>
      <w:tr w14:paraId="5880C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355" w:type="pct"/>
            <w:tcBorders>
              <w:top w:val="single" w:color="000000" w:sz="4" w:space="0"/>
              <w:bottom w:val="single" w:color="000000" w:sz="4" w:space="0"/>
              <w:right w:val="single" w:color="000000" w:sz="4" w:space="0"/>
            </w:tcBorders>
            <w:shd w:val="clear" w:color="auto" w:fill="auto"/>
            <w:vAlign w:val="center"/>
          </w:tcPr>
          <w:p w14:paraId="354BF16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53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机械桥架</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A90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国标，防火桥架，200*100mm</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08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62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94C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00D8C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55" w:type="pct"/>
            <w:tcBorders>
              <w:top w:val="single" w:color="000000" w:sz="4" w:space="0"/>
              <w:bottom w:val="single" w:color="000000" w:sz="4" w:space="0"/>
              <w:right w:val="single" w:color="000000" w:sz="4" w:space="0"/>
            </w:tcBorders>
            <w:shd w:val="clear" w:color="auto" w:fill="auto"/>
            <w:vAlign w:val="center"/>
          </w:tcPr>
          <w:p w14:paraId="576E8C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79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机械安装辅材</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B71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满足现场使用要求</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E97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718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6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bl>
    <w:p w14:paraId="22224200">
      <w:pPr>
        <w:rPr>
          <w:rFonts w:hint="eastAsia" w:ascii="宋体" w:hAnsi="宋体" w:eastAsia="宋体" w:cs="宋体"/>
          <w:color w:val="auto"/>
          <w:highlight w:val="none"/>
        </w:rPr>
      </w:pPr>
    </w:p>
    <w:p w14:paraId="3AA2D3BF">
      <w:pPr>
        <w:rPr>
          <w:rFonts w:hint="eastAsia" w:ascii="宋体" w:hAnsi="宋体" w:eastAsia="宋体" w:cs="宋体"/>
          <w:color w:val="auto"/>
          <w:highlight w:val="none"/>
        </w:rPr>
      </w:pPr>
    </w:p>
    <w:p w14:paraId="50C509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3.8、现场改造费</w:t>
      </w:r>
    </w:p>
    <w:tbl>
      <w:tblPr>
        <w:tblStyle w:val="49"/>
        <w:tblW w:w="523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901"/>
        <w:gridCol w:w="4634"/>
        <w:gridCol w:w="1442"/>
        <w:gridCol w:w="658"/>
        <w:gridCol w:w="744"/>
      </w:tblGrid>
      <w:tr w14:paraId="16E5F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0" w:type="pct"/>
            <w:tcBorders>
              <w:bottom w:val="single" w:color="000000" w:sz="4" w:space="0"/>
              <w:right w:val="single" w:color="000000" w:sz="4" w:space="0"/>
            </w:tcBorders>
            <w:shd w:val="clear" w:color="auto" w:fill="auto"/>
            <w:vAlign w:val="center"/>
          </w:tcPr>
          <w:p w14:paraId="799C3D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938" w:type="pct"/>
            <w:tcBorders>
              <w:left w:val="single" w:color="000000" w:sz="4" w:space="0"/>
              <w:bottom w:val="single" w:color="000000" w:sz="4" w:space="0"/>
              <w:right w:val="single" w:color="000000" w:sz="4" w:space="0"/>
            </w:tcBorders>
            <w:shd w:val="clear" w:color="auto" w:fill="auto"/>
            <w:vAlign w:val="center"/>
          </w:tcPr>
          <w:p w14:paraId="7160FE8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287" w:type="pct"/>
            <w:tcBorders>
              <w:left w:val="single" w:color="000000" w:sz="4" w:space="0"/>
              <w:bottom w:val="single" w:color="000000" w:sz="4" w:space="0"/>
              <w:right w:val="single" w:color="000000" w:sz="4" w:space="0"/>
            </w:tcBorders>
            <w:shd w:val="clear" w:color="auto" w:fill="auto"/>
            <w:vAlign w:val="center"/>
          </w:tcPr>
          <w:p w14:paraId="32DA47E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详细参数</w:t>
            </w:r>
          </w:p>
        </w:tc>
        <w:tc>
          <w:tcPr>
            <w:tcW w:w="711" w:type="pct"/>
            <w:tcBorders>
              <w:left w:val="single" w:color="000000" w:sz="4" w:space="0"/>
              <w:bottom w:val="single" w:color="000000" w:sz="4" w:space="0"/>
              <w:right w:val="single" w:color="000000" w:sz="4" w:space="0"/>
            </w:tcBorders>
            <w:shd w:val="clear" w:color="auto" w:fill="auto"/>
            <w:vAlign w:val="center"/>
          </w:tcPr>
          <w:p w14:paraId="0AADACB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参考品牌</w:t>
            </w:r>
          </w:p>
        </w:tc>
        <w:tc>
          <w:tcPr>
            <w:tcW w:w="324" w:type="pct"/>
            <w:tcBorders>
              <w:left w:val="single" w:color="000000" w:sz="4" w:space="0"/>
              <w:bottom w:val="single" w:color="000000" w:sz="4" w:space="0"/>
              <w:right w:val="single" w:color="000000" w:sz="4" w:space="0"/>
            </w:tcBorders>
            <w:shd w:val="clear" w:color="auto" w:fill="auto"/>
            <w:vAlign w:val="center"/>
          </w:tcPr>
          <w:p w14:paraId="3AF8ED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367" w:type="pct"/>
            <w:tcBorders>
              <w:left w:val="single" w:color="000000" w:sz="4" w:space="0"/>
              <w:bottom w:val="single" w:color="000000" w:sz="4" w:space="0"/>
              <w:right w:val="single" w:color="000000" w:sz="4" w:space="0"/>
            </w:tcBorders>
            <w:shd w:val="clear" w:color="auto" w:fill="auto"/>
            <w:vAlign w:val="center"/>
          </w:tcPr>
          <w:p w14:paraId="55C5927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63B37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370" w:type="pct"/>
            <w:tcBorders>
              <w:top w:val="single" w:color="000000" w:sz="4" w:space="0"/>
              <w:bottom w:val="single" w:color="000000" w:sz="4" w:space="0"/>
              <w:right w:val="single" w:color="000000" w:sz="4" w:space="0"/>
            </w:tcBorders>
            <w:shd w:val="clear" w:color="auto" w:fill="auto"/>
            <w:vAlign w:val="center"/>
          </w:tcPr>
          <w:p w14:paraId="645D49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D2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现场改造和全过程服务</w:t>
            </w:r>
          </w:p>
        </w:tc>
        <w:tc>
          <w:tcPr>
            <w:tcW w:w="2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13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舞台区域吊顶拆除及恢复，部分顶部拆除及恢复和项目全过程服务</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C2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E5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30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14:paraId="6271894E">
      <w:pPr>
        <w:rPr>
          <w:rFonts w:hint="eastAsia" w:ascii="宋体" w:hAnsi="宋体" w:eastAsia="宋体" w:cs="宋体"/>
          <w:color w:val="auto"/>
          <w:highlight w:val="none"/>
        </w:rPr>
      </w:pPr>
    </w:p>
    <w:p w14:paraId="3294DCDD">
      <w:pPr>
        <w:keepNext w:val="0"/>
        <w:keepLines w:val="0"/>
        <w:pageBreakBefore w:val="0"/>
        <w:numPr>
          <w:ilvl w:val="0"/>
          <w:numId w:val="0"/>
        </w:numPr>
        <w:kinsoku/>
        <w:wordWrap/>
        <w:overflowPunct/>
        <w:topLinePunct w:val="0"/>
        <w:autoSpaceDE/>
        <w:autoSpaceDN/>
        <w:bidi w:val="0"/>
        <w:snapToGrid w:val="0"/>
        <w:spacing w:line="400" w:lineRule="exact"/>
        <w:ind w:left="0" w:leftChars="0" w:firstLine="211" w:firstLineChars="100"/>
        <w:textAlignment w:val="auto"/>
        <w:rPr>
          <w:rFonts w:hint="eastAsia" w:ascii="宋体" w:hAnsi="宋体" w:eastAsia="宋体" w:cs="宋体"/>
          <w:b/>
          <w:bCs w:val="0"/>
          <w:color w:val="auto"/>
          <w:szCs w:val="21"/>
          <w:highlight w:val="none"/>
        </w:rPr>
      </w:pPr>
      <w:bookmarkStart w:id="40" w:name="OLE_LINK1"/>
    </w:p>
    <w:p w14:paraId="5EE58CEE">
      <w:pPr>
        <w:keepNext w:val="0"/>
        <w:keepLines w:val="0"/>
        <w:pageBreakBefore w:val="0"/>
        <w:numPr>
          <w:ilvl w:val="0"/>
          <w:numId w:val="0"/>
        </w:numPr>
        <w:kinsoku/>
        <w:wordWrap/>
        <w:overflowPunct/>
        <w:topLinePunct w:val="0"/>
        <w:autoSpaceDE/>
        <w:autoSpaceDN/>
        <w:bidi w:val="0"/>
        <w:snapToGrid w:val="0"/>
        <w:spacing w:line="400" w:lineRule="exact"/>
        <w:ind w:left="0" w:leftChars="0" w:firstLine="211" w:firstLineChars="1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rPr>
        <w:t>说明：</w:t>
      </w:r>
      <w:r>
        <w:rPr>
          <w:rStyle w:val="297"/>
          <w:rFonts w:hint="eastAsia" w:ascii="宋体" w:hAnsi="宋体" w:eastAsia="宋体" w:cs="宋体"/>
          <w:b/>
          <w:bCs w:val="0"/>
          <w:color w:val="auto"/>
          <w:szCs w:val="21"/>
          <w:highlight w:val="none"/>
        </w:rPr>
        <w:t>本采购需求中涉及的参考品牌供投标人在编制投标文件时参考。投标人如选择其他品牌</w:t>
      </w:r>
      <w:r>
        <w:rPr>
          <w:rStyle w:val="297"/>
          <w:rFonts w:hint="eastAsia" w:ascii="宋体" w:hAnsi="宋体" w:eastAsia="宋体" w:cs="宋体"/>
          <w:b/>
          <w:bCs w:val="0"/>
          <w:color w:val="auto"/>
          <w:szCs w:val="21"/>
          <w:highlight w:val="none"/>
          <w:lang w:val="en-US"/>
        </w:rPr>
        <w:t>的</w:t>
      </w:r>
      <w:r>
        <w:rPr>
          <w:rStyle w:val="297"/>
          <w:rFonts w:hint="eastAsia" w:ascii="宋体" w:hAnsi="宋体" w:eastAsia="宋体" w:cs="宋体"/>
          <w:b/>
          <w:bCs w:val="0"/>
          <w:color w:val="auto"/>
          <w:szCs w:val="21"/>
          <w:highlight w:val="none"/>
        </w:rPr>
        <w:t>产品</w:t>
      </w:r>
      <w:r>
        <w:rPr>
          <w:rStyle w:val="297"/>
          <w:rFonts w:hint="eastAsia" w:ascii="宋体" w:hAnsi="宋体" w:eastAsia="宋体" w:cs="宋体"/>
          <w:b/>
          <w:bCs w:val="0"/>
          <w:color w:val="auto"/>
          <w:szCs w:val="21"/>
          <w:highlight w:val="none"/>
          <w:lang w:val="en-US"/>
        </w:rPr>
        <w:t>时</w:t>
      </w:r>
      <w:r>
        <w:rPr>
          <w:rStyle w:val="297"/>
          <w:rFonts w:hint="eastAsia" w:ascii="宋体" w:hAnsi="宋体" w:eastAsia="宋体" w:cs="宋体"/>
          <w:b/>
          <w:bCs w:val="0"/>
          <w:color w:val="auto"/>
          <w:szCs w:val="21"/>
          <w:highlight w:val="none"/>
        </w:rPr>
        <w:t>，其提供的产品质量应不低于招标人提供参考品牌及对应的技术性能或档次，</w:t>
      </w:r>
      <w:r>
        <w:rPr>
          <w:rStyle w:val="297"/>
          <w:rFonts w:hint="eastAsia" w:ascii="宋体" w:hAnsi="宋体" w:eastAsia="宋体" w:cs="宋体"/>
          <w:b/>
          <w:bCs w:val="0"/>
          <w:color w:val="auto"/>
          <w:szCs w:val="21"/>
          <w:highlight w:val="none"/>
          <w:lang w:val="en-US"/>
        </w:rPr>
        <w:t>并提供相关证明材料</w:t>
      </w:r>
      <w:r>
        <w:rPr>
          <w:rStyle w:val="297"/>
          <w:rFonts w:hint="eastAsia" w:ascii="宋体" w:hAnsi="宋体" w:eastAsia="宋体" w:cs="宋体"/>
          <w:b/>
          <w:bCs w:val="0"/>
          <w:color w:val="auto"/>
          <w:szCs w:val="21"/>
          <w:highlight w:val="none"/>
        </w:rPr>
        <w:t>，</w:t>
      </w:r>
      <w:r>
        <w:rPr>
          <w:rStyle w:val="297"/>
          <w:rFonts w:hint="eastAsia" w:ascii="宋体" w:hAnsi="宋体" w:eastAsia="宋体" w:cs="宋体"/>
          <w:b/>
          <w:bCs w:val="0"/>
          <w:color w:val="auto"/>
          <w:szCs w:val="21"/>
          <w:highlight w:val="none"/>
          <w:lang w:val="en-US"/>
        </w:rPr>
        <w:t>若提供的证明材料经评审，作未能充分证明</w:t>
      </w:r>
      <w:r>
        <w:rPr>
          <w:rStyle w:val="297"/>
          <w:rFonts w:hint="eastAsia" w:ascii="宋体" w:hAnsi="宋体" w:eastAsia="宋体" w:cs="宋体"/>
          <w:b/>
          <w:bCs w:val="0"/>
          <w:color w:val="auto"/>
          <w:szCs w:val="21"/>
          <w:highlight w:val="none"/>
        </w:rPr>
        <w:t>不低于招标人提供参考品牌及对应的技术性能或档次</w:t>
      </w:r>
      <w:r>
        <w:rPr>
          <w:rStyle w:val="297"/>
          <w:rFonts w:hint="eastAsia" w:ascii="宋体" w:hAnsi="宋体" w:eastAsia="宋体" w:cs="宋体"/>
          <w:b/>
          <w:bCs w:val="0"/>
          <w:color w:val="auto"/>
          <w:szCs w:val="21"/>
          <w:highlight w:val="none"/>
          <w:lang w:val="en-US"/>
        </w:rPr>
        <w:t>质量的，可作实质上不响应招标文件要求处理</w:t>
      </w:r>
      <w:r>
        <w:rPr>
          <w:rStyle w:val="297"/>
          <w:rFonts w:hint="eastAsia" w:ascii="宋体" w:hAnsi="宋体" w:eastAsia="宋体" w:cs="宋体"/>
          <w:b/>
          <w:bCs w:val="0"/>
          <w:color w:val="auto"/>
          <w:szCs w:val="21"/>
          <w:highlight w:val="none"/>
        </w:rPr>
        <w:t>。</w:t>
      </w:r>
      <w:bookmarkEnd w:id="40"/>
    </w:p>
    <w:p w14:paraId="5C91032C">
      <w:pPr>
        <w:keepNext w:val="0"/>
        <w:keepLines w:val="0"/>
        <w:pageBreakBefore w:val="0"/>
        <w:numPr>
          <w:ilvl w:val="0"/>
          <w:numId w:val="0"/>
        </w:numPr>
        <w:kinsoku/>
        <w:wordWrap/>
        <w:overflowPunct/>
        <w:topLinePunct w:val="0"/>
        <w:autoSpaceDE/>
        <w:autoSpaceDN/>
        <w:bidi w:val="0"/>
        <w:snapToGrid w:val="0"/>
        <w:spacing w:line="400" w:lineRule="exact"/>
        <w:ind w:left="425" w:leftChars="0" w:hanging="425" w:firstLineChars="0"/>
        <w:textAlignment w:val="auto"/>
        <w:rPr>
          <w:rFonts w:hint="eastAsia" w:ascii="宋体" w:hAnsi="宋体" w:eastAsia="宋体" w:cs="宋体"/>
          <w:b/>
          <w:bCs/>
          <w:color w:val="auto"/>
          <w:kern w:val="2"/>
          <w:sz w:val="21"/>
          <w:szCs w:val="21"/>
          <w:highlight w:val="none"/>
          <w:lang w:val="en-US" w:eastAsia="zh-CN" w:bidi="ar-SA"/>
        </w:rPr>
      </w:pPr>
    </w:p>
    <w:p w14:paraId="012DFE36">
      <w:pPr>
        <w:keepNext w:val="0"/>
        <w:keepLines w:val="0"/>
        <w:pageBreakBefore w:val="0"/>
        <w:numPr>
          <w:ilvl w:val="0"/>
          <w:numId w:val="0"/>
        </w:numPr>
        <w:kinsoku/>
        <w:wordWrap/>
        <w:overflowPunct/>
        <w:topLinePunct w:val="0"/>
        <w:autoSpaceDE/>
        <w:autoSpaceDN/>
        <w:bidi w:val="0"/>
        <w:snapToGrid w:val="0"/>
        <w:spacing w:line="400" w:lineRule="exact"/>
        <w:ind w:left="425" w:leftChars="0" w:hanging="425"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w:t>
      </w:r>
      <w:r>
        <w:rPr>
          <w:rFonts w:hint="eastAsia" w:ascii="宋体" w:hAnsi="宋体" w:eastAsia="宋体" w:cs="宋体"/>
          <w:b/>
          <w:bCs/>
          <w:color w:val="auto"/>
          <w:sz w:val="21"/>
          <w:szCs w:val="21"/>
          <w:highlight w:val="none"/>
        </w:rPr>
        <w:t>服务团队</w:t>
      </w:r>
    </w:p>
    <w:p w14:paraId="5C4D75A9">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需配有专职维护服务人员，能及时准确地解决故障。实行7×24小时故障报修和技术支持电话服务，指定专人负责与用户联络。当遇到重要保障服务，可动态增加维护服务人员。</w:t>
      </w:r>
    </w:p>
    <w:p w14:paraId="7C01BF39">
      <w:pPr>
        <w:keepNext w:val="0"/>
        <w:keepLines w:val="0"/>
        <w:pageBreakBefore w:val="0"/>
        <w:numPr>
          <w:ilvl w:val="0"/>
          <w:numId w:val="0"/>
        </w:numPr>
        <w:kinsoku/>
        <w:wordWrap/>
        <w:overflowPunct/>
        <w:topLinePunct w:val="0"/>
        <w:autoSpaceDE/>
        <w:autoSpaceDN/>
        <w:bidi w:val="0"/>
        <w:snapToGrid w:val="0"/>
        <w:spacing w:line="400" w:lineRule="exact"/>
        <w:ind w:left="425" w:leftChars="0" w:hanging="425"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维保及故障应急</w:t>
      </w:r>
    </w:p>
    <w:p w14:paraId="7E6C057A">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根据用户的实际需求，重大会议提供现场保障服务。</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实际使用过程中的</w:t>
      </w:r>
      <w:r>
        <w:rPr>
          <w:rFonts w:hint="eastAsia" w:ascii="宋体" w:hAnsi="宋体" w:eastAsia="宋体" w:cs="宋体"/>
          <w:color w:val="auto"/>
          <w:sz w:val="21"/>
          <w:szCs w:val="21"/>
          <w:highlight w:val="none"/>
        </w:rPr>
        <w:t>故障级别不同，提供相应的响应时间、提交故障处理方案时间、到达现场时间和解决故障时间</w:t>
      </w:r>
      <w:r>
        <w:rPr>
          <w:rFonts w:hint="eastAsia" w:ascii="宋体" w:hAnsi="宋体" w:eastAsia="宋体" w:cs="宋体"/>
          <w:color w:val="auto"/>
          <w:sz w:val="21"/>
          <w:szCs w:val="21"/>
          <w:highlight w:val="none"/>
          <w:lang w:eastAsia="zh-CN"/>
        </w:rPr>
        <w:t>。</w:t>
      </w:r>
    </w:p>
    <w:p w14:paraId="51C293D0">
      <w:pPr>
        <w:keepNext w:val="0"/>
        <w:keepLines w:val="0"/>
        <w:pageBreakBefore w:val="0"/>
        <w:numPr>
          <w:ilvl w:val="0"/>
          <w:numId w:val="0"/>
        </w:numPr>
        <w:kinsoku/>
        <w:wordWrap/>
        <w:overflowPunct/>
        <w:topLinePunct w:val="0"/>
        <w:autoSpaceDE/>
        <w:autoSpaceDN/>
        <w:bidi w:val="0"/>
        <w:snapToGrid w:val="0"/>
        <w:spacing w:line="400" w:lineRule="exact"/>
        <w:ind w:left="425" w:leftChars="0" w:hanging="425"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绩效目标和绩效评价</w:t>
      </w:r>
    </w:p>
    <w:p w14:paraId="7017E2F2">
      <w:pPr>
        <w:keepNext w:val="0"/>
        <w:keepLines w:val="0"/>
        <w:pageBreakBefore w:val="0"/>
        <w:numPr>
          <w:ilvl w:val="0"/>
          <w:numId w:val="8"/>
        </w:numPr>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年度目标</w:t>
      </w:r>
    </w:p>
    <w:p w14:paraId="5E8D068A">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大碶成人学校报告厅软硬件租赁及运维服务项目</w:t>
      </w:r>
      <w:r>
        <w:rPr>
          <w:rFonts w:hint="eastAsia" w:ascii="宋体" w:hAnsi="宋体" w:eastAsia="宋体" w:cs="宋体"/>
          <w:color w:val="auto"/>
          <w:sz w:val="21"/>
          <w:szCs w:val="21"/>
          <w:highlight w:val="none"/>
        </w:rPr>
        <w:t>提供相关租用服务，保障本项目涉及到内容所有系统正常使用，</w:t>
      </w:r>
      <w:r>
        <w:rPr>
          <w:rFonts w:hint="eastAsia" w:ascii="宋体" w:hAnsi="宋体" w:eastAsia="宋体" w:cs="宋体"/>
          <w:color w:val="auto"/>
          <w:sz w:val="21"/>
          <w:szCs w:val="21"/>
          <w:highlight w:val="none"/>
          <w:u w:val="none"/>
        </w:rPr>
        <w:t>能够给</w:t>
      </w:r>
      <w:r>
        <w:rPr>
          <w:rFonts w:hint="eastAsia" w:ascii="宋体" w:hAnsi="宋体" w:eastAsia="宋体" w:cs="宋体"/>
          <w:color w:val="auto"/>
          <w:sz w:val="21"/>
          <w:szCs w:val="21"/>
          <w:highlight w:val="none"/>
          <w:u w:val="single"/>
        </w:rPr>
        <w:t>学校师生提供多功能演出、报告厅汇报、多功能会议、培训、工作汇报、产品发布、年终工作会议等大中型多功能场景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为学校多功能会议实用性、可靠性</w:t>
      </w:r>
      <w:r>
        <w:rPr>
          <w:rFonts w:hint="eastAsia" w:ascii="宋体" w:hAnsi="宋体" w:eastAsia="宋体" w:cs="宋体"/>
          <w:color w:val="auto"/>
          <w:sz w:val="21"/>
          <w:szCs w:val="21"/>
          <w:highlight w:val="none"/>
        </w:rPr>
        <w:t>提供强有力的支持。</w:t>
      </w:r>
    </w:p>
    <w:p w14:paraId="2A3746F9">
      <w:pPr>
        <w:keepNext w:val="0"/>
        <w:keepLines w:val="0"/>
        <w:pageBreakBefore w:val="0"/>
        <w:numPr>
          <w:ilvl w:val="0"/>
          <w:numId w:val="8"/>
        </w:numPr>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绩效评价</w:t>
      </w:r>
    </w:p>
    <w:p w14:paraId="412174B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按照政府购买服务相关规定，组建服务绩效评价小组，小组成员分别由分管领导、业务处室、行业专家组成，就购买服务行为的经济性、规范性、效率性、公平性开展评价，并确保评价工作的专业性、独立性、权威性。</w:t>
      </w:r>
    </w:p>
    <w:p w14:paraId="2DD567F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采购人将绩效管理贯穿购买服务全过程，推动绩效目标管理、绩效运行跟踪监控和绩效评价实施管理相结合，根据森林保护行业领域特点，因地制宜、规范有序确定相应的评价手段、评价方法和评价路径。</w:t>
      </w:r>
    </w:p>
    <w:p w14:paraId="41F18C59">
      <w:pPr>
        <w:keepNext w:val="0"/>
        <w:keepLines w:val="0"/>
        <w:pageBreakBefore w:val="0"/>
        <w:numPr>
          <w:ilvl w:val="0"/>
          <w:numId w:val="0"/>
        </w:numPr>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项目服务周期。项目服务周期为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年，计算周期从项目正式验收通过后的</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w:t>
      </w:r>
    </w:p>
    <w:p w14:paraId="0B9AE943">
      <w:pPr>
        <w:keepNext w:val="0"/>
        <w:keepLines w:val="0"/>
        <w:pageBreakBefore w:val="0"/>
        <w:numPr>
          <w:ilvl w:val="0"/>
          <w:numId w:val="0"/>
        </w:numPr>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项目资产所有权。项目服务周期到期后，所租用</w:t>
      </w:r>
      <w:r>
        <w:rPr>
          <w:rFonts w:hint="eastAsia" w:ascii="宋体" w:hAnsi="宋体" w:eastAsia="宋体" w:cs="宋体"/>
          <w:color w:val="auto"/>
          <w:sz w:val="21"/>
          <w:szCs w:val="21"/>
          <w:highlight w:val="none"/>
          <w:lang w:val="en-US" w:eastAsia="zh-CN"/>
        </w:rPr>
        <w:t>软硬件设备</w:t>
      </w:r>
      <w:r>
        <w:rPr>
          <w:rFonts w:hint="eastAsia" w:ascii="宋体" w:hAnsi="宋体" w:eastAsia="宋体" w:cs="宋体"/>
          <w:color w:val="auto"/>
          <w:sz w:val="21"/>
          <w:szCs w:val="21"/>
          <w:highlight w:val="none"/>
        </w:rPr>
        <w:t>最终</w:t>
      </w:r>
      <w:r>
        <w:rPr>
          <w:rFonts w:hint="eastAsia" w:ascii="宋体" w:hAnsi="宋体" w:eastAsia="宋体" w:cs="宋体"/>
          <w:color w:val="auto"/>
          <w:sz w:val="21"/>
          <w:szCs w:val="21"/>
          <w:highlight w:val="none"/>
          <w:lang w:val="en-US" w:eastAsia="zh-CN"/>
        </w:rPr>
        <w:t>所有权归街道（学校）所有</w:t>
      </w:r>
      <w:r>
        <w:rPr>
          <w:rFonts w:hint="eastAsia" w:ascii="宋体" w:hAnsi="宋体" w:eastAsia="宋体" w:cs="宋体"/>
          <w:color w:val="auto"/>
          <w:sz w:val="21"/>
          <w:szCs w:val="21"/>
          <w:highlight w:val="none"/>
        </w:rPr>
        <w:t>。</w:t>
      </w:r>
    </w:p>
    <w:p w14:paraId="61E3782E">
      <w:pPr>
        <w:keepNext w:val="0"/>
        <w:keepLines w:val="0"/>
        <w:pageBreakBefore w:val="0"/>
        <w:tabs>
          <w:tab w:val="left" w:pos="363"/>
        </w:tabs>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商务需求</w:t>
      </w:r>
    </w:p>
    <w:p w14:paraId="439E32B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合同签订及工期:中标供应商应于中标后三十日内签订服务合同。</w:t>
      </w:r>
      <w:r>
        <w:rPr>
          <w:rFonts w:hint="eastAsia" w:ascii="宋体" w:hAnsi="宋体" w:eastAsia="宋体" w:cs="宋体"/>
          <w:color w:val="auto"/>
          <w:sz w:val="21"/>
          <w:szCs w:val="21"/>
          <w:highlight w:val="none"/>
          <w:lang w:eastAsia="zh-CN"/>
        </w:rPr>
        <w:t>项目一招</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年，合同一年一签，</w:t>
      </w:r>
      <w:r>
        <w:rPr>
          <w:rFonts w:hint="eastAsia" w:ascii="宋体" w:hAnsi="宋体" w:eastAsia="宋体" w:cs="宋体"/>
          <w:color w:val="auto"/>
          <w:sz w:val="21"/>
          <w:szCs w:val="21"/>
          <w:highlight w:val="none"/>
          <w:lang w:val="en-US" w:eastAsia="zh-CN"/>
        </w:rPr>
        <w:t>费用一年一付</w:t>
      </w:r>
      <w:r>
        <w:rPr>
          <w:rFonts w:hint="eastAsia" w:ascii="宋体" w:hAnsi="宋体" w:eastAsia="宋体" w:cs="宋体"/>
          <w:color w:val="auto"/>
          <w:sz w:val="21"/>
          <w:szCs w:val="21"/>
          <w:highlight w:val="none"/>
          <w:lang w:eastAsia="zh-CN"/>
        </w:rPr>
        <w:t>，采购人有权根据上一年度合同履约考核情况决定是否续签</w:t>
      </w:r>
      <w:r>
        <w:rPr>
          <w:rFonts w:hint="eastAsia" w:ascii="宋体" w:hAnsi="宋体" w:eastAsia="宋体" w:cs="宋体"/>
          <w:color w:val="auto"/>
          <w:sz w:val="21"/>
          <w:szCs w:val="21"/>
          <w:highlight w:val="none"/>
        </w:rPr>
        <w:t>。</w:t>
      </w:r>
    </w:p>
    <w:p w14:paraId="7F0FAE9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验收方式：根据招标文件要求和投标响应文件，由采购人组织验收。</w:t>
      </w:r>
    </w:p>
    <w:p w14:paraId="1387630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zh-TW" w:eastAsia="zh-CN" w:bidi="ar-SA"/>
        </w:rPr>
        <w:t>3.</w:t>
      </w:r>
      <w:bookmarkStart w:id="41" w:name="OLE_LINK32"/>
      <w:r>
        <w:rPr>
          <w:rFonts w:hint="eastAsia" w:ascii="宋体" w:hAnsi="宋体" w:eastAsia="宋体" w:cs="宋体"/>
          <w:b w:val="0"/>
          <w:bCs w:val="0"/>
          <w:color w:val="auto"/>
          <w:sz w:val="21"/>
          <w:szCs w:val="21"/>
          <w:highlight w:val="none"/>
        </w:rPr>
        <w:t>付款方式：</w:t>
      </w:r>
      <w:bookmarkStart w:id="42" w:name="OLE_LINK40"/>
      <w:r>
        <w:rPr>
          <w:rFonts w:hint="eastAsia" w:ascii="宋体" w:hAnsi="宋体" w:eastAsia="宋体" w:cs="宋体"/>
          <w:b w:val="0"/>
          <w:bCs w:val="0"/>
          <w:color w:val="auto"/>
          <w:szCs w:val="21"/>
          <w:highlight w:val="none"/>
        </w:rPr>
        <w:t>合同生效并具备实施条件后7个工作日内，</w:t>
      </w:r>
      <w:r>
        <w:rPr>
          <w:rFonts w:hint="eastAsia" w:ascii="宋体" w:hAnsi="宋体" w:eastAsia="宋体" w:cs="宋体"/>
          <w:b w:val="0"/>
          <w:bCs w:val="0"/>
          <w:color w:val="auto"/>
          <w:kern w:val="0"/>
          <w:szCs w:val="21"/>
          <w:highlight w:val="none"/>
        </w:rPr>
        <w:t>支付中标人合同总价金额的</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0%作为合同预付款</w:t>
      </w:r>
      <w:r>
        <w:rPr>
          <w:rFonts w:hint="eastAsia" w:ascii="宋体" w:hAnsi="宋体" w:eastAsia="宋体" w:cs="宋体"/>
          <w:b w:val="0"/>
          <w:bCs w:val="0"/>
          <w:color w:val="auto"/>
          <w:szCs w:val="21"/>
          <w:highlight w:val="none"/>
        </w:rPr>
        <w:t>（预付款保函应由银行、保险公司等金融机构出具且与预付款同等金额）；中标人于合同签订前书面承诺放弃预付款或降低预付款支付比例的，可不适用本条款。</w:t>
      </w:r>
      <w:r>
        <w:rPr>
          <w:rFonts w:hint="eastAsia" w:ascii="宋体" w:hAnsi="宋体" w:eastAsia="宋体" w:cs="宋体"/>
          <w:b w:val="0"/>
          <w:bCs w:val="0"/>
          <w:color w:val="auto"/>
          <w:sz w:val="21"/>
          <w:szCs w:val="21"/>
          <w:highlight w:val="none"/>
          <w:lang w:val="en-US" w:eastAsia="zh-CN"/>
        </w:rPr>
        <w:t>项目验收后，一次性支付剩余款项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Cs w:val="21"/>
          <w:highlight w:val="none"/>
        </w:rPr>
        <w:t>若已支付预付款的，须扣除已支付的预付款。</w:t>
      </w:r>
      <w:bookmarkEnd w:id="42"/>
    </w:p>
    <w:bookmarkEnd w:id="41"/>
    <w:p w14:paraId="71D0E30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4.报告厅软</w:t>
      </w:r>
      <w:r>
        <w:rPr>
          <w:rFonts w:hint="eastAsia" w:ascii="宋体" w:hAnsi="宋体" w:eastAsia="宋体" w:cs="宋体"/>
          <w:b w:val="0"/>
          <w:bCs w:val="0"/>
          <w:color w:val="auto"/>
          <w:sz w:val="21"/>
          <w:szCs w:val="21"/>
          <w:highlight w:val="none"/>
          <w:lang w:val="en-US" w:eastAsia="zh-CN"/>
        </w:rPr>
        <w:t>硬件设施(显示大屏及多媒体系统等)，第一年由中标人按招标文件和投标文件要求购置配备齐全，第一至第三年由中标人负责维护，如设备有故障的，由中标人负责修复或更换。</w:t>
      </w:r>
      <w:r>
        <w:rPr>
          <w:rFonts w:hint="eastAsia" w:ascii="宋体" w:hAnsi="宋体" w:eastAsia="宋体" w:cs="宋体"/>
          <w:b w:val="0"/>
          <w:bCs w:val="0"/>
          <w:color w:val="auto"/>
          <w:szCs w:val="21"/>
          <w:highlight w:val="none"/>
        </w:rPr>
        <w:t>三年后报告厅的软硬件设施产权归</w:t>
      </w:r>
      <w:r>
        <w:rPr>
          <w:rFonts w:hint="eastAsia" w:ascii="宋体" w:hAnsi="宋体" w:eastAsia="宋体" w:cs="宋体"/>
          <w:b w:val="0"/>
          <w:bCs w:val="0"/>
          <w:color w:val="auto"/>
          <w:szCs w:val="21"/>
          <w:highlight w:val="none"/>
          <w:lang w:val="en-US" w:eastAsia="zh-CN"/>
        </w:rPr>
        <w:t>街道（学校）</w:t>
      </w:r>
      <w:r>
        <w:rPr>
          <w:rFonts w:hint="eastAsia" w:ascii="宋体" w:hAnsi="宋体" w:eastAsia="宋体" w:cs="宋体"/>
          <w:b w:val="0"/>
          <w:bCs w:val="0"/>
          <w:color w:val="auto"/>
          <w:szCs w:val="21"/>
          <w:highlight w:val="none"/>
        </w:rPr>
        <w:t>所有</w:t>
      </w:r>
      <w:r>
        <w:rPr>
          <w:rFonts w:hint="eastAsia" w:ascii="宋体" w:hAnsi="宋体" w:eastAsia="宋体" w:cs="宋体"/>
          <w:b w:val="0"/>
          <w:bCs w:val="0"/>
          <w:color w:val="auto"/>
          <w:sz w:val="21"/>
          <w:szCs w:val="21"/>
          <w:highlight w:val="none"/>
          <w:lang w:val="en-US" w:eastAsia="zh-CN"/>
        </w:rPr>
        <w:t>。</w:t>
      </w:r>
    </w:p>
    <w:p w14:paraId="6317DE0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七、其他要求：</w:t>
      </w:r>
    </w:p>
    <w:p w14:paraId="297C909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0"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bCs/>
          <w:color w:val="auto"/>
          <w:sz w:val="21"/>
          <w:szCs w:val="21"/>
          <w:highlight w:val="none"/>
          <w:lang w:val="en-US" w:eastAsia="zh-CN"/>
        </w:rPr>
        <w:t>1.供应商须承诺在合同签订前提供本项目服务产品的原厂质保证书，承诺函格式自拟。</w:t>
      </w:r>
    </w:p>
    <w:p w14:paraId="0716914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sz w:val="21"/>
          <w:szCs w:val="21"/>
          <w:highlight w:val="none"/>
          <w:lang w:val="en-US" w:eastAsia="zh-CN"/>
        </w:rPr>
        <w:t>2.供应商须承诺本项目投标中所提供的原件、复印件具有合法性，如经认定具有造假嫌疑，自愿放弃中标资格，并赔偿使用单位一切损失。承诺函格式自拟。</w:t>
      </w:r>
    </w:p>
    <w:p w14:paraId="5D039897">
      <w:pPr>
        <w:pStyle w:val="4"/>
        <w:rPr>
          <w:rFonts w:hint="eastAsia" w:ascii="宋体" w:hAnsi="宋体" w:eastAsia="宋体" w:cs="宋体"/>
          <w:b w:val="0"/>
          <w:bCs w:val="0"/>
          <w:color w:val="auto"/>
          <w:sz w:val="21"/>
          <w:szCs w:val="21"/>
          <w:highlight w:val="none"/>
          <w:lang w:val="en-US" w:eastAsia="zh-CN"/>
        </w:rPr>
      </w:pPr>
    </w:p>
    <w:p w14:paraId="38C7D000">
      <w:pPr>
        <w:rPr>
          <w:rFonts w:hint="eastAsia" w:ascii="宋体" w:hAnsi="宋体" w:eastAsia="宋体" w:cs="宋体"/>
          <w:b/>
          <w:bCs/>
          <w:color w:val="auto"/>
          <w:sz w:val="21"/>
          <w:szCs w:val="21"/>
          <w:highlight w:val="none"/>
          <w:lang w:val="en-US" w:eastAsia="zh-CN"/>
        </w:rPr>
      </w:pPr>
    </w:p>
    <w:p w14:paraId="1ECAD81C">
      <w:pPr>
        <w:rPr>
          <w:rFonts w:hint="eastAsia" w:ascii="宋体" w:hAnsi="宋体" w:eastAsia="宋体" w:cs="宋体"/>
          <w:b/>
          <w:bCs/>
          <w:color w:val="auto"/>
          <w:sz w:val="21"/>
          <w:szCs w:val="21"/>
          <w:highlight w:val="none"/>
          <w:lang w:val="en-US" w:eastAsia="zh-CN"/>
        </w:rPr>
      </w:pPr>
    </w:p>
    <w:bookmarkEnd w:id="22"/>
    <w:p w14:paraId="716059C7">
      <w:pPr>
        <w:pStyle w:val="66"/>
        <w:rPr>
          <w:rFonts w:hint="eastAsia" w:ascii="宋体" w:hAnsi="宋体" w:eastAsia="宋体" w:cs="宋体"/>
          <w:b/>
          <w:bCs/>
          <w:color w:val="auto"/>
          <w:kern w:val="0"/>
          <w:szCs w:val="21"/>
          <w:highlight w:val="none"/>
        </w:rPr>
      </w:pPr>
    </w:p>
    <w:p w14:paraId="3AF3B48B">
      <w:pPr>
        <w:jc w:val="center"/>
        <w:rPr>
          <w:rFonts w:hint="eastAsia" w:ascii="宋体" w:hAnsi="宋体" w:eastAsia="宋体" w:cs="宋体"/>
          <w:b/>
          <w:bCs/>
          <w:color w:val="auto"/>
          <w:sz w:val="32"/>
          <w:szCs w:val="32"/>
          <w:highlight w:val="none"/>
        </w:rPr>
      </w:pPr>
      <w:bookmarkStart w:id="43" w:name="_Toc530378517"/>
      <w:r>
        <w:rPr>
          <w:rFonts w:hint="eastAsia" w:ascii="宋体" w:hAnsi="宋体" w:eastAsia="宋体" w:cs="宋体"/>
          <w:b/>
          <w:bCs/>
          <w:color w:val="auto"/>
          <w:sz w:val="32"/>
          <w:szCs w:val="32"/>
          <w:highlight w:val="none"/>
        </w:rPr>
        <w:t>第三章  供应商须知</w:t>
      </w:r>
      <w:bookmarkEnd w:id="43"/>
    </w:p>
    <w:p w14:paraId="2E3B4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表</w:t>
      </w:r>
    </w:p>
    <w:tbl>
      <w:tblPr>
        <w:tblStyle w:val="49"/>
        <w:tblW w:w="94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8557"/>
      </w:tblGrid>
      <w:tr w14:paraId="3AAC9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0C714C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557" w:type="dxa"/>
            <w:tcBorders>
              <w:top w:val="single" w:color="auto" w:sz="4" w:space="0"/>
              <w:left w:val="single" w:color="auto" w:sz="4" w:space="0"/>
              <w:bottom w:val="single" w:color="auto" w:sz="4" w:space="0"/>
              <w:right w:val="single" w:color="auto" w:sz="4" w:space="0"/>
            </w:tcBorders>
            <w:vAlign w:val="center"/>
          </w:tcPr>
          <w:p w14:paraId="780A624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71529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57718B7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57" w:type="dxa"/>
            <w:tcBorders>
              <w:top w:val="single" w:color="auto" w:sz="4" w:space="0"/>
              <w:left w:val="single" w:color="auto" w:sz="4" w:space="0"/>
              <w:bottom w:val="single" w:color="auto" w:sz="4" w:space="0"/>
              <w:right w:val="single" w:color="auto" w:sz="4" w:space="0"/>
            </w:tcBorders>
            <w:vAlign w:val="center"/>
          </w:tcPr>
          <w:p w14:paraId="0E27DA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大碶成人学校报告厅软硬件租赁及运维服务项目</w:t>
            </w:r>
          </w:p>
        </w:tc>
      </w:tr>
      <w:tr w14:paraId="7B7F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293326E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57" w:type="dxa"/>
            <w:tcBorders>
              <w:top w:val="single" w:color="auto" w:sz="4" w:space="0"/>
              <w:left w:val="single" w:color="auto" w:sz="4" w:space="0"/>
              <w:bottom w:val="single" w:color="auto" w:sz="4" w:space="0"/>
              <w:right w:val="single" w:color="auto" w:sz="4" w:space="0"/>
            </w:tcBorders>
            <w:vAlign w:val="center"/>
          </w:tcPr>
          <w:p w14:paraId="696B5714">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投标报价及费用：</w:t>
            </w:r>
          </w:p>
          <w:p w14:paraId="0C7292F7">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本项目投标应以人民币报价；</w:t>
            </w:r>
            <w:r>
              <w:rPr>
                <w:rFonts w:hint="eastAsia" w:ascii="宋体" w:hAnsi="宋体" w:cs="宋体"/>
                <w:b/>
                <w:bCs/>
                <w:color w:val="auto"/>
                <w:szCs w:val="21"/>
                <w:highlight w:val="none"/>
                <w:lang w:val="en-US" w:eastAsia="zh-CN"/>
              </w:rPr>
              <w:t>本项目最高限价为795000元/年，投标报价超过最高限价的，作无效标处理。</w:t>
            </w:r>
            <w:bookmarkStart w:id="155" w:name="_GoBack"/>
            <w:bookmarkEnd w:id="155"/>
          </w:p>
          <w:p w14:paraId="604405F5">
            <w:pPr>
              <w:keepNext w:val="0"/>
              <w:keepLines w:val="0"/>
              <w:pageBreakBefore w:val="0"/>
              <w:widowControl w:val="0"/>
              <w:numPr>
                <w:ilvl w:val="0"/>
                <w:numId w:val="9"/>
              </w:numPr>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14:paraId="6F5AD4AA">
            <w:pPr>
              <w:keepNext w:val="0"/>
              <w:keepLines w:val="0"/>
              <w:pageBreakBefore w:val="0"/>
              <w:widowControl w:val="0"/>
              <w:numPr>
                <w:ilvl w:val="0"/>
                <w:numId w:val="9"/>
              </w:numPr>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本项目的投标报价须包含完成本项目需要的所有费用；</w:t>
            </w:r>
          </w:p>
          <w:p w14:paraId="6E89480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4.中标服务费的收取：本招标代理机构</w:t>
            </w:r>
            <w:r>
              <w:rPr>
                <w:rFonts w:hint="eastAsia" w:ascii="宋体" w:hAnsi="宋体" w:eastAsia="宋体" w:cs="宋体"/>
                <w:color w:val="auto"/>
                <w:szCs w:val="21"/>
                <w:highlight w:val="none"/>
                <w:lang w:val="en-US" w:eastAsia="zh-CN"/>
              </w:rPr>
              <w:t>向中标人收取招标代理服务费，计人民币26200元</w:t>
            </w:r>
            <w:r>
              <w:rPr>
                <w:rFonts w:hint="eastAsia" w:ascii="宋体" w:hAnsi="宋体" w:eastAsia="宋体" w:cs="宋体"/>
                <w:color w:val="auto"/>
                <w:szCs w:val="21"/>
                <w:highlight w:val="none"/>
              </w:rPr>
              <w:t>。由中标人领取中标通知书后5个工作日内支付招标代理服务费。</w:t>
            </w:r>
          </w:p>
          <w:p w14:paraId="38A24B6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中标服务费汇入账户：</w:t>
            </w:r>
          </w:p>
          <w:p w14:paraId="3850223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账户名称：宁波杜威工程项目管理有限公司 </w:t>
            </w:r>
          </w:p>
          <w:p w14:paraId="159D1D1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开户银行：中国光大银行宁波北仑支行 </w:t>
            </w:r>
          </w:p>
          <w:p w14:paraId="47E765C5">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银行账号：76820188000227370 </w:t>
            </w:r>
          </w:p>
        </w:tc>
      </w:tr>
      <w:tr w14:paraId="5DB0E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362B8F9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57" w:type="dxa"/>
            <w:tcBorders>
              <w:top w:val="single" w:color="auto" w:sz="4" w:space="0"/>
              <w:left w:val="single" w:color="auto" w:sz="4" w:space="0"/>
              <w:bottom w:val="single" w:color="auto" w:sz="4" w:space="0"/>
              <w:right w:val="single" w:color="auto" w:sz="4" w:space="0"/>
            </w:tcBorders>
            <w:vAlign w:val="center"/>
          </w:tcPr>
          <w:p w14:paraId="0887F817">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现场踏勘：详见第二章  招标需求。</w:t>
            </w:r>
          </w:p>
        </w:tc>
      </w:tr>
      <w:tr w14:paraId="6C8BF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DC0AC4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57" w:type="dxa"/>
            <w:tcBorders>
              <w:top w:val="single" w:color="auto" w:sz="4" w:space="0"/>
              <w:left w:val="single" w:color="auto" w:sz="4" w:space="0"/>
              <w:bottom w:val="single" w:color="auto" w:sz="4" w:space="0"/>
              <w:right w:val="single" w:color="auto" w:sz="4" w:space="0"/>
            </w:tcBorders>
            <w:vAlign w:val="center"/>
          </w:tcPr>
          <w:p w14:paraId="06CA9F1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p w14:paraId="17B8077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Cs w:val="21"/>
                <w:highlight w:val="none"/>
              </w:rPr>
            </w:pPr>
            <w:bookmarkStart w:id="44" w:name="OLE_LINK31"/>
            <w:r>
              <w:rPr>
                <w:rFonts w:hint="eastAsia" w:ascii="宋体" w:hAnsi="宋体" w:eastAsia="宋体" w:cs="宋体"/>
                <w:color w:val="auto"/>
                <w:szCs w:val="21"/>
                <w:highlight w:val="none"/>
              </w:rPr>
              <w:t>★</w:t>
            </w:r>
            <w:bookmarkEnd w:id="44"/>
            <w:r>
              <w:rPr>
                <w:rFonts w:hint="eastAsia" w:ascii="宋体" w:hAnsi="宋体" w:eastAsia="宋体" w:cs="宋体"/>
                <w:b/>
                <w:bCs/>
                <w:color w:val="auto"/>
                <w:szCs w:val="21"/>
                <w:highlight w:val="none"/>
              </w:rPr>
              <w:t>（1）上传到政府采购云平台的电子加密投标文件（含资格证明文件、商务技术文件、报价文件）1份。</w:t>
            </w:r>
          </w:p>
          <w:p w14:paraId="2E8DFF9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（2）以U盘存储的电子备份投标文件（含资格证明文件、商务技术文件、报价文件）1份。</w:t>
            </w:r>
          </w:p>
          <w:p w14:paraId="62B4CBF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说明：</w:t>
            </w:r>
          </w:p>
          <w:p w14:paraId="2C77C1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w:t>
            </w:r>
          </w:p>
          <w:p w14:paraId="47B83B6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（1）“电子加密投标文件”是指通过“政采云电子交易客户端”完成投标文件编制后生成并加密的数据电文形式的投标文件。</w:t>
            </w:r>
          </w:p>
          <w:p w14:paraId="0DE2E4B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（2）供应商应先安装“政采云电子交易客户端”，并按照本招标文件和“政府采购云平台”的要求，通过“政采云电子交易客户端”编制并加密投标文件。</w:t>
            </w:r>
          </w:p>
          <w:p w14:paraId="131ECB6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2、“电子备份投标文件”：</w:t>
            </w:r>
          </w:p>
          <w:p w14:paraId="3AF8045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（1）“电子备份投标文件”是指与“电子加密投标文件”同时生成的数据电文形式的电子文件，文件后缀为：bfbs。</w:t>
            </w:r>
          </w:p>
          <w:p w14:paraId="26D2C49F">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（2）供应商可自主选择是否编制“电子备份投标文件”。</w:t>
            </w:r>
            <w:r>
              <w:rPr>
                <w:rFonts w:hint="eastAsia" w:ascii="宋体" w:hAnsi="宋体" w:eastAsia="宋体" w:cs="宋体"/>
                <w:b/>
                <w:bCs/>
                <w:color w:val="auto"/>
                <w:szCs w:val="21"/>
                <w:highlight w:val="none"/>
              </w:rPr>
              <w:t>（不作强制要求，投标人自行决定是否提供）</w:t>
            </w:r>
            <w:r>
              <w:rPr>
                <w:rFonts w:hint="eastAsia" w:ascii="宋体" w:hAnsi="宋体" w:eastAsia="宋体" w:cs="宋体"/>
                <w:color w:val="auto"/>
                <w:szCs w:val="21"/>
                <w:highlight w:val="none"/>
              </w:rPr>
              <w:t>。</w:t>
            </w:r>
          </w:p>
          <w:p w14:paraId="27B46B3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（3）其他方式编制的备份投标文件视为无效备份投标文件。</w:t>
            </w:r>
          </w:p>
        </w:tc>
      </w:tr>
      <w:tr w14:paraId="0B441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3151808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5</w:t>
            </w:r>
          </w:p>
        </w:tc>
        <w:tc>
          <w:tcPr>
            <w:tcW w:w="8557" w:type="dxa"/>
            <w:tcBorders>
              <w:top w:val="single" w:color="auto" w:sz="4" w:space="0"/>
              <w:left w:val="single" w:color="auto" w:sz="4" w:space="0"/>
              <w:bottom w:val="single" w:color="auto" w:sz="4" w:space="0"/>
              <w:right w:val="single" w:color="auto" w:sz="4" w:space="0"/>
            </w:tcBorders>
            <w:vAlign w:val="center"/>
          </w:tcPr>
          <w:p w14:paraId="627736DC">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不同投标人的投标文件出自同一终端设备或在相同Internet主机分配地址（相同IP地址）网上报名投标的作无效标处理。</w:t>
            </w:r>
          </w:p>
        </w:tc>
      </w:tr>
      <w:tr w14:paraId="1E04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23791A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57" w:type="dxa"/>
            <w:tcBorders>
              <w:top w:val="single" w:color="auto" w:sz="4" w:space="0"/>
              <w:left w:val="single" w:color="auto" w:sz="4" w:space="0"/>
              <w:bottom w:val="single" w:color="auto" w:sz="4" w:space="0"/>
              <w:right w:val="single" w:color="auto" w:sz="4" w:space="0"/>
            </w:tcBorders>
            <w:vAlign w:val="center"/>
          </w:tcPr>
          <w:p w14:paraId="73CBBBE6">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开标时间及地点：详见第一章《公开招标采购公告》</w:t>
            </w:r>
          </w:p>
        </w:tc>
      </w:tr>
      <w:tr w14:paraId="4F57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31CD444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57" w:type="dxa"/>
            <w:tcBorders>
              <w:top w:val="single" w:color="auto" w:sz="4" w:space="0"/>
              <w:left w:val="single" w:color="auto" w:sz="4" w:space="0"/>
              <w:bottom w:val="single" w:color="auto" w:sz="4" w:space="0"/>
              <w:right w:val="single" w:color="auto" w:sz="4" w:space="0"/>
            </w:tcBorders>
            <w:vAlign w:val="center"/>
          </w:tcPr>
          <w:p w14:paraId="319BEBD1">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评标办法及评分标准：详见第四章《评标办法及评分标准》</w:t>
            </w:r>
          </w:p>
        </w:tc>
      </w:tr>
      <w:tr w14:paraId="525C2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52E0718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57" w:type="dxa"/>
            <w:tcBorders>
              <w:top w:val="single" w:color="auto" w:sz="4" w:space="0"/>
              <w:left w:val="single" w:color="auto" w:sz="4" w:space="0"/>
              <w:bottom w:val="single" w:color="auto" w:sz="4" w:space="0"/>
              <w:right w:val="single" w:color="auto" w:sz="4" w:space="0"/>
            </w:tcBorders>
            <w:vAlign w:val="center"/>
          </w:tcPr>
          <w:p w14:paraId="532D7620">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评标结果公示：评标结束后，评标结果公示于(1) 宁波公共资源交易网北仑分网（http://beilun.bidding.gov.cn)、(2)宁波市政府采购站点（</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"http://www.nbzfcg.cn/"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www.nbzfcg.cn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）、(3) 浙江政府采购网（http://www.zjzfcg.gov.cn）网站。</w:t>
            </w:r>
          </w:p>
        </w:tc>
      </w:tr>
      <w:tr w14:paraId="28167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5F454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57" w:type="dxa"/>
            <w:tcBorders>
              <w:top w:val="single" w:color="auto" w:sz="4" w:space="0"/>
              <w:left w:val="single" w:color="auto" w:sz="4" w:space="0"/>
              <w:bottom w:val="single" w:color="auto" w:sz="4" w:space="0"/>
              <w:right w:val="single" w:color="auto" w:sz="4" w:space="0"/>
            </w:tcBorders>
            <w:vAlign w:val="center"/>
          </w:tcPr>
          <w:p w14:paraId="6203D795">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签订合同时间：中标通知书发出后30日内。</w:t>
            </w:r>
          </w:p>
        </w:tc>
      </w:tr>
      <w:tr w14:paraId="4B6FF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0ED5460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57" w:type="dxa"/>
            <w:tcBorders>
              <w:top w:val="single" w:color="auto" w:sz="4" w:space="0"/>
              <w:left w:val="single" w:color="auto" w:sz="4" w:space="0"/>
              <w:bottom w:val="single" w:color="auto" w:sz="4" w:space="0"/>
              <w:right w:val="single" w:color="auto" w:sz="4" w:space="0"/>
            </w:tcBorders>
            <w:vAlign w:val="center"/>
          </w:tcPr>
          <w:p w14:paraId="226D9767">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投标文件有效期：90天</w:t>
            </w:r>
          </w:p>
        </w:tc>
      </w:tr>
      <w:tr w14:paraId="14AF3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02BA808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57" w:type="dxa"/>
            <w:tcBorders>
              <w:top w:val="single" w:color="auto" w:sz="4" w:space="0"/>
              <w:left w:val="single" w:color="auto" w:sz="4" w:space="0"/>
              <w:bottom w:val="single" w:color="auto" w:sz="4" w:space="0"/>
              <w:right w:val="single" w:color="auto" w:sz="4" w:space="0"/>
            </w:tcBorders>
            <w:vAlign w:val="center"/>
          </w:tcPr>
          <w:p w14:paraId="61B55761">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解释：本招标文件的解释权属于招标采购单位。</w:t>
            </w:r>
          </w:p>
        </w:tc>
      </w:tr>
    </w:tbl>
    <w:p w14:paraId="50578F20">
      <w:pPr>
        <w:pStyle w:val="25"/>
        <w:spacing w:beforeLines="0" w:afterLines="0"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color w:val="auto"/>
          <w:szCs w:val="21"/>
          <w:highlight w:val="none"/>
        </w:rPr>
        <w:t>一   总  则</w:t>
      </w:r>
    </w:p>
    <w:p w14:paraId="03713D5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45" w:name="_Toc503706611"/>
      <w:bookmarkStart w:id="46" w:name="_Toc503898557"/>
      <w:r>
        <w:rPr>
          <w:rFonts w:hint="eastAsia" w:ascii="宋体" w:hAnsi="宋体" w:eastAsia="宋体" w:cs="宋体"/>
          <w:color w:val="auto"/>
          <w:highlight w:val="none"/>
        </w:rPr>
        <w:t>（一） 适用范围</w:t>
      </w:r>
      <w:bookmarkEnd w:id="45"/>
      <w:bookmarkEnd w:id="46"/>
    </w:p>
    <w:p w14:paraId="5BC9E4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本招标文件适用本项目招标、投标、评标、定标、验收、合同履约、付款等行为（法律、法规另有规定的，从其规定）。</w:t>
      </w:r>
      <w:bookmarkStart w:id="47" w:name="_Toc503706612"/>
      <w:bookmarkStart w:id="48" w:name="_Toc503898558"/>
    </w:p>
    <w:p w14:paraId="64B06E66">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（二）定义</w:t>
      </w:r>
      <w:bookmarkEnd w:id="47"/>
      <w:bookmarkEnd w:id="48"/>
    </w:p>
    <w:p w14:paraId="7C99A3DF">
      <w:pPr>
        <w:spacing w:line="360" w:lineRule="auto"/>
        <w:ind w:firstLine="420" w:firstLineChars="200"/>
        <w:jc w:val="left"/>
        <w:rPr>
          <w:rFonts w:hint="eastAsia" w:ascii="宋体" w:hAnsi="宋体" w:eastAsia="宋体" w:cs="宋体"/>
          <w:color w:val="auto"/>
          <w:szCs w:val="21"/>
          <w:highlight w:val="none"/>
        </w:rPr>
      </w:pPr>
      <w:bookmarkStart w:id="49" w:name="_Toc503898559"/>
      <w:bookmarkStart w:id="50" w:name="_Toc503706613"/>
      <w:r>
        <w:rPr>
          <w:rFonts w:hint="eastAsia" w:ascii="宋体" w:hAnsi="宋体" w:eastAsia="宋体" w:cs="宋体"/>
          <w:color w:val="auto"/>
          <w:szCs w:val="21"/>
          <w:highlight w:val="none"/>
        </w:rPr>
        <w:t>1.招标采购单位系指组织本次招标的代理机构（“招标人”）和采购单位。</w:t>
      </w:r>
    </w:p>
    <w:p w14:paraId="13CD4B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2.“投标人”系指向招标方提交投标文件的单位或个人。</w:t>
      </w:r>
    </w:p>
    <w:p w14:paraId="40B36D8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3.“服务”系指招标文件规定投标人须承担的义务。</w:t>
      </w:r>
    </w:p>
    <w:p w14:paraId="1DD686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4.“项目”系指投标人按招标文件规定向采购人提供的服务。</w:t>
      </w:r>
    </w:p>
    <w:p w14:paraId="7760BE4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5.“书面形式”包括信函、传真等。</w:t>
      </w:r>
    </w:p>
    <w:p w14:paraId="2606A7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6.“★”系指实质性要求条款，</w:t>
      </w:r>
      <w:r>
        <w:rPr>
          <w:rFonts w:hint="eastAsia" w:ascii="宋体" w:hAnsi="宋体" w:eastAsia="宋体" w:cs="宋体"/>
          <w:color w:val="auto"/>
          <w:kern w:val="0"/>
          <w:szCs w:val="21"/>
          <w:highlight w:val="none"/>
        </w:rPr>
        <w:t>未响应或负偏离的，作无效标处理</w:t>
      </w:r>
      <w:r>
        <w:rPr>
          <w:rFonts w:hint="eastAsia" w:ascii="宋体" w:hAnsi="宋体" w:eastAsia="宋体" w:cs="宋体"/>
          <w:color w:val="auto"/>
          <w:szCs w:val="21"/>
          <w:highlight w:val="none"/>
        </w:rPr>
        <w:t>。</w:t>
      </w:r>
    </w:p>
    <w:p w14:paraId="2C885128">
      <w:pPr>
        <w:spacing w:line="360" w:lineRule="auto"/>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（三）招标方式</w:t>
      </w:r>
      <w:bookmarkEnd w:id="49"/>
      <w:bookmarkEnd w:id="50"/>
    </w:p>
    <w:p w14:paraId="3002B2C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14:paraId="31F31895">
      <w:pPr>
        <w:spacing w:line="360" w:lineRule="auto"/>
        <w:ind w:firstLine="420"/>
        <w:rPr>
          <w:rFonts w:hint="eastAsia" w:ascii="宋体" w:hAnsi="宋体" w:eastAsia="宋体" w:cs="宋体"/>
          <w:b/>
          <w:color w:val="auto"/>
          <w:szCs w:val="21"/>
          <w:highlight w:val="none"/>
        </w:rPr>
      </w:pPr>
      <w:bookmarkStart w:id="51" w:name="_Toc503898560"/>
      <w:bookmarkStart w:id="52" w:name="_Toc503706614"/>
      <w:r>
        <w:rPr>
          <w:rFonts w:hint="eastAsia" w:ascii="宋体" w:hAnsi="宋体" w:eastAsia="宋体" w:cs="宋体"/>
          <w:b/>
          <w:color w:val="auto"/>
          <w:szCs w:val="21"/>
          <w:highlight w:val="none"/>
        </w:rPr>
        <w:t>（四）投标委托</w:t>
      </w:r>
      <w:bookmarkEnd w:id="51"/>
      <w:bookmarkEnd w:id="52"/>
    </w:p>
    <w:p w14:paraId="21C5D6E3">
      <w:pPr>
        <w:spacing w:line="360" w:lineRule="auto"/>
        <w:ind w:firstLine="411" w:firstLineChars="196"/>
        <w:jc w:val="left"/>
        <w:outlineLvl w:val="1"/>
        <w:rPr>
          <w:rFonts w:hint="eastAsia" w:ascii="宋体" w:hAnsi="宋体" w:eastAsia="宋体" w:cs="宋体"/>
          <w:color w:val="auto"/>
          <w:szCs w:val="21"/>
          <w:highlight w:val="none"/>
        </w:rPr>
      </w:pPr>
      <w:bookmarkStart w:id="53" w:name="_Toc530378518"/>
      <w:bookmarkStart w:id="54" w:name="_Toc503706615"/>
      <w:bookmarkStart w:id="55" w:name="_Toc528775147"/>
      <w:bookmarkStart w:id="56" w:name="_Toc503898938"/>
      <w:bookmarkStart w:id="57" w:name="_Toc503898561"/>
      <w:bookmarkStart w:id="58" w:name="_Toc503898855"/>
      <w:r>
        <w:rPr>
          <w:rFonts w:hint="eastAsia" w:ascii="宋体" w:hAnsi="宋体" w:eastAsia="宋体" w:cs="宋体"/>
          <w:color w:val="auto"/>
          <w:szCs w:val="21"/>
          <w:highlight w:val="none"/>
        </w:rPr>
        <w:t>供应商代表须携带有效身份证件。如供应商代表不是法定代表人，须有法定代表人出具的授权委托书（投标文件正本用原件，副本可用复印件）。</w:t>
      </w:r>
      <w:bookmarkEnd w:id="53"/>
      <w:bookmarkEnd w:id="54"/>
      <w:bookmarkEnd w:id="55"/>
      <w:bookmarkEnd w:id="56"/>
      <w:bookmarkEnd w:id="57"/>
      <w:bookmarkEnd w:id="58"/>
    </w:p>
    <w:p w14:paraId="27147A2F">
      <w:pPr>
        <w:spacing w:line="360" w:lineRule="auto"/>
        <w:ind w:firstLine="420"/>
        <w:rPr>
          <w:rFonts w:hint="eastAsia" w:ascii="宋体" w:hAnsi="宋体" w:eastAsia="宋体" w:cs="宋体"/>
          <w:b/>
          <w:color w:val="auto"/>
          <w:szCs w:val="21"/>
          <w:highlight w:val="none"/>
        </w:rPr>
      </w:pPr>
      <w:bookmarkStart w:id="59" w:name="_Toc503706616"/>
      <w:bookmarkStart w:id="60" w:name="_Toc503898562"/>
      <w:r>
        <w:rPr>
          <w:rFonts w:hint="eastAsia" w:ascii="宋体" w:hAnsi="宋体" w:eastAsia="宋体" w:cs="宋体"/>
          <w:b/>
          <w:color w:val="auto"/>
          <w:szCs w:val="21"/>
          <w:highlight w:val="none"/>
        </w:rPr>
        <w:t>（五）投标费用</w:t>
      </w:r>
      <w:bookmarkEnd w:id="59"/>
      <w:bookmarkEnd w:id="60"/>
    </w:p>
    <w:p w14:paraId="5A5CE2A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不论投标结果如何，供应商均应自行承担所有与投标有关的全部费用（招标文件有相反规定除外）。</w:t>
      </w:r>
    </w:p>
    <w:p w14:paraId="4BAE2191">
      <w:pPr>
        <w:spacing w:line="360" w:lineRule="auto"/>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7F28B44F">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本项目不接受联合体投标。</w:t>
      </w:r>
    </w:p>
    <w:p w14:paraId="4E9EF0E9">
      <w:pPr>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14:paraId="6A707F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本项目不允许转包、分包。</w:t>
      </w:r>
    </w:p>
    <w:p w14:paraId="7A24FECA">
      <w:pPr>
        <w:spacing w:line="360" w:lineRule="auto"/>
        <w:ind w:firstLine="413" w:firstLineChars="196"/>
        <w:jc w:val="left"/>
        <w:outlineLvl w:val="1"/>
        <w:rPr>
          <w:rFonts w:hint="eastAsia" w:ascii="宋体" w:hAnsi="宋体" w:eastAsia="宋体" w:cs="宋体"/>
          <w:b/>
          <w:color w:val="auto"/>
          <w:szCs w:val="21"/>
          <w:highlight w:val="none"/>
        </w:rPr>
      </w:pPr>
      <w:bookmarkStart w:id="61" w:name="_Toc503706617"/>
      <w:bookmarkStart w:id="62" w:name="_Toc528775148"/>
      <w:bookmarkStart w:id="63" w:name="_Toc503898856"/>
      <w:bookmarkStart w:id="64" w:name="_Toc530378519"/>
      <w:bookmarkStart w:id="65" w:name="_Toc503898939"/>
      <w:bookmarkStart w:id="66" w:name="_Toc503898563"/>
      <w:r>
        <w:rPr>
          <w:rFonts w:hint="eastAsia" w:ascii="宋体" w:hAnsi="宋体" w:eastAsia="宋体" w:cs="宋体"/>
          <w:b/>
          <w:color w:val="auto"/>
          <w:szCs w:val="21"/>
          <w:highlight w:val="none"/>
        </w:rPr>
        <w:t>（八）特别说明：</w:t>
      </w:r>
      <w:bookmarkEnd w:id="61"/>
      <w:bookmarkEnd w:id="62"/>
      <w:bookmarkEnd w:id="63"/>
      <w:bookmarkEnd w:id="64"/>
      <w:bookmarkEnd w:id="65"/>
      <w:bookmarkEnd w:id="66"/>
    </w:p>
    <w:p w14:paraId="67A5A254">
      <w:pPr>
        <w:widowControl/>
        <w:spacing w:line="360" w:lineRule="auto"/>
        <w:ind w:firstLine="420" w:firstLineChars="200"/>
        <w:jc w:val="left"/>
        <w:rPr>
          <w:rFonts w:hint="eastAsia" w:ascii="宋体" w:hAnsi="宋体" w:eastAsia="宋体" w:cs="宋体"/>
          <w:color w:val="auto"/>
          <w:szCs w:val="21"/>
          <w:highlight w:val="none"/>
        </w:rPr>
      </w:pPr>
      <w:bookmarkStart w:id="67" w:name="OLE_LINK46"/>
      <w:r>
        <w:rPr>
          <w:rFonts w:hint="eastAsia" w:ascii="宋体" w:hAnsi="宋体" w:eastAsia="宋体" w:cs="宋体"/>
          <w:color w:val="auto"/>
          <w:szCs w:val="21"/>
          <w:highlight w:val="none"/>
        </w:rPr>
        <w:t>★</w:t>
      </w:r>
      <w:bookmarkEnd w:id="67"/>
      <w:r>
        <w:rPr>
          <w:rFonts w:hint="eastAsia" w:ascii="宋体" w:hAnsi="宋体" w:eastAsia="宋体" w:cs="宋体"/>
          <w:color w:val="auto"/>
          <w:szCs w:val="21"/>
          <w:highlight w:val="none"/>
        </w:rPr>
        <w:t>1. 采用最低评标价法的采购项目，提供相同品牌产品的不同供应商参加同一合同项下投标的，以其中通过资格审查、符合性审查且报价最低的参加评标；报价相同的，由采购人或采购人委托评审小组按照招标文件规定的方式确定一个参加评标的供应商，招标文件未规定的采取随机抽取方式确定，其他投标无效。</w:t>
      </w:r>
    </w:p>
    <w:p w14:paraId="2FBD5605">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采用综合评分法的采购项目，</w:t>
      </w:r>
      <w:r>
        <w:rPr>
          <w:rFonts w:hint="eastAsia" w:ascii="宋体" w:hAnsi="宋体" w:eastAsia="宋体" w:cs="宋体"/>
          <w:color w:val="auto"/>
          <w:kern w:val="0"/>
          <w:szCs w:val="21"/>
          <w:highlight w:val="none"/>
        </w:rPr>
        <w:t>提供相同品牌产品且通过资格审查、符合性审查的不同供应商参加同一合同项下投标的，按一家供应商计算，评审后得分最高的同品牌投标获得中标人推荐资格；评审得分相同的，由评审小组按照采购文件规定的方式确定一个投标获得中标人的推荐资格，采购文件未规定的采取随机抽取的方式确定，其他同品牌供应商不作为中标候选人。</w:t>
      </w:r>
    </w:p>
    <w:p w14:paraId="612DCADF">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非单一产品采购项目，多家供应商提供的核心产品品牌相同的，按前款处理。</w:t>
      </w:r>
    </w:p>
    <w:p w14:paraId="691149DA">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★2.供应商应仔细阅读招标文件的所有内容，按照招标文件的要求提交投标文件，并对所提供的全部资料的真实性承担法律责任。</w:t>
      </w:r>
    </w:p>
    <w:p w14:paraId="3CBD1BD6">
      <w:pPr>
        <w:spacing w:line="360" w:lineRule="auto"/>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★3.供应商在投标活动中提供任何虚假材料,其投标无效，并报监管部门查处。</w:t>
      </w:r>
    </w:p>
    <w:p w14:paraId="33725FE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（九）关于知识产权</w:t>
      </w:r>
    </w:p>
    <w:p w14:paraId="6CA488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C1A52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2.投标报价应包含所有应向所有权人支付的专利权、商标权或其它知识产权的一切相关费用。</w:t>
      </w:r>
    </w:p>
    <w:p w14:paraId="7DC875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3.系统软件、通用软件必须是具有在中国境内的合法使用权或版权的正版软件，涉及到第三方提出侵权或知识产权的起诉及支付版税等费用由供应商承担所有责任及费用。</w:t>
      </w:r>
    </w:p>
    <w:p w14:paraId="673F9B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（十）关于分公司投标</w:t>
      </w:r>
    </w:p>
    <w:p w14:paraId="6085F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除银行、保险、石油石化、电力、电信、移动、联通、铁塔等行业允许分公司投标外，其余法人的分支机构不允许参加投标；分公司参加投标的，分公司负责人签署的相关投标资料与本采购文件规定由法定代表人签署的文件材料具有同等效力。 </w:t>
      </w:r>
    </w:p>
    <w:p w14:paraId="4497380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（十一）质疑与投诉</w:t>
      </w:r>
    </w:p>
    <w:p w14:paraId="1BE6A964">
      <w:pPr>
        <w:spacing w:line="360" w:lineRule="auto"/>
        <w:ind w:firstLine="420" w:firstLineChars="200"/>
        <w:rPr>
          <w:rFonts w:hint="eastAsia" w:ascii="宋体" w:hAnsi="宋体" w:eastAsia="宋体" w:cs="宋体"/>
          <w:color w:val="auto"/>
          <w:szCs w:val="21"/>
          <w:highlight w:val="none"/>
        </w:rPr>
      </w:pPr>
      <w:bookmarkStart w:id="68" w:name="_Toc503898940"/>
      <w:bookmarkStart w:id="69" w:name="_Toc503706618"/>
      <w:bookmarkStart w:id="70" w:name="_Toc503898564"/>
      <w:bookmarkStart w:id="71" w:name="_Toc530378520"/>
      <w:bookmarkStart w:id="72" w:name="_Toc528775149"/>
      <w:bookmarkStart w:id="73" w:name="_Toc503898857"/>
      <w:r>
        <w:rPr>
          <w:rFonts w:hint="eastAsia" w:ascii="宋体" w:hAnsi="宋体" w:eastAsia="宋体" w:cs="宋体"/>
          <w:color w:val="auto"/>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2D56F3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对采购文件提出质疑的，质疑期限为供应商获取采购文件之日或者采购文件公告期限届满之日（公告期限届满后获取采购文件的，以公告期限届满之日为准）起计算；</w:t>
      </w:r>
    </w:p>
    <w:p w14:paraId="4A09EC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对采购过程提出质疑的，质疑期限为各采购环节结束之日起计算；</w:t>
      </w:r>
    </w:p>
    <w:p w14:paraId="2CB9E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对中标结果提出质疑的，质疑期限为自采购结果公告期限届满之日起计算。</w:t>
      </w:r>
    </w:p>
    <w:p w14:paraId="3F546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B043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投诉书范本》。</w:t>
      </w:r>
    </w:p>
    <w:p w14:paraId="6DF92C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83663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5.采购人、代理机构接收质疑函的方式：只接收供应商以当面递交、邮寄、传真或电子邮件方式提出的质疑函，以其他方式提出的质疑不予接收。</w:t>
      </w:r>
    </w:p>
    <w:p w14:paraId="1B2CE6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采取邮寄方式的，提出质疑的时间为质疑函原件交邮的时间（以邮戳时间或快递收件时间为准）。</w:t>
      </w:r>
    </w:p>
    <w:p w14:paraId="666C04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74504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6.采购人、代理机构以实际收到质疑函原件之日作为收到质疑函的日期，将在收到质疑函后7个工作日内作出答复。</w:t>
      </w:r>
    </w:p>
    <w:p w14:paraId="442135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7、采购人、代理机构接收质疑函的联系人、联系电话和通讯地址等信息详见采购公告。</w:t>
      </w:r>
    </w:p>
    <w:p w14:paraId="4D78FB43">
      <w:pPr>
        <w:spacing w:line="360" w:lineRule="auto"/>
        <w:ind w:firstLine="412"/>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  招标文件</w:t>
      </w:r>
      <w:bookmarkEnd w:id="68"/>
      <w:bookmarkEnd w:id="69"/>
      <w:bookmarkEnd w:id="70"/>
      <w:bookmarkEnd w:id="71"/>
      <w:bookmarkEnd w:id="72"/>
      <w:bookmarkEnd w:id="73"/>
    </w:p>
    <w:p w14:paraId="01A20952">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（一）招标文件的构成。本招标文件由以下部份组成：</w:t>
      </w:r>
    </w:p>
    <w:p w14:paraId="31C49E6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1.公开招标采购公告</w:t>
      </w:r>
    </w:p>
    <w:p w14:paraId="7469E37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2.招标需求</w:t>
      </w:r>
    </w:p>
    <w:p w14:paraId="2EA14B9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3.供应商须知</w:t>
      </w:r>
    </w:p>
    <w:p w14:paraId="1D7E89C5">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4.评标办法及评分标准</w:t>
      </w:r>
    </w:p>
    <w:p w14:paraId="18B2AC5C">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5.合同主要条款</w:t>
      </w:r>
    </w:p>
    <w:p w14:paraId="7F2C515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34BD727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7.本项目招标文件的澄清、答复、修改、补充的内容</w:t>
      </w:r>
    </w:p>
    <w:p w14:paraId="4CDFE9B0">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14:paraId="7013C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14:paraId="39BE8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无论因何种原因导致本次采购活动终止致供应商损失的</w:t>
      </w:r>
      <w:r>
        <w:rPr>
          <w:rFonts w:hint="eastAsia" w:ascii="宋体" w:hAnsi="宋体" w:eastAsia="宋体" w:cs="宋体"/>
          <w:color w:val="auto"/>
          <w:szCs w:val="21"/>
          <w:highlight w:val="none"/>
        </w:rPr>
        <w:t>，相关责任人均不承担任何责任。</w:t>
      </w:r>
    </w:p>
    <w:p w14:paraId="17F0193E">
      <w:pPr>
        <w:tabs>
          <w:tab w:val="left" w:pos="720"/>
        </w:tabs>
        <w:spacing w:line="360" w:lineRule="auto"/>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（三）招标文件的澄清与修改 </w:t>
      </w:r>
    </w:p>
    <w:p w14:paraId="171D8DBB">
      <w:pPr>
        <w:spacing w:line="360" w:lineRule="auto"/>
        <w:ind w:firstLine="413"/>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14:paraId="3A63D26C">
      <w:pPr>
        <w:spacing w:line="360" w:lineRule="auto"/>
        <w:ind w:firstLine="413"/>
        <w:rPr>
          <w:rFonts w:hint="eastAsia" w:ascii="宋体" w:hAnsi="宋体" w:eastAsia="宋体" w:cs="宋体"/>
          <w:color w:val="auto"/>
          <w:szCs w:val="21"/>
          <w:highlight w:val="none"/>
        </w:rPr>
      </w:pPr>
      <w:r>
        <w:rPr>
          <w:rFonts w:hint="eastAsia" w:ascii="宋体" w:hAnsi="宋体" w:eastAsia="宋体" w:cs="宋体"/>
          <w:color w:val="auto"/>
          <w:szCs w:val="21"/>
          <w:highlight w:val="none"/>
        </w:rPr>
        <w:t>2.更正公告为采购文件的组成部分，一经在网站发布，视同已通知所有采购文件的收受人，不再采用其它方式传达相关信息, 若因未能及时了解到上述网站上发布的相关信息而导致的一切后果自行承担。</w:t>
      </w:r>
    </w:p>
    <w:p w14:paraId="68F2CC10">
      <w:pPr>
        <w:spacing w:line="360" w:lineRule="auto"/>
        <w:ind w:firstLine="413"/>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3.如更正公告有重新发布电子采购文件的，供应商应下载最新发布的电子招标文件制作投标文件。</w:t>
      </w:r>
    </w:p>
    <w:p w14:paraId="284E84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4.供应商在规定的时间内未对招标文件提出疑问、质疑或要求澄清的，将视其为无异议。对采购文件中描述有歧义或前后不一致的地方，评审小组有权进行评判，但对同一条款的评判应适用于每个供应商。</w:t>
      </w:r>
    </w:p>
    <w:p w14:paraId="54D985F8">
      <w:pPr>
        <w:spacing w:line="360" w:lineRule="auto"/>
        <w:ind w:firstLine="413" w:firstLineChars="196"/>
        <w:outlineLvl w:val="1"/>
        <w:rPr>
          <w:rFonts w:hint="eastAsia" w:ascii="宋体" w:hAnsi="宋体" w:eastAsia="宋体" w:cs="宋体"/>
          <w:b/>
          <w:color w:val="auto"/>
          <w:szCs w:val="21"/>
          <w:highlight w:val="none"/>
        </w:rPr>
      </w:pPr>
      <w:bookmarkStart w:id="74" w:name="_Toc530378521"/>
      <w:bookmarkStart w:id="75" w:name="_Toc503898858"/>
      <w:bookmarkStart w:id="76" w:name="_Toc503898565"/>
      <w:bookmarkStart w:id="77" w:name="_Toc503706619"/>
      <w:bookmarkStart w:id="78" w:name="_Toc528775150"/>
      <w:bookmarkStart w:id="79" w:name="_Toc503898941"/>
      <w:r>
        <w:rPr>
          <w:rFonts w:hint="eastAsia" w:ascii="宋体" w:hAnsi="宋体" w:eastAsia="宋体" w:cs="宋体"/>
          <w:b/>
          <w:color w:val="auto"/>
          <w:szCs w:val="21"/>
          <w:highlight w:val="none"/>
        </w:rPr>
        <w:t>三、投标文件的编制</w:t>
      </w:r>
      <w:bookmarkEnd w:id="74"/>
      <w:bookmarkEnd w:id="75"/>
      <w:bookmarkEnd w:id="76"/>
      <w:bookmarkEnd w:id="77"/>
      <w:bookmarkEnd w:id="78"/>
      <w:bookmarkEnd w:id="79"/>
    </w:p>
    <w:p w14:paraId="7DBE27B3">
      <w:pPr>
        <w:keepNext w:val="0"/>
        <w:keepLines w:val="0"/>
        <w:pageBreakBefore w:val="0"/>
        <w:widowControl w:val="0"/>
        <w:kinsoku/>
        <w:wordWrap/>
        <w:overflowPunct/>
        <w:topLinePunct w:val="0"/>
        <w:autoSpaceDE/>
        <w:autoSpaceDN/>
        <w:bidi w:val="0"/>
        <w:spacing w:line="360" w:lineRule="auto"/>
        <w:ind w:firstLine="211" w:firstLineChars="100"/>
        <w:textAlignment w:val="auto"/>
        <w:outlineLvl w:val="1"/>
        <w:rPr>
          <w:rFonts w:hint="eastAsia" w:ascii="宋体" w:hAnsi="宋体" w:eastAsia="宋体" w:cs="宋体"/>
          <w:b/>
          <w:color w:val="auto"/>
          <w:szCs w:val="21"/>
          <w:highlight w:val="none"/>
        </w:rPr>
      </w:pPr>
      <w:bookmarkStart w:id="80" w:name="_Toc503898942"/>
      <w:bookmarkStart w:id="81" w:name="_Toc530378522"/>
      <w:bookmarkStart w:id="82" w:name="_Toc503898566"/>
      <w:bookmarkStart w:id="83" w:name="_Toc528775151"/>
      <w:bookmarkStart w:id="84" w:name="_Toc503706620"/>
      <w:bookmarkStart w:id="85" w:name="_Toc503898859"/>
      <w:r>
        <w:rPr>
          <w:rFonts w:hint="eastAsia" w:ascii="宋体" w:hAnsi="宋体" w:eastAsia="宋体" w:cs="宋体"/>
          <w:b/>
          <w:color w:val="auto"/>
          <w:szCs w:val="21"/>
          <w:highlight w:val="none"/>
        </w:rPr>
        <w:t>（一）</w:t>
      </w:r>
      <w:bookmarkEnd w:id="80"/>
      <w:bookmarkEnd w:id="81"/>
      <w:bookmarkEnd w:id="82"/>
      <w:bookmarkEnd w:id="83"/>
      <w:bookmarkEnd w:id="84"/>
      <w:bookmarkEnd w:id="85"/>
      <w:r>
        <w:rPr>
          <w:rFonts w:hint="eastAsia" w:ascii="宋体" w:hAnsi="宋体" w:eastAsia="宋体" w:cs="宋体"/>
          <w:b/>
          <w:color w:val="auto"/>
          <w:szCs w:val="21"/>
          <w:highlight w:val="none"/>
        </w:rPr>
        <w:t>投标文件由资格审查文件、资信技术文件和报价文件三部分组成，电子投标文件中所须加盖公章部分均采用CA签章。</w:t>
      </w:r>
    </w:p>
    <w:p w14:paraId="1A7576FF">
      <w:pPr>
        <w:keepNext w:val="0"/>
        <w:keepLines w:val="0"/>
        <w:pageBreakBefore w:val="0"/>
        <w:widowControl w:val="0"/>
        <w:kinsoku/>
        <w:wordWrap/>
        <w:overflowPunct/>
        <w:topLinePunct w:val="0"/>
        <w:autoSpaceDE/>
        <w:autoSpaceDN/>
        <w:bidi w:val="0"/>
        <w:spacing w:line="360" w:lineRule="auto"/>
        <w:ind w:firstLine="420" w:firstLineChars="200"/>
        <w:contextualSpacing/>
        <w:jc w:val="left"/>
        <w:textAlignment w:val="auto"/>
        <w:rPr>
          <w:rFonts w:hint="eastAsia" w:ascii="宋体" w:hAnsi="宋体" w:eastAsia="宋体" w:cs="宋体"/>
          <w:color w:val="auto"/>
          <w:szCs w:val="21"/>
          <w:highlight w:val="none"/>
        </w:rPr>
      </w:pPr>
      <w:bookmarkStart w:id="86" w:name="_Toc503706648"/>
      <w:bookmarkStart w:id="87" w:name="_Toc503898861"/>
      <w:bookmarkStart w:id="88" w:name="_Toc528775163"/>
      <w:bookmarkStart w:id="89" w:name="_Toc503898595"/>
      <w:bookmarkStart w:id="90" w:name="_Toc503898944"/>
      <w:bookmarkStart w:id="91" w:name="_Toc530378523"/>
      <w:r>
        <w:rPr>
          <w:rFonts w:hint="eastAsia" w:ascii="宋体" w:hAnsi="宋体" w:eastAsia="宋体" w:cs="宋体"/>
          <w:color w:val="auto"/>
          <w:szCs w:val="21"/>
          <w:highlight w:val="none"/>
        </w:rPr>
        <w:t>投标文件至少包含以下部分：</w:t>
      </w:r>
    </w:p>
    <w:p w14:paraId="30FC53FB">
      <w:pPr>
        <w:keepNext w:val="0"/>
        <w:keepLines w:val="0"/>
        <w:pageBreakBefore w:val="0"/>
        <w:widowControl w:val="0"/>
        <w:kinsoku/>
        <w:wordWrap/>
        <w:overflowPunct/>
        <w:topLinePunct w:val="0"/>
        <w:autoSpaceDE/>
        <w:autoSpaceDN/>
        <w:bidi w:val="0"/>
        <w:snapToGrid w:val="0"/>
        <w:spacing w:line="360" w:lineRule="auto"/>
        <w:ind w:firstLine="413" w:firstLineChars="196"/>
        <w:jc w:val="left"/>
        <w:textAlignment w:val="auto"/>
        <w:rPr>
          <w:rFonts w:hint="eastAsia" w:ascii="宋体" w:hAnsi="宋体" w:eastAsia="宋体" w:cs="宋体"/>
          <w:b/>
          <w:bCs/>
          <w:color w:val="auto"/>
          <w:szCs w:val="21"/>
          <w:highlight w:val="none"/>
          <w:shd w:val="clear" w:color="auto" w:fill="FFFFFF"/>
        </w:rPr>
      </w:pPr>
      <w:bookmarkStart w:id="92" w:name="OLE_LINK22"/>
      <w:bookmarkStart w:id="93" w:name="OLE_LINK24"/>
      <w:r>
        <w:rPr>
          <w:rFonts w:hint="eastAsia" w:ascii="宋体" w:hAnsi="宋体" w:eastAsia="宋体" w:cs="宋体"/>
          <w:b/>
          <w:bCs/>
          <w:color w:val="auto"/>
          <w:szCs w:val="21"/>
          <w:highlight w:val="none"/>
          <w:shd w:val="clear" w:color="auto" w:fill="FFFFFF"/>
          <w:lang w:val="en-US" w:eastAsia="zh-CN"/>
        </w:rPr>
        <w:t>1</w:t>
      </w:r>
      <w:r>
        <w:rPr>
          <w:rFonts w:hint="eastAsia" w:ascii="宋体" w:hAnsi="宋体" w:eastAsia="宋体" w:cs="宋体"/>
          <w:b/>
          <w:bCs/>
          <w:color w:val="auto"/>
          <w:szCs w:val="21"/>
          <w:highlight w:val="none"/>
          <w:shd w:val="clear" w:color="auto" w:fill="FFFFFF"/>
        </w:rPr>
        <w:t>.资格证明文件：</w:t>
      </w:r>
    </w:p>
    <w:p w14:paraId="6C887B5F">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（1）资格条件自查表（格式见第六章）；</w:t>
      </w:r>
    </w:p>
    <w:p w14:paraId="3B970809">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（2）有效的企业法人营业执照（或事业法人登记证）、其他组织（个体工商户）的营业执照或者民办非企业单位登记证书复印件</w:t>
      </w:r>
      <w:r>
        <w:rPr>
          <w:rFonts w:hint="eastAsia" w:ascii="宋体" w:hAnsi="宋体" w:eastAsia="宋体" w:cs="宋体"/>
          <w:bCs/>
          <w:color w:val="auto"/>
          <w:szCs w:val="21"/>
          <w:highlight w:val="none"/>
        </w:rPr>
        <w:t>；</w:t>
      </w:r>
    </w:p>
    <w:p w14:paraId="6BE2885D">
      <w:pPr>
        <w:keepNext w:val="0"/>
        <w:keepLines w:val="0"/>
        <w:pageBreakBefore w:val="0"/>
        <w:widowControl w:val="0"/>
        <w:kinsoku/>
        <w:wordWrap/>
        <w:overflowPunct/>
        <w:topLinePunct w:val="0"/>
        <w:autoSpaceDE/>
        <w:autoSpaceDN/>
        <w:bidi w:val="0"/>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（3）投标人资格声明函（格式见第六章）；</w:t>
      </w:r>
    </w:p>
    <w:p w14:paraId="2EFEA210">
      <w:pPr>
        <w:keepNext w:val="0"/>
        <w:keepLines w:val="0"/>
        <w:pageBreakBefore w:val="0"/>
        <w:widowControl w:val="0"/>
        <w:kinsoku/>
        <w:wordWrap/>
        <w:overflowPunct/>
        <w:topLinePunct w:val="0"/>
        <w:autoSpaceDE/>
        <w:autoSpaceDN/>
        <w:bidi w:val="0"/>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）中小企业声明函（如是，请提供，格式见第六章）；</w:t>
      </w:r>
    </w:p>
    <w:p w14:paraId="5F47B23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）供应商为监狱企业的证明文件：省级以上监狱管理局、戒毒管理局（含新疆生产建设兵团）出具（如是，请提供）；</w:t>
      </w:r>
    </w:p>
    <w:p w14:paraId="311B28C2">
      <w:pPr>
        <w:keepNext w:val="0"/>
        <w:keepLines w:val="0"/>
        <w:pageBreakBefore w:val="0"/>
        <w:widowControl w:val="0"/>
        <w:kinsoku/>
        <w:wordWrap/>
        <w:overflowPunct/>
        <w:topLinePunct w:val="0"/>
        <w:autoSpaceDE/>
        <w:autoSpaceDN/>
        <w:bidi w:val="0"/>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）残疾人福利性单位声明函（如是，请提供。格式见第六章）；</w:t>
      </w:r>
    </w:p>
    <w:p w14:paraId="6F8CDC11">
      <w:pPr>
        <w:keepNext w:val="0"/>
        <w:keepLines w:val="0"/>
        <w:pageBreakBefore w:val="0"/>
        <w:widowControl w:val="0"/>
        <w:kinsoku/>
        <w:wordWrap/>
        <w:overflowPunct/>
        <w:topLinePunct w:val="0"/>
        <w:autoSpaceDE/>
        <w:autoSpaceDN/>
        <w:bidi w:val="0"/>
        <w:snapToGrid w:val="0"/>
        <w:spacing w:line="360"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7</w:t>
      </w:r>
      <w:r>
        <w:rPr>
          <w:rFonts w:hint="eastAsia" w:ascii="宋体" w:hAnsi="宋体" w:eastAsia="宋体" w:cs="宋体"/>
          <w:color w:val="auto"/>
          <w:szCs w:val="22"/>
          <w:highlight w:val="none"/>
        </w:rPr>
        <w:t>）招标文件</w:t>
      </w:r>
      <w:r>
        <w:rPr>
          <w:rFonts w:hint="eastAsia" w:ascii="宋体" w:hAnsi="宋体" w:eastAsia="宋体" w:cs="宋体"/>
          <w:color w:val="auto"/>
          <w:szCs w:val="21"/>
          <w:highlight w:val="none"/>
        </w:rPr>
        <w:t>要求的其他资格条件证明材料（如有）。</w:t>
      </w:r>
      <w:bookmarkEnd w:id="92"/>
    </w:p>
    <w:bookmarkEnd w:id="93"/>
    <w:p w14:paraId="2E9A7211">
      <w:pPr>
        <w:keepNext w:val="0"/>
        <w:keepLines w:val="0"/>
        <w:pageBreakBefore w:val="0"/>
        <w:widowControl w:val="0"/>
        <w:kinsoku/>
        <w:wordWrap/>
        <w:overflowPunct/>
        <w:topLinePunct w:val="0"/>
        <w:autoSpaceDE/>
        <w:autoSpaceDN/>
        <w:bidi w:val="0"/>
        <w:snapToGrid w:val="0"/>
        <w:spacing w:line="360" w:lineRule="auto"/>
        <w:ind w:firstLine="413" w:firstLineChars="196"/>
        <w:jc w:val="left"/>
        <w:textAlignment w:val="auto"/>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lang w:val="en-US" w:eastAsia="zh-CN"/>
        </w:rPr>
        <w:t>2</w:t>
      </w:r>
      <w:r>
        <w:rPr>
          <w:rFonts w:hint="eastAsia" w:ascii="宋体" w:hAnsi="宋体" w:eastAsia="宋体" w:cs="宋体"/>
          <w:b/>
          <w:color w:val="auto"/>
          <w:szCs w:val="21"/>
          <w:highlight w:val="none"/>
          <w:shd w:val="clear" w:color="auto" w:fill="FFFFFF"/>
        </w:rPr>
        <w:t>.商务技术文件：</w:t>
      </w:r>
    </w:p>
    <w:p w14:paraId="52AA7EB4">
      <w:pPr>
        <w:keepNext w:val="0"/>
        <w:keepLines w:val="0"/>
        <w:pageBreakBefore w:val="0"/>
        <w:widowControl w:val="0"/>
        <w:kinsoku/>
        <w:wordWrap/>
        <w:overflowPunct/>
        <w:topLinePunct w:val="0"/>
        <w:autoSpaceDE/>
        <w:autoSpaceDN/>
        <w:bidi w:val="0"/>
        <w:snapToGrid w:val="0"/>
        <w:spacing w:line="360" w:lineRule="auto"/>
        <w:ind w:firstLine="411" w:firstLineChars="196"/>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（1）符合性自查表</w:t>
      </w:r>
      <w:r>
        <w:rPr>
          <w:rFonts w:hint="eastAsia" w:ascii="宋体" w:hAnsi="宋体" w:eastAsia="宋体" w:cs="宋体"/>
          <w:color w:val="auto"/>
          <w:szCs w:val="21"/>
          <w:highlight w:val="none"/>
        </w:rPr>
        <w:t>（格式见第六章）；</w:t>
      </w:r>
    </w:p>
    <w:p w14:paraId="666F0D98">
      <w:pPr>
        <w:keepNext w:val="0"/>
        <w:keepLines w:val="0"/>
        <w:pageBreakBefore w:val="0"/>
        <w:widowControl w:val="0"/>
        <w:kinsoku/>
        <w:wordWrap/>
        <w:overflowPunct/>
        <w:topLinePunct w:val="0"/>
        <w:autoSpaceDE/>
        <w:autoSpaceDN/>
        <w:bidi w:val="0"/>
        <w:snapToGrid w:val="0"/>
        <w:spacing w:line="360" w:lineRule="auto"/>
        <w:ind w:firstLine="411" w:firstLineChars="196"/>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（2）法定代表人身份证正反面复印件加盖公章；如供应商的代表为非法定代表人的，还需提供法定代表人授权委托书(格式见附件)及授权代表的身份证正反面复印件加盖公章；</w:t>
      </w:r>
    </w:p>
    <w:p w14:paraId="5DFCD7A5">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（3）商务条款响应（偏离）表（格式见第六章）；</w:t>
      </w:r>
    </w:p>
    <w:p w14:paraId="4C642A9D">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（4）技术条款响应（偏离）表（格式见第六章）；</w:t>
      </w:r>
    </w:p>
    <w:p w14:paraId="098B2479">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（5）拟投入本项目的成员表（格式见第六章）；</w:t>
      </w:r>
    </w:p>
    <w:p w14:paraId="36FD1BEF">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（6）业绩一览表（</w:t>
      </w:r>
      <w:r>
        <w:rPr>
          <w:rFonts w:hint="eastAsia" w:ascii="宋体" w:hAnsi="宋体" w:eastAsia="宋体" w:cs="宋体"/>
          <w:color w:val="auto"/>
          <w:szCs w:val="21"/>
          <w:highlight w:val="none"/>
        </w:rPr>
        <w:t>格式见第六章，附合同复印件加盖公章</w:t>
      </w:r>
      <w:r>
        <w:rPr>
          <w:rFonts w:hint="eastAsia" w:ascii="宋体" w:hAnsi="宋体" w:eastAsia="宋体" w:cs="宋体"/>
          <w:color w:val="auto"/>
          <w:szCs w:val="21"/>
          <w:highlight w:val="none"/>
          <w:shd w:val="clear" w:color="auto" w:fill="FFFFFF"/>
        </w:rPr>
        <w:t>）；</w:t>
      </w:r>
    </w:p>
    <w:p w14:paraId="08614948">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（7）招标文件中要求提供的资料（详见评标办法及评分标准）</w:t>
      </w:r>
      <w:r>
        <w:rPr>
          <w:rFonts w:hint="eastAsia" w:ascii="宋体" w:hAnsi="宋体" w:eastAsia="宋体" w:cs="宋体"/>
          <w:b w:val="0"/>
          <w:bCs/>
          <w:color w:val="auto"/>
          <w:szCs w:val="21"/>
          <w:highlight w:val="none"/>
        </w:rPr>
        <w:t>，格式自拟</w:t>
      </w:r>
      <w:r>
        <w:rPr>
          <w:rFonts w:hint="eastAsia" w:ascii="宋体" w:hAnsi="宋体" w:eastAsia="宋体" w:cs="宋体"/>
          <w:b w:val="0"/>
          <w:bCs/>
          <w:color w:val="auto"/>
          <w:szCs w:val="21"/>
          <w:highlight w:val="none"/>
          <w:shd w:val="clear" w:color="auto" w:fill="FFFFFF"/>
          <w:lang w:eastAsia="zh-CN"/>
        </w:rPr>
        <w:t>；</w:t>
      </w:r>
    </w:p>
    <w:p w14:paraId="521B3D32">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8）</w:t>
      </w:r>
      <w:r>
        <w:rPr>
          <w:rFonts w:hint="eastAsia" w:ascii="宋体" w:hAnsi="宋体" w:eastAsia="宋体" w:cs="宋体"/>
          <w:b w:val="0"/>
          <w:bCs w:val="0"/>
          <w:color w:val="auto"/>
          <w:szCs w:val="21"/>
          <w:highlight w:val="none"/>
        </w:rPr>
        <w:t>其他供应商认为需要提交的商务技术资料。</w:t>
      </w:r>
    </w:p>
    <w:p w14:paraId="492C1339">
      <w:pPr>
        <w:keepNext w:val="0"/>
        <w:keepLines w:val="0"/>
        <w:pageBreakBefore w:val="0"/>
        <w:widowControl w:val="0"/>
        <w:numPr>
          <w:ilvl w:val="0"/>
          <w:numId w:val="0"/>
        </w:numPr>
        <w:kinsoku/>
        <w:wordWrap/>
        <w:overflowPunct/>
        <w:topLinePunct w:val="0"/>
        <w:autoSpaceDE/>
        <w:autoSpaceDN/>
        <w:bidi w:val="0"/>
        <w:snapToGrid w:val="0"/>
        <w:spacing w:line="360" w:lineRule="auto"/>
        <w:ind w:firstLine="632" w:firstLineChars="3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报价文件：</w:t>
      </w:r>
    </w:p>
    <w:p w14:paraId="393A758D">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（1）投标函（格式见第六章）； </w:t>
      </w:r>
    </w:p>
    <w:p w14:paraId="6A4BA8F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（2）开标一览表（格式见第六章）；</w:t>
      </w:r>
    </w:p>
    <w:p w14:paraId="556C73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（3）投标报价明细表（格式见第六章）；</w:t>
      </w:r>
    </w:p>
    <w:p w14:paraId="6035A8BC">
      <w:pPr>
        <w:keepNext w:val="0"/>
        <w:keepLines w:val="0"/>
        <w:pageBreakBefore w:val="0"/>
        <w:widowControl w:val="0"/>
        <w:kinsoku/>
        <w:wordWrap/>
        <w:overflowPunct/>
        <w:topLinePunct w:val="0"/>
        <w:autoSpaceDE/>
        <w:autoSpaceDN/>
        <w:bidi w:val="0"/>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（4）中标服务费支付承诺函（格式见第六章）；</w:t>
      </w:r>
    </w:p>
    <w:p w14:paraId="5A0BBF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）供应商针对报价需要说明的其他文件和说明（如有）。</w:t>
      </w:r>
    </w:p>
    <w:p w14:paraId="0A1A552B">
      <w:pPr>
        <w:spacing w:line="360" w:lineRule="auto"/>
        <w:ind w:firstLine="413" w:firstLineChars="196"/>
        <w:contextualSpacing/>
        <w:jc w:val="left"/>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（二）投标文件的语言及计量</w:t>
      </w:r>
      <w:bookmarkEnd w:id="86"/>
      <w:bookmarkEnd w:id="87"/>
      <w:bookmarkEnd w:id="88"/>
      <w:bookmarkEnd w:id="89"/>
      <w:bookmarkEnd w:id="90"/>
      <w:bookmarkEnd w:id="91"/>
    </w:p>
    <w:p w14:paraId="3520E579">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★1.投标文件以及投标方与采购人就有关投标事宜的所有来往函电，均应以中文汉语书写。除签名、盖章、专用名称等特殊情形外，以中文汉语以外的文字表述的投标文件视同未提供。</w:t>
      </w:r>
    </w:p>
    <w:p w14:paraId="59CB4CD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7DF6C773">
      <w:pPr>
        <w:spacing w:line="360" w:lineRule="auto"/>
        <w:ind w:firstLine="413" w:firstLineChars="196"/>
        <w:jc w:val="left"/>
        <w:outlineLvl w:val="0"/>
        <w:rPr>
          <w:rFonts w:hint="eastAsia" w:ascii="宋体" w:hAnsi="宋体" w:eastAsia="宋体" w:cs="宋体"/>
          <w:b/>
          <w:color w:val="auto"/>
          <w:szCs w:val="21"/>
          <w:highlight w:val="none"/>
        </w:rPr>
      </w:pPr>
      <w:bookmarkStart w:id="94" w:name="_Toc530378524"/>
      <w:bookmarkStart w:id="95" w:name="_Toc503898945"/>
      <w:bookmarkStart w:id="96" w:name="_Toc528775164"/>
      <w:bookmarkStart w:id="97" w:name="_Toc503706649"/>
      <w:bookmarkStart w:id="98" w:name="_Toc503898862"/>
      <w:bookmarkStart w:id="99" w:name="_Toc503898596"/>
      <w:r>
        <w:rPr>
          <w:rFonts w:hint="eastAsia" w:ascii="宋体" w:hAnsi="宋体" w:eastAsia="宋体" w:cs="宋体"/>
          <w:b/>
          <w:color w:val="auto"/>
          <w:szCs w:val="21"/>
          <w:highlight w:val="none"/>
        </w:rPr>
        <w:t>（三）投标报价</w:t>
      </w:r>
      <w:bookmarkEnd w:id="94"/>
      <w:bookmarkEnd w:id="95"/>
      <w:bookmarkEnd w:id="96"/>
      <w:bookmarkEnd w:id="97"/>
      <w:bookmarkEnd w:id="98"/>
      <w:bookmarkEnd w:id="99"/>
    </w:p>
    <w:p w14:paraId="4CD308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1.投标报价应按招标文件中相关附表格式填写。</w:t>
      </w:r>
    </w:p>
    <w:p w14:paraId="3501972C">
      <w:pPr>
        <w:widowControl/>
        <w:spacing w:line="360" w:lineRule="auto"/>
        <w:ind w:left="420"/>
        <w:jc w:val="left"/>
        <w:rPr>
          <w:rFonts w:hint="eastAsia" w:ascii="宋体" w:hAnsi="宋体" w:eastAsia="宋体" w:cs="宋体"/>
          <w:color w:val="auto"/>
          <w:szCs w:val="21"/>
          <w:highlight w:val="none"/>
        </w:rPr>
      </w:pPr>
      <w:bookmarkStart w:id="100" w:name="OLE_LINK34"/>
      <w:r>
        <w:rPr>
          <w:rFonts w:hint="eastAsia" w:ascii="宋体" w:hAnsi="宋体" w:eastAsia="宋体" w:cs="宋体"/>
          <w:color w:val="auto"/>
          <w:szCs w:val="21"/>
          <w:highlight w:val="none"/>
        </w:rPr>
        <w:t>★</w:t>
      </w:r>
      <w:bookmarkEnd w:id="100"/>
      <w:r>
        <w:rPr>
          <w:rFonts w:hint="eastAsia" w:ascii="宋体" w:hAnsi="宋体" w:eastAsia="宋体" w:cs="宋体"/>
          <w:color w:val="auto"/>
          <w:szCs w:val="21"/>
          <w:highlight w:val="none"/>
        </w:rPr>
        <w:t>2. 报价要求：详见第三章《供应商须知》前附表第2条。</w:t>
      </w:r>
    </w:p>
    <w:p w14:paraId="4971DA3A">
      <w:pPr>
        <w:tabs>
          <w:tab w:val="left" w:pos="525"/>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★3.投标文件只允许有一个报价，有选择的或有条件的报价将不予接受。</w:t>
      </w:r>
    </w:p>
    <w:p w14:paraId="7BEE8C82">
      <w:pPr>
        <w:tabs>
          <w:tab w:val="left" w:pos="720"/>
        </w:tabs>
        <w:spacing w:line="360" w:lineRule="auto"/>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（四）投标文件的有效期</w:t>
      </w:r>
    </w:p>
    <w:p w14:paraId="16573981">
      <w:pPr>
        <w:tabs>
          <w:tab w:val="left" w:pos="720"/>
        </w:tabs>
        <w:spacing w:line="360" w:lineRule="auto"/>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1.自投标截止日起</w:t>
      </w:r>
      <w:r>
        <w:rPr>
          <w:rFonts w:hint="eastAsia" w:ascii="宋体" w:hAnsi="宋体" w:eastAsia="宋体" w:cs="宋体"/>
          <w:b/>
          <w:color w:val="auto"/>
          <w:kern w:val="0"/>
          <w:szCs w:val="21"/>
          <w:highlight w:val="none"/>
          <w:u w:val="single"/>
        </w:rPr>
        <w:t>90</w:t>
      </w:r>
      <w:r>
        <w:rPr>
          <w:rFonts w:hint="eastAsia" w:ascii="宋体" w:hAnsi="宋体" w:eastAsia="宋体" w:cs="宋体"/>
          <w:b/>
          <w:color w:val="auto"/>
          <w:kern w:val="0"/>
          <w:szCs w:val="21"/>
          <w:highlight w:val="none"/>
        </w:rPr>
        <w:t>天投标文件应保持有效。有效期不足的投标文件将被拒绝。</w:t>
      </w:r>
    </w:p>
    <w:p w14:paraId="0CF11642">
      <w:pPr>
        <w:tabs>
          <w:tab w:val="left" w:pos="720"/>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2.在特殊情况下，采购人可与供应商协商延长投标书的有效期，这种要求和答复均以书面形式进行。</w:t>
      </w:r>
    </w:p>
    <w:p w14:paraId="2F054F83">
      <w:pPr>
        <w:spacing w:line="360" w:lineRule="auto"/>
        <w:ind w:firstLine="420" w:firstLineChars="200"/>
        <w:jc w:val="left"/>
        <w:outlineLvl w:val="0"/>
        <w:rPr>
          <w:rFonts w:hint="eastAsia" w:ascii="宋体" w:hAnsi="宋体" w:eastAsia="宋体" w:cs="宋体"/>
          <w:b/>
          <w:color w:val="auto"/>
          <w:szCs w:val="21"/>
          <w:highlight w:val="none"/>
        </w:rPr>
      </w:pPr>
      <w:bookmarkStart w:id="101" w:name="_Toc503898864"/>
      <w:bookmarkStart w:id="102" w:name="_Toc503706651"/>
      <w:bookmarkStart w:id="103" w:name="_Toc503898598"/>
      <w:bookmarkStart w:id="104" w:name="_Toc528775166"/>
      <w:bookmarkStart w:id="105" w:name="_Toc530378526"/>
      <w:bookmarkStart w:id="106" w:name="_Toc503898947"/>
      <w:r>
        <w:rPr>
          <w:rFonts w:hint="eastAsia" w:ascii="宋体" w:hAnsi="宋体" w:eastAsia="宋体" w:cs="宋体"/>
          <w:color w:val="auto"/>
          <w:szCs w:val="21"/>
          <w:highlight w:val="none"/>
        </w:rPr>
        <w:t>3.中标人的投标文件自开标之日起至合同履行完毕止均应保持有效。</w:t>
      </w:r>
      <w:bookmarkEnd w:id="101"/>
      <w:bookmarkEnd w:id="102"/>
      <w:bookmarkEnd w:id="103"/>
      <w:bookmarkEnd w:id="104"/>
      <w:bookmarkEnd w:id="105"/>
      <w:bookmarkEnd w:id="106"/>
    </w:p>
    <w:p w14:paraId="27B957AF">
      <w:pPr>
        <w:spacing w:line="360" w:lineRule="auto"/>
        <w:ind w:firstLine="413" w:firstLineChars="196"/>
        <w:jc w:val="left"/>
        <w:outlineLvl w:val="0"/>
        <w:rPr>
          <w:rFonts w:hint="eastAsia" w:ascii="宋体" w:hAnsi="宋体" w:eastAsia="宋体" w:cs="宋体"/>
          <w:b/>
          <w:color w:val="auto"/>
          <w:szCs w:val="21"/>
          <w:highlight w:val="none"/>
        </w:rPr>
      </w:pPr>
      <w:bookmarkStart w:id="107" w:name="_Toc528775168"/>
      <w:bookmarkStart w:id="108" w:name="_Toc503706653"/>
      <w:bookmarkStart w:id="109" w:name="_Toc530378528"/>
      <w:bookmarkStart w:id="110" w:name="_Toc503898600"/>
      <w:bookmarkStart w:id="111" w:name="_Toc503898949"/>
      <w:bookmarkStart w:id="112" w:name="_Toc503898866"/>
      <w:r>
        <w:rPr>
          <w:rFonts w:hint="eastAsia" w:ascii="宋体" w:hAnsi="宋体" w:eastAsia="宋体" w:cs="宋体"/>
          <w:b/>
          <w:color w:val="auto"/>
          <w:szCs w:val="21"/>
          <w:highlight w:val="none"/>
        </w:rPr>
        <w:t>（五）投标文件的签署和份数</w:t>
      </w:r>
      <w:bookmarkEnd w:id="107"/>
      <w:bookmarkEnd w:id="108"/>
      <w:bookmarkEnd w:id="109"/>
      <w:bookmarkEnd w:id="110"/>
      <w:bookmarkEnd w:id="111"/>
      <w:bookmarkEnd w:id="112"/>
    </w:p>
    <w:p w14:paraId="2840174D">
      <w:pPr>
        <w:tabs>
          <w:tab w:val="left" w:pos="518"/>
        </w:tabs>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1.投标人应按本招标文件规定的格式和顺序编制并标注页码，投标文件内容不完整、编排混乱导致投标文件被误读、漏读或者查找不到相关内容的，是投标人的责任。</w:t>
      </w:r>
    </w:p>
    <w:p w14:paraId="3D223F03">
      <w:pPr>
        <w:tabs>
          <w:tab w:val="left" w:pos="518"/>
        </w:tabs>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2.投标文件的份数：</w:t>
      </w:r>
    </w:p>
    <w:p w14:paraId="4D3120D2">
      <w:pPr>
        <w:tabs>
          <w:tab w:val="left" w:pos="518"/>
        </w:tabs>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本项目实行网上投标，供应商应准备以下投标文件：</w:t>
      </w:r>
    </w:p>
    <w:p w14:paraId="37231A20">
      <w:pPr>
        <w:tabs>
          <w:tab w:val="left" w:pos="518"/>
        </w:tabs>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（1）上传到政府采购云平台的电子加密投标文件（含资格证明文件、商务技术文件、报价文件）1份。</w:t>
      </w:r>
    </w:p>
    <w:p w14:paraId="41C402F4">
      <w:pPr>
        <w:tabs>
          <w:tab w:val="left" w:pos="518"/>
        </w:tabs>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（2）以U盘存储的电子备份投标文件（含资格证明文件、商务技术文件、报价文件）1份。</w:t>
      </w:r>
    </w:p>
    <w:p w14:paraId="15C2928F">
      <w:pPr>
        <w:tabs>
          <w:tab w:val="left" w:pos="518"/>
        </w:tabs>
        <w:adjustRightInd w:val="0"/>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3.电子加密投标文件：供应商应根据政府采购云平台的要求及本采购文件规定的格式和顺序编制电子加密投标文件并进行关联定位。</w:t>
      </w:r>
    </w:p>
    <w:p w14:paraId="3C3D4AAF">
      <w:pPr>
        <w:spacing w:line="360" w:lineRule="auto"/>
        <w:ind w:firstLine="413" w:firstLineChars="196"/>
        <w:jc w:val="left"/>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（六）备份投标文件的包装、递交、修改和撤回</w:t>
      </w:r>
    </w:p>
    <w:p w14:paraId="1BA567D3">
      <w:pPr>
        <w:snapToGrid w:val="0"/>
        <w:spacing w:line="360" w:lineRule="auto"/>
        <w:ind w:firstLine="420"/>
        <w:jc w:val="left"/>
        <w:rPr>
          <w:rFonts w:hint="eastAsia" w:ascii="宋体" w:hAnsi="宋体" w:eastAsia="宋体" w:cs="宋体"/>
          <w:color w:val="auto"/>
          <w:szCs w:val="21"/>
          <w:highlight w:val="none"/>
        </w:rPr>
      </w:pPr>
      <w:bookmarkStart w:id="113" w:name="_Toc503706654"/>
      <w:bookmarkStart w:id="114" w:name="_Toc530378529"/>
      <w:bookmarkStart w:id="115" w:name="_Toc503898601"/>
      <w:bookmarkStart w:id="116" w:name="_Toc528775169"/>
      <w:bookmarkStart w:id="117" w:name="_Toc503898950"/>
      <w:bookmarkStart w:id="118" w:name="_Toc503898867"/>
      <w:r>
        <w:rPr>
          <w:rFonts w:hint="eastAsia" w:ascii="宋体" w:hAnsi="宋体" w:eastAsia="宋体" w:cs="宋体"/>
          <w:color w:val="auto"/>
          <w:szCs w:val="21"/>
          <w:highlight w:val="none"/>
        </w:rPr>
        <w:t>1.以U盘存储的电子备份投标文件用封袋密封后递交。“电子备份投标文件”应当密封包装，并在包装上标注投标项目编号、项目名称、投标单位名称等并加盖公章。</w:t>
      </w:r>
    </w:p>
    <w:p w14:paraId="389AC564">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2.未按规定密封或标记的电子备份投标文件将被拒绝，由此造成电子备份投标文件被误投或提前拆封的风险由投标人承担。</w:t>
      </w:r>
    </w:p>
    <w:p w14:paraId="557220F1">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14:paraId="38589DCA">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244B92F0">
      <w:pPr>
        <w:spacing w:line="360" w:lineRule="auto"/>
        <w:ind w:firstLine="413" w:firstLineChars="196"/>
        <w:jc w:val="left"/>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（七）投标无效的情形</w:t>
      </w:r>
      <w:bookmarkEnd w:id="113"/>
      <w:bookmarkEnd w:id="114"/>
      <w:bookmarkEnd w:id="115"/>
      <w:bookmarkEnd w:id="116"/>
      <w:bookmarkEnd w:id="117"/>
      <w:bookmarkEnd w:id="118"/>
    </w:p>
    <w:p w14:paraId="077744EE">
      <w:pPr>
        <w:snapToGrid w:val="0"/>
        <w:spacing w:line="360" w:lineRule="auto"/>
        <w:ind w:firstLine="420"/>
        <w:jc w:val="left"/>
        <w:rPr>
          <w:rFonts w:hint="eastAsia" w:ascii="宋体" w:hAnsi="宋体" w:eastAsia="宋体" w:cs="宋体"/>
          <w:color w:val="auto"/>
          <w:szCs w:val="21"/>
          <w:highlight w:val="none"/>
        </w:rPr>
      </w:pPr>
      <w:bookmarkStart w:id="119" w:name="_Toc530378530"/>
      <w:bookmarkStart w:id="120" w:name="_Toc528775170"/>
      <w:bookmarkStart w:id="121" w:name="_Toc503898602"/>
      <w:bookmarkStart w:id="122" w:name="_Toc503898868"/>
      <w:bookmarkStart w:id="123" w:name="_Toc503706655"/>
      <w:bookmarkStart w:id="124" w:name="_Toc503898951"/>
      <w:r>
        <w:rPr>
          <w:rFonts w:hint="eastAsia" w:ascii="宋体" w:hAnsi="宋体" w:eastAsia="宋体" w:cs="宋体"/>
          <w:color w:val="auto"/>
          <w:szCs w:val="21"/>
          <w:highlight w:val="none"/>
        </w:rPr>
        <w:t>实质上没有响应招标文件要求的投标文件将被视为无效响应，投标人不得通过修正或撤销不合要求的偏离或保留从而使其响应成为实质上响应的文件。评审小组可以要求投标人在限期内对投标文件中含义不明确、同类问题表述不一致或者有明显文字和计算错误的内容等作出必要的澄清、说明或者更正。投标人的澄清、说明或更正不得超出投标文件的范围或者改变投标文件的实质性内容。投标人的澄清、说明或更正应当由法定代表人或授权代表签字或者加盖公章。限期内不补正或经补正后仍不符合招标文件要求的，应认定其响应无效。投标人澄清、说明或更正后，不影响评审小组对其投标文件所作的评价和评分结果。</w:t>
      </w:r>
    </w:p>
    <w:p w14:paraId="289BAD5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1.在资格审查，如发现下列情形之一的，将被视为无效投标文件：</w:t>
      </w:r>
    </w:p>
    <w:p w14:paraId="03D5F6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（1）资格证明文件不全的或者不符合采购文件标明的资格要求的；</w:t>
      </w:r>
    </w:p>
    <w:p w14:paraId="6F0896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（2）未按招标文件要求签署、盖章的。</w:t>
      </w:r>
    </w:p>
    <w:p w14:paraId="67AE918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2.在</w:t>
      </w:r>
      <w:r>
        <w:rPr>
          <w:rFonts w:hint="eastAsia" w:ascii="宋体" w:hAnsi="宋体" w:eastAsia="宋体" w:cs="宋体"/>
          <w:b/>
          <w:color w:val="auto"/>
          <w:highlight w:val="none"/>
        </w:rPr>
        <w:t>符合性审查（商务技术文件）审查</w:t>
      </w:r>
      <w:r>
        <w:rPr>
          <w:rFonts w:hint="eastAsia" w:ascii="宋体" w:hAnsi="宋体" w:eastAsia="宋体" w:cs="宋体"/>
          <w:b/>
          <w:color w:val="auto"/>
          <w:szCs w:val="21"/>
          <w:highlight w:val="none"/>
        </w:rPr>
        <w:t>时，如发现下列情形之一的，将被视为无效投标文件：</w:t>
      </w:r>
    </w:p>
    <w:p w14:paraId="663B2D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（1）未按招标文件要求签署、盖章的；</w:t>
      </w:r>
    </w:p>
    <w:p w14:paraId="1F21BE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w:t>
      </w:r>
      <w:r>
        <w:rPr>
          <w:rFonts w:hint="eastAsia" w:ascii="宋体" w:hAnsi="宋体" w:eastAsia="宋体" w:cs="宋体"/>
          <w:color w:val="auto"/>
          <w:highlight w:val="none"/>
        </w:rPr>
        <w:t>规定部分无法定代表人签署本人姓名（或印盖本人姓名章），或签署人未提供有效的法定代表人授权委托书或授权委托书填写项目不齐全的</w:t>
      </w:r>
      <w:r>
        <w:rPr>
          <w:rFonts w:hint="eastAsia" w:ascii="宋体" w:hAnsi="宋体" w:eastAsia="宋体" w:cs="宋体"/>
          <w:color w:val="auto"/>
          <w:szCs w:val="21"/>
          <w:highlight w:val="none"/>
        </w:rPr>
        <w:t>；</w:t>
      </w:r>
    </w:p>
    <w:p w14:paraId="2510A0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（3）投标文件内容虚假的；</w:t>
      </w:r>
    </w:p>
    <w:p w14:paraId="3AF343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（4）投标文件标明的响应或偏离与事实不符的；</w:t>
      </w:r>
    </w:p>
    <w:p w14:paraId="71B7A4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（5）投标文件的实质性内容未使用中文表述、意思表述不明确、前后矛盾或者使用计量单位不符合招标文件要求的；</w:t>
      </w:r>
    </w:p>
    <w:p w14:paraId="3722D9F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（6）带“★”的条款不能满足招标文件要求、未实质性响应招标文件要求或者投标文件有采购人不能接受的附加条件的；</w:t>
      </w:r>
    </w:p>
    <w:p w14:paraId="3EE4B8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（7）投标技术方案不明确，存在一个或一个以上备选（替代）投标方案的；</w:t>
      </w:r>
    </w:p>
    <w:p w14:paraId="3E3AAF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（8）法律、法规和招标文件规定的其他无效情形；</w:t>
      </w:r>
    </w:p>
    <w:p w14:paraId="1BB23D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（9）投标文件的有效期不满足招标文件要求。</w:t>
      </w:r>
    </w:p>
    <w:p w14:paraId="2239375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3.在</w:t>
      </w:r>
      <w:r>
        <w:rPr>
          <w:rFonts w:hint="eastAsia" w:ascii="宋体" w:hAnsi="宋体" w:eastAsia="宋体" w:cs="宋体"/>
          <w:b/>
          <w:color w:val="auto"/>
          <w:highlight w:val="none"/>
        </w:rPr>
        <w:t>符合性审查（报价文件）</w:t>
      </w:r>
      <w:r>
        <w:rPr>
          <w:rFonts w:hint="eastAsia" w:ascii="宋体" w:hAnsi="宋体" w:eastAsia="宋体" w:cs="宋体"/>
          <w:b/>
          <w:color w:val="auto"/>
          <w:szCs w:val="21"/>
          <w:highlight w:val="none"/>
        </w:rPr>
        <w:t>时，如发现下列情形之一的，投标文件将被视为无效：</w:t>
      </w:r>
    </w:p>
    <w:p w14:paraId="2FCC48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（1）未按招标文件要求签署、盖章的；</w:t>
      </w:r>
    </w:p>
    <w:p w14:paraId="132D7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（2）未采用人民币报价或者未按照采购文件标明的币种报价的；</w:t>
      </w:r>
    </w:p>
    <w:p w14:paraId="3F031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（3）报价超出最高限价，或者超出采购预算金额，采购人不能支付的；</w:t>
      </w:r>
    </w:p>
    <w:p w14:paraId="4EF07D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（4）投标报价具有选择性的；</w:t>
      </w:r>
    </w:p>
    <w:p w14:paraId="34E9C9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评审小组认为投标人的报价明显低于其他通过符合性审查投标人的报价，有可能影响服务质量或者不能诚信履约的，且不能在评标现场合理时间内提供相关证明材料说明其报价的合理性的；（6）法律、法规和招标文件规定的其他无效情形。</w:t>
      </w:r>
    </w:p>
    <w:p w14:paraId="2E4840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电子投标文件解密失败或未在规定时间内成功解密，且未在规定时间内提交备份投标文件的。</w:t>
      </w:r>
    </w:p>
    <w:p w14:paraId="1B2A2BF4">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.不同投标人的投标文件出自同一终端设备或在相同Internet主机分配地址（相同IP地址）网上报名投标。</w:t>
      </w:r>
      <w:r>
        <w:rPr>
          <w:rFonts w:hint="eastAsia" w:ascii="宋体" w:hAnsi="宋体" w:eastAsia="宋体" w:cs="宋体"/>
          <w:b/>
          <w:bCs/>
          <w:color w:val="auto"/>
          <w:sz w:val="21"/>
          <w:szCs w:val="21"/>
          <w:highlight w:val="none"/>
        </w:rPr>
        <w:t>法律、法规和招标文件规定的其他无效情形。</w:t>
      </w:r>
    </w:p>
    <w:p w14:paraId="57BA18FC">
      <w:pPr>
        <w:spacing w:line="360" w:lineRule="auto"/>
        <w:ind w:firstLine="398" w:firstLineChars="196"/>
        <w:outlineLvl w:val="1"/>
        <w:rPr>
          <w:rFonts w:hint="eastAsia" w:ascii="宋体" w:hAnsi="宋体" w:eastAsia="宋体" w:cs="宋体"/>
          <w:b/>
          <w:snapToGrid w:val="0"/>
          <w:color w:val="auto"/>
          <w:spacing w:val="-4"/>
          <w:szCs w:val="21"/>
          <w:highlight w:val="none"/>
        </w:rPr>
      </w:pPr>
      <w:r>
        <w:rPr>
          <w:rFonts w:hint="eastAsia" w:ascii="宋体" w:hAnsi="宋体" w:eastAsia="宋体" w:cs="宋体"/>
          <w:b/>
          <w:color w:val="auto"/>
          <w:spacing w:val="-4"/>
          <w:szCs w:val="21"/>
          <w:highlight w:val="none"/>
        </w:rPr>
        <w:t>四、开标</w:t>
      </w:r>
      <w:bookmarkEnd w:id="119"/>
      <w:bookmarkEnd w:id="120"/>
      <w:bookmarkEnd w:id="121"/>
      <w:bookmarkEnd w:id="122"/>
      <w:bookmarkEnd w:id="123"/>
      <w:bookmarkEnd w:id="124"/>
    </w:p>
    <w:p w14:paraId="3C777D52">
      <w:pPr>
        <w:tabs>
          <w:tab w:val="left" w:pos="518"/>
        </w:tabs>
        <w:spacing w:line="360" w:lineRule="auto"/>
        <w:ind w:firstLine="420" w:firstLineChars="200"/>
        <w:rPr>
          <w:rFonts w:hint="eastAsia" w:ascii="宋体" w:hAnsi="宋体" w:eastAsia="宋体" w:cs="宋体"/>
          <w:bCs/>
          <w:color w:val="auto"/>
          <w:szCs w:val="21"/>
          <w:highlight w:val="none"/>
        </w:rPr>
      </w:pPr>
      <w:bookmarkStart w:id="125" w:name="_Toc503898869"/>
      <w:bookmarkStart w:id="126" w:name="_Toc503898603"/>
      <w:bookmarkStart w:id="127" w:name="_Toc503706656"/>
      <w:bookmarkStart w:id="128" w:name="_Toc503898952"/>
      <w:bookmarkStart w:id="129" w:name="_Toc530378531"/>
      <w:bookmarkStart w:id="130" w:name="_Toc528775171"/>
      <w:r>
        <w:rPr>
          <w:rFonts w:hint="eastAsia" w:ascii="宋体" w:hAnsi="宋体" w:eastAsia="宋体" w:cs="宋体"/>
          <w:bCs/>
          <w:color w:val="auto"/>
          <w:szCs w:val="21"/>
          <w:highlight w:val="none"/>
        </w:rPr>
        <w:t>1、电子招投标开标程序：</w:t>
      </w:r>
    </w:p>
    <w:p w14:paraId="6F0910B9">
      <w:pPr>
        <w:numPr>
          <w:ilvl w:val="0"/>
          <w:numId w:val="10"/>
        </w:num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投标截止时间后，投标人登录政府采购云平台，用“项目采购-开标评标”功能对电子投标文件进行在线解密，在线解密电子投标文件时间为开标时间后30分钟内。</w:t>
      </w:r>
    </w:p>
    <w:p w14:paraId="7602344C">
      <w:pPr>
        <w:numPr>
          <w:ilvl w:val="0"/>
          <w:numId w:val="10"/>
        </w:num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在政府采购云平台开启已解密投标人的“资格证明文件、商务技术文件、报价文件”，并做开标记录；</w:t>
      </w:r>
    </w:p>
    <w:p w14:paraId="370D22EA">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（3）在政府采购云平台宣告评审无效投标人名单及理由；</w:t>
      </w:r>
    </w:p>
    <w:p w14:paraId="7D0A37B8">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（4）在政府采购云平台公布评审结果。</w:t>
      </w:r>
    </w:p>
    <w:p w14:paraId="34EA9E64">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（5）开标会议结束。</w:t>
      </w:r>
    </w:p>
    <w:p w14:paraId="53427BBE">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3、特别说明：政府采购云平台如对电子化开标及评审程序有调整的，按调整后的程序操作。</w:t>
      </w:r>
    </w:p>
    <w:p w14:paraId="17110B2D">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rPr>
        <w:t>电子招投标开标程序</w:t>
      </w:r>
      <w:r>
        <w:rPr>
          <w:rFonts w:hint="eastAsia" w:ascii="宋体" w:hAnsi="宋体" w:eastAsia="宋体" w:cs="宋体"/>
          <w:color w:val="auto"/>
          <w:szCs w:val="21"/>
          <w:highlight w:val="none"/>
        </w:rPr>
        <w:t>，但有以下情形之一的，按以下情况处理：</w:t>
      </w:r>
    </w:p>
    <w:p w14:paraId="24CAA689">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有投标人在规定时间内“电子加密投标文件”无法解密或解密失败，代理机构将开启该投标人递交的以U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人未按规定递交“电子备份投标文件”的，视为投标文件撤回。</w:t>
      </w:r>
    </w:p>
    <w:p w14:paraId="253D6508">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（2）采购过程中出现以下情形，导致电子交易平台无法正常运行，或者无法保证电子交易的公平、公正和安全时，采购人（或代理机构）可中止电子交易活动：</w:t>
      </w:r>
    </w:p>
    <w:p w14:paraId="3F615685">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3.1电子交易平台发生故障而无法登录访问的； </w:t>
      </w:r>
    </w:p>
    <w:p w14:paraId="03DFBAD0">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3.2电子交易平台应用或数据库出现错误，不能进行正常操作的；</w:t>
      </w:r>
    </w:p>
    <w:p w14:paraId="1745A9CD">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3.3电子交易平台发现严重安全漏洞，有潜在泄密危险的；</w:t>
      </w:r>
    </w:p>
    <w:p w14:paraId="07CEDFA0">
      <w:pPr>
        <w:tabs>
          <w:tab w:val="left" w:pos="51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3.4病毒发作导致不能进行正常操作的； </w:t>
      </w:r>
    </w:p>
    <w:p w14:paraId="7E5B5FCC">
      <w:pPr>
        <w:keepNext w:val="0"/>
        <w:keepLines w:val="0"/>
        <w:pageBreakBefore w:val="0"/>
        <w:widowControl w:val="0"/>
        <w:tabs>
          <w:tab w:val="left" w:pos="5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3.5其他无法保证电子交易的公平、公正和安全的情况。</w:t>
      </w:r>
    </w:p>
    <w:p w14:paraId="4ED73A7E">
      <w:pPr>
        <w:keepNext w:val="0"/>
        <w:keepLines w:val="0"/>
        <w:pageBreakBefore w:val="0"/>
        <w:widowControl w:val="0"/>
        <w:tabs>
          <w:tab w:val="left" w:pos="5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14:paraId="59F6CE79">
      <w:pPr>
        <w:pStyle w:val="17"/>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已投交的电子备份投标文件不予退还。</w:t>
      </w:r>
    </w:p>
    <w:p w14:paraId="3B8F83C9">
      <w:pPr>
        <w:keepNext w:val="0"/>
        <w:keepLines w:val="0"/>
        <w:pageBreakBefore w:val="0"/>
        <w:widowControl w:val="0"/>
        <w:kinsoku/>
        <w:wordWrap/>
        <w:overflowPunct/>
        <w:topLinePunct w:val="0"/>
        <w:autoSpaceDE/>
        <w:autoSpaceDN/>
        <w:bidi w:val="0"/>
        <w:adjustRightInd/>
        <w:snapToGrid/>
        <w:spacing w:line="360" w:lineRule="auto"/>
        <w:ind w:left="772" w:leftChars="267" w:hanging="211" w:hangingChars="100"/>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五、评标</w:t>
      </w:r>
      <w:bookmarkEnd w:id="125"/>
      <w:bookmarkEnd w:id="126"/>
      <w:bookmarkEnd w:id="127"/>
      <w:bookmarkEnd w:id="128"/>
      <w:bookmarkEnd w:id="129"/>
      <w:bookmarkEnd w:id="130"/>
    </w:p>
    <w:p w14:paraId="6EBD1887">
      <w:pPr>
        <w:spacing w:line="360" w:lineRule="auto"/>
        <w:ind w:left="690" w:leftChars="228" w:hanging="211" w:hanging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（一）组建评审小组</w:t>
      </w:r>
    </w:p>
    <w:p w14:paraId="3C735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本项目评审小组依法组建。评审小组由招标人代表和评审专家组成，评审专家在政采云平台上抽取。评审小组人数5人及以上，其中评审专家人数不得少于评审小组总数的2/3。</w:t>
      </w:r>
    </w:p>
    <w:p w14:paraId="18E9D1D0">
      <w:pPr>
        <w:spacing w:line="360" w:lineRule="auto"/>
        <w:ind w:left="690" w:leftChars="228" w:hanging="211" w:hanging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（二）评标原则</w:t>
      </w:r>
    </w:p>
    <w:p w14:paraId="72A77E42">
      <w:pPr>
        <w:spacing w:line="360" w:lineRule="auto"/>
        <w:ind w:firstLine="42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本项目采用不公开方式评标，评标的依据为招标文件和投标文件。</w:t>
      </w:r>
    </w:p>
    <w:p w14:paraId="6C774F65">
      <w:pPr>
        <w:spacing w:line="360" w:lineRule="auto"/>
        <w:ind w:left="690" w:leftChars="228" w:hanging="211" w:hanging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bCs/>
          <w:color w:val="auto"/>
          <w:szCs w:val="21"/>
          <w:highlight w:val="none"/>
        </w:rPr>
        <w:t>评标程序</w:t>
      </w:r>
    </w:p>
    <w:p w14:paraId="26BF00E9">
      <w:pPr>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31416E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采购人代表或代理机构工作人员对投标人的资格进行审查。</w:t>
      </w:r>
    </w:p>
    <w:p w14:paraId="5A5E372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2.符合性检查</w:t>
      </w:r>
    </w:p>
    <w:p w14:paraId="0409079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评审小组对通过资格审查的投标人的投标文件的完整性、合法性进行符合性检查。</w:t>
      </w:r>
    </w:p>
    <w:p w14:paraId="148A5648">
      <w:pPr>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3.实质审查与比较</w:t>
      </w:r>
    </w:p>
    <w:p w14:paraId="738BC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（1）评审小组审查投标文件的实质性内容是否符合招标文件的实质性要求。</w:t>
      </w:r>
    </w:p>
    <w:p w14:paraId="5EAAB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（2）评审小组将根据投标人的投标文件进行审查、核对,如有疑问,将对投标人进行询标,投标人要向评审小组澄清有关问题,并最终以书面形式进行答复。</w:t>
      </w:r>
    </w:p>
    <w:p w14:paraId="65EEC4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投标人代表未到场或者拒绝澄清或者澄清的内容改变了投标文件的实质性内容的，评审小组有权对该投标文件做出不利于投标人的评判。</w:t>
      </w:r>
    </w:p>
    <w:p w14:paraId="154411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（3）各投标人的商务技术得分为所有评委的有效评分的算术平均数，由评审小组成员自行输入政府采购云平台，由政府采购云平台计算。</w:t>
      </w:r>
    </w:p>
    <w:p w14:paraId="354BF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（4）代理机构工作人员协助评审小组在政府采购云平台上根据本项目的评分标准计算各投标人的商务报价得分。</w:t>
      </w:r>
    </w:p>
    <w:p w14:paraId="7D9675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（5）评审小组完成评标后,代理机构在政府采购云平台上对各部分得分汇总，计算出本项目最终得分。评审小组按评标原则推荐中标候选人同时起草评标报告。</w:t>
      </w:r>
    </w:p>
    <w:p w14:paraId="3006A4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（四）</w:t>
      </w:r>
      <w:r>
        <w:rPr>
          <w:rFonts w:hint="eastAsia" w:ascii="宋体" w:hAnsi="宋体" w:eastAsia="宋体" w:cs="宋体"/>
          <w:b/>
          <w:color w:val="auto"/>
          <w:szCs w:val="21"/>
          <w:highlight w:val="none"/>
        </w:rPr>
        <w:t>澄清问题的形式</w:t>
      </w:r>
    </w:p>
    <w:p w14:paraId="19DB2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1.对于投标文件中含义不明确、同类问题表述不一致或者有明显文字和计算错误的内容，评审小组应当以书面形式要求投标人做出必要的澄清、说明或者补正。</w:t>
      </w:r>
    </w:p>
    <w:p w14:paraId="26D569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2.投标人的澄清、说明或者补正应当采用书面形式，并加盖公章，或者由法定代表人或其授权的代表签字。投标人的澄清、说明或者补正不得超出投标文件的范围或者改变投标文件的实质性内容。</w:t>
      </w:r>
    </w:p>
    <w:p w14:paraId="4DC1DF85">
      <w:pPr>
        <w:spacing w:line="360" w:lineRule="auto"/>
        <w:ind w:left="690" w:leftChars="228" w:hanging="211" w:hangingChars="1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（五）</w:t>
      </w:r>
      <w:r>
        <w:rPr>
          <w:rFonts w:hint="eastAsia" w:ascii="宋体" w:hAnsi="宋体" w:eastAsia="宋体" w:cs="宋体"/>
          <w:b/>
          <w:color w:val="auto"/>
          <w:szCs w:val="21"/>
          <w:highlight w:val="none"/>
        </w:rPr>
        <w:t>投标文件错误修正原则</w:t>
      </w:r>
    </w:p>
    <w:p w14:paraId="507B4EB9">
      <w:pPr>
        <w:spacing w:line="360" w:lineRule="auto"/>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14:paraId="14E8FE57">
      <w:pPr>
        <w:spacing w:line="360" w:lineRule="auto"/>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14:paraId="5B3B0145">
      <w:pPr>
        <w:spacing w:line="360" w:lineRule="auto"/>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F55339C">
      <w:pPr>
        <w:spacing w:line="360" w:lineRule="auto"/>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359DA7BC">
      <w:pPr>
        <w:spacing w:line="360" w:lineRule="auto"/>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9EFD5D5">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5.政采云平台填报的开标一览表中的价格与上传的报价文件中开标一览表的报价不一致的，以上传的报价文件为准。</w:t>
      </w:r>
    </w:p>
    <w:p w14:paraId="1BBECC8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同时出现两种以上不一致的，按照前款规定的顺序修正。修正后的报价经投标人确认后产生约束力，投标人不确认的，其投标无效。</w:t>
      </w:r>
    </w:p>
    <w:p w14:paraId="2152BF38">
      <w:pPr>
        <w:tabs>
          <w:tab w:val="left" w:pos="630"/>
        </w:tabs>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（六）评标原则和评标办法</w:t>
      </w:r>
    </w:p>
    <w:p w14:paraId="7C765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审小组必须公平、公正、客观，不带任何倾向性和启发性；不得向外界透露任何与评标有关的内容；任何单位和个人不得干扰、影响评标的正常进行；评审小组及有关工作人员不得私下与投标人接触。</w:t>
      </w:r>
    </w:p>
    <w:p w14:paraId="66B5F1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2.评标办法。本项目评标办法是</w:t>
      </w:r>
      <w:r>
        <w:rPr>
          <w:rFonts w:hint="eastAsia" w:ascii="宋体" w:hAnsi="宋体" w:eastAsia="宋体" w:cs="宋体"/>
          <w:b/>
          <w:bCs/>
          <w:color w:val="auto"/>
          <w:szCs w:val="21"/>
          <w:highlight w:val="none"/>
          <w:u w:val="single"/>
        </w:rPr>
        <w:t>综合评分法</w:t>
      </w:r>
      <w:r>
        <w:rPr>
          <w:rFonts w:hint="eastAsia" w:ascii="宋体" w:hAnsi="宋体" w:eastAsia="宋体" w:cs="宋体"/>
          <w:color w:val="auto"/>
          <w:szCs w:val="21"/>
          <w:highlight w:val="none"/>
        </w:rPr>
        <w:t>，具体评标内容及评分标准等详见第四章《评标办法及评分标准》。</w:t>
      </w:r>
    </w:p>
    <w:p w14:paraId="1F1EF10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六、定标</w:t>
      </w:r>
    </w:p>
    <w:p w14:paraId="0CDC733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1.确定中标人。本项目由评审小组推荐中标候选人，采购人不得在评审小组推荐的中标候选人以外确定中标候选人。</w:t>
      </w:r>
    </w:p>
    <w:p w14:paraId="6A54CB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7A59FA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3.代理机构自中标人确定之日起2个工作日内，在发布招标公告的网站上对中标结果进行公示，中标结果公告期限为1个工作日。</w:t>
      </w:r>
    </w:p>
    <w:p w14:paraId="00A56A5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4.凡发现中标人有下列行为之一的，将移交政府采购监督管理部门依法处理：</w:t>
      </w:r>
    </w:p>
    <w:p w14:paraId="1A4E4ECC">
      <w:pPr>
        <w:numPr>
          <w:ilvl w:val="0"/>
          <w:numId w:val="11"/>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提供虚假材料谋取中标的；</w:t>
      </w:r>
    </w:p>
    <w:p w14:paraId="49663EA9">
      <w:pPr>
        <w:numPr>
          <w:ilvl w:val="0"/>
          <w:numId w:val="11"/>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采取不正当手段诋毁、排挤其他投标人的；</w:t>
      </w:r>
    </w:p>
    <w:p w14:paraId="35470B92">
      <w:pPr>
        <w:numPr>
          <w:ilvl w:val="0"/>
          <w:numId w:val="11"/>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与采购人、其他投标人或者采购代理机构工作人员恶意串通的；</w:t>
      </w:r>
    </w:p>
    <w:p w14:paraId="3AC68480">
      <w:pPr>
        <w:numPr>
          <w:ilvl w:val="0"/>
          <w:numId w:val="11"/>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向采购人或采购代理机构人员行贿或者提供其他不正当利益的；</w:t>
      </w:r>
    </w:p>
    <w:p w14:paraId="27BEBFFE">
      <w:pPr>
        <w:numPr>
          <w:ilvl w:val="0"/>
          <w:numId w:val="11"/>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拒绝有关部门监督检查或者提供虚假情况的；</w:t>
      </w:r>
    </w:p>
    <w:p w14:paraId="7B7D0B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有法律、法规规定的其他损害采购人利益和社会公共利益情形的。</w:t>
      </w:r>
    </w:p>
    <w:p w14:paraId="7F6B62D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七、评标过程的监控与保密</w:t>
      </w:r>
    </w:p>
    <w:p w14:paraId="4F95AE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1.本项目评标过程实行全程录音、录像监控，投标人在评标过程中所进行的试图影响评标结果的不公正活动，可能导致其投标被拒绝。</w:t>
      </w:r>
    </w:p>
    <w:p w14:paraId="79CBC201">
      <w:pPr>
        <w:widowControl/>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八、合同授予</w:t>
      </w:r>
    </w:p>
    <w:p w14:paraId="0936AB5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1.采购人与中标人应当在《中标通知书》发出之日起</w:t>
      </w:r>
      <w:r>
        <w:rPr>
          <w:rFonts w:hint="eastAsia" w:ascii="宋体" w:hAnsi="宋体" w:eastAsia="宋体" w:cs="宋体"/>
          <w:b/>
          <w:color w:val="auto"/>
          <w:szCs w:val="21"/>
          <w:highlight w:val="none"/>
          <w:u w:val="single"/>
        </w:rPr>
        <w:t>30</w:t>
      </w:r>
      <w:r>
        <w:rPr>
          <w:rFonts w:hint="eastAsia" w:ascii="宋体" w:hAnsi="宋体" w:eastAsia="宋体" w:cs="宋体"/>
          <w:color w:val="auto"/>
          <w:szCs w:val="21"/>
          <w:highlight w:val="none"/>
        </w:rPr>
        <w:t>日内签订政府采购合同。</w:t>
      </w:r>
    </w:p>
    <w:p w14:paraId="7A34F512">
      <w:pPr>
        <w:tabs>
          <w:tab w:val="left" w:pos="518"/>
        </w:tabs>
        <w:adjustRightInd w:val="0"/>
        <w:snapToGrid w:val="0"/>
        <w:spacing w:line="360" w:lineRule="auto"/>
        <w:ind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九、特别说明</w:t>
      </w:r>
    </w:p>
    <w:p w14:paraId="08710204">
      <w:pPr>
        <w:pStyle w:val="25"/>
        <w:keepNext w:val="0"/>
        <w:keepLines w:val="0"/>
        <w:pageBreakBefore w:val="0"/>
        <w:widowControl w:val="0"/>
        <w:kinsoku/>
        <w:wordWrap/>
        <w:overflowPunct/>
        <w:topLinePunct w:val="0"/>
        <w:autoSpaceDE/>
        <w:autoSpaceDN/>
        <w:bidi w:val="0"/>
        <w:snapToGrid w:val="0"/>
        <w:spacing w:beforeLines="0" w:afterLines="0"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highlight w:val="none"/>
        </w:rPr>
        <w:t>1.</w:t>
      </w:r>
      <w:r>
        <w:rPr>
          <w:rFonts w:hint="eastAsia" w:ascii="宋体" w:hAnsi="宋体" w:eastAsia="宋体" w:cs="宋体"/>
          <w:b/>
          <w:color w:val="auto"/>
          <w:sz w:val="21"/>
          <w:szCs w:val="21"/>
          <w:highlight w:val="none"/>
        </w:rPr>
        <w:t>本项目为</w:t>
      </w:r>
      <w:r>
        <w:rPr>
          <w:rFonts w:hint="eastAsia" w:ascii="宋体" w:hAnsi="宋体" w:eastAsia="宋体" w:cs="宋体"/>
          <w:b/>
          <w:color w:val="auto"/>
          <w:sz w:val="21"/>
          <w:szCs w:val="21"/>
          <w:highlight w:val="none"/>
          <w:u w:val="single"/>
        </w:rPr>
        <w:t>专门面向</w:t>
      </w:r>
      <w:r>
        <w:rPr>
          <w:rFonts w:hint="eastAsia" w:ascii="宋体" w:hAnsi="宋体" w:eastAsia="宋体" w:cs="宋体"/>
          <w:b/>
          <w:color w:val="auto"/>
          <w:sz w:val="21"/>
          <w:szCs w:val="21"/>
          <w:highlight w:val="none"/>
          <w:u w:val="single"/>
          <w:lang w:val="en-US" w:eastAsia="zh-CN"/>
        </w:rPr>
        <w:t>小微</w:t>
      </w:r>
      <w:r>
        <w:rPr>
          <w:rFonts w:hint="eastAsia" w:ascii="宋体" w:hAnsi="宋体" w:eastAsia="宋体" w:cs="宋体"/>
          <w:b/>
          <w:color w:val="auto"/>
          <w:sz w:val="21"/>
          <w:szCs w:val="21"/>
          <w:highlight w:val="none"/>
          <w:u w:val="single"/>
        </w:rPr>
        <w:t>企业采购</w:t>
      </w:r>
      <w:r>
        <w:rPr>
          <w:rFonts w:hint="eastAsia" w:ascii="宋体" w:hAnsi="宋体" w:eastAsia="宋体" w:cs="宋体"/>
          <w:b/>
          <w:color w:val="auto"/>
          <w:sz w:val="21"/>
          <w:szCs w:val="21"/>
          <w:highlight w:val="none"/>
        </w:rPr>
        <w:t>。采购标的对应的中小企业划分标准所属行业：</w:t>
      </w:r>
      <w:r>
        <w:rPr>
          <w:rFonts w:hint="eastAsia" w:ascii="宋体" w:hAnsi="宋体" w:eastAsia="宋体" w:cs="宋体"/>
          <w:b/>
          <w:bCs/>
          <w:color w:val="auto"/>
          <w:sz w:val="21"/>
          <w:highlight w:val="none"/>
          <w:u w:val="single"/>
          <w:lang w:val="en-US" w:eastAsia="zh-CN"/>
        </w:rPr>
        <w:t>租赁和商务</w:t>
      </w:r>
      <w:r>
        <w:rPr>
          <w:rFonts w:hint="eastAsia" w:ascii="宋体" w:hAnsi="宋体" w:eastAsia="宋体" w:cs="宋体"/>
          <w:b/>
          <w:bCs/>
          <w:color w:val="auto"/>
          <w:sz w:val="21"/>
          <w:highlight w:val="none"/>
          <w:u w:val="single"/>
        </w:rPr>
        <w:t>服务业</w:t>
      </w:r>
      <w:r>
        <w:rPr>
          <w:rFonts w:hint="eastAsia" w:ascii="宋体" w:hAnsi="宋体" w:eastAsia="宋体" w:cs="宋体"/>
          <w:b/>
          <w:color w:val="auto"/>
          <w:sz w:val="21"/>
          <w:szCs w:val="21"/>
          <w:highlight w:val="none"/>
        </w:rPr>
        <w:t>。投标人参加本项目政府采购活动，必须出具《政府采购促进中小企业发展管理办法》规定的《中小企业声明函》（格式见本采购文件第六章投标文件格式）。</w:t>
      </w:r>
    </w:p>
    <w:p w14:paraId="2476446C">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2.执行财政部、工业和信息化部《政府采购促进中小企业发展管理办法》（财库〔2020〕46号）。</w:t>
      </w:r>
    </w:p>
    <w:p w14:paraId="65A038FA">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14:paraId="34556683">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符合中小企业划分标准的个体工商户，在政府采购活动中视同中小企业。</w:t>
      </w:r>
    </w:p>
    <w:p w14:paraId="4A012760">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国务院批准的中小企业划分标准：具体见工信部联企业[2011]300号。</w:t>
      </w:r>
    </w:p>
    <w:p w14:paraId="21F569BA">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4.在政府采购活动中，供应商提供的货物、工程或者服务符合下列情形的，可享受中型、小型、微型企业（以下简称中小企业）的扶持政策：</w:t>
      </w:r>
    </w:p>
    <w:p w14:paraId="75A2BD32">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（1）在货物采购项目中，货物由中小企业制造，即货物由中小企业生产且使用该中小企业商号或者注册商标；</w:t>
      </w:r>
    </w:p>
    <w:p w14:paraId="6C5D9968">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（2）在工程采购项目中，工程由中小企业承建，即工程施工单位为中小企业；</w:t>
      </w:r>
    </w:p>
    <w:p w14:paraId="353E2B41">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（3）在服务采购项目中，服务由中小企业承接，即提供服务的人员为中小企业依照《中华人民共和国劳动合同法》订立劳动合同的从业人员。</w:t>
      </w:r>
    </w:p>
    <w:p w14:paraId="32419289">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以联合体形式参加政府采购活动，联合体各方均为中小企业的，联合体视同中小企业。</w:t>
      </w:r>
    </w:p>
    <w:p w14:paraId="1D67A278">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5.在货物采购项目中，供应商提供的货物既有中小企业制造货物，也有大型企业制造货物的，不享受的中小的政策。</w:t>
      </w:r>
    </w:p>
    <w:p w14:paraId="2AB8912B">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6.中小企业应按照采购文件格式要求提供《中小企业声明函》。</w:t>
      </w:r>
    </w:p>
    <w:p w14:paraId="4E42839B">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AB98F25">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8.根据《关于促进残疾人就业政府采购政策的通知》（财库[2017]141号）规定，在政府采购活动中，残疾人福利性单位视同小型、微型企业。残疾人福利性单位参加政府采购活动时，提供《残疾人福利性单位声明函》。</w:t>
      </w:r>
    </w:p>
    <w:p w14:paraId="3CA96864">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9.按规定享受扶持政策获得政府采购合同的，小微企业不得将合同分包给大中型企业，中型企业不得将合同分包给大型企业。</w:t>
      </w:r>
    </w:p>
    <w:p w14:paraId="5C19F011">
      <w:pPr>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10.供应商按照《政府采购促进中小企业发展管理办法》规定提供声明函内容不实的，属于提供虚假材料谋取中标、成交，依照《中华人民共和国政府采购法》等国家有关规定追究相应责任。</w:t>
      </w:r>
    </w:p>
    <w:p w14:paraId="68AD79FF">
      <w:pPr>
        <w:spacing w:line="360" w:lineRule="auto"/>
        <w:ind w:firstLine="420"/>
        <w:rPr>
          <w:rFonts w:hint="eastAsia" w:ascii="宋体" w:hAnsi="宋体" w:eastAsia="宋体" w:cs="宋体"/>
          <w:color w:val="auto"/>
          <w:szCs w:val="21"/>
          <w:highlight w:val="none"/>
          <w:lang w:bidi="ar"/>
        </w:rPr>
      </w:pPr>
      <w:r>
        <w:rPr>
          <w:rFonts w:hint="eastAsia" w:ascii="宋体" w:hAnsi="宋体" w:eastAsia="宋体" w:cs="宋体"/>
          <w:color w:val="auto"/>
          <w:szCs w:val="20"/>
          <w:highlight w:val="none"/>
        </w:rPr>
        <w:t>11.《中小企业声明函》由参加投标的供应商提交，如供应商为代理商，须自行采集制造商的中小企业划分类型信息填入相应栏目并对其真实性负责</w:t>
      </w:r>
      <w:r>
        <w:rPr>
          <w:rFonts w:hint="eastAsia" w:ascii="宋体" w:hAnsi="宋体" w:eastAsia="宋体" w:cs="宋体"/>
          <w:color w:val="auto"/>
          <w:szCs w:val="21"/>
          <w:highlight w:val="none"/>
          <w:lang w:bidi="ar"/>
        </w:rPr>
        <w:t>。</w:t>
      </w:r>
    </w:p>
    <w:p w14:paraId="5617E0E1">
      <w:pPr>
        <w:adjustRightInd w:val="0"/>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中小企业信用融资：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p w14:paraId="50DBA06F">
      <w:pPr>
        <w:adjustRightInd w:val="0"/>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13.本招标文件解释权归采购人。</w:t>
      </w:r>
    </w:p>
    <w:p w14:paraId="7C186766">
      <w:pPr>
        <w:adjustRightInd w:val="0"/>
        <w:snapToGrid w:val="0"/>
        <w:spacing w:line="360" w:lineRule="auto"/>
        <w:ind w:firstLine="420" w:firstLineChars="200"/>
        <w:rPr>
          <w:rFonts w:hint="eastAsia" w:ascii="宋体" w:hAnsi="宋体" w:eastAsia="宋体" w:cs="宋体"/>
          <w:color w:val="auto"/>
          <w:szCs w:val="21"/>
          <w:highlight w:val="none"/>
          <w:lang w:bidi="ar"/>
        </w:rPr>
      </w:pPr>
    </w:p>
    <w:p w14:paraId="051CB18E">
      <w:pPr>
        <w:adjustRightInd w:val="0"/>
        <w:snapToGrid w:val="0"/>
        <w:spacing w:line="360" w:lineRule="auto"/>
        <w:ind w:firstLine="420" w:firstLineChars="200"/>
        <w:rPr>
          <w:rFonts w:hint="eastAsia" w:ascii="宋体" w:hAnsi="宋体" w:eastAsia="宋体" w:cs="宋体"/>
          <w:color w:val="auto"/>
          <w:szCs w:val="21"/>
          <w:highlight w:val="none"/>
          <w:lang w:bidi="ar"/>
        </w:rPr>
      </w:pPr>
    </w:p>
    <w:p w14:paraId="119891AC">
      <w:pPr>
        <w:adjustRightInd w:val="0"/>
        <w:snapToGrid w:val="0"/>
        <w:spacing w:line="360" w:lineRule="auto"/>
        <w:ind w:firstLine="420" w:firstLineChars="200"/>
        <w:rPr>
          <w:rFonts w:hint="eastAsia" w:ascii="宋体" w:hAnsi="宋体" w:eastAsia="宋体" w:cs="宋体"/>
          <w:color w:val="auto"/>
          <w:szCs w:val="21"/>
          <w:highlight w:val="none"/>
          <w:lang w:bidi="ar"/>
        </w:rPr>
      </w:pPr>
    </w:p>
    <w:p w14:paraId="3FFAB056">
      <w:pPr>
        <w:pStyle w:val="66"/>
        <w:rPr>
          <w:rFonts w:hint="eastAsia" w:ascii="宋体" w:hAnsi="宋体" w:eastAsia="宋体" w:cs="宋体"/>
          <w:color w:val="auto"/>
          <w:szCs w:val="21"/>
          <w:highlight w:val="none"/>
          <w:lang w:bidi="ar"/>
        </w:rPr>
      </w:pPr>
    </w:p>
    <w:p w14:paraId="47FEE82D">
      <w:pPr>
        <w:pStyle w:val="66"/>
        <w:rPr>
          <w:rFonts w:hint="eastAsia" w:ascii="宋体" w:hAnsi="宋体" w:eastAsia="宋体" w:cs="宋体"/>
          <w:color w:val="auto"/>
          <w:szCs w:val="21"/>
          <w:highlight w:val="none"/>
          <w:lang w:bidi="ar"/>
        </w:rPr>
      </w:pPr>
    </w:p>
    <w:p w14:paraId="3C18B6EE">
      <w:pPr>
        <w:pStyle w:val="66"/>
        <w:rPr>
          <w:rFonts w:hint="eastAsia" w:ascii="宋体" w:hAnsi="宋体" w:eastAsia="宋体" w:cs="宋体"/>
          <w:color w:val="auto"/>
          <w:szCs w:val="21"/>
          <w:highlight w:val="none"/>
          <w:lang w:bidi="ar"/>
        </w:rPr>
      </w:pPr>
    </w:p>
    <w:p w14:paraId="271E073A">
      <w:pPr>
        <w:pStyle w:val="66"/>
        <w:rPr>
          <w:rFonts w:hint="eastAsia" w:ascii="宋体" w:hAnsi="宋体" w:eastAsia="宋体" w:cs="宋体"/>
          <w:color w:val="auto"/>
          <w:szCs w:val="21"/>
          <w:highlight w:val="none"/>
          <w:lang w:bidi="ar"/>
        </w:rPr>
      </w:pPr>
    </w:p>
    <w:p w14:paraId="70B727C5">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color w:val="auto"/>
          <w:sz w:val="28"/>
          <w:szCs w:val="28"/>
          <w:highlight w:val="none"/>
        </w:rPr>
      </w:pPr>
      <w:bookmarkStart w:id="131" w:name="_Toc530378532"/>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第四章  评标办法及评分标准</w:t>
      </w:r>
      <w:bookmarkEnd w:id="131"/>
    </w:p>
    <w:p w14:paraId="7453CF18">
      <w:pPr>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本办法严格遵照《中华人民共和国政府采购法》、《政府采购货物和服务招标投标管理办法》、《中华人民共和国政府采购法实施条例》，结合项目所在地政府有关政府采购规定和项目的实际情况制定。</w:t>
      </w:r>
    </w:p>
    <w:p w14:paraId="4143A04E">
      <w:pPr>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1.评标原则</w:t>
      </w:r>
    </w:p>
    <w:p w14:paraId="5F0BF7FC">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招标活动遵循公平、公正、科学、择优的原则依法进行，招标活动及当事人接受依法实施的监督。本次招标采用综合评分法。</w:t>
      </w:r>
    </w:p>
    <w:p w14:paraId="1917C84C">
      <w:pPr>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2.评标办法</w:t>
      </w:r>
    </w:p>
    <w:p w14:paraId="0E183501">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本次招标采用综合评分法。满分100分。</w:t>
      </w:r>
    </w:p>
    <w:p w14:paraId="456CE8AF">
      <w:pPr>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3.评标组织</w:t>
      </w:r>
    </w:p>
    <w:p w14:paraId="39E8C0F9">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采购人和采购代理机构根据采购项目的内容特点按照规定组建评标委员会。</w:t>
      </w:r>
    </w:p>
    <w:p w14:paraId="5640391F">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评标委员会由采购人代表和评审专家或全部由评审专家组成，成员人数为5人以上单数，其中评审专家不少于成员总数的三分之二。</w:t>
      </w:r>
    </w:p>
    <w:p w14:paraId="3525843C">
      <w:pPr>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4.评标程序</w:t>
      </w:r>
    </w:p>
    <w:p w14:paraId="073E37C4">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4.1采购代理机构按招标文件规定的时间、地点组织开标。开标会议由采购代理机构组织，按招标文件的规定对投标人的基本情况进行审核。</w:t>
      </w:r>
    </w:p>
    <w:p w14:paraId="3109338F">
      <w:pPr>
        <w:pageBreakBefore w:val="0"/>
        <w:kinsoku/>
        <w:wordWrap/>
        <w:overflowPunct/>
        <w:topLinePunct w:val="0"/>
        <w:autoSpaceDE/>
        <w:autoSpaceDN/>
        <w:bidi w:val="0"/>
        <w:adjustRightInd/>
        <w:spacing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4.2</w:t>
      </w:r>
      <w:r>
        <w:rPr>
          <w:rFonts w:hint="eastAsia" w:ascii="宋体" w:hAnsi="宋体" w:eastAsia="宋体" w:cs="宋体"/>
          <w:bCs/>
          <w:color w:val="auto"/>
          <w:sz w:val="21"/>
          <w:szCs w:val="21"/>
          <w:highlight w:val="none"/>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04BA53E8">
      <w:pPr>
        <w:pageBreakBefore w:val="0"/>
        <w:kinsoku/>
        <w:wordWrap/>
        <w:overflowPunct/>
        <w:topLinePunct w:val="0"/>
        <w:autoSpaceDE/>
        <w:autoSpaceDN/>
        <w:bidi w:val="0"/>
        <w:adjustRightInd/>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4.3根据各有效投标人的商务技术得分和报价得分计算各投标人的总得分（总得分保留小数点后二位）。</w:t>
      </w:r>
    </w:p>
    <w:p w14:paraId="62BA6422">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4.4按照评标办法，评标委员会推荐中标候选人，经采购人确认中标供应商后，最后在招标公告发布的网站上公布评标结果。</w:t>
      </w:r>
    </w:p>
    <w:p w14:paraId="563F83D5">
      <w:pPr>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5.评标过程</w:t>
      </w:r>
    </w:p>
    <w:p w14:paraId="470BCF47">
      <w:pPr>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5.1 初步审查</w:t>
      </w:r>
    </w:p>
    <w:p w14:paraId="41148DE4">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初审分为资格性审查和符合性审查。</w:t>
      </w:r>
    </w:p>
    <w:p w14:paraId="5BA43E07">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资格性检查。采购人或者采购代理机构对投标人的资格进行审查。依据法律法规和招标文件的规定，对投标文件中的资格证明进行审查，以确定投标人是否具备投标资格。</w:t>
      </w:r>
    </w:p>
    <w:p w14:paraId="19D3B0D9">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符合性检查。评标委员会依据招标文件的规定，从投标文件的有效性、完整性和对招标文件的响应程度进行审查，以确定是否对招标文件的实质性要求作出响应。</w:t>
      </w:r>
    </w:p>
    <w:p w14:paraId="0D788296">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审查投标文件是否对招标文件提出的所有实质性要求和条件作出响应，有无重大偏差；如有重大偏差者，作无效投标处理，不予进入详细评审。（具体见本招标文件第二部分投标无效的情形）</w:t>
      </w:r>
    </w:p>
    <w:p w14:paraId="36F29F01">
      <w:pPr>
        <w:pStyle w:val="28"/>
        <w:pageBreakBefore w:val="0"/>
        <w:kinsoku/>
        <w:wordWrap/>
        <w:overflowPunct/>
        <w:topLinePunct w:val="0"/>
        <w:autoSpaceDE/>
        <w:autoSpaceDN/>
        <w:bidi w:val="0"/>
        <w:adjustRightInd/>
        <w:spacing w:line="400" w:lineRule="exact"/>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5.2澄清问题</w:t>
      </w:r>
    </w:p>
    <w:p w14:paraId="5077084E">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对于投标文件中含义不明确、同类问题表述不一致或者有明显文字和计算错误的内容，评标委员会可要求投标人以书面形式作出必要的澄清、说明或者补正。</w:t>
      </w:r>
    </w:p>
    <w:p w14:paraId="7234B10C">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3FA25776">
      <w:pPr>
        <w:pStyle w:val="28"/>
        <w:pageBreakBefore w:val="0"/>
        <w:kinsoku/>
        <w:wordWrap/>
        <w:overflowPunct/>
        <w:topLinePunct w:val="0"/>
        <w:autoSpaceDE/>
        <w:autoSpaceDN/>
        <w:bidi w:val="0"/>
        <w:adjustRightInd/>
        <w:spacing w:line="400" w:lineRule="exact"/>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5.3详细评审</w:t>
      </w:r>
    </w:p>
    <w:p w14:paraId="552A63B0">
      <w:pPr>
        <w:pStyle w:val="28"/>
        <w:pageBreakBefore w:val="0"/>
        <w:kinsoku/>
        <w:wordWrap/>
        <w:overflowPunct/>
        <w:topLinePunct w:val="0"/>
        <w:autoSpaceDE/>
        <w:autoSpaceDN/>
        <w:bidi w:val="0"/>
        <w:adjustRightInd/>
        <w:spacing w:line="400" w:lineRule="exact"/>
        <w:ind w:left="0" w:firstLine="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val="0"/>
          <w:bCs/>
          <w:color w:val="auto"/>
          <w:sz w:val="21"/>
          <w:szCs w:val="21"/>
          <w:highlight w:val="none"/>
        </w:rPr>
        <w:t>评标委员会对通过符合性审查的投标文件，依照本办法对技术、商务内容作进一步评审、比较。评标委员会成员经过阅标、审标和询标，对各投标人进行综合打分。</w:t>
      </w:r>
    </w:p>
    <w:p w14:paraId="1E567853">
      <w:pPr>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参照本部分附表（评分标准表）打分。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4B45EB9A">
      <w:pPr>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注：评标委员会认为投标文件无效的，应组织相关投标人代表进行陈述、澄清或申辩。</w:t>
      </w:r>
    </w:p>
    <w:p w14:paraId="22BB6D65">
      <w:pPr>
        <w:pageBreakBefore w:val="0"/>
        <w:widowControl/>
        <w:kinsoku/>
        <w:wordWrap/>
        <w:overflowPunct/>
        <w:topLinePunct w:val="0"/>
        <w:autoSpaceDE/>
        <w:autoSpaceDN/>
        <w:bidi w:val="0"/>
        <w:adjustRightInd/>
        <w:spacing w:line="400" w:lineRule="exact"/>
        <w:ind w:firstLine="421"/>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BE08F9B">
      <w:pPr>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1D22F3D5">
      <w:pPr>
        <w:pStyle w:val="28"/>
        <w:pageBreakBefore w:val="0"/>
        <w:kinsoku/>
        <w:wordWrap/>
        <w:overflowPunct/>
        <w:topLinePunct w:val="0"/>
        <w:autoSpaceDE/>
        <w:autoSpaceDN/>
        <w:bidi w:val="0"/>
        <w:adjustRightInd/>
        <w:spacing w:line="400" w:lineRule="exact"/>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5.4中标原则</w:t>
      </w:r>
    </w:p>
    <w:p w14:paraId="4D1A00EA">
      <w:pPr>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2F29A344">
      <w:pPr>
        <w:pageBreakBefore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采购人根据评审报告推荐的中标候选人确定中标供应商。</w:t>
      </w:r>
    </w:p>
    <w:p w14:paraId="65F1592D">
      <w:pPr>
        <w:pStyle w:val="28"/>
        <w:pageBreakBefore w:val="0"/>
        <w:tabs>
          <w:tab w:val="left" w:pos="5880"/>
        </w:tabs>
        <w:kinsoku/>
        <w:wordWrap/>
        <w:overflowPunct/>
        <w:topLinePunct w:val="0"/>
        <w:autoSpaceDE/>
        <w:autoSpaceDN/>
        <w:bidi w:val="0"/>
        <w:adjustRightInd/>
        <w:spacing w:line="400" w:lineRule="exact"/>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5.5中标结果</w:t>
      </w:r>
      <w:r>
        <w:rPr>
          <w:rFonts w:hint="eastAsia" w:ascii="宋体" w:hAnsi="宋体" w:eastAsia="宋体" w:cs="宋体"/>
          <w:color w:val="auto"/>
          <w:sz w:val="21"/>
          <w:szCs w:val="21"/>
          <w:highlight w:val="none"/>
        </w:rPr>
        <w:tab/>
      </w:r>
    </w:p>
    <w:p w14:paraId="1EE7A400">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14:paraId="42A158C1">
      <w:pPr>
        <w:pStyle w:val="4"/>
        <w:pageBreakBefore w:val="0"/>
        <w:numPr>
          <w:ilvl w:val="1"/>
          <w:numId w:val="0"/>
        </w:numPr>
        <w:kinsoku/>
        <w:wordWrap/>
        <w:overflowPunct/>
        <w:topLinePunct w:val="0"/>
        <w:autoSpaceDE/>
        <w:autoSpaceDN/>
        <w:bidi w:val="0"/>
        <w:adjustRightInd/>
        <w:spacing w:before="0" w:after="0" w:line="400" w:lineRule="exac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6、特别声明：价格是评标的重要因素之一，但最低价不是中标的唯一依据。</w:t>
      </w:r>
    </w:p>
    <w:p w14:paraId="1EEE4E9A">
      <w:pPr>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highlight w:val="none"/>
        </w:rPr>
      </w:pPr>
      <w:bookmarkStart w:id="132" w:name="_Toc530378533"/>
      <w:r>
        <w:rPr>
          <w:rFonts w:hint="eastAsia" w:ascii="宋体" w:hAnsi="宋体" w:eastAsia="宋体" w:cs="宋体"/>
          <w:b/>
          <w:bCs/>
          <w:color w:val="auto"/>
          <w:sz w:val="21"/>
          <w:szCs w:val="21"/>
          <w:highlight w:val="none"/>
        </w:rPr>
        <w:t>7.评分标准</w:t>
      </w:r>
    </w:p>
    <w:p w14:paraId="666ADE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bCs/>
          <w:color w:val="auto"/>
          <w:sz w:val="24"/>
          <w:highlight w:val="none"/>
        </w:rPr>
        <w:t>评分标准（兼评委打分表）</w:t>
      </w:r>
    </w:p>
    <w:tbl>
      <w:tblPr>
        <w:tblStyle w:val="49"/>
        <w:tblW w:w="10002"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860"/>
        <w:gridCol w:w="5156"/>
        <w:gridCol w:w="710"/>
        <w:gridCol w:w="1210"/>
      </w:tblGrid>
      <w:tr w14:paraId="092A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tcBorders>
              <w:top w:val="single" w:color="auto" w:sz="4" w:space="0"/>
              <w:left w:val="single" w:color="auto" w:sz="4" w:space="0"/>
              <w:bottom w:val="single" w:color="auto" w:sz="4" w:space="0"/>
            </w:tcBorders>
            <w:vAlign w:val="center"/>
          </w:tcPr>
          <w:p w14:paraId="2B890F80">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序号</w:t>
            </w:r>
          </w:p>
        </w:tc>
        <w:tc>
          <w:tcPr>
            <w:tcW w:w="7016" w:type="dxa"/>
            <w:gridSpan w:val="2"/>
            <w:tcBorders>
              <w:top w:val="single" w:color="auto" w:sz="4" w:space="0"/>
              <w:bottom w:val="single" w:color="auto" w:sz="4" w:space="0"/>
            </w:tcBorders>
            <w:vAlign w:val="center"/>
          </w:tcPr>
          <w:p w14:paraId="1D2EB91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评标标准</w:t>
            </w:r>
          </w:p>
        </w:tc>
        <w:tc>
          <w:tcPr>
            <w:tcW w:w="710" w:type="dxa"/>
            <w:tcBorders>
              <w:top w:val="single" w:color="auto" w:sz="4" w:space="0"/>
              <w:bottom w:val="single" w:color="auto" w:sz="4" w:space="0"/>
            </w:tcBorders>
            <w:vAlign w:val="center"/>
          </w:tcPr>
          <w:p w14:paraId="41BC3FC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分值 </w:t>
            </w:r>
          </w:p>
        </w:tc>
        <w:tc>
          <w:tcPr>
            <w:tcW w:w="1210" w:type="dxa"/>
            <w:tcBorders>
              <w:top w:val="single" w:color="auto" w:sz="4" w:space="0"/>
              <w:left w:val="single" w:color="auto" w:sz="4" w:space="0"/>
              <w:bottom w:val="single" w:color="auto" w:sz="4" w:space="0"/>
              <w:right w:val="single" w:color="auto" w:sz="4" w:space="0"/>
            </w:tcBorders>
            <w:vAlign w:val="center"/>
          </w:tcPr>
          <w:p w14:paraId="68213CEC">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26B3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vMerge w:val="restart"/>
            <w:tcBorders>
              <w:top w:val="single" w:color="auto" w:sz="4" w:space="0"/>
              <w:left w:val="single" w:color="auto" w:sz="4" w:space="0"/>
            </w:tcBorders>
            <w:vAlign w:val="center"/>
          </w:tcPr>
          <w:p w14:paraId="383E425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88</w:t>
            </w:r>
            <w:r>
              <w:rPr>
                <w:rFonts w:hint="eastAsia" w:ascii="宋体" w:hAnsi="宋体" w:eastAsia="宋体" w:cs="宋体"/>
                <w:b/>
                <w:bCs/>
                <w:color w:val="auto"/>
                <w:sz w:val="21"/>
                <w:szCs w:val="21"/>
                <w:highlight w:val="none"/>
              </w:rPr>
              <w:t>分</w:t>
            </w:r>
          </w:p>
        </w:tc>
        <w:tc>
          <w:tcPr>
            <w:tcW w:w="7016" w:type="dxa"/>
            <w:gridSpan w:val="2"/>
            <w:tcBorders>
              <w:top w:val="single" w:color="auto" w:sz="4" w:space="0"/>
              <w:bottom w:val="single" w:color="auto" w:sz="4" w:space="0"/>
            </w:tcBorders>
            <w:vAlign w:val="center"/>
          </w:tcPr>
          <w:p w14:paraId="5BE84BF8">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bookmarkStart w:id="133" w:name="OLE_LINK38"/>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清单技术</w:t>
            </w:r>
            <w:r>
              <w:rPr>
                <w:rFonts w:hint="eastAsia" w:ascii="宋体" w:hAnsi="宋体" w:eastAsia="宋体" w:cs="宋体"/>
                <w:b/>
                <w:bCs/>
                <w:color w:val="auto"/>
                <w:kern w:val="0"/>
                <w:sz w:val="21"/>
                <w:szCs w:val="21"/>
                <w:highlight w:val="none"/>
              </w:rPr>
              <w:t>参数响应程度</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由评委根据供应商对采购文件中的“采购需求”中“需求清单”的投标响应</w:t>
            </w:r>
            <w:r>
              <w:rPr>
                <w:rFonts w:hint="eastAsia" w:ascii="宋体" w:hAnsi="宋体" w:eastAsia="宋体" w:cs="宋体"/>
                <w:b/>
                <w:bCs/>
                <w:color w:val="auto"/>
                <w:kern w:val="0"/>
                <w:sz w:val="21"/>
                <w:szCs w:val="21"/>
                <w:highlight w:val="none"/>
                <w:lang w:val="en-US" w:eastAsia="zh-CN"/>
              </w:rPr>
              <w:t>情况</w:t>
            </w:r>
            <w:r>
              <w:rPr>
                <w:rFonts w:hint="eastAsia" w:ascii="宋体" w:hAnsi="宋体" w:eastAsia="宋体" w:cs="宋体"/>
                <w:b/>
                <w:bCs/>
                <w:color w:val="auto"/>
                <w:kern w:val="0"/>
                <w:sz w:val="21"/>
                <w:szCs w:val="21"/>
                <w:highlight w:val="none"/>
              </w:rPr>
              <w:t>进行评议，任何一条带“</w:t>
            </w:r>
            <w:bookmarkStart w:id="134" w:name="OLE_LINK43"/>
            <w:r>
              <w:rPr>
                <w:rFonts w:hint="eastAsia" w:ascii="宋体" w:hAnsi="宋体" w:eastAsia="宋体" w:cs="宋体"/>
                <w:b/>
                <w:bCs/>
                <w:color w:val="auto"/>
                <w:kern w:val="0"/>
                <w:sz w:val="21"/>
                <w:szCs w:val="21"/>
                <w:highlight w:val="none"/>
              </w:rPr>
              <w:t>★</w:t>
            </w:r>
            <w:bookmarkEnd w:id="134"/>
            <w:r>
              <w:rPr>
                <w:rFonts w:hint="eastAsia" w:ascii="宋体" w:hAnsi="宋体" w:eastAsia="宋体" w:cs="宋体"/>
                <w:b/>
                <w:bCs/>
                <w:color w:val="auto"/>
                <w:kern w:val="0"/>
                <w:sz w:val="21"/>
                <w:szCs w:val="21"/>
                <w:highlight w:val="none"/>
              </w:rPr>
              <w:t>”的参数内容未响应或负偏离的，作无效标处理；</w:t>
            </w:r>
            <w:r>
              <w:rPr>
                <w:rFonts w:hint="eastAsia" w:ascii="宋体" w:hAnsi="宋体" w:eastAsia="宋体" w:cs="宋体"/>
                <w:b/>
                <w:bCs/>
                <w:color w:val="auto"/>
                <w:kern w:val="0"/>
                <w:sz w:val="21"/>
                <w:szCs w:val="21"/>
                <w:highlight w:val="none"/>
                <w:lang w:val="en-US" w:eastAsia="zh-CN"/>
              </w:rPr>
              <w:t>标</w:t>
            </w:r>
            <w:r>
              <w:rPr>
                <w:rFonts w:hint="eastAsia" w:ascii="宋体" w:hAnsi="宋体" w:eastAsia="宋体" w:cs="宋体"/>
                <w:b/>
                <w:bCs/>
                <w:color w:val="auto"/>
                <w:kern w:val="0"/>
                <w:sz w:val="21"/>
                <w:szCs w:val="21"/>
                <w:highlight w:val="none"/>
              </w:rPr>
              <w:t>“</w:t>
            </w:r>
            <w:bookmarkStart w:id="135" w:name="OLE_LINK41"/>
            <w:r>
              <w:rPr>
                <w:rFonts w:hint="eastAsia" w:ascii="宋体" w:hAnsi="宋体" w:eastAsia="宋体" w:cs="宋体"/>
                <w:b/>
                <w:bCs/>
                <w:color w:val="auto"/>
                <w:kern w:val="0"/>
                <w:sz w:val="21"/>
                <w:szCs w:val="21"/>
                <w:highlight w:val="none"/>
              </w:rPr>
              <w:t>▲</w:t>
            </w:r>
            <w:bookmarkEnd w:id="135"/>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val="en-US" w:eastAsia="zh-CN"/>
              </w:rPr>
              <w:t>为重要指标及参数，每有一条</w:t>
            </w:r>
            <w:r>
              <w:rPr>
                <w:rFonts w:hint="eastAsia" w:ascii="宋体" w:hAnsi="宋体" w:eastAsia="宋体" w:cs="宋体"/>
                <w:b/>
                <w:bCs/>
                <w:color w:val="auto"/>
                <w:kern w:val="0"/>
                <w:sz w:val="21"/>
                <w:szCs w:val="21"/>
                <w:highlight w:val="none"/>
              </w:rPr>
              <w:t>负偏离的，扣1分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sz w:val="21"/>
                <w:szCs w:val="21"/>
                <w:highlight w:val="none"/>
                <w:u w:color="000000"/>
                <w:lang w:val="zh-TW" w:eastAsia="zh-TW"/>
              </w:rPr>
              <w:t>未标有“</w:t>
            </w:r>
            <w:r>
              <w:rPr>
                <w:rFonts w:hint="eastAsia" w:ascii="宋体" w:hAnsi="宋体" w:eastAsia="宋体" w:cs="宋体"/>
                <w:b/>
                <w:bCs/>
                <w:color w:val="auto"/>
                <w:sz w:val="21"/>
                <w:szCs w:val="21"/>
                <w:highlight w:val="none"/>
                <w:u w:color="000000"/>
              </w:rPr>
              <w:t>▲</w:t>
            </w:r>
            <w:r>
              <w:rPr>
                <w:rFonts w:hint="eastAsia" w:ascii="宋体" w:hAnsi="宋体" w:eastAsia="宋体" w:cs="宋体"/>
                <w:b/>
                <w:bCs/>
                <w:color w:val="auto"/>
                <w:sz w:val="21"/>
                <w:szCs w:val="21"/>
                <w:highlight w:val="none"/>
                <w:u w:color="000000"/>
                <w:lang w:val="zh-TW" w:eastAsia="zh-TW"/>
              </w:rPr>
              <w:t>”的技术参数</w:t>
            </w:r>
            <w:r>
              <w:rPr>
                <w:rFonts w:hint="eastAsia" w:ascii="宋体" w:hAnsi="宋体" w:eastAsia="宋体" w:cs="宋体"/>
                <w:b/>
                <w:bCs/>
                <w:color w:val="auto"/>
                <w:sz w:val="21"/>
                <w:szCs w:val="21"/>
                <w:highlight w:val="none"/>
                <w:u w:color="000000"/>
                <w:lang w:val="en-US" w:eastAsia="zh-CN"/>
              </w:rPr>
              <w:t>为一般指标，</w:t>
            </w:r>
            <w:r>
              <w:rPr>
                <w:rFonts w:hint="eastAsia" w:ascii="宋体" w:hAnsi="宋体" w:eastAsia="宋体" w:cs="宋体"/>
                <w:b/>
                <w:bCs/>
                <w:color w:val="auto"/>
                <w:sz w:val="21"/>
                <w:szCs w:val="21"/>
                <w:highlight w:val="none"/>
                <w:u w:color="000000"/>
                <w:lang w:val="zh-TW" w:eastAsia="zh-TW"/>
              </w:rPr>
              <w:t>每负偏离1条扣</w:t>
            </w:r>
            <w:r>
              <w:rPr>
                <w:rFonts w:hint="eastAsia" w:ascii="宋体" w:hAnsi="宋体" w:eastAsia="宋体" w:cs="宋体"/>
                <w:b/>
                <w:bCs/>
                <w:color w:val="auto"/>
                <w:sz w:val="21"/>
                <w:szCs w:val="21"/>
                <w:highlight w:val="none"/>
                <w:u w:color="000000"/>
                <w:lang w:val="en-US" w:eastAsia="zh-CN"/>
              </w:rPr>
              <w:t>0.5</w:t>
            </w:r>
            <w:r>
              <w:rPr>
                <w:rFonts w:hint="eastAsia" w:ascii="宋体" w:hAnsi="宋体" w:eastAsia="宋体" w:cs="宋体"/>
                <w:b/>
                <w:bCs/>
                <w:color w:val="auto"/>
                <w:sz w:val="21"/>
                <w:szCs w:val="21"/>
                <w:highlight w:val="none"/>
                <w:u w:color="000000"/>
                <w:lang w:val="zh-TW" w:eastAsia="zh-TW"/>
              </w:rPr>
              <w:t>分，扣完为止</w:t>
            </w:r>
            <w:r>
              <w:rPr>
                <w:rFonts w:hint="eastAsia" w:ascii="宋体" w:hAnsi="宋体" w:eastAsia="宋体" w:cs="宋体"/>
                <w:b/>
                <w:bCs/>
                <w:color w:val="auto"/>
                <w:sz w:val="21"/>
                <w:szCs w:val="21"/>
                <w:highlight w:val="none"/>
                <w:u w:color="000000"/>
                <w:lang w:val="zh-TW" w:eastAsia="zh-CN"/>
              </w:rPr>
              <w:t>，</w:t>
            </w:r>
            <w:r>
              <w:rPr>
                <w:rFonts w:hint="eastAsia" w:ascii="宋体" w:hAnsi="宋体" w:eastAsia="宋体" w:cs="宋体"/>
                <w:b/>
                <w:bCs/>
                <w:color w:val="auto"/>
                <w:kern w:val="0"/>
                <w:sz w:val="21"/>
                <w:szCs w:val="21"/>
                <w:highlight w:val="none"/>
              </w:rPr>
              <w:t>满分3</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分。</w:t>
            </w:r>
            <w:bookmarkEnd w:id="133"/>
          </w:p>
        </w:tc>
        <w:tc>
          <w:tcPr>
            <w:tcW w:w="710" w:type="dxa"/>
            <w:tcBorders>
              <w:top w:val="single" w:color="auto" w:sz="4" w:space="0"/>
              <w:bottom w:val="single" w:color="auto" w:sz="4" w:space="0"/>
            </w:tcBorders>
            <w:vAlign w:val="center"/>
          </w:tcPr>
          <w:p w14:paraId="12C15D5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4</w:t>
            </w:r>
          </w:p>
        </w:tc>
        <w:tc>
          <w:tcPr>
            <w:tcW w:w="1210" w:type="dxa"/>
            <w:tcBorders>
              <w:top w:val="single" w:color="auto" w:sz="4" w:space="0"/>
              <w:left w:val="single" w:color="auto" w:sz="4" w:space="0"/>
              <w:bottom w:val="single" w:color="auto" w:sz="4" w:space="0"/>
              <w:right w:val="single" w:color="auto" w:sz="4" w:space="0"/>
            </w:tcBorders>
            <w:vAlign w:val="center"/>
          </w:tcPr>
          <w:p w14:paraId="43F6C98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客观分</w:t>
            </w:r>
          </w:p>
        </w:tc>
      </w:tr>
      <w:tr w14:paraId="0A6F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66" w:type="dxa"/>
            <w:vMerge w:val="continue"/>
            <w:tcBorders>
              <w:left w:val="single" w:color="auto" w:sz="4" w:space="0"/>
            </w:tcBorders>
            <w:vAlign w:val="center"/>
          </w:tcPr>
          <w:p w14:paraId="767A27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1860" w:type="dxa"/>
            <w:vMerge w:val="restart"/>
            <w:tcBorders>
              <w:top w:val="single" w:color="auto" w:sz="4" w:space="0"/>
              <w:bottom w:val="single" w:color="auto" w:sz="4" w:space="0"/>
            </w:tcBorders>
            <w:vAlign w:val="center"/>
          </w:tcPr>
          <w:p w14:paraId="052FDE5C">
            <w:pPr>
              <w:keepNext w:val="0"/>
              <w:keepLines w:val="0"/>
              <w:pageBreakBefore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项目理解及重难点分析</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根据投标人对项目理解及重难点分析情况进行</w:t>
            </w:r>
            <w:r>
              <w:rPr>
                <w:rFonts w:hint="eastAsia" w:ascii="宋体" w:hAnsi="宋体" w:eastAsia="宋体" w:cs="宋体"/>
                <w:b/>
                <w:bCs/>
                <w:color w:val="auto"/>
                <w:kern w:val="0"/>
                <w:sz w:val="21"/>
                <w:szCs w:val="21"/>
                <w:highlight w:val="none"/>
                <w:lang w:val="en-US" w:eastAsia="zh-CN"/>
              </w:rPr>
              <w:t>综合</w:t>
            </w:r>
            <w:r>
              <w:rPr>
                <w:rFonts w:hint="eastAsia" w:ascii="宋体" w:hAnsi="宋体" w:eastAsia="宋体" w:cs="宋体"/>
                <w:b/>
                <w:bCs/>
                <w:color w:val="auto"/>
                <w:kern w:val="0"/>
                <w:sz w:val="21"/>
                <w:szCs w:val="21"/>
                <w:highlight w:val="none"/>
              </w:rPr>
              <w:t>评议</w:t>
            </w:r>
          </w:p>
          <w:p w14:paraId="4A780516">
            <w:pPr>
              <w:keepNext w:val="0"/>
              <w:keepLines w:val="0"/>
              <w:pageBreakBefore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12分）</w:t>
            </w:r>
          </w:p>
        </w:tc>
        <w:tc>
          <w:tcPr>
            <w:tcW w:w="5156" w:type="dxa"/>
            <w:tcBorders>
              <w:top w:val="single" w:color="auto" w:sz="4" w:space="0"/>
              <w:bottom w:val="single" w:color="auto" w:sz="4" w:space="0"/>
            </w:tcBorders>
            <w:vAlign w:val="center"/>
          </w:tcPr>
          <w:p w14:paraId="6DB58539">
            <w:pPr>
              <w:keepNext w:val="0"/>
              <w:keepLines w:val="0"/>
              <w:pageBreakBefore w:val="0"/>
              <w:widowControl w:val="0"/>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根据投标人提供针对本项目的</w:t>
            </w:r>
            <w:r>
              <w:rPr>
                <w:rFonts w:hint="eastAsia" w:ascii="宋体" w:hAnsi="宋体" w:eastAsia="宋体" w:cs="宋体"/>
                <w:b/>
                <w:bCs/>
                <w:color w:val="auto"/>
                <w:kern w:val="0"/>
                <w:sz w:val="21"/>
                <w:szCs w:val="21"/>
                <w:highlight w:val="none"/>
              </w:rPr>
              <w:t>背景和意义的理解充分性</w:t>
            </w:r>
            <w:r>
              <w:rPr>
                <w:rFonts w:hint="eastAsia" w:ascii="宋体" w:hAnsi="宋体" w:eastAsia="宋体" w:cs="宋体"/>
                <w:b/>
                <w:bCs/>
                <w:color w:val="auto"/>
                <w:kern w:val="0"/>
                <w:sz w:val="21"/>
                <w:szCs w:val="21"/>
                <w:highlight w:val="none"/>
                <w:lang w:val="en-US" w:eastAsia="zh-CN"/>
              </w:rPr>
              <w:t>等进行综合评审</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本项最高</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6FDB0E75">
            <w:pPr>
              <w:keepNext w:val="0"/>
              <w:keepLines w:val="0"/>
              <w:pageBreakBefore w:val="0"/>
              <w:widowControl w:val="0"/>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Cs w:val="21"/>
                <w:highlight w:val="none"/>
                <w:lang w:val="en-US" w:eastAsia="zh-CN"/>
              </w:rPr>
              <w:t>评标委员会根据投标人</w:t>
            </w:r>
            <w:r>
              <w:rPr>
                <w:rFonts w:hint="eastAsia" w:ascii="宋体" w:hAnsi="宋体" w:eastAsia="宋体" w:cs="宋体"/>
                <w:b/>
                <w:bCs/>
                <w:color w:val="auto"/>
                <w:kern w:val="0"/>
                <w:szCs w:val="21"/>
                <w:highlight w:val="none"/>
              </w:rPr>
              <w:t>对项目</w:t>
            </w:r>
            <w:r>
              <w:rPr>
                <w:rFonts w:hint="eastAsia" w:ascii="宋体" w:hAnsi="宋体" w:eastAsia="宋体" w:cs="宋体"/>
                <w:b/>
                <w:bCs/>
                <w:color w:val="auto"/>
                <w:kern w:val="0"/>
                <w:sz w:val="21"/>
                <w:szCs w:val="21"/>
                <w:highlight w:val="none"/>
              </w:rPr>
              <w:t>背景和意义的</w:t>
            </w:r>
            <w:r>
              <w:rPr>
                <w:rFonts w:hint="eastAsia" w:ascii="宋体" w:hAnsi="宋体" w:eastAsia="宋体" w:cs="宋体"/>
                <w:b/>
                <w:bCs/>
                <w:color w:val="auto"/>
                <w:kern w:val="0"/>
                <w:szCs w:val="21"/>
                <w:highlight w:val="none"/>
              </w:rPr>
              <w:t>了解熟悉程度透彻，理解及分析情况准确全面，科学合理，吻合度</w:t>
            </w:r>
            <w:r>
              <w:rPr>
                <w:rFonts w:hint="eastAsia" w:ascii="宋体" w:hAnsi="宋体" w:eastAsia="宋体" w:cs="宋体"/>
                <w:b/>
                <w:bCs/>
                <w:color w:val="auto"/>
                <w:kern w:val="0"/>
                <w:szCs w:val="21"/>
                <w:highlight w:val="none"/>
                <w:lang w:val="en-US" w:eastAsia="zh-CN"/>
              </w:rPr>
              <w:t>高</w:t>
            </w:r>
            <w:r>
              <w:rPr>
                <w:rFonts w:hint="eastAsia" w:ascii="宋体" w:hAnsi="宋体" w:eastAsia="宋体" w:cs="宋体"/>
                <w:b/>
                <w:bCs/>
                <w:color w:val="auto"/>
                <w:kern w:val="0"/>
                <w:szCs w:val="21"/>
                <w:highlight w:val="none"/>
              </w:rPr>
              <w:t>，针对性强的，得</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6.0</w:t>
            </w:r>
            <w:r>
              <w:rPr>
                <w:rFonts w:hint="eastAsia" w:ascii="宋体" w:hAnsi="宋体" w:eastAsia="宋体" w:cs="宋体"/>
                <w:b/>
                <w:bCs/>
                <w:color w:val="auto"/>
                <w:kern w:val="0"/>
                <w:szCs w:val="21"/>
                <w:highlight w:val="none"/>
              </w:rPr>
              <w:t>分；对项目需求了解熟悉程度，理解及分析情况，科学合理，吻合，针对性一般的，得3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rPr>
              <w:t>分；对项目需求理解度不够透彻，逻辑</w:t>
            </w:r>
            <w:r>
              <w:rPr>
                <w:rFonts w:hint="eastAsia" w:ascii="宋体" w:hAnsi="宋体" w:eastAsia="宋体" w:cs="宋体"/>
                <w:b/>
                <w:bCs/>
                <w:color w:val="auto"/>
                <w:kern w:val="0"/>
                <w:szCs w:val="21"/>
                <w:highlight w:val="none"/>
                <w:lang w:val="en-US" w:eastAsia="zh-CN"/>
              </w:rPr>
              <w:t>性</w:t>
            </w:r>
            <w:r>
              <w:rPr>
                <w:rFonts w:hint="eastAsia" w:ascii="宋体" w:hAnsi="宋体" w:eastAsia="宋体" w:cs="宋体"/>
                <w:b/>
                <w:bCs/>
                <w:color w:val="auto"/>
                <w:kern w:val="0"/>
                <w:szCs w:val="21"/>
                <w:highlight w:val="none"/>
              </w:rPr>
              <w:t>差，无吻合度，无针对性的，</w:t>
            </w:r>
            <w:r>
              <w:rPr>
                <w:rFonts w:hint="eastAsia" w:ascii="宋体" w:hAnsi="宋体" w:eastAsia="宋体" w:cs="宋体"/>
                <w:b/>
                <w:bCs/>
                <w:color w:val="auto"/>
                <w:szCs w:val="21"/>
                <w:highlight w:val="none"/>
              </w:rPr>
              <w:t>有明显漏洞或不合理的，</w:t>
            </w:r>
            <w:r>
              <w:rPr>
                <w:rFonts w:hint="eastAsia" w:ascii="宋体" w:hAnsi="宋体" w:eastAsia="宋体" w:cs="宋体"/>
                <w:b/>
                <w:bCs/>
                <w:color w:val="auto"/>
                <w:kern w:val="0"/>
                <w:szCs w:val="21"/>
                <w:highlight w:val="none"/>
              </w:rPr>
              <w:t>得0</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分。</w:t>
            </w:r>
            <w:r>
              <w:rPr>
                <w:rFonts w:hint="eastAsia" w:ascii="宋体" w:hAnsi="宋体" w:eastAsia="宋体" w:cs="宋体"/>
                <w:b/>
                <w:bCs/>
                <w:color w:val="auto"/>
                <w:kern w:val="0"/>
                <w:szCs w:val="21"/>
                <w:highlight w:val="none"/>
                <w:lang w:val="en-US" w:eastAsia="zh-CN"/>
              </w:rPr>
              <w:t>无内容不得分。</w:t>
            </w:r>
          </w:p>
        </w:tc>
        <w:tc>
          <w:tcPr>
            <w:tcW w:w="710" w:type="dxa"/>
            <w:tcBorders>
              <w:top w:val="single" w:color="auto" w:sz="4" w:space="0"/>
              <w:bottom w:val="single" w:color="auto" w:sz="4" w:space="0"/>
            </w:tcBorders>
            <w:vAlign w:val="center"/>
          </w:tcPr>
          <w:p w14:paraId="5C18544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210" w:type="dxa"/>
            <w:tcBorders>
              <w:top w:val="single" w:color="auto" w:sz="4" w:space="0"/>
              <w:left w:val="single" w:color="auto" w:sz="4" w:space="0"/>
              <w:bottom w:val="single" w:color="auto" w:sz="4" w:space="0"/>
              <w:right w:val="single" w:color="auto" w:sz="4" w:space="0"/>
            </w:tcBorders>
            <w:vAlign w:val="center"/>
          </w:tcPr>
          <w:p w14:paraId="7321954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4F01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66" w:type="dxa"/>
            <w:vMerge w:val="continue"/>
            <w:tcBorders>
              <w:left w:val="single" w:color="auto" w:sz="4" w:space="0"/>
            </w:tcBorders>
            <w:vAlign w:val="center"/>
          </w:tcPr>
          <w:p w14:paraId="1912E3D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p>
        </w:tc>
        <w:tc>
          <w:tcPr>
            <w:tcW w:w="1860" w:type="dxa"/>
            <w:vMerge w:val="continue"/>
            <w:tcBorders>
              <w:top w:val="single" w:color="auto" w:sz="4" w:space="0"/>
              <w:bottom w:val="single" w:color="auto" w:sz="4" w:space="0"/>
            </w:tcBorders>
            <w:vAlign w:val="center"/>
          </w:tcPr>
          <w:p w14:paraId="5C18F8E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p>
        </w:tc>
        <w:tc>
          <w:tcPr>
            <w:tcW w:w="5156" w:type="dxa"/>
            <w:tcBorders>
              <w:top w:val="single" w:color="auto" w:sz="4" w:space="0"/>
              <w:bottom w:val="single" w:color="auto" w:sz="4" w:space="0"/>
            </w:tcBorders>
            <w:vAlign w:val="center"/>
          </w:tcPr>
          <w:p w14:paraId="68ACF550">
            <w:pPr>
              <w:keepNext w:val="0"/>
              <w:keepLines w:val="0"/>
              <w:pageBreakBefore w:val="0"/>
              <w:kinsoku/>
              <w:wordWrap/>
              <w:overflowPunct/>
              <w:topLinePunct w:val="0"/>
              <w:autoSpaceDE/>
              <w:autoSpaceDN/>
              <w:bidi w:val="0"/>
              <w:adjustRightInd/>
              <w:snapToGrid/>
              <w:spacing w:line="3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2.2评标委员会</w:t>
            </w:r>
            <w:r>
              <w:rPr>
                <w:rFonts w:hint="eastAsia" w:ascii="宋体" w:hAnsi="宋体" w:eastAsia="宋体" w:cs="宋体"/>
                <w:b/>
                <w:bCs/>
                <w:color w:val="auto"/>
                <w:sz w:val="21"/>
                <w:szCs w:val="21"/>
                <w:highlight w:val="none"/>
              </w:rPr>
              <w:t>根据投标人提供针对本项目</w:t>
            </w:r>
            <w:r>
              <w:rPr>
                <w:rFonts w:hint="eastAsia" w:ascii="宋体" w:hAnsi="宋体" w:eastAsia="宋体" w:cs="宋体"/>
                <w:b/>
                <w:bCs/>
                <w:color w:val="auto"/>
                <w:kern w:val="0"/>
                <w:sz w:val="21"/>
                <w:szCs w:val="21"/>
                <w:highlight w:val="none"/>
              </w:rPr>
              <w:t>的目标及重难点分析</w:t>
            </w:r>
            <w:r>
              <w:rPr>
                <w:rFonts w:hint="eastAsia" w:ascii="宋体" w:hAnsi="宋体" w:eastAsia="宋体" w:cs="宋体"/>
                <w:b/>
                <w:bCs/>
                <w:color w:val="auto"/>
                <w:kern w:val="0"/>
                <w:sz w:val="21"/>
                <w:szCs w:val="21"/>
                <w:highlight w:val="none"/>
                <w:lang w:val="en-US" w:eastAsia="zh-CN"/>
              </w:rPr>
              <w:t>情况及措施进行综合评审</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本项最高</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457E153F">
            <w:pPr>
              <w:keepNext w:val="0"/>
              <w:keepLines w:val="0"/>
              <w:pageBreakBefore w:val="0"/>
              <w:kinsoku/>
              <w:wordWrap/>
              <w:overflowPunct/>
              <w:topLinePunct w:val="0"/>
              <w:autoSpaceDE/>
              <w:autoSpaceDN/>
              <w:bidi w:val="0"/>
              <w:adjustRightInd/>
              <w:snapToGrid/>
              <w:spacing w:line="3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评标委员会根据针对本项目的目标及重</w:t>
            </w:r>
            <w:r>
              <w:rPr>
                <w:rFonts w:hint="eastAsia" w:ascii="宋体" w:hAnsi="宋体" w:eastAsia="宋体" w:cs="宋体"/>
                <w:b/>
                <w:bCs/>
                <w:color w:val="auto"/>
                <w:kern w:val="0"/>
                <w:sz w:val="21"/>
                <w:szCs w:val="21"/>
                <w:highlight w:val="none"/>
              </w:rPr>
              <w:t>难点分析</w:t>
            </w:r>
            <w:r>
              <w:rPr>
                <w:rFonts w:hint="eastAsia" w:ascii="宋体" w:hAnsi="宋体" w:eastAsia="宋体" w:cs="宋体"/>
                <w:b/>
                <w:bCs/>
                <w:color w:val="auto"/>
                <w:kern w:val="0"/>
                <w:sz w:val="21"/>
                <w:szCs w:val="21"/>
                <w:highlight w:val="none"/>
                <w:lang w:val="en-US" w:eastAsia="zh-CN"/>
              </w:rPr>
              <w:t>及措施等</w:t>
            </w:r>
            <w:r>
              <w:rPr>
                <w:rFonts w:hint="eastAsia" w:ascii="宋体" w:hAnsi="宋体" w:eastAsia="宋体" w:cs="宋体"/>
                <w:b/>
                <w:bCs/>
                <w:color w:val="auto"/>
                <w:szCs w:val="21"/>
                <w:highlight w:val="none"/>
              </w:rPr>
              <w:t>内容</w:t>
            </w:r>
            <w:r>
              <w:rPr>
                <w:rFonts w:hint="eastAsia" w:ascii="宋体" w:hAnsi="宋体" w:eastAsia="宋体" w:cs="宋体"/>
                <w:b/>
                <w:bCs/>
                <w:color w:val="auto"/>
                <w:szCs w:val="21"/>
                <w:highlight w:val="none"/>
                <w:lang w:val="en-US" w:eastAsia="zh-CN"/>
              </w:rPr>
              <w:t>进行综合评审，内容</w:t>
            </w:r>
            <w:r>
              <w:rPr>
                <w:rFonts w:hint="eastAsia" w:ascii="宋体" w:hAnsi="宋体" w:eastAsia="宋体" w:cs="宋体"/>
                <w:b/>
                <w:bCs/>
                <w:color w:val="auto"/>
                <w:szCs w:val="21"/>
                <w:highlight w:val="none"/>
              </w:rPr>
              <w:t>全面合理，</w:t>
            </w:r>
            <w:r>
              <w:rPr>
                <w:rFonts w:hint="eastAsia" w:ascii="宋体" w:hAnsi="宋体" w:eastAsia="宋体" w:cs="宋体"/>
                <w:b/>
                <w:bCs/>
                <w:color w:val="auto"/>
                <w:szCs w:val="21"/>
                <w:highlight w:val="none"/>
                <w:lang w:val="en-US" w:eastAsia="zh-CN"/>
              </w:rPr>
              <w:t>针对性强、</w:t>
            </w:r>
            <w:r>
              <w:rPr>
                <w:rFonts w:hint="eastAsia" w:ascii="宋体" w:hAnsi="宋体" w:eastAsia="宋体" w:cs="宋体"/>
                <w:b/>
                <w:bCs/>
                <w:color w:val="auto"/>
                <w:szCs w:val="21"/>
                <w:highlight w:val="none"/>
              </w:rPr>
              <w:t>完全符合项目实施需求的得</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.0分；</w:t>
            </w:r>
            <w:r>
              <w:rPr>
                <w:rFonts w:hint="eastAsia" w:ascii="宋体" w:hAnsi="宋体" w:eastAsia="宋体" w:cs="宋体"/>
                <w:b/>
                <w:bCs/>
                <w:color w:val="auto"/>
                <w:spacing w:val="-10"/>
                <w:szCs w:val="21"/>
                <w:highlight w:val="none"/>
              </w:rPr>
              <w:t>内容</w:t>
            </w:r>
            <w:r>
              <w:rPr>
                <w:rFonts w:hint="eastAsia" w:ascii="宋体" w:hAnsi="宋体" w:eastAsia="宋体" w:cs="宋体"/>
                <w:b/>
                <w:bCs/>
                <w:color w:val="auto"/>
                <w:szCs w:val="21"/>
                <w:highlight w:val="none"/>
              </w:rPr>
              <w:t>基本合理，存在一定欠缺，但基本符合项目实施需求的得</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分；</w:t>
            </w:r>
            <w:r>
              <w:rPr>
                <w:rFonts w:hint="eastAsia" w:ascii="宋体" w:hAnsi="宋体" w:eastAsia="宋体" w:cs="宋体"/>
                <w:b/>
                <w:bCs/>
                <w:color w:val="auto"/>
                <w:spacing w:val="-10"/>
                <w:szCs w:val="21"/>
                <w:highlight w:val="none"/>
              </w:rPr>
              <w:t>内容</w:t>
            </w:r>
            <w:r>
              <w:rPr>
                <w:rFonts w:hint="eastAsia" w:ascii="宋体" w:hAnsi="宋体" w:eastAsia="宋体" w:cs="宋体"/>
                <w:b/>
                <w:bCs/>
                <w:color w:val="auto"/>
                <w:szCs w:val="21"/>
                <w:highlight w:val="none"/>
              </w:rPr>
              <w:t>片面或内容缺失，仅能部分满足项目实施需求的得0.1-</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.0分。无内容不得分。</w:t>
            </w:r>
          </w:p>
        </w:tc>
        <w:tc>
          <w:tcPr>
            <w:tcW w:w="710" w:type="dxa"/>
            <w:tcBorders>
              <w:top w:val="single" w:color="auto" w:sz="4" w:space="0"/>
              <w:bottom w:val="single" w:color="auto" w:sz="4" w:space="0"/>
            </w:tcBorders>
            <w:vAlign w:val="center"/>
          </w:tcPr>
          <w:p w14:paraId="5BC51ED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210" w:type="dxa"/>
            <w:tcBorders>
              <w:top w:val="single" w:color="auto" w:sz="4" w:space="0"/>
              <w:left w:val="single" w:color="auto" w:sz="4" w:space="0"/>
              <w:bottom w:val="single" w:color="auto" w:sz="4" w:space="0"/>
              <w:right w:val="single" w:color="auto" w:sz="4" w:space="0"/>
            </w:tcBorders>
            <w:vAlign w:val="center"/>
          </w:tcPr>
          <w:p w14:paraId="072C145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50B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66" w:type="dxa"/>
            <w:vMerge w:val="continue"/>
            <w:tcBorders>
              <w:left w:val="single" w:color="auto" w:sz="4" w:space="0"/>
            </w:tcBorders>
            <w:vAlign w:val="center"/>
          </w:tcPr>
          <w:p w14:paraId="4ADC0C7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p>
        </w:tc>
        <w:tc>
          <w:tcPr>
            <w:tcW w:w="1860" w:type="dxa"/>
            <w:vMerge w:val="restart"/>
            <w:tcBorders>
              <w:top w:val="single" w:color="auto" w:sz="4" w:space="0"/>
              <w:bottom w:val="single" w:color="auto" w:sz="4" w:space="0"/>
            </w:tcBorders>
            <w:vAlign w:val="center"/>
          </w:tcPr>
          <w:p w14:paraId="267AC96D">
            <w:pPr>
              <w:keepNext w:val="0"/>
              <w:keepLines w:val="0"/>
              <w:pageBreakBefore w:val="0"/>
              <w:numPr>
                <w:ilvl w:val="0"/>
                <w:numId w:val="0"/>
              </w:numPr>
              <w:kinsoku/>
              <w:wordWrap/>
              <w:overflowPunct/>
              <w:topLinePunct w:val="0"/>
              <w:autoSpaceDE/>
              <w:autoSpaceDN/>
              <w:bidi w:val="0"/>
              <w:adjustRightInd/>
              <w:snapToGrid/>
              <w:spacing w:line="340" w:lineRule="exact"/>
              <w:ind w:lef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维护服务方案</w:t>
            </w:r>
          </w:p>
          <w:p w14:paraId="68372268">
            <w:pPr>
              <w:pStyle w:val="67"/>
              <w:keepNext w:val="0"/>
              <w:keepLines w:val="0"/>
              <w:pageBreakBefore w:val="0"/>
              <w:numPr>
                <w:ilvl w:val="0"/>
                <w:numId w:val="0"/>
              </w:numPr>
              <w:kinsoku/>
              <w:wordWrap/>
              <w:overflowPunct/>
              <w:topLinePunct w:val="0"/>
              <w:autoSpaceDE/>
              <w:autoSpaceDN/>
              <w:bidi w:val="0"/>
              <w:adjustRightInd/>
              <w:snapToGrid/>
              <w:spacing w:line="340" w:lineRule="exact"/>
              <w:ind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（12分）</w:t>
            </w:r>
          </w:p>
        </w:tc>
        <w:tc>
          <w:tcPr>
            <w:tcW w:w="5156" w:type="dxa"/>
            <w:tcBorders>
              <w:top w:val="single" w:color="auto" w:sz="4" w:space="0"/>
              <w:bottom w:val="single" w:color="auto" w:sz="4" w:space="0"/>
            </w:tcBorders>
            <w:vAlign w:val="center"/>
          </w:tcPr>
          <w:p w14:paraId="783731B5">
            <w:pPr>
              <w:keepNext w:val="0"/>
              <w:keepLines w:val="0"/>
              <w:pageBreakBefore w:val="0"/>
              <w:widowControl/>
              <w:kinsoku/>
              <w:wordWrap/>
              <w:overflowPunct/>
              <w:topLinePunct w:val="0"/>
              <w:autoSpaceDE/>
              <w:autoSpaceDN/>
              <w:bidi w:val="0"/>
              <w:adjustRightInd/>
              <w:snapToGrid/>
              <w:spacing w:line="3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对本项目</w:t>
            </w:r>
            <w:r>
              <w:rPr>
                <w:rFonts w:hint="eastAsia" w:ascii="宋体" w:hAnsi="宋体" w:eastAsia="宋体" w:cs="宋体"/>
                <w:b/>
                <w:bCs/>
                <w:color w:val="auto"/>
                <w:sz w:val="21"/>
                <w:szCs w:val="21"/>
                <w:highlight w:val="none"/>
                <w:lang w:val="en-US" w:eastAsia="zh-CN"/>
              </w:rPr>
              <w:t>服务期内的</w:t>
            </w:r>
            <w:r>
              <w:rPr>
                <w:rFonts w:hint="eastAsia" w:ascii="宋体" w:hAnsi="宋体" w:eastAsia="宋体" w:cs="宋体"/>
                <w:b/>
                <w:bCs/>
                <w:color w:val="auto"/>
                <w:sz w:val="21"/>
                <w:szCs w:val="21"/>
                <w:highlight w:val="none"/>
              </w:rPr>
              <w:t>维护所涉及的内容的全面性、完整性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可操作性等内容</w:t>
            </w:r>
            <w:r>
              <w:rPr>
                <w:rFonts w:hint="eastAsia" w:ascii="宋体" w:hAnsi="宋体" w:eastAsia="宋体" w:cs="宋体"/>
                <w:b/>
                <w:bCs/>
                <w:color w:val="auto"/>
                <w:sz w:val="21"/>
                <w:szCs w:val="21"/>
                <w:highlight w:val="none"/>
              </w:rPr>
              <w:t>进行综合评</w:t>
            </w:r>
            <w:r>
              <w:rPr>
                <w:rFonts w:hint="eastAsia" w:ascii="宋体" w:hAnsi="宋体" w:eastAsia="宋体" w:cs="宋体"/>
                <w:b/>
                <w:bCs/>
                <w:color w:val="auto"/>
                <w:sz w:val="21"/>
                <w:szCs w:val="21"/>
                <w:highlight w:val="none"/>
                <w:lang w:val="en-US" w:eastAsia="zh-CN"/>
              </w:rPr>
              <w:t>审</w:t>
            </w:r>
            <w:r>
              <w:rPr>
                <w:rFonts w:hint="eastAsia" w:ascii="宋体" w:hAnsi="宋体" w:eastAsia="宋体" w:cs="宋体"/>
                <w:b/>
                <w:bCs/>
                <w:color w:val="auto"/>
                <w:sz w:val="21"/>
                <w:szCs w:val="21"/>
                <w:highlight w:val="none"/>
              </w:rPr>
              <w:t>，最高得</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477712A1">
            <w:pPr>
              <w:keepNext w:val="0"/>
              <w:keepLines w:val="0"/>
              <w:pageBreakBefore w:val="0"/>
              <w:widowControl/>
              <w:kinsoku/>
              <w:wordWrap/>
              <w:overflowPunct/>
              <w:topLinePunct w:val="0"/>
              <w:autoSpaceDE/>
              <w:autoSpaceDN/>
              <w:bidi w:val="0"/>
              <w:adjustRightInd/>
              <w:snapToGrid/>
              <w:spacing w:line="3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投标文件针</w:t>
            </w:r>
            <w:r>
              <w:rPr>
                <w:rFonts w:hint="eastAsia" w:ascii="宋体" w:hAnsi="宋体" w:eastAsia="宋体" w:cs="宋体"/>
                <w:b/>
                <w:bCs/>
                <w:color w:val="auto"/>
                <w:sz w:val="21"/>
                <w:szCs w:val="21"/>
                <w:highlight w:val="none"/>
              </w:rPr>
              <w:t>对本项目</w:t>
            </w:r>
            <w:r>
              <w:rPr>
                <w:rFonts w:hint="eastAsia" w:ascii="宋体" w:hAnsi="宋体" w:eastAsia="宋体" w:cs="宋体"/>
                <w:b/>
                <w:bCs/>
                <w:color w:val="auto"/>
                <w:sz w:val="21"/>
                <w:szCs w:val="21"/>
                <w:highlight w:val="none"/>
                <w:lang w:val="en-US" w:eastAsia="zh-CN"/>
              </w:rPr>
              <w:t>服务期内的</w:t>
            </w:r>
            <w:r>
              <w:rPr>
                <w:rFonts w:hint="eastAsia" w:ascii="宋体" w:hAnsi="宋体" w:eastAsia="宋体" w:cs="宋体"/>
                <w:b/>
                <w:bCs/>
                <w:color w:val="auto"/>
                <w:sz w:val="21"/>
                <w:szCs w:val="21"/>
                <w:highlight w:val="none"/>
              </w:rPr>
              <w:t>维护所涉及的内容</w:t>
            </w:r>
            <w:r>
              <w:rPr>
                <w:rFonts w:hint="eastAsia" w:ascii="宋体" w:hAnsi="宋体" w:eastAsia="宋体" w:cs="宋体"/>
                <w:b/>
                <w:bCs/>
                <w:color w:val="auto"/>
                <w:szCs w:val="21"/>
                <w:highlight w:val="none"/>
              </w:rPr>
              <w:t>与需求较吻合、较全面、可操作性强，完全符合项目实施需求的得</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.0分；</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对本项目</w:t>
            </w:r>
            <w:r>
              <w:rPr>
                <w:rFonts w:hint="eastAsia" w:ascii="宋体" w:hAnsi="宋体" w:eastAsia="宋体" w:cs="宋体"/>
                <w:b/>
                <w:bCs/>
                <w:color w:val="auto"/>
                <w:sz w:val="21"/>
                <w:szCs w:val="21"/>
                <w:highlight w:val="none"/>
                <w:lang w:val="en-US" w:eastAsia="zh-CN"/>
              </w:rPr>
              <w:t>服务期内的</w:t>
            </w:r>
            <w:r>
              <w:rPr>
                <w:rFonts w:hint="eastAsia" w:ascii="宋体" w:hAnsi="宋体" w:eastAsia="宋体" w:cs="宋体"/>
                <w:b/>
                <w:bCs/>
                <w:color w:val="auto"/>
                <w:sz w:val="21"/>
                <w:szCs w:val="21"/>
                <w:highlight w:val="none"/>
              </w:rPr>
              <w:t>维护所涉及的内容</w:t>
            </w:r>
            <w:r>
              <w:rPr>
                <w:rFonts w:hint="eastAsia" w:ascii="宋体" w:hAnsi="宋体" w:eastAsia="宋体" w:cs="宋体"/>
                <w:b/>
                <w:bCs/>
                <w:color w:val="auto"/>
                <w:szCs w:val="21"/>
                <w:highlight w:val="none"/>
              </w:rPr>
              <w:t>与需求的吻合性、全面性、可操作性基本合理，存在一定欠缺，但基本符合项目实施需求的得3.0-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.0分；</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对本项目</w:t>
            </w:r>
            <w:r>
              <w:rPr>
                <w:rFonts w:hint="eastAsia" w:ascii="宋体" w:hAnsi="宋体" w:eastAsia="宋体" w:cs="宋体"/>
                <w:b/>
                <w:bCs/>
                <w:color w:val="auto"/>
                <w:sz w:val="21"/>
                <w:szCs w:val="21"/>
                <w:highlight w:val="none"/>
                <w:lang w:val="en-US" w:eastAsia="zh-CN"/>
              </w:rPr>
              <w:t>服务期内的</w:t>
            </w:r>
            <w:r>
              <w:rPr>
                <w:rFonts w:hint="eastAsia" w:ascii="宋体" w:hAnsi="宋体" w:eastAsia="宋体" w:cs="宋体"/>
                <w:b/>
                <w:bCs/>
                <w:color w:val="auto"/>
                <w:sz w:val="21"/>
                <w:szCs w:val="21"/>
                <w:highlight w:val="none"/>
              </w:rPr>
              <w:t>维护所涉及的</w:t>
            </w:r>
            <w:r>
              <w:rPr>
                <w:rFonts w:hint="eastAsia" w:ascii="宋体" w:hAnsi="宋体" w:eastAsia="宋体" w:cs="宋体"/>
                <w:b/>
                <w:bCs/>
                <w:color w:val="auto"/>
                <w:szCs w:val="21"/>
                <w:highlight w:val="none"/>
              </w:rPr>
              <w:t>内</w:t>
            </w:r>
            <w:r>
              <w:rPr>
                <w:rFonts w:hint="eastAsia" w:ascii="宋体" w:hAnsi="宋体" w:eastAsia="宋体" w:cs="宋体"/>
                <w:b/>
                <w:bCs/>
                <w:color w:val="auto"/>
                <w:spacing w:val="-10"/>
                <w:szCs w:val="21"/>
                <w:highlight w:val="none"/>
              </w:rPr>
              <w:t>容</w:t>
            </w:r>
            <w:r>
              <w:rPr>
                <w:rFonts w:hint="eastAsia" w:ascii="宋体" w:hAnsi="宋体" w:eastAsia="宋体" w:cs="宋体"/>
                <w:b/>
                <w:bCs/>
                <w:color w:val="auto"/>
                <w:szCs w:val="21"/>
                <w:highlight w:val="none"/>
              </w:rPr>
              <w:t>片面或缺失，仅能部分满足项目实施需求，评审为一般或差的，</w:t>
            </w:r>
            <w:r>
              <w:rPr>
                <w:rFonts w:hint="eastAsia" w:ascii="宋体" w:hAnsi="宋体" w:eastAsia="宋体" w:cs="宋体"/>
                <w:b/>
                <w:bCs/>
                <w:color w:val="auto"/>
                <w:kern w:val="0"/>
                <w:szCs w:val="21"/>
                <w:highlight w:val="none"/>
              </w:rPr>
              <w:t>得0.1-3.0分。无内容的不得分。</w:t>
            </w:r>
          </w:p>
        </w:tc>
        <w:tc>
          <w:tcPr>
            <w:tcW w:w="710" w:type="dxa"/>
            <w:tcBorders>
              <w:top w:val="single" w:color="auto" w:sz="4" w:space="0"/>
              <w:bottom w:val="single" w:color="auto" w:sz="4" w:space="0"/>
            </w:tcBorders>
            <w:vAlign w:val="center"/>
          </w:tcPr>
          <w:p w14:paraId="1BEE6F6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210" w:type="dxa"/>
            <w:tcBorders>
              <w:top w:val="single" w:color="auto" w:sz="4" w:space="0"/>
              <w:left w:val="single" w:color="auto" w:sz="4" w:space="0"/>
              <w:bottom w:val="single" w:color="auto" w:sz="4" w:space="0"/>
              <w:right w:val="single" w:color="auto" w:sz="4" w:space="0"/>
            </w:tcBorders>
            <w:vAlign w:val="center"/>
          </w:tcPr>
          <w:p w14:paraId="553F796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4A70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66" w:type="dxa"/>
            <w:vMerge w:val="continue"/>
            <w:tcBorders>
              <w:left w:val="single" w:color="auto" w:sz="4" w:space="0"/>
            </w:tcBorders>
            <w:vAlign w:val="center"/>
          </w:tcPr>
          <w:p w14:paraId="5284066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p>
        </w:tc>
        <w:tc>
          <w:tcPr>
            <w:tcW w:w="1860" w:type="dxa"/>
            <w:vMerge w:val="continue"/>
            <w:tcBorders>
              <w:top w:val="single" w:color="auto" w:sz="4" w:space="0"/>
              <w:bottom w:val="single" w:color="auto" w:sz="4" w:space="0"/>
            </w:tcBorders>
            <w:vAlign w:val="center"/>
          </w:tcPr>
          <w:p w14:paraId="7306670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p>
        </w:tc>
        <w:tc>
          <w:tcPr>
            <w:tcW w:w="5156" w:type="dxa"/>
            <w:tcBorders>
              <w:top w:val="single" w:color="auto" w:sz="4" w:space="0"/>
              <w:bottom w:val="single" w:color="auto" w:sz="4" w:space="0"/>
            </w:tcBorders>
            <w:vAlign w:val="center"/>
          </w:tcPr>
          <w:p w14:paraId="0C158F54">
            <w:pPr>
              <w:keepNext w:val="0"/>
              <w:keepLines w:val="0"/>
              <w:pageBreakBefore w:val="0"/>
              <w:widowControl/>
              <w:kinsoku/>
              <w:wordWrap/>
              <w:overflowPunct/>
              <w:topLinePunct w:val="0"/>
              <w:autoSpaceDE/>
              <w:autoSpaceDN/>
              <w:bidi w:val="0"/>
              <w:adjustRightInd/>
              <w:snapToGrid/>
              <w:spacing w:line="3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对本项目维护</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内容所制定的方案</w:t>
            </w:r>
            <w:r>
              <w:rPr>
                <w:rFonts w:hint="eastAsia" w:ascii="宋体" w:hAnsi="宋体" w:eastAsia="宋体" w:cs="宋体"/>
                <w:b/>
                <w:bCs/>
                <w:color w:val="auto"/>
                <w:sz w:val="21"/>
                <w:szCs w:val="21"/>
                <w:highlight w:val="none"/>
                <w:lang w:val="en-US" w:eastAsia="zh-CN"/>
              </w:rPr>
              <w:t>及措施</w:t>
            </w:r>
            <w:r>
              <w:rPr>
                <w:rFonts w:hint="eastAsia" w:ascii="宋体" w:hAnsi="宋体" w:eastAsia="宋体" w:cs="宋体"/>
                <w:b/>
                <w:bCs/>
                <w:color w:val="auto"/>
                <w:sz w:val="21"/>
                <w:szCs w:val="21"/>
                <w:highlight w:val="none"/>
              </w:rPr>
              <w:t>的合理</w:t>
            </w:r>
            <w:r>
              <w:rPr>
                <w:rFonts w:hint="eastAsia" w:ascii="宋体" w:hAnsi="宋体" w:eastAsia="宋体" w:cs="宋体"/>
                <w:b/>
                <w:bCs/>
                <w:color w:val="auto"/>
                <w:sz w:val="21"/>
                <w:szCs w:val="21"/>
                <w:highlight w:val="none"/>
                <w:lang w:val="en-US" w:eastAsia="zh-CN"/>
              </w:rPr>
              <w:t>性、</w:t>
            </w:r>
            <w:r>
              <w:rPr>
                <w:rFonts w:hint="eastAsia" w:ascii="宋体" w:hAnsi="宋体" w:eastAsia="宋体" w:cs="宋体"/>
                <w:b/>
                <w:bCs/>
                <w:color w:val="auto"/>
                <w:sz w:val="21"/>
                <w:szCs w:val="21"/>
                <w:highlight w:val="none"/>
              </w:rPr>
              <w:t>可行性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针对性、响应性</w:t>
            </w:r>
            <w:r>
              <w:rPr>
                <w:rFonts w:hint="eastAsia" w:ascii="宋体" w:hAnsi="宋体" w:eastAsia="宋体" w:cs="宋体"/>
                <w:b/>
                <w:bCs/>
                <w:color w:val="auto"/>
                <w:sz w:val="21"/>
                <w:szCs w:val="21"/>
                <w:highlight w:val="none"/>
              </w:rPr>
              <w:t>进行综合评分，最高得</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05F59DDF">
            <w:pPr>
              <w:keepNext w:val="0"/>
              <w:keepLines w:val="0"/>
              <w:pageBreakBefore w:val="0"/>
              <w:widowControl/>
              <w:kinsoku/>
              <w:wordWrap/>
              <w:overflowPunct/>
              <w:topLinePunct w:val="0"/>
              <w:autoSpaceDE/>
              <w:autoSpaceDN/>
              <w:bidi w:val="0"/>
              <w:adjustRightInd/>
              <w:snapToGrid/>
              <w:spacing w:line="3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投标文件针对</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对本项目维护</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内容所制定的方案</w:t>
            </w:r>
            <w:r>
              <w:rPr>
                <w:rFonts w:hint="eastAsia" w:ascii="宋体" w:hAnsi="宋体" w:eastAsia="宋体" w:cs="宋体"/>
                <w:b/>
                <w:bCs/>
                <w:color w:val="auto"/>
                <w:sz w:val="21"/>
                <w:szCs w:val="21"/>
                <w:highlight w:val="none"/>
                <w:lang w:val="en-US" w:eastAsia="zh-CN"/>
              </w:rPr>
              <w:t>及措施</w:t>
            </w:r>
            <w:r>
              <w:rPr>
                <w:rFonts w:hint="eastAsia" w:ascii="宋体" w:hAnsi="宋体" w:eastAsia="宋体" w:cs="宋体"/>
                <w:b/>
                <w:bCs/>
                <w:color w:val="auto"/>
                <w:szCs w:val="21"/>
                <w:highlight w:val="none"/>
              </w:rPr>
              <w:t>与需求较吻合</w:t>
            </w:r>
            <w:r>
              <w:rPr>
                <w:rFonts w:hint="eastAsia" w:ascii="宋体" w:hAnsi="宋体" w:eastAsia="宋体" w:cs="宋体"/>
                <w:b/>
                <w:bCs/>
                <w:color w:val="auto"/>
                <w:szCs w:val="21"/>
                <w:highlight w:val="none"/>
                <w:lang w:val="en-US" w:eastAsia="zh-CN"/>
              </w:rPr>
              <w:t>性较高</w:t>
            </w:r>
            <w:r>
              <w:rPr>
                <w:rFonts w:hint="eastAsia" w:ascii="宋体" w:hAnsi="宋体" w:eastAsia="宋体" w:cs="宋体"/>
                <w:b/>
                <w:bCs/>
                <w:color w:val="auto"/>
                <w:szCs w:val="21"/>
                <w:highlight w:val="none"/>
              </w:rPr>
              <w:t>、全面、可操作性强，完全符合项目实施需求的得</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.0分；</w:t>
            </w:r>
            <w:r>
              <w:rPr>
                <w:rFonts w:hint="eastAsia" w:ascii="宋体" w:hAnsi="宋体" w:eastAsia="宋体" w:cs="宋体"/>
                <w:b/>
                <w:bCs/>
                <w:color w:val="auto"/>
                <w:sz w:val="21"/>
                <w:szCs w:val="21"/>
                <w:highlight w:val="none"/>
              </w:rPr>
              <w:t>本项目维护</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内容所制定的方案</w:t>
            </w:r>
            <w:r>
              <w:rPr>
                <w:rFonts w:hint="eastAsia" w:ascii="宋体" w:hAnsi="宋体" w:eastAsia="宋体" w:cs="宋体"/>
                <w:b/>
                <w:bCs/>
                <w:color w:val="auto"/>
                <w:sz w:val="21"/>
                <w:szCs w:val="21"/>
                <w:highlight w:val="none"/>
                <w:lang w:val="en-US" w:eastAsia="zh-CN"/>
              </w:rPr>
              <w:t>及措施</w:t>
            </w:r>
            <w:r>
              <w:rPr>
                <w:rFonts w:hint="eastAsia" w:ascii="宋体" w:hAnsi="宋体" w:eastAsia="宋体" w:cs="宋体"/>
                <w:b/>
                <w:bCs/>
                <w:color w:val="auto"/>
                <w:szCs w:val="21"/>
                <w:highlight w:val="none"/>
              </w:rPr>
              <w:t>与需求的吻合性、全面性、可操作性基本合理，存在一定欠缺，但基本符合项目实施需求的得3.0-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.0分；</w:t>
            </w:r>
            <w:r>
              <w:rPr>
                <w:rFonts w:hint="eastAsia" w:ascii="宋体" w:hAnsi="宋体" w:eastAsia="宋体" w:cs="宋体"/>
                <w:b/>
                <w:bCs/>
                <w:color w:val="auto"/>
                <w:sz w:val="21"/>
                <w:szCs w:val="21"/>
                <w:highlight w:val="none"/>
              </w:rPr>
              <w:t>本项目维护</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内容所制定的方案</w:t>
            </w:r>
            <w:r>
              <w:rPr>
                <w:rFonts w:hint="eastAsia" w:ascii="宋体" w:hAnsi="宋体" w:eastAsia="宋体" w:cs="宋体"/>
                <w:b/>
                <w:bCs/>
                <w:color w:val="auto"/>
                <w:sz w:val="21"/>
                <w:szCs w:val="21"/>
                <w:highlight w:val="none"/>
                <w:lang w:val="en-US" w:eastAsia="zh-CN"/>
              </w:rPr>
              <w:t>及措施</w:t>
            </w:r>
            <w:r>
              <w:rPr>
                <w:rFonts w:hint="eastAsia" w:ascii="宋体" w:hAnsi="宋体" w:eastAsia="宋体" w:cs="宋体"/>
                <w:b/>
                <w:bCs/>
                <w:color w:val="auto"/>
                <w:szCs w:val="21"/>
                <w:highlight w:val="none"/>
              </w:rPr>
              <w:t>内</w:t>
            </w:r>
            <w:r>
              <w:rPr>
                <w:rFonts w:hint="eastAsia" w:ascii="宋体" w:hAnsi="宋体" w:eastAsia="宋体" w:cs="宋体"/>
                <w:b/>
                <w:bCs/>
                <w:color w:val="auto"/>
                <w:spacing w:val="-10"/>
                <w:szCs w:val="21"/>
                <w:highlight w:val="none"/>
              </w:rPr>
              <w:t>容</w:t>
            </w:r>
            <w:r>
              <w:rPr>
                <w:rFonts w:hint="eastAsia" w:ascii="宋体" w:hAnsi="宋体" w:eastAsia="宋体" w:cs="宋体"/>
                <w:b/>
                <w:bCs/>
                <w:color w:val="auto"/>
                <w:szCs w:val="21"/>
                <w:highlight w:val="none"/>
              </w:rPr>
              <w:t>片面或缺失，仅能部分满足项目实施需求，评审为一般或差的，</w:t>
            </w:r>
            <w:r>
              <w:rPr>
                <w:rFonts w:hint="eastAsia" w:ascii="宋体" w:hAnsi="宋体" w:eastAsia="宋体" w:cs="宋体"/>
                <w:b/>
                <w:bCs/>
                <w:color w:val="auto"/>
                <w:kern w:val="0"/>
                <w:szCs w:val="21"/>
                <w:highlight w:val="none"/>
              </w:rPr>
              <w:t>得0.1-3.0分。无内容的不得分。</w:t>
            </w:r>
          </w:p>
        </w:tc>
        <w:tc>
          <w:tcPr>
            <w:tcW w:w="710" w:type="dxa"/>
            <w:tcBorders>
              <w:top w:val="single" w:color="auto" w:sz="4" w:space="0"/>
              <w:bottom w:val="single" w:color="auto" w:sz="4" w:space="0"/>
            </w:tcBorders>
            <w:vAlign w:val="center"/>
          </w:tcPr>
          <w:p w14:paraId="6E94195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210" w:type="dxa"/>
            <w:tcBorders>
              <w:top w:val="single" w:color="auto" w:sz="4" w:space="0"/>
              <w:left w:val="single" w:color="auto" w:sz="4" w:space="0"/>
              <w:bottom w:val="single" w:color="auto" w:sz="4" w:space="0"/>
              <w:right w:val="single" w:color="auto" w:sz="4" w:space="0"/>
            </w:tcBorders>
            <w:vAlign w:val="center"/>
          </w:tcPr>
          <w:p w14:paraId="3F5C3AF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30C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66" w:type="dxa"/>
            <w:vMerge w:val="continue"/>
            <w:tcBorders>
              <w:left w:val="single" w:color="auto" w:sz="4" w:space="0"/>
            </w:tcBorders>
            <w:vAlign w:val="center"/>
          </w:tcPr>
          <w:p w14:paraId="329717C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1986016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4、总体</w:t>
            </w:r>
            <w:r>
              <w:rPr>
                <w:rFonts w:hint="eastAsia" w:ascii="宋体" w:hAnsi="宋体" w:eastAsia="宋体" w:cs="宋体"/>
                <w:b/>
                <w:bCs/>
                <w:color w:val="auto"/>
                <w:kern w:val="0"/>
                <w:sz w:val="21"/>
                <w:szCs w:val="21"/>
                <w:highlight w:val="none"/>
              </w:rPr>
              <w:t>实施方案</w:t>
            </w:r>
            <w:r>
              <w:rPr>
                <w:rFonts w:hint="eastAsia" w:ascii="宋体" w:hAnsi="宋体" w:eastAsia="宋体" w:cs="宋体"/>
                <w:b/>
                <w:bCs/>
                <w:color w:val="auto"/>
                <w:sz w:val="21"/>
                <w:szCs w:val="21"/>
                <w:highlight w:val="none"/>
              </w:rPr>
              <w:t>：根据投标人提供针对本项目</w:t>
            </w:r>
            <w:r>
              <w:rPr>
                <w:rFonts w:hint="eastAsia" w:ascii="宋体" w:hAnsi="宋体" w:eastAsia="宋体" w:cs="宋体"/>
                <w:b/>
                <w:bCs/>
                <w:color w:val="auto"/>
                <w:sz w:val="21"/>
                <w:szCs w:val="21"/>
                <w:highlight w:val="none"/>
                <w:lang w:val="en-US" w:eastAsia="zh-CN"/>
              </w:rPr>
              <w:t>总体</w:t>
            </w:r>
            <w:r>
              <w:rPr>
                <w:rFonts w:hint="eastAsia" w:ascii="宋体" w:hAnsi="宋体" w:eastAsia="宋体" w:cs="宋体"/>
                <w:b/>
                <w:bCs/>
                <w:color w:val="auto"/>
                <w:kern w:val="0"/>
                <w:sz w:val="21"/>
                <w:szCs w:val="21"/>
                <w:highlight w:val="none"/>
              </w:rPr>
              <w:t>实施方案进行评议：方案内容的完整性、科学性、施工进度计划合理性、组织措施合理、质量控制措施的可行性完整性，</w:t>
            </w:r>
            <w:r>
              <w:rPr>
                <w:rFonts w:hint="eastAsia" w:ascii="宋体" w:hAnsi="宋体" w:eastAsia="宋体" w:cs="宋体"/>
                <w:b/>
                <w:bCs/>
                <w:color w:val="auto"/>
                <w:sz w:val="21"/>
                <w:szCs w:val="21"/>
                <w:highlight w:val="none"/>
              </w:rPr>
              <w:t>本项最高</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5F4B0A35">
            <w:pPr>
              <w:pStyle w:val="6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1" w:firstLineChars="100"/>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val="en-US" w:eastAsia="zh-CN"/>
              </w:rPr>
              <w:t>评标委员会根据</w:t>
            </w:r>
            <w:r>
              <w:rPr>
                <w:rFonts w:hint="eastAsia" w:ascii="宋体" w:hAnsi="宋体" w:eastAsia="宋体" w:cs="宋体"/>
                <w:b/>
                <w:bCs/>
                <w:color w:val="auto"/>
                <w:szCs w:val="21"/>
                <w:highlight w:val="none"/>
              </w:rPr>
              <w:t>投标文件针对本项目制定的总体实施服务方案</w:t>
            </w:r>
            <w:r>
              <w:rPr>
                <w:rFonts w:hint="eastAsia" w:ascii="宋体" w:hAnsi="宋体" w:eastAsia="宋体" w:cs="宋体"/>
                <w:b/>
                <w:bCs/>
                <w:color w:val="auto"/>
                <w:szCs w:val="21"/>
                <w:highlight w:val="none"/>
                <w:lang w:val="en-US" w:eastAsia="zh-CN"/>
              </w:rPr>
              <w:t>内容与采购需求</w:t>
            </w:r>
            <w:r>
              <w:rPr>
                <w:rFonts w:hint="eastAsia" w:ascii="宋体" w:hAnsi="宋体" w:eastAsia="宋体" w:cs="宋体"/>
                <w:b/>
                <w:bCs/>
                <w:color w:val="auto"/>
                <w:szCs w:val="21"/>
                <w:highlight w:val="none"/>
              </w:rPr>
              <w:t>吻合</w:t>
            </w:r>
            <w:r>
              <w:rPr>
                <w:rFonts w:hint="eastAsia" w:ascii="宋体" w:hAnsi="宋体" w:eastAsia="宋体" w:cs="宋体"/>
                <w:b/>
                <w:bCs/>
                <w:color w:val="auto"/>
                <w:szCs w:val="21"/>
                <w:highlight w:val="none"/>
                <w:lang w:val="en-US" w:eastAsia="zh-CN"/>
              </w:rPr>
              <w:t>度高</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内容</w:t>
            </w:r>
            <w:r>
              <w:rPr>
                <w:rFonts w:hint="eastAsia" w:ascii="宋体" w:hAnsi="宋体" w:eastAsia="宋体" w:cs="宋体"/>
                <w:b/>
                <w:bCs/>
                <w:color w:val="auto"/>
                <w:szCs w:val="21"/>
                <w:highlight w:val="none"/>
              </w:rPr>
              <w:t>全面、可操作性强，完全符合项目实施需求的得</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.0分；总体实施服务方案</w:t>
            </w:r>
            <w:r>
              <w:rPr>
                <w:rFonts w:hint="eastAsia" w:ascii="宋体" w:hAnsi="宋体" w:eastAsia="宋体" w:cs="宋体"/>
                <w:b/>
                <w:bCs/>
                <w:color w:val="auto"/>
                <w:szCs w:val="21"/>
                <w:highlight w:val="none"/>
                <w:lang w:val="en-US" w:eastAsia="zh-CN"/>
              </w:rPr>
              <w:t>内容</w:t>
            </w:r>
            <w:r>
              <w:rPr>
                <w:rFonts w:hint="eastAsia" w:ascii="宋体" w:hAnsi="宋体" w:eastAsia="宋体" w:cs="宋体"/>
                <w:b/>
                <w:bCs/>
                <w:color w:val="auto"/>
                <w:szCs w:val="21"/>
                <w:highlight w:val="none"/>
              </w:rPr>
              <w:t>与</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需求的吻合性、全面性、可操作性基本合理，存在一定欠缺，但基本符合项目实施需求的得3.0-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分；总体实施服务方案内</w:t>
            </w:r>
            <w:r>
              <w:rPr>
                <w:rFonts w:hint="eastAsia" w:ascii="宋体" w:hAnsi="宋体" w:eastAsia="宋体" w:cs="宋体"/>
                <w:b/>
                <w:bCs/>
                <w:color w:val="auto"/>
                <w:spacing w:val="-10"/>
                <w:szCs w:val="21"/>
                <w:highlight w:val="none"/>
              </w:rPr>
              <w:t>容</w:t>
            </w:r>
            <w:r>
              <w:rPr>
                <w:rFonts w:hint="eastAsia" w:ascii="宋体" w:hAnsi="宋体" w:eastAsia="宋体" w:cs="宋体"/>
                <w:b/>
                <w:bCs/>
                <w:color w:val="auto"/>
                <w:szCs w:val="21"/>
                <w:highlight w:val="none"/>
              </w:rPr>
              <w:t>片面或缺失，仅能部分满足项目实施需求，评审为一般或差的，</w:t>
            </w:r>
            <w:r>
              <w:rPr>
                <w:rFonts w:hint="eastAsia" w:ascii="宋体" w:hAnsi="宋体" w:eastAsia="宋体" w:cs="宋体"/>
                <w:b/>
                <w:bCs/>
                <w:color w:val="auto"/>
                <w:kern w:val="0"/>
                <w:szCs w:val="21"/>
                <w:highlight w:val="none"/>
              </w:rPr>
              <w:t>得0.1-3.0分。无内容的不得分。</w:t>
            </w:r>
          </w:p>
        </w:tc>
        <w:tc>
          <w:tcPr>
            <w:tcW w:w="710" w:type="dxa"/>
            <w:tcBorders>
              <w:top w:val="single" w:color="auto" w:sz="4" w:space="0"/>
              <w:bottom w:val="single" w:color="auto" w:sz="4" w:space="0"/>
            </w:tcBorders>
            <w:vAlign w:val="center"/>
          </w:tcPr>
          <w:p w14:paraId="50452B2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210" w:type="dxa"/>
            <w:tcBorders>
              <w:top w:val="single" w:color="auto" w:sz="4" w:space="0"/>
              <w:left w:val="single" w:color="auto" w:sz="4" w:space="0"/>
              <w:bottom w:val="single" w:color="auto" w:sz="4" w:space="0"/>
              <w:right w:val="single" w:color="auto" w:sz="4" w:space="0"/>
            </w:tcBorders>
            <w:vAlign w:val="center"/>
          </w:tcPr>
          <w:p w14:paraId="715A0C7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2B3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1066" w:type="dxa"/>
            <w:vMerge w:val="continue"/>
            <w:tcBorders>
              <w:left w:val="single" w:color="auto" w:sz="4" w:space="0"/>
            </w:tcBorders>
            <w:vAlign w:val="center"/>
          </w:tcPr>
          <w:p w14:paraId="19E7A29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4E1AB07C">
            <w:pPr>
              <w:keepNext w:val="0"/>
              <w:keepLines w:val="0"/>
              <w:pageBreakBefore w:val="0"/>
              <w:widowControl w:val="0"/>
              <w:numPr>
                <w:ilvl w:val="0"/>
                <w:numId w:val="12"/>
              </w:numPr>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应急响应方案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rPr>
              <w:t>根据投标人提供针对本项目的</w:t>
            </w:r>
            <w:r>
              <w:rPr>
                <w:rFonts w:hint="eastAsia" w:ascii="宋体" w:hAnsi="宋体" w:eastAsia="宋体" w:cs="宋体"/>
                <w:b/>
                <w:bCs/>
                <w:color w:val="auto"/>
                <w:kern w:val="0"/>
                <w:sz w:val="21"/>
                <w:szCs w:val="21"/>
                <w:highlight w:val="none"/>
              </w:rPr>
              <w:t>应急响应方案（包括故障处理流程、应急抢修等）进行评议，包含应急响应程序和应急保障、应急响应预案、应急保障预案等，</w:t>
            </w:r>
            <w:r>
              <w:rPr>
                <w:rFonts w:hint="eastAsia" w:ascii="宋体" w:hAnsi="宋体" w:eastAsia="宋体" w:cs="宋体"/>
                <w:b/>
                <w:bCs/>
                <w:color w:val="auto"/>
                <w:sz w:val="21"/>
                <w:szCs w:val="21"/>
                <w:highlight w:val="none"/>
              </w:rPr>
              <w:t>本项最高</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22AB418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highlight w:val="none"/>
              </w:rPr>
            </w:pPr>
            <w:r>
              <w:rPr>
                <w:rFonts w:hint="eastAsia" w:ascii="宋体" w:hAnsi="宋体" w:eastAsia="宋体" w:cs="宋体"/>
                <w:b/>
                <w:bCs/>
                <w:color w:val="auto"/>
                <w:kern w:val="0"/>
                <w:highlight w:val="none"/>
                <w:lang w:val="en-US" w:eastAsia="zh-CN"/>
              </w:rPr>
              <w:t>应急响应方案内容</w:t>
            </w:r>
            <w:r>
              <w:rPr>
                <w:rFonts w:hint="eastAsia" w:ascii="宋体" w:hAnsi="宋体" w:eastAsia="宋体" w:cs="宋体"/>
                <w:b/>
                <w:bCs/>
                <w:color w:val="auto"/>
                <w:kern w:val="0"/>
                <w:highlight w:val="none"/>
              </w:rPr>
              <w:t>准确全面，科学合理，吻合度强，针对性强的，得</w:t>
            </w:r>
            <w:r>
              <w:rPr>
                <w:rFonts w:hint="eastAsia" w:ascii="宋体" w:hAnsi="宋体" w:eastAsia="宋体" w:cs="宋体"/>
                <w:b/>
                <w:bCs/>
                <w:color w:val="auto"/>
                <w:kern w:val="0"/>
                <w:highlight w:val="none"/>
                <w:lang w:val="en-US" w:eastAsia="zh-CN"/>
              </w:rPr>
              <w:t>5</w:t>
            </w:r>
            <w:r>
              <w:rPr>
                <w:rFonts w:hint="eastAsia" w:ascii="宋体" w:hAnsi="宋体" w:eastAsia="宋体" w:cs="宋体"/>
                <w:b/>
                <w:bCs/>
                <w:color w:val="auto"/>
                <w:kern w:val="0"/>
                <w:highlight w:val="none"/>
              </w:rPr>
              <w:t>.</w:t>
            </w:r>
            <w:r>
              <w:rPr>
                <w:rFonts w:hint="eastAsia" w:ascii="宋体" w:hAnsi="宋体" w:eastAsia="宋体" w:cs="宋体"/>
                <w:b/>
                <w:bCs/>
                <w:color w:val="auto"/>
                <w:kern w:val="0"/>
                <w:highlight w:val="none"/>
                <w:lang w:val="en-US" w:eastAsia="zh-CN"/>
              </w:rPr>
              <w:t>0</w:t>
            </w:r>
            <w:r>
              <w:rPr>
                <w:rFonts w:hint="eastAsia" w:ascii="宋体" w:hAnsi="宋体" w:eastAsia="宋体" w:cs="宋体"/>
                <w:b/>
                <w:bCs/>
                <w:color w:val="auto"/>
                <w:kern w:val="0"/>
                <w:highlight w:val="none"/>
              </w:rPr>
              <w:t>-</w:t>
            </w:r>
            <w:r>
              <w:rPr>
                <w:rFonts w:hint="eastAsia" w:ascii="宋体" w:hAnsi="宋体" w:eastAsia="宋体" w:cs="宋体"/>
                <w:b/>
                <w:bCs/>
                <w:color w:val="auto"/>
                <w:kern w:val="0"/>
                <w:highlight w:val="none"/>
                <w:lang w:val="en-US" w:eastAsia="zh-CN"/>
              </w:rPr>
              <w:t>6</w:t>
            </w:r>
            <w:r>
              <w:rPr>
                <w:rFonts w:hint="eastAsia" w:ascii="宋体" w:hAnsi="宋体" w:eastAsia="宋体" w:cs="宋体"/>
                <w:b/>
                <w:bCs/>
                <w:color w:val="auto"/>
                <w:kern w:val="0"/>
                <w:highlight w:val="none"/>
              </w:rPr>
              <w:t>.0分；科学合理</w:t>
            </w:r>
            <w:r>
              <w:rPr>
                <w:rFonts w:hint="eastAsia" w:ascii="宋体" w:hAnsi="宋体" w:eastAsia="宋体" w:cs="宋体"/>
                <w:b/>
                <w:bCs/>
                <w:color w:val="auto"/>
                <w:kern w:val="0"/>
                <w:highlight w:val="none"/>
                <w:lang w:val="en-US" w:eastAsia="zh-CN"/>
              </w:rPr>
              <w:t>性、</w:t>
            </w:r>
            <w:r>
              <w:rPr>
                <w:rFonts w:hint="eastAsia" w:ascii="宋体" w:hAnsi="宋体" w:eastAsia="宋体" w:cs="宋体"/>
                <w:b/>
                <w:bCs/>
                <w:color w:val="auto"/>
                <w:kern w:val="0"/>
                <w:highlight w:val="none"/>
              </w:rPr>
              <w:t>吻合</w:t>
            </w:r>
            <w:r>
              <w:rPr>
                <w:rFonts w:hint="eastAsia" w:ascii="宋体" w:hAnsi="宋体" w:eastAsia="宋体" w:cs="宋体"/>
                <w:b/>
                <w:bCs/>
                <w:color w:val="auto"/>
                <w:kern w:val="0"/>
                <w:highlight w:val="none"/>
                <w:lang w:val="en-US" w:eastAsia="zh-CN"/>
              </w:rPr>
              <w:t>性、</w:t>
            </w:r>
            <w:r>
              <w:rPr>
                <w:rFonts w:hint="eastAsia" w:ascii="宋体" w:hAnsi="宋体" w:eastAsia="宋体" w:cs="宋体"/>
                <w:b/>
                <w:bCs/>
                <w:color w:val="auto"/>
                <w:kern w:val="0"/>
                <w:highlight w:val="none"/>
              </w:rPr>
              <w:t>针对性一般的，得3.0-</w:t>
            </w:r>
            <w:r>
              <w:rPr>
                <w:rFonts w:hint="eastAsia" w:ascii="宋体" w:hAnsi="宋体" w:eastAsia="宋体" w:cs="宋体"/>
                <w:b/>
                <w:bCs/>
                <w:color w:val="auto"/>
                <w:kern w:val="0"/>
                <w:highlight w:val="none"/>
                <w:lang w:val="en-US" w:eastAsia="zh-CN"/>
              </w:rPr>
              <w:t>5</w:t>
            </w:r>
            <w:r>
              <w:rPr>
                <w:rFonts w:hint="eastAsia" w:ascii="宋体" w:hAnsi="宋体" w:eastAsia="宋体" w:cs="宋体"/>
                <w:b/>
                <w:bCs/>
                <w:color w:val="auto"/>
                <w:kern w:val="0"/>
                <w:highlight w:val="none"/>
              </w:rPr>
              <w:t>.</w:t>
            </w:r>
            <w:r>
              <w:rPr>
                <w:rFonts w:hint="eastAsia" w:ascii="宋体" w:hAnsi="宋体" w:eastAsia="宋体" w:cs="宋体"/>
                <w:b/>
                <w:bCs/>
                <w:color w:val="auto"/>
                <w:kern w:val="0"/>
                <w:highlight w:val="none"/>
                <w:lang w:val="en-US" w:eastAsia="zh-CN"/>
              </w:rPr>
              <w:t>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val="en-US" w:eastAsia="zh-CN"/>
              </w:rPr>
              <w:t>内容不够全面</w:t>
            </w:r>
            <w:r>
              <w:rPr>
                <w:rFonts w:hint="eastAsia" w:ascii="宋体" w:hAnsi="宋体" w:eastAsia="宋体" w:cs="宋体"/>
                <w:b/>
                <w:bCs/>
                <w:color w:val="auto"/>
                <w:kern w:val="0"/>
                <w:highlight w:val="none"/>
              </w:rPr>
              <w:t>，</w:t>
            </w:r>
            <w:r>
              <w:rPr>
                <w:rFonts w:hint="eastAsia" w:ascii="宋体" w:hAnsi="宋体" w:eastAsia="宋体" w:cs="宋体"/>
                <w:b/>
                <w:bCs/>
                <w:color w:val="auto"/>
                <w:kern w:val="0"/>
                <w:highlight w:val="none"/>
                <w:lang w:eastAsia="zh-CN"/>
              </w:rPr>
              <w:t>逻辑性差</w:t>
            </w:r>
            <w:r>
              <w:rPr>
                <w:rFonts w:hint="eastAsia" w:ascii="宋体" w:hAnsi="宋体" w:eastAsia="宋体" w:cs="宋体"/>
                <w:b/>
                <w:bCs/>
                <w:color w:val="auto"/>
                <w:kern w:val="0"/>
                <w:highlight w:val="none"/>
              </w:rPr>
              <w:t>，无吻合度，无针对性的，</w:t>
            </w:r>
            <w:r>
              <w:rPr>
                <w:rFonts w:hint="eastAsia" w:ascii="宋体" w:hAnsi="宋体" w:eastAsia="宋体" w:cs="宋体"/>
                <w:b/>
                <w:bCs/>
                <w:color w:val="auto"/>
                <w:highlight w:val="none"/>
              </w:rPr>
              <w:t>有明显漏洞或不合理的，</w:t>
            </w:r>
            <w:r>
              <w:rPr>
                <w:rFonts w:hint="eastAsia" w:ascii="宋体" w:hAnsi="宋体" w:eastAsia="宋体" w:cs="宋体"/>
                <w:b/>
                <w:bCs/>
                <w:color w:val="auto"/>
                <w:kern w:val="0"/>
                <w:highlight w:val="none"/>
              </w:rPr>
              <w:t>得0.1-3.0分。</w:t>
            </w:r>
            <w:r>
              <w:rPr>
                <w:rFonts w:hint="eastAsia" w:ascii="宋体" w:hAnsi="宋体" w:eastAsia="宋体" w:cs="宋体"/>
                <w:b/>
                <w:bCs/>
                <w:color w:val="auto"/>
                <w:kern w:val="0"/>
                <w:highlight w:val="none"/>
                <w:lang w:val="en-US" w:eastAsia="zh-CN"/>
              </w:rPr>
              <w:t>无内容不得分。</w:t>
            </w:r>
          </w:p>
        </w:tc>
        <w:tc>
          <w:tcPr>
            <w:tcW w:w="710" w:type="dxa"/>
            <w:tcBorders>
              <w:top w:val="single" w:color="auto" w:sz="4" w:space="0"/>
              <w:bottom w:val="single" w:color="auto" w:sz="4" w:space="0"/>
            </w:tcBorders>
            <w:vAlign w:val="center"/>
          </w:tcPr>
          <w:p w14:paraId="2326C13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210" w:type="dxa"/>
            <w:tcBorders>
              <w:top w:val="single" w:color="auto" w:sz="4" w:space="0"/>
              <w:left w:val="single" w:color="auto" w:sz="4" w:space="0"/>
              <w:bottom w:val="single" w:color="auto" w:sz="4" w:space="0"/>
              <w:right w:val="single" w:color="auto" w:sz="4" w:space="0"/>
            </w:tcBorders>
            <w:vAlign w:val="center"/>
          </w:tcPr>
          <w:p w14:paraId="5586C5F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50E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vMerge w:val="continue"/>
            <w:tcBorders>
              <w:left w:val="single" w:color="auto" w:sz="4" w:space="0"/>
            </w:tcBorders>
            <w:vAlign w:val="center"/>
          </w:tcPr>
          <w:p w14:paraId="71B1764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6E8342CD">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ind w:leftChars="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售后服务</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根据投标人针对本项目提供的售后服务方案，包含服务响应时间、响应程度、解决问题的能力、培训、技术指导等进行综合评议，</w:t>
            </w:r>
            <w:r>
              <w:rPr>
                <w:rFonts w:hint="eastAsia" w:ascii="宋体" w:hAnsi="宋体" w:eastAsia="宋体" w:cs="宋体"/>
                <w:b/>
                <w:bCs/>
                <w:color w:val="auto"/>
                <w:sz w:val="21"/>
                <w:szCs w:val="21"/>
                <w:highlight w:val="none"/>
              </w:rPr>
              <w:t>本项最高得</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487C4E23">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ind w:leftChars="0" w:firstLine="211" w:firstLineChars="100"/>
              <w:jc w:val="left"/>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lang w:val="en-US" w:eastAsia="zh-CN"/>
              </w:rPr>
              <w:t>评标委员会根据</w:t>
            </w:r>
            <w:r>
              <w:rPr>
                <w:rFonts w:hint="eastAsia" w:ascii="宋体" w:hAnsi="宋体" w:eastAsia="宋体" w:cs="宋体"/>
                <w:b/>
                <w:bCs/>
                <w:color w:val="auto"/>
                <w:szCs w:val="21"/>
                <w:highlight w:val="none"/>
              </w:rPr>
              <w:t>供应商提供的售后服务方案，方案内容阐述详实全面，科学合理，人员配备合理，可行性强的，</w:t>
            </w:r>
            <w:r>
              <w:rPr>
                <w:rFonts w:hint="eastAsia" w:ascii="宋体" w:hAnsi="宋体" w:eastAsia="宋体" w:cs="宋体"/>
                <w:b/>
                <w:bCs/>
                <w:color w:val="auto"/>
                <w:szCs w:val="21"/>
                <w:highlight w:val="none"/>
                <w:lang w:val="en-US" w:eastAsia="zh-CN"/>
              </w:rPr>
              <w:t>能充分满足本项目需求的，</w:t>
            </w:r>
            <w:r>
              <w:rPr>
                <w:rFonts w:hint="eastAsia" w:ascii="宋体" w:hAnsi="宋体" w:eastAsia="宋体" w:cs="宋体"/>
                <w:b/>
                <w:bCs/>
                <w:color w:val="auto"/>
                <w:szCs w:val="21"/>
                <w:highlight w:val="none"/>
              </w:rPr>
              <w:t>得</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.0分；供应商提供的售后服务方案，方案内容阐述较全面</w:t>
            </w:r>
            <w:r>
              <w:rPr>
                <w:rFonts w:hint="eastAsia" w:ascii="宋体" w:hAnsi="宋体" w:eastAsia="宋体" w:cs="宋体"/>
                <w:b/>
                <w:bCs/>
                <w:color w:val="auto"/>
                <w:szCs w:val="21"/>
                <w:highlight w:val="none"/>
                <w:lang w:val="en-US" w:eastAsia="zh-CN"/>
              </w:rPr>
              <w:t>性</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科学合理</w:t>
            </w:r>
            <w:r>
              <w:rPr>
                <w:rFonts w:hint="eastAsia" w:ascii="宋体" w:hAnsi="宋体" w:eastAsia="宋体" w:cs="宋体"/>
                <w:b/>
                <w:bCs/>
                <w:color w:val="auto"/>
                <w:szCs w:val="21"/>
                <w:highlight w:val="none"/>
                <w:lang w:val="en-US" w:eastAsia="zh-CN"/>
              </w:rPr>
              <w:t>性</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人员配备，可行性较</w:t>
            </w:r>
            <w:r>
              <w:rPr>
                <w:rFonts w:hint="eastAsia" w:ascii="宋体" w:hAnsi="宋体" w:eastAsia="宋体" w:cs="宋体"/>
                <w:b/>
                <w:bCs/>
                <w:color w:val="auto"/>
                <w:szCs w:val="21"/>
                <w:highlight w:val="none"/>
                <w:lang w:val="en-US" w:eastAsia="zh-CN"/>
              </w:rPr>
              <w:t>一般</w:t>
            </w:r>
            <w:r>
              <w:rPr>
                <w:rFonts w:hint="eastAsia" w:ascii="宋体" w:hAnsi="宋体" w:eastAsia="宋体" w:cs="宋体"/>
                <w:b/>
                <w:bCs/>
                <w:color w:val="auto"/>
                <w:szCs w:val="21"/>
                <w:highlight w:val="none"/>
              </w:rPr>
              <w:t>，内容稍有欠合理的，得</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.0分；供应商提供的售后服务方案，方案内容阐述空泛，人员配备不足，有明显漏洞或不合理的</w:t>
            </w:r>
            <w:r>
              <w:rPr>
                <w:rFonts w:hint="eastAsia" w:ascii="宋体" w:hAnsi="宋体" w:eastAsia="宋体" w:cs="宋体"/>
                <w:b/>
                <w:bCs/>
                <w:color w:val="auto"/>
                <w:kern w:val="0"/>
                <w:szCs w:val="21"/>
                <w:highlight w:val="none"/>
              </w:rPr>
              <w:t>或缺隙的，得0.1-</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.0分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无内容不得分。</w:t>
            </w:r>
          </w:p>
        </w:tc>
        <w:tc>
          <w:tcPr>
            <w:tcW w:w="710" w:type="dxa"/>
            <w:tcBorders>
              <w:top w:val="single" w:color="auto" w:sz="4" w:space="0"/>
              <w:bottom w:val="single" w:color="auto" w:sz="4" w:space="0"/>
            </w:tcBorders>
            <w:vAlign w:val="center"/>
          </w:tcPr>
          <w:p w14:paraId="3CF0610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1210" w:type="dxa"/>
            <w:tcBorders>
              <w:top w:val="single" w:color="auto" w:sz="4" w:space="0"/>
              <w:left w:val="single" w:color="auto" w:sz="4" w:space="0"/>
              <w:bottom w:val="single" w:color="auto" w:sz="4" w:space="0"/>
              <w:right w:val="single" w:color="auto" w:sz="4" w:space="0"/>
            </w:tcBorders>
            <w:vAlign w:val="center"/>
          </w:tcPr>
          <w:p w14:paraId="46ED6F1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460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vMerge w:val="continue"/>
            <w:tcBorders>
              <w:left w:val="single" w:color="auto" w:sz="4" w:space="0"/>
            </w:tcBorders>
            <w:vAlign w:val="center"/>
          </w:tcPr>
          <w:p w14:paraId="03D2F0E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296D95B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TW" w:eastAsia="zh-TW"/>
              </w:rPr>
              <w:t>培训方案</w:t>
            </w:r>
            <w:r>
              <w:rPr>
                <w:rFonts w:hint="eastAsia" w:ascii="宋体" w:hAnsi="宋体" w:eastAsia="宋体" w:cs="宋体"/>
                <w:b/>
                <w:bCs/>
                <w:color w:val="auto"/>
                <w:sz w:val="21"/>
                <w:szCs w:val="21"/>
                <w:highlight w:val="none"/>
                <w:lang w:val="zh-TW" w:eastAsia="zh-CN"/>
              </w:rPr>
              <w:t>：</w:t>
            </w:r>
            <w:r>
              <w:rPr>
                <w:rFonts w:hint="eastAsia" w:ascii="宋体" w:hAnsi="宋体" w:eastAsia="宋体" w:cs="宋体"/>
                <w:b/>
                <w:bCs/>
                <w:color w:val="auto"/>
                <w:sz w:val="21"/>
                <w:szCs w:val="21"/>
                <w:highlight w:val="none"/>
                <w:lang w:val="zh-TW" w:eastAsia="zh-TW"/>
              </w:rPr>
              <w:t>评标委员会根据投标人针对本项目制定的培训计划（培训的方式、地点、人数、时间等实质性内容）的全面性、详尽性、科学性进行打分，</w:t>
            </w:r>
            <w:r>
              <w:rPr>
                <w:rFonts w:hint="eastAsia" w:ascii="宋体" w:hAnsi="宋体" w:eastAsia="宋体" w:cs="宋体"/>
                <w:b/>
                <w:bCs/>
                <w:color w:val="auto"/>
                <w:sz w:val="21"/>
                <w:szCs w:val="21"/>
                <w:highlight w:val="none"/>
                <w:lang w:val="en-US" w:eastAsia="zh-CN"/>
              </w:rPr>
              <w:t>本项最高5</w:t>
            </w:r>
            <w:r>
              <w:rPr>
                <w:rFonts w:hint="eastAsia" w:ascii="宋体" w:hAnsi="宋体" w:eastAsia="宋体" w:cs="宋体"/>
                <w:b/>
                <w:bCs/>
                <w:color w:val="auto"/>
                <w:sz w:val="21"/>
                <w:szCs w:val="21"/>
                <w:highlight w:val="none"/>
                <w:lang w:val="zh-TW" w:eastAsia="zh-TW"/>
              </w:rPr>
              <w:t>分。</w:t>
            </w:r>
          </w:p>
          <w:p w14:paraId="3CF7B443">
            <w:pPr>
              <w:keepNext w:val="0"/>
              <w:keepLines w:val="0"/>
              <w:pageBreakBefore w:val="0"/>
              <w:widowControl w:val="0"/>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rPr>
              <w:t>供应商提供的培训方案，方案内容阐述详实全面，科学合理，思路清晰的，针对性强，可操作性强的，得</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.0-</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.0分；供应商提供的培训方案，方案内容阐述较为详实全面，较为科学合理，思路较清晰的，内容稍有欠合理的，针对性一般的，得</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.0分；供应商提供的培训方案，方案内容阐述空泛，思路模糊的，有明显漏洞的，</w:t>
            </w:r>
            <w:r>
              <w:rPr>
                <w:rFonts w:hint="eastAsia" w:ascii="宋体" w:hAnsi="宋体" w:eastAsia="宋体" w:cs="宋体"/>
                <w:b/>
                <w:bCs/>
                <w:color w:val="auto"/>
                <w:kern w:val="0"/>
                <w:sz w:val="21"/>
                <w:szCs w:val="21"/>
                <w:highlight w:val="none"/>
              </w:rPr>
              <w:t>有不合理或缺隙的，得0.1-</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.0分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无内容不得分。</w:t>
            </w:r>
          </w:p>
        </w:tc>
        <w:tc>
          <w:tcPr>
            <w:tcW w:w="710" w:type="dxa"/>
            <w:tcBorders>
              <w:top w:val="single" w:color="auto" w:sz="4" w:space="0"/>
              <w:bottom w:val="single" w:color="auto" w:sz="4" w:space="0"/>
            </w:tcBorders>
            <w:vAlign w:val="center"/>
          </w:tcPr>
          <w:p w14:paraId="19818A3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210" w:type="dxa"/>
            <w:tcBorders>
              <w:top w:val="single" w:color="auto" w:sz="4" w:space="0"/>
              <w:left w:val="single" w:color="auto" w:sz="4" w:space="0"/>
              <w:bottom w:val="single" w:color="auto" w:sz="4" w:space="0"/>
              <w:right w:val="single" w:color="auto" w:sz="4" w:space="0"/>
            </w:tcBorders>
            <w:vAlign w:val="center"/>
          </w:tcPr>
          <w:p w14:paraId="1361725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1A58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vMerge w:val="continue"/>
            <w:tcBorders>
              <w:left w:val="single" w:color="auto" w:sz="4" w:space="0"/>
            </w:tcBorders>
            <w:vAlign w:val="center"/>
          </w:tcPr>
          <w:p w14:paraId="6E686C9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72653486">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服务便捷性</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根据供应商服务机构设置的合理性、适用性、便捷性等内容进行综合评审，</w:t>
            </w:r>
            <w:r>
              <w:rPr>
                <w:rFonts w:hint="eastAsia" w:ascii="宋体" w:hAnsi="宋体" w:eastAsia="宋体" w:cs="宋体"/>
                <w:b/>
                <w:bCs/>
                <w:color w:val="auto"/>
                <w:szCs w:val="21"/>
                <w:highlight w:val="none"/>
                <w:lang w:val="en-US" w:eastAsia="zh-CN"/>
              </w:rPr>
              <w:t>本项最高3分。</w:t>
            </w:r>
          </w:p>
          <w:p w14:paraId="4ACE0DB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内容全面合理，服务便捷性强的得2.0-3.0分；</w:t>
            </w:r>
            <w:r>
              <w:rPr>
                <w:rFonts w:hint="eastAsia" w:ascii="宋体" w:hAnsi="宋体" w:eastAsia="宋体" w:cs="宋体"/>
                <w:b/>
                <w:bCs/>
                <w:color w:val="auto"/>
                <w:spacing w:val="-10"/>
                <w:szCs w:val="21"/>
                <w:highlight w:val="none"/>
              </w:rPr>
              <w:t>内容</w:t>
            </w:r>
            <w:r>
              <w:rPr>
                <w:rFonts w:hint="eastAsia" w:ascii="宋体" w:hAnsi="宋体" w:eastAsia="宋体" w:cs="宋体"/>
                <w:b/>
                <w:bCs/>
                <w:color w:val="auto"/>
                <w:szCs w:val="21"/>
                <w:highlight w:val="none"/>
              </w:rPr>
              <w:t>基本合理，存在一定欠缺，服务便捷性一般的得1.0-2.0分；</w:t>
            </w:r>
            <w:r>
              <w:rPr>
                <w:rFonts w:hint="eastAsia" w:ascii="宋体" w:hAnsi="宋体" w:eastAsia="宋体" w:cs="宋体"/>
                <w:b/>
                <w:bCs/>
                <w:color w:val="auto"/>
                <w:spacing w:val="-10"/>
                <w:szCs w:val="21"/>
                <w:highlight w:val="none"/>
              </w:rPr>
              <w:t>内容</w:t>
            </w:r>
            <w:r>
              <w:rPr>
                <w:rFonts w:hint="eastAsia" w:ascii="宋体" w:hAnsi="宋体" w:eastAsia="宋体" w:cs="宋体"/>
                <w:b/>
                <w:bCs/>
                <w:color w:val="auto"/>
                <w:szCs w:val="21"/>
                <w:highlight w:val="none"/>
              </w:rPr>
              <w:t>片面或内容缺失不完善的，仅能部分满足实际需求的得0-1.0分，本项最高3分。</w:t>
            </w:r>
          </w:p>
        </w:tc>
        <w:tc>
          <w:tcPr>
            <w:tcW w:w="710" w:type="dxa"/>
            <w:tcBorders>
              <w:top w:val="single" w:color="auto" w:sz="4" w:space="0"/>
              <w:bottom w:val="single" w:color="auto" w:sz="4" w:space="0"/>
            </w:tcBorders>
            <w:vAlign w:val="center"/>
          </w:tcPr>
          <w:p w14:paraId="1B588C7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210" w:type="dxa"/>
            <w:tcBorders>
              <w:top w:val="single" w:color="auto" w:sz="4" w:space="0"/>
              <w:left w:val="single" w:color="auto" w:sz="4" w:space="0"/>
              <w:bottom w:val="single" w:color="auto" w:sz="4" w:space="0"/>
              <w:right w:val="single" w:color="auto" w:sz="4" w:space="0"/>
            </w:tcBorders>
            <w:vAlign w:val="center"/>
          </w:tcPr>
          <w:p w14:paraId="4DB4F67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7D77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66" w:type="dxa"/>
            <w:vMerge w:val="continue"/>
            <w:tcBorders>
              <w:left w:val="single" w:color="auto" w:sz="4" w:space="0"/>
            </w:tcBorders>
            <w:vAlign w:val="center"/>
          </w:tcPr>
          <w:p w14:paraId="41452C7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11180A3D">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lang w:val="en-US" w:eastAsia="zh-CN"/>
              </w:rPr>
            </w:pPr>
            <w:bookmarkStart w:id="136" w:name="OLE_LINK48"/>
            <w:r>
              <w:rPr>
                <w:rFonts w:hint="eastAsia" w:ascii="宋体" w:hAnsi="宋体" w:eastAsia="宋体" w:cs="宋体"/>
                <w:b/>
                <w:bCs/>
                <w:color w:val="auto"/>
                <w:sz w:val="21"/>
                <w:szCs w:val="21"/>
                <w:highlight w:val="none"/>
                <w:lang w:val="en-US" w:eastAsia="zh-CN"/>
              </w:rPr>
              <w:t>9、</w:t>
            </w:r>
            <w:bookmarkStart w:id="137" w:name="OLE_LINK53"/>
            <w:r>
              <w:rPr>
                <w:rFonts w:hint="eastAsia" w:ascii="宋体" w:hAnsi="宋体" w:eastAsia="宋体" w:cs="宋体"/>
                <w:b/>
                <w:bCs/>
                <w:color w:val="auto"/>
                <w:sz w:val="21"/>
                <w:szCs w:val="21"/>
                <w:highlight w:val="none"/>
                <w:lang w:val="en-US" w:eastAsia="zh-CN"/>
              </w:rPr>
              <w:t>合理化建议：</w:t>
            </w:r>
            <w:r>
              <w:rPr>
                <w:rFonts w:hint="eastAsia" w:ascii="宋体" w:hAnsi="宋体" w:eastAsia="宋体" w:cs="宋体"/>
                <w:b/>
                <w:bCs/>
                <w:color w:val="auto"/>
                <w:kern w:val="1"/>
                <w:sz w:val="21"/>
                <w:szCs w:val="21"/>
                <w:highlight w:val="none"/>
              </w:rPr>
              <w:t>评委根据供应商提供的合理化建议的</w:t>
            </w:r>
            <w:r>
              <w:rPr>
                <w:rFonts w:hint="eastAsia" w:ascii="宋体" w:hAnsi="宋体" w:eastAsia="宋体" w:cs="宋体"/>
                <w:b/>
                <w:bCs/>
                <w:color w:val="auto"/>
                <w:kern w:val="1"/>
                <w:sz w:val="21"/>
                <w:szCs w:val="21"/>
                <w:highlight w:val="none"/>
                <w:lang w:val="en-US" w:eastAsia="zh-CN"/>
              </w:rPr>
              <w:t>合理性、</w:t>
            </w:r>
            <w:r>
              <w:rPr>
                <w:rFonts w:hint="eastAsia" w:ascii="宋体" w:hAnsi="宋体" w:eastAsia="宋体" w:cs="宋体"/>
                <w:b/>
                <w:bCs/>
                <w:color w:val="auto"/>
                <w:kern w:val="1"/>
                <w:sz w:val="21"/>
                <w:szCs w:val="21"/>
                <w:highlight w:val="none"/>
              </w:rPr>
              <w:t>可行性、争对性等进行综合评审，内容全面合理，完全符合项目实施需求的得</w:t>
            </w:r>
            <w:r>
              <w:rPr>
                <w:rFonts w:hint="eastAsia" w:ascii="宋体" w:hAnsi="宋体" w:eastAsia="宋体" w:cs="宋体"/>
                <w:b/>
                <w:bCs/>
                <w:color w:val="auto"/>
                <w:kern w:val="1"/>
                <w:sz w:val="21"/>
                <w:szCs w:val="21"/>
                <w:highlight w:val="none"/>
                <w:lang w:val="en-US" w:eastAsia="zh-CN"/>
              </w:rPr>
              <w:t>2.0</w:t>
            </w:r>
            <w:r>
              <w:rPr>
                <w:rFonts w:hint="eastAsia" w:ascii="宋体" w:hAnsi="宋体" w:eastAsia="宋体" w:cs="宋体"/>
                <w:b/>
                <w:bCs/>
                <w:color w:val="auto"/>
                <w:kern w:val="1"/>
                <w:sz w:val="21"/>
                <w:szCs w:val="21"/>
                <w:highlight w:val="none"/>
              </w:rPr>
              <w:t>.0-</w:t>
            </w:r>
            <w:r>
              <w:rPr>
                <w:rFonts w:hint="eastAsia" w:ascii="宋体" w:hAnsi="宋体" w:eastAsia="宋体" w:cs="宋体"/>
                <w:b/>
                <w:bCs/>
                <w:color w:val="auto"/>
                <w:kern w:val="1"/>
                <w:sz w:val="21"/>
                <w:szCs w:val="21"/>
                <w:highlight w:val="none"/>
                <w:lang w:val="en-US" w:eastAsia="zh-CN"/>
              </w:rPr>
              <w:t>3</w:t>
            </w:r>
            <w:r>
              <w:rPr>
                <w:rFonts w:hint="eastAsia" w:ascii="宋体" w:hAnsi="宋体" w:eastAsia="宋体" w:cs="宋体"/>
                <w:b/>
                <w:bCs/>
                <w:color w:val="auto"/>
                <w:kern w:val="1"/>
                <w:sz w:val="21"/>
                <w:szCs w:val="21"/>
                <w:highlight w:val="none"/>
              </w:rPr>
              <w:t>.0分；</w:t>
            </w:r>
            <w:r>
              <w:rPr>
                <w:rFonts w:hint="eastAsia" w:ascii="宋体" w:hAnsi="宋体" w:eastAsia="宋体" w:cs="宋体"/>
                <w:b/>
                <w:bCs/>
                <w:color w:val="auto"/>
                <w:spacing w:val="-9"/>
                <w:kern w:val="1"/>
                <w:sz w:val="21"/>
                <w:szCs w:val="21"/>
                <w:highlight w:val="none"/>
              </w:rPr>
              <w:t>内容</w:t>
            </w:r>
            <w:r>
              <w:rPr>
                <w:rFonts w:hint="eastAsia" w:ascii="宋体" w:hAnsi="宋体" w:eastAsia="宋体" w:cs="宋体"/>
                <w:b/>
                <w:bCs/>
                <w:color w:val="auto"/>
                <w:kern w:val="1"/>
                <w:sz w:val="21"/>
                <w:szCs w:val="21"/>
                <w:highlight w:val="none"/>
              </w:rPr>
              <w:t>基本合理，存在一定欠缺，但基本符合项目实施需求的得1.0-</w:t>
            </w:r>
            <w:r>
              <w:rPr>
                <w:rFonts w:hint="eastAsia" w:ascii="宋体" w:hAnsi="宋体" w:eastAsia="宋体" w:cs="宋体"/>
                <w:b/>
                <w:bCs/>
                <w:color w:val="auto"/>
                <w:kern w:val="1"/>
                <w:sz w:val="21"/>
                <w:szCs w:val="21"/>
                <w:highlight w:val="none"/>
                <w:lang w:val="en-US" w:eastAsia="zh-CN"/>
              </w:rPr>
              <w:t>2</w:t>
            </w:r>
            <w:r>
              <w:rPr>
                <w:rFonts w:hint="eastAsia" w:ascii="宋体" w:hAnsi="宋体" w:eastAsia="宋体" w:cs="宋体"/>
                <w:b/>
                <w:bCs/>
                <w:color w:val="auto"/>
                <w:kern w:val="1"/>
                <w:sz w:val="21"/>
                <w:szCs w:val="21"/>
                <w:highlight w:val="none"/>
              </w:rPr>
              <w:t>.</w:t>
            </w:r>
            <w:r>
              <w:rPr>
                <w:rFonts w:hint="eastAsia" w:ascii="宋体" w:hAnsi="宋体" w:eastAsia="宋体" w:cs="宋体"/>
                <w:b/>
                <w:bCs/>
                <w:color w:val="auto"/>
                <w:kern w:val="1"/>
                <w:sz w:val="21"/>
                <w:szCs w:val="21"/>
                <w:highlight w:val="none"/>
                <w:lang w:val="en-US" w:eastAsia="zh-CN"/>
              </w:rPr>
              <w:t>0</w:t>
            </w:r>
            <w:r>
              <w:rPr>
                <w:rFonts w:hint="eastAsia" w:ascii="宋体" w:hAnsi="宋体" w:eastAsia="宋体" w:cs="宋体"/>
                <w:b/>
                <w:bCs/>
                <w:color w:val="auto"/>
                <w:kern w:val="1"/>
                <w:sz w:val="21"/>
                <w:szCs w:val="21"/>
                <w:highlight w:val="none"/>
              </w:rPr>
              <w:t>分；</w:t>
            </w:r>
            <w:r>
              <w:rPr>
                <w:rFonts w:hint="eastAsia" w:ascii="宋体" w:hAnsi="宋体" w:eastAsia="宋体" w:cs="宋体"/>
                <w:b/>
                <w:bCs/>
                <w:color w:val="auto"/>
                <w:spacing w:val="-9"/>
                <w:kern w:val="1"/>
                <w:sz w:val="21"/>
                <w:szCs w:val="21"/>
                <w:highlight w:val="none"/>
              </w:rPr>
              <w:t>内容</w:t>
            </w:r>
            <w:r>
              <w:rPr>
                <w:rFonts w:hint="eastAsia" w:ascii="宋体" w:hAnsi="宋体" w:eastAsia="宋体" w:cs="宋体"/>
                <w:b/>
                <w:bCs/>
                <w:color w:val="auto"/>
                <w:kern w:val="1"/>
                <w:sz w:val="21"/>
                <w:szCs w:val="21"/>
                <w:highlight w:val="none"/>
              </w:rPr>
              <w:t>片面或内容缺失不完善的，仅能部分满足实际需求的得0-1.0分，本项最高</w:t>
            </w:r>
            <w:r>
              <w:rPr>
                <w:rFonts w:hint="eastAsia" w:ascii="宋体" w:hAnsi="宋体" w:eastAsia="宋体" w:cs="宋体"/>
                <w:b/>
                <w:bCs/>
                <w:color w:val="auto"/>
                <w:kern w:val="1"/>
                <w:sz w:val="21"/>
                <w:szCs w:val="21"/>
                <w:highlight w:val="none"/>
                <w:lang w:val="en-US" w:eastAsia="zh-CN"/>
              </w:rPr>
              <w:t>3</w:t>
            </w:r>
            <w:r>
              <w:rPr>
                <w:rFonts w:hint="eastAsia" w:ascii="宋体" w:hAnsi="宋体" w:eastAsia="宋体" w:cs="宋体"/>
                <w:b/>
                <w:bCs/>
                <w:color w:val="auto"/>
                <w:kern w:val="1"/>
                <w:sz w:val="21"/>
                <w:szCs w:val="21"/>
                <w:highlight w:val="none"/>
              </w:rPr>
              <w:t>分。</w:t>
            </w:r>
            <w:bookmarkEnd w:id="136"/>
            <w:bookmarkEnd w:id="137"/>
          </w:p>
        </w:tc>
        <w:tc>
          <w:tcPr>
            <w:tcW w:w="710" w:type="dxa"/>
            <w:tcBorders>
              <w:top w:val="single" w:color="auto" w:sz="4" w:space="0"/>
              <w:bottom w:val="single" w:color="auto" w:sz="4" w:space="0"/>
            </w:tcBorders>
            <w:vAlign w:val="center"/>
          </w:tcPr>
          <w:p w14:paraId="082A7A6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210" w:type="dxa"/>
            <w:tcBorders>
              <w:top w:val="single" w:color="auto" w:sz="4" w:space="0"/>
              <w:left w:val="single" w:color="auto" w:sz="4" w:space="0"/>
              <w:bottom w:val="single" w:color="auto" w:sz="4" w:space="0"/>
              <w:right w:val="single" w:color="auto" w:sz="4" w:space="0"/>
            </w:tcBorders>
            <w:vAlign w:val="center"/>
          </w:tcPr>
          <w:p w14:paraId="6971346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0D86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66" w:type="dxa"/>
            <w:vMerge w:val="continue"/>
            <w:tcBorders>
              <w:left w:val="single" w:color="auto" w:sz="4" w:space="0"/>
            </w:tcBorders>
            <w:vAlign w:val="center"/>
          </w:tcPr>
          <w:p w14:paraId="2BE3C22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79A60CF6">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kern w:val="0"/>
                <w:sz w:val="21"/>
                <w:szCs w:val="21"/>
                <w:highlight w:val="none"/>
              </w:rPr>
            </w:pPr>
            <w:bookmarkStart w:id="138" w:name="OLE_LINK47"/>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供应商实力：</w:t>
            </w:r>
          </w:p>
          <w:p w14:paraId="6C5AEE04">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投标人具有电子与智能化工程专业承包贰级及以上</w:t>
            </w:r>
            <w:r>
              <w:rPr>
                <w:rFonts w:hint="eastAsia" w:ascii="宋体" w:hAnsi="宋体" w:eastAsia="宋体" w:cs="宋体"/>
                <w:b/>
                <w:bCs/>
                <w:color w:val="auto"/>
                <w:kern w:val="0"/>
                <w:sz w:val="21"/>
                <w:szCs w:val="21"/>
                <w:highlight w:val="none"/>
                <w:lang w:val="en-US" w:eastAsia="zh-CN"/>
              </w:rPr>
              <w:t>资质的，</w:t>
            </w:r>
            <w:r>
              <w:rPr>
                <w:rFonts w:hint="eastAsia" w:ascii="宋体" w:hAnsi="宋体" w:eastAsia="宋体" w:cs="宋体"/>
                <w:b/>
                <w:bCs/>
                <w:color w:val="auto"/>
                <w:kern w:val="0"/>
                <w:sz w:val="21"/>
                <w:szCs w:val="21"/>
                <w:highlight w:val="none"/>
              </w:rPr>
              <w:t>得</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p w14:paraId="562BDA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注：投标文件中提供以上证书（有效期内）复印</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扫描）</w:t>
            </w:r>
            <w:r>
              <w:rPr>
                <w:rFonts w:hint="eastAsia" w:ascii="宋体" w:hAnsi="宋体" w:eastAsia="宋体" w:cs="宋体"/>
                <w:b/>
                <w:bCs/>
                <w:color w:val="auto"/>
                <w:kern w:val="0"/>
                <w:sz w:val="21"/>
                <w:szCs w:val="21"/>
                <w:highlight w:val="none"/>
              </w:rPr>
              <w:t>件并加盖公章。</w:t>
            </w:r>
            <w:bookmarkEnd w:id="138"/>
          </w:p>
        </w:tc>
        <w:tc>
          <w:tcPr>
            <w:tcW w:w="710" w:type="dxa"/>
            <w:tcBorders>
              <w:top w:val="single" w:color="auto" w:sz="4" w:space="0"/>
              <w:bottom w:val="single" w:color="auto" w:sz="4" w:space="0"/>
            </w:tcBorders>
            <w:vAlign w:val="center"/>
          </w:tcPr>
          <w:p w14:paraId="537C4AE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1210" w:type="dxa"/>
            <w:tcBorders>
              <w:top w:val="single" w:color="auto" w:sz="4" w:space="0"/>
              <w:left w:val="single" w:color="auto" w:sz="4" w:space="0"/>
              <w:bottom w:val="single" w:color="auto" w:sz="4" w:space="0"/>
              <w:right w:val="single" w:color="auto" w:sz="4" w:space="0"/>
            </w:tcBorders>
            <w:vAlign w:val="center"/>
          </w:tcPr>
          <w:p w14:paraId="510969B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客观分</w:t>
            </w:r>
          </w:p>
        </w:tc>
      </w:tr>
      <w:tr w14:paraId="04C7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vMerge w:val="continue"/>
            <w:tcBorders>
              <w:left w:val="single" w:color="auto" w:sz="4" w:space="0"/>
            </w:tcBorders>
            <w:vAlign w:val="center"/>
          </w:tcPr>
          <w:p w14:paraId="502719C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rPr>
            </w:pPr>
          </w:p>
        </w:tc>
        <w:tc>
          <w:tcPr>
            <w:tcW w:w="7016" w:type="dxa"/>
            <w:gridSpan w:val="2"/>
            <w:tcBorders>
              <w:top w:val="single" w:color="auto" w:sz="4" w:space="0"/>
              <w:bottom w:val="single" w:color="auto" w:sz="4" w:space="0"/>
            </w:tcBorders>
            <w:vAlign w:val="center"/>
          </w:tcPr>
          <w:p w14:paraId="49E9C1C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1"/>
                <w:szCs w:val="21"/>
                <w:highlight w:val="none"/>
                <w:lang w:val="zh-CN"/>
              </w:rPr>
            </w:pPr>
            <w:bookmarkStart w:id="139" w:name="OLE_LINK42"/>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类似</w:t>
            </w:r>
            <w:r>
              <w:rPr>
                <w:rFonts w:hint="eastAsia" w:ascii="宋体" w:hAnsi="宋体" w:eastAsia="宋体" w:cs="宋体"/>
                <w:b/>
                <w:bCs/>
                <w:color w:val="auto"/>
                <w:sz w:val="21"/>
                <w:szCs w:val="21"/>
                <w:highlight w:val="none"/>
              </w:rPr>
              <w:t>业绩：</w:t>
            </w:r>
            <w:r>
              <w:rPr>
                <w:rFonts w:hint="eastAsia" w:ascii="宋体" w:hAnsi="宋体" w:eastAsia="宋体" w:cs="宋体"/>
                <w:b/>
                <w:bCs/>
                <w:color w:val="auto"/>
                <w:sz w:val="21"/>
                <w:szCs w:val="21"/>
                <w:highlight w:val="none"/>
                <w:lang w:val="zh-CN"/>
              </w:rPr>
              <w:t>自20</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年1月1日至今，</w:t>
            </w:r>
            <w:r>
              <w:rPr>
                <w:rFonts w:hint="eastAsia" w:ascii="宋体" w:hAnsi="宋体" w:eastAsia="宋体" w:cs="宋体"/>
                <w:b/>
                <w:bCs/>
                <w:color w:val="auto"/>
                <w:sz w:val="21"/>
                <w:szCs w:val="21"/>
                <w:highlight w:val="none"/>
              </w:rPr>
              <w:t>投标人具有类似</w:t>
            </w:r>
            <w:r>
              <w:rPr>
                <w:rFonts w:hint="eastAsia" w:ascii="宋体" w:hAnsi="宋体" w:eastAsia="宋体" w:cs="宋体"/>
                <w:b/>
                <w:bCs/>
                <w:color w:val="auto"/>
                <w:sz w:val="21"/>
                <w:szCs w:val="21"/>
                <w:highlight w:val="none"/>
                <w:lang w:val="en-US" w:eastAsia="zh-CN"/>
              </w:rPr>
              <w:t>业绩</w:t>
            </w:r>
            <w:r>
              <w:rPr>
                <w:rFonts w:hint="eastAsia" w:ascii="宋体" w:hAnsi="宋体" w:eastAsia="宋体" w:cs="宋体"/>
                <w:b/>
                <w:bCs/>
                <w:color w:val="auto"/>
                <w:sz w:val="21"/>
                <w:szCs w:val="21"/>
                <w:highlight w:val="none"/>
              </w:rPr>
              <w:t>的，每提供1个得</w:t>
            </w:r>
            <w:r>
              <w:rPr>
                <w:rFonts w:hint="eastAsia" w:ascii="宋体" w:hAnsi="宋体" w:eastAsia="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分，满分</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zh-CN"/>
              </w:rPr>
              <w:t>。</w:t>
            </w:r>
          </w:p>
          <w:p w14:paraId="0D0D97E8">
            <w:pPr>
              <w:keepNext w:val="0"/>
              <w:keepLines w:val="0"/>
              <w:pageBreakBefore w:val="0"/>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注：时间以合同签订时间为准，</w:t>
            </w:r>
            <w:r>
              <w:rPr>
                <w:rFonts w:hint="eastAsia" w:ascii="宋体" w:hAnsi="宋体" w:eastAsia="宋体" w:cs="宋体"/>
                <w:b/>
                <w:bCs/>
                <w:color w:val="auto"/>
                <w:sz w:val="21"/>
                <w:szCs w:val="21"/>
                <w:highlight w:val="none"/>
                <w:lang w:val="en-US" w:eastAsia="zh-CN"/>
              </w:rPr>
              <w:t>提供符合要求的合同复印（扫描）件并加盖公章，</w:t>
            </w:r>
            <w:r>
              <w:rPr>
                <w:rFonts w:hint="eastAsia" w:ascii="宋体" w:hAnsi="宋体" w:eastAsia="宋体" w:cs="宋体"/>
                <w:b/>
                <w:bCs/>
                <w:color w:val="auto"/>
                <w:sz w:val="21"/>
                <w:szCs w:val="21"/>
                <w:highlight w:val="none"/>
              </w:rPr>
              <w:t>未提供或提供不全的，不得分，最终</w:t>
            </w:r>
            <w:r>
              <w:rPr>
                <w:rFonts w:hint="eastAsia" w:ascii="宋体" w:hAnsi="宋体" w:eastAsia="宋体" w:cs="宋体"/>
                <w:b/>
                <w:bCs/>
                <w:color w:val="auto"/>
                <w:sz w:val="21"/>
                <w:szCs w:val="21"/>
                <w:highlight w:val="none"/>
                <w:lang w:val="en-US" w:eastAsia="zh-CN"/>
              </w:rPr>
              <w:t>以</w:t>
            </w:r>
            <w:r>
              <w:rPr>
                <w:rFonts w:hint="eastAsia" w:ascii="宋体" w:hAnsi="宋体" w:eastAsia="宋体" w:cs="宋体"/>
                <w:b/>
                <w:bCs/>
                <w:color w:val="auto"/>
                <w:sz w:val="21"/>
                <w:szCs w:val="21"/>
                <w:highlight w:val="none"/>
              </w:rPr>
              <w:t>评标委员会评审为准。</w:t>
            </w:r>
            <w:bookmarkEnd w:id="139"/>
          </w:p>
        </w:tc>
        <w:tc>
          <w:tcPr>
            <w:tcW w:w="710" w:type="dxa"/>
            <w:tcBorders>
              <w:top w:val="single" w:color="auto" w:sz="4" w:space="0"/>
              <w:bottom w:val="single" w:color="auto" w:sz="4" w:space="0"/>
            </w:tcBorders>
            <w:vAlign w:val="center"/>
          </w:tcPr>
          <w:p w14:paraId="07B8EDF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1210" w:type="dxa"/>
            <w:tcBorders>
              <w:top w:val="single" w:color="auto" w:sz="4" w:space="0"/>
              <w:left w:val="single" w:color="auto" w:sz="4" w:space="0"/>
              <w:bottom w:val="single" w:color="auto" w:sz="4" w:space="0"/>
              <w:right w:val="single" w:color="auto" w:sz="4" w:space="0"/>
            </w:tcBorders>
            <w:vAlign w:val="center"/>
          </w:tcPr>
          <w:p w14:paraId="74B65D0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客观分</w:t>
            </w:r>
          </w:p>
        </w:tc>
      </w:tr>
      <w:tr w14:paraId="2EDD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6" w:type="dxa"/>
            <w:tcBorders>
              <w:top w:val="single" w:color="auto" w:sz="4" w:space="0"/>
              <w:left w:val="single" w:color="auto" w:sz="4" w:space="0"/>
              <w:bottom w:val="single" w:color="auto" w:sz="4" w:space="0"/>
            </w:tcBorders>
            <w:vAlign w:val="center"/>
          </w:tcPr>
          <w:p w14:paraId="5C825C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rPr>
              <w:t>价格分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p>
        </w:tc>
        <w:tc>
          <w:tcPr>
            <w:tcW w:w="7016" w:type="dxa"/>
            <w:gridSpan w:val="2"/>
            <w:tcBorders>
              <w:top w:val="single" w:color="auto" w:sz="4" w:space="0"/>
              <w:bottom w:val="single" w:color="auto" w:sz="4" w:space="0"/>
            </w:tcBorders>
            <w:vAlign w:val="center"/>
          </w:tcPr>
          <w:p w14:paraId="2A3D8049">
            <w:pPr>
              <w:keepNext w:val="0"/>
              <w:keepLines w:val="0"/>
              <w:pageBreakBefore w:val="0"/>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评标基准价：满足招标要求的有效投标（初步评审合格且商务、技术、报价部分评审合格）且参与评审的价格最低（经评议后，少数服从多数原则，评标委员会认为该投标报价漏项或报价不合理的除外）的为评标基准价，参与评审的价格等于评标基准价的其价格得分得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3C3CF641">
            <w:pPr>
              <w:keepNext w:val="0"/>
              <w:keepLines w:val="0"/>
              <w:pageBreakBefore w:val="0"/>
              <w:tabs>
                <w:tab w:val="left" w:pos="0"/>
              </w:tabs>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参与评审的价格=投标报价</w:t>
            </w:r>
          </w:p>
          <w:p w14:paraId="49291DA1">
            <w:pPr>
              <w:keepNext w:val="0"/>
              <w:keepLines w:val="0"/>
              <w:pageBreakBefore w:val="0"/>
              <w:tabs>
                <w:tab w:val="left" w:pos="0"/>
              </w:tabs>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小数服从多数原则）成员认为其成本测算依据不合理的，将作无效标处理。</w:t>
            </w:r>
          </w:p>
          <w:p w14:paraId="55489D29">
            <w:pPr>
              <w:keepNext w:val="0"/>
              <w:keepLines w:val="0"/>
              <w:pageBreakBefore w:val="0"/>
              <w:tabs>
                <w:tab w:val="left" w:pos="0"/>
              </w:tabs>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其他投标人价格得分按照下列公式计算：</w:t>
            </w:r>
          </w:p>
          <w:p w14:paraId="59D1F178">
            <w:pPr>
              <w:keepNext w:val="0"/>
              <w:keepLines w:val="0"/>
              <w:pageBreakBefore w:val="0"/>
              <w:tabs>
                <w:tab w:val="left" w:pos="0"/>
              </w:tabs>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价格得分=（评标基准价/各投标人参与评审的价格）×</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%×100。</w:t>
            </w:r>
          </w:p>
          <w:p w14:paraId="4851A343">
            <w:pPr>
              <w:keepNext w:val="0"/>
              <w:keepLines w:val="0"/>
              <w:pageBreakBefore w:val="0"/>
              <w:tabs>
                <w:tab w:val="left" w:pos="0"/>
              </w:tabs>
              <w:kinsoku/>
              <w:wordWrap/>
              <w:overflowPunct/>
              <w:topLinePunct w:val="0"/>
              <w:autoSpaceDE/>
              <w:autoSpaceDN/>
              <w:bidi w:val="0"/>
              <w:adjustRightInd/>
              <w:snapToGrid/>
              <w:spacing w:line="340" w:lineRule="exact"/>
              <w:ind w:left="632" w:leftChars="100" w:hanging="422" w:hanging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注：1、投标人的报价超过最高限价（不含最高限价）的作无效报价。</w:t>
            </w:r>
          </w:p>
          <w:p w14:paraId="331A063F">
            <w:pPr>
              <w:keepNext w:val="0"/>
              <w:keepLines w:val="0"/>
              <w:pageBreakBefore w:val="0"/>
              <w:widowControl/>
              <w:kinsoku/>
              <w:wordWrap/>
              <w:overflowPunct/>
              <w:topLinePunct w:val="0"/>
              <w:autoSpaceDE/>
              <w:autoSpaceDN/>
              <w:bidi w:val="0"/>
              <w:adjustRightInd/>
              <w:snapToGrid/>
              <w:spacing w:line="340" w:lineRule="exact"/>
              <w:ind w:firstLine="632" w:firstLineChars="3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2、价格得分小数点后保留2位小数，第3位小数四舍五入。</w:t>
            </w:r>
          </w:p>
        </w:tc>
        <w:tc>
          <w:tcPr>
            <w:tcW w:w="710" w:type="dxa"/>
            <w:tcBorders>
              <w:top w:val="single" w:color="auto" w:sz="4" w:space="0"/>
              <w:bottom w:val="single" w:color="auto" w:sz="4" w:space="0"/>
            </w:tcBorders>
            <w:vAlign w:val="center"/>
          </w:tcPr>
          <w:p w14:paraId="3BC532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w:t>
            </w:r>
          </w:p>
        </w:tc>
        <w:tc>
          <w:tcPr>
            <w:tcW w:w="1210" w:type="dxa"/>
            <w:tcBorders>
              <w:top w:val="single" w:color="auto" w:sz="4" w:space="0"/>
              <w:left w:val="single" w:color="auto" w:sz="4" w:space="0"/>
              <w:bottom w:val="single" w:color="auto" w:sz="4" w:space="0"/>
              <w:right w:val="single" w:color="auto" w:sz="4" w:space="0"/>
            </w:tcBorders>
            <w:vAlign w:val="center"/>
          </w:tcPr>
          <w:p w14:paraId="61D1054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客观分</w:t>
            </w:r>
          </w:p>
        </w:tc>
      </w:tr>
      <w:tr w14:paraId="300C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82" w:type="dxa"/>
            <w:gridSpan w:val="3"/>
            <w:tcBorders>
              <w:top w:val="single" w:color="auto" w:sz="4" w:space="0"/>
              <w:left w:val="single" w:color="auto" w:sz="4" w:space="0"/>
              <w:bottom w:val="single" w:color="auto" w:sz="4" w:space="0"/>
            </w:tcBorders>
            <w:vAlign w:val="center"/>
          </w:tcPr>
          <w:p w14:paraId="1C92555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  计</w:t>
            </w:r>
          </w:p>
        </w:tc>
        <w:tc>
          <w:tcPr>
            <w:tcW w:w="710" w:type="dxa"/>
            <w:tcBorders>
              <w:top w:val="single" w:color="auto" w:sz="4" w:space="0"/>
              <w:bottom w:val="single" w:color="auto" w:sz="4" w:space="0"/>
            </w:tcBorders>
            <w:vAlign w:val="center"/>
          </w:tcPr>
          <w:p w14:paraId="7AC94EB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w:t>
            </w:r>
          </w:p>
        </w:tc>
        <w:tc>
          <w:tcPr>
            <w:tcW w:w="1210" w:type="dxa"/>
            <w:tcBorders>
              <w:top w:val="single" w:color="auto" w:sz="4" w:space="0"/>
              <w:left w:val="single" w:color="auto" w:sz="4" w:space="0"/>
              <w:bottom w:val="single" w:color="auto" w:sz="4" w:space="0"/>
              <w:right w:val="single" w:color="auto" w:sz="4" w:space="0"/>
            </w:tcBorders>
            <w:vAlign w:val="center"/>
          </w:tcPr>
          <w:p w14:paraId="37FEBE2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highlight w:val="none"/>
              </w:rPr>
            </w:pPr>
          </w:p>
        </w:tc>
      </w:tr>
    </w:tbl>
    <w:p w14:paraId="503C172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highlight w:val="none"/>
        </w:rPr>
      </w:pPr>
    </w:p>
    <w:p w14:paraId="34D8B0A4">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1、各评标小组成员自行按以上参考分值评分，最多保留1位小数。</w:t>
      </w:r>
    </w:p>
    <w:p w14:paraId="66E7738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评审得分小数点后保留两位数</w:t>
      </w:r>
      <w:r>
        <w:rPr>
          <w:rFonts w:hint="eastAsia" w:ascii="宋体" w:hAnsi="宋体" w:eastAsia="宋体" w:cs="宋体"/>
          <w:color w:val="auto"/>
          <w:sz w:val="21"/>
          <w:szCs w:val="21"/>
          <w:highlight w:val="none"/>
        </w:rPr>
        <w:t>（第3位四舍五入）。</w:t>
      </w:r>
    </w:p>
    <w:p w14:paraId="403E307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highlight w:val="none"/>
        </w:rPr>
      </w:pPr>
    </w:p>
    <w:p w14:paraId="75008717">
      <w:pPr>
        <w:pStyle w:val="3"/>
        <w:keepNext/>
        <w:keepLines/>
        <w:pageBreakBefore w:val="0"/>
        <w:widowControl w:val="0"/>
        <w:kinsoku/>
        <w:wordWrap/>
        <w:overflowPunct/>
        <w:topLinePunct w:val="0"/>
        <w:autoSpaceDE/>
        <w:autoSpaceDN/>
        <w:bidi w:val="0"/>
        <w:adjustRightInd/>
        <w:snapToGrid/>
        <w:spacing w:before="0" w:line="240" w:lineRule="auto"/>
        <w:jc w:val="left"/>
        <w:textAlignment w:val="auto"/>
        <w:rPr>
          <w:rFonts w:hint="eastAsia" w:ascii="宋体" w:hAnsi="宋体" w:eastAsia="宋体" w:cs="宋体"/>
          <w:color w:val="auto"/>
          <w:sz w:val="24"/>
          <w:szCs w:val="24"/>
          <w:highlight w:val="none"/>
        </w:rPr>
      </w:pPr>
    </w:p>
    <w:p w14:paraId="6F62BB2F">
      <w:pPr>
        <w:pStyle w:val="3"/>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auto"/>
          <w:highlight w:val="none"/>
        </w:rPr>
      </w:pPr>
    </w:p>
    <w:p w14:paraId="0A292569">
      <w:pPr>
        <w:rPr>
          <w:rFonts w:hint="eastAsia" w:ascii="宋体" w:hAnsi="宋体" w:eastAsia="宋体" w:cs="宋体"/>
          <w:color w:val="auto"/>
          <w:highlight w:val="none"/>
        </w:rPr>
      </w:pPr>
    </w:p>
    <w:p w14:paraId="62E0AF86">
      <w:pPr>
        <w:rPr>
          <w:rFonts w:hint="eastAsia" w:ascii="宋体" w:hAnsi="宋体" w:eastAsia="宋体" w:cs="宋体"/>
          <w:color w:val="auto"/>
          <w:highlight w:val="none"/>
        </w:rPr>
      </w:pPr>
    </w:p>
    <w:p w14:paraId="7BB256AF">
      <w:pPr>
        <w:rPr>
          <w:rFonts w:hint="eastAsia" w:ascii="宋体" w:hAnsi="宋体" w:eastAsia="宋体" w:cs="宋体"/>
          <w:color w:val="auto"/>
          <w:highlight w:val="none"/>
        </w:rPr>
      </w:pPr>
    </w:p>
    <w:p w14:paraId="0666D88F">
      <w:pPr>
        <w:rPr>
          <w:rFonts w:hint="eastAsia" w:ascii="宋体" w:hAnsi="宋体" w:eastAsia="宋体" w:cs="宋体"/>
          <w:color w:val="auto"/>
          <w:highlight w:val="none"/>
        </w:rPr>
      </w:pPr>
    </w:p>
    <w:p w14:paraId="424FEF0B">
      <w:pPr>
        <w:rPr>
          <w:rFonts w:hint="eastAsia" w:ascii="宋体" w:hAnsi="宋体" w:eastAsia="宋体" w:cs="宋体"/>
          <w:color w:val="auto"/>
          <w:highlight w:val="none"/>
        </w:rPr>
      </w:pPr>
    </w:p>
    <w:p w14:paraId="3B3912B1">
      <w:pPr>
        <w:rPr>
          <w:rFonts w:hint="eastAsia" w:ascii="宋体" w:hAnsi="宋体" w:eastAsia="宋体" w:cs="宋体"/>
          <w:color w:val="auto"/>
          <w:highlight w:val="none"/>
        </w:rPr>
      </w:pPr>
    </w:p>
    <w:p w14:paraId="477E4FE1">
      <w:pPr>
        <w:rPr>
          <w:rFonts w:hint="eastAsia" w:ascii="宋体" w:hAnsi="宋体" w:eastAsia="宋体" w:cs="宋体"/>
          <w:color w:val="auto"/>
          <w:highlight w:val="none"/>
        </w:rPr>
      </w:pPr>
    </w:p>
    <w:p w14:paraId="01506F1C">
      <w:pPr>
        <w:rPr>
          <w:rFonts w:hint="eastAsia" w:ascii="宋体" w:hAnsi="宋体" w:eastAsia="宋体" w:cs="宋体"/>
          <w:color w:val="auto"/>
          <w:highlight w:val="none"/>
        </w:rPr>
      </w:pPr>
    </w:p>
    <w:p w14:paraId="01AD6096">
      <w:pPr>
        <w:rPr>
          <w:rFonts w:hint="eastAsia" w:ascii="宋体" w:hAnsi="宋体" w:eastAsia="宋体" w:cs="宋体"/>
          <w:color w:val="auto"/>
          <w:highlight w:val="none"/>
        </w:rPr>
      </w:pPr>
    </w:p>
    <w:p w14:paraId="0D7675AD">
      <w:pPr>
        <w:rPr>
          <w:rFonts w:hint="eastAsia" w:ascii="宋体" w:hAnsi="宋体" w:eastAsia="宋体" w:cs="宋体"/>
          <w:color w:val="auto"/>
          <w:highlight w:val="none"/>
        </w:rPr>
      </w:pPr>
    </w:p>
    <w:p w14:paraId="437245BE">
      <w:pPr>
        <w:rPr>
          <w:rFonts w:hint="eastAsia" w:ascii="宋体" w:hAnsi="宋体" w:eastAsia="宋体" w:cs="宋体"/>
          <w:color w:val="auto"/>
          <w:highlight w:val="none"/>
        </w:rPr>
      </w:pPr>
    </w:p>
    <w:p w14:paraId="3B8F7F28">
      <w:pPr>
        <w:rPr>
          <w:rFonts w:hint="eastAsia" w:ascii="宋体" w:hAnsi="宋体" w:eastAsia="宋体" w:cs="宋体"/>
          <w:color w:val="auto"/>
          <w:highlight w:val="none"/>
        </w:rPr>
      </w:pPr>
    </w:p>
    <w:p w14:paraId="2F456180">
      <w:pPr>
        <w:rPr>
          <w:rFonts w:hint="eastAsia" w:ascii="宋体" w:hAnsi="宋体" w:eastAsia="宋体" w:cs="宋体"/>
          <w:color w:val="auto"/>
          <w:highlight w:val="none"/>
        </w:rPr>
      </w:pPr>
    </w:p>
    <w:p w14:paraId="1522C4A8">
      <w:pPr>
        <w:rPr>
          <w:rFonts w:hint="eastAsia" w:ascii="宋体" w:hAnsi="宋体" w:eastAsia="宋体" w:cs="宋体"/>
          <w:color w:val="auto"/>
          <w:highlight w:val="none"/>
        </w:rPr>
      </w:pPr>
    </w:p>
    <w:p w14:paraId="23165E42">
      <w:pPr>
        <w:rPr>
          <w:rFonts w:hint="eastAsia" w:ascii="宋体" w:hAnsi="宋体" w:eastAsia="宋体" w:cs="宋体"/>
          <w:color w:val="auto"/>
          <w:highlight w:val="none"/>
        </w:rPr>
      </w:pPr>
    </w:p>
    <w:p w14:paraId="34338C5B">
      <w:pPr>
        <w:pStyle w:val="3"/>
        <w:keepNext/>
        <w:keepLines/>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第五章  合同格式</w:t>
      </w:r>
      <w:bookmarkEnd w:id="132"/>
    </w:p>
    <w:p w14:paraId="4C7F6A90">
      <w:pPr>
        <w:pStyle w:val="25"/>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（本合同为合同样稿，最终稿由甲乙双方协商后确定）</w:t>
      </w:r>
    </w:p>
    <w:p w14:paraId="35D50599">
      <w:pPr>
        <w:pStyle w:val="25"/>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eastAsia" w:ascii="宋体" w:hAnsi="宋体" w:eastAsia="宋体" w:cs="宋体"/>
          <w:color w:val="auto"/>
          <w:sz w:val="21"/>
          <w:szCs w:val="21"/>
          <w:highlight w:val="none"/>
        </w:rPr>
      </w:pPr>
    </w:p>
    <w:p w14:paraId="08A2E85E">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注：本合同文本格式、条款仅作为甲乙双方签订中标合同的参考，具体格式及条款由甲乙双方根据招标文件、乙方投标文件及其他与本次招标相关内容协商拟定。</w:t>
      </w:r>
    </w:p>
    <w:p w14:paraId="43E5727D">
      <w:pPr>
        <w:pStyle w:val="25"/>
        <w:spacing w:before="120" w:after="120" w:line="360" w:lineRule="auto"/>
        <w:rPr>
          <w:rFonts w:hint="eastAsia" w:ascii="宋体" w:hAnsi="宋体" w:eastAsia="宋体" w:cs="宋体"/>
          <w:color w:val="auto"/>
          <w:sz w:val="21"/>
          <w:szCs w:val="21"/>
          <w:highlight w:val="none"/>
        </w:rPr>
      </w:pPr>
    </w:p>
    <w:p w14:paraId="5420FA80">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(以下简称“甲方”)</w:t>
      </w:r>
    </w:p>
    <w:p w14:paraId="0DB3AD5D">
      <w:pPr>
        <w:pStyle w:val="25"/>
        <w:spacing w:before="120" w:after="12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9FF8B15">
      <w:pPr>
        <w:pStyle w:val="25"/>
        <w:spacing w:before="120" w:after="12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 xml:space="preserve">                               </w:t>
      </w:r>
    </w:p>
    <w:p w14:paraId="2692FAF6">
      <w:pPr>
        <w:pStyle w:val="25"/>
        <w:spacing w:before="120" w:after="12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p>
    <w:p w14:paraId="115032B9">
      <w:pPr>
        <w:rPr>
          <w:rFonts w:hint="eastAsia" w:ascii="宋体" w:hAnsi="宋体" w:eastAsia="宋体" w:cs="宋体"/>
          <w:color w:val="auto"/>
          <w:highlight w:val="none"/>
        </w:rPr>
      </w:pPr>
    </w:p>
    <w:p w14:paraId="1CC51994">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(以下简称“乙方”)</w:t>
      </w:r>
    </w:p>
    <w:p w14:paraId="44BC28C6">
      <w:pPr>
        <w:pStyle w:val="25"/>
        <w:spacing w:before="120" w:after="12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D60D24">
      <w:pPr>
        <w:pStyle w:val="25"/>
        <w:spacing w:before="120" w:after="12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u w:val="single"/>
        </w:rPr>
        <w:t xml:space="preserve">                                    </w:t>
      </w:r>
    </w:p>
    <w:p w14:paraId="7FD8BD3F">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p>
    <w:p w14:paraId="51E3CCA9">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甲、乙双方根据《中华人民共和国民法典》及相关法律法规，经友好协商签订本协议，双方共同遵守执行。</w:t>
      </w:r>
    </w:p>
    <w:p w14:paraId="1845259E">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一、服务内容</w:t>
      </w:r>
    </w:p>
    <w:p w14:paraId="354EBD12">
      <w:pPr>
        <w:rPr>
          <w:rFonts w:hint="eastAsia" w:ascii="宋体" w:hAnsi="宋体" w:eastAsia="宋体" w:cs="宋体"/>
          <w:color w:val="auto"/>
          <w:highlight w:val="none"/>
        </w:rPr>
      </w:pPr>
    </w:p>
    <w:p w14:paraId="7DD82F1C">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二、用途及要求</w:t>
      </w:r>
    </w:p>
    <w:p w14:paraId="7EC7A34D">
      <w:pPr>
        <w:pStyle w:val="25"/>
        <w:spacing w:before="120" w:after="120" w:line="360" w:lineRule="auto"/>
        <w:rPr>
          <w:rFonts w:hint="eastAsia" w:ascii="宋体" w:hAnsi="宋体" w:eastAsia="宋体" w:cs="宋体"/>
          <w:color w:val="auto"/>
          <w:sz w:val="21"/>
          <w:szCs w:val="21"/>
          <w:highlight w:val="none"/>
        </w:rPr>
      </w:pPr>
    </w:p>
    <w:p w14:paraId="2807AAF9">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三、服务期限</w:t>
      </w:r>
    </w:p>
    <w:p w14:paraId="2240336F">
      <w:pPr>
        <w:pStyle w:val="25"/>
        <w:numPr>
          <w:ilvl w:val="0"/>
          <w:numId w:val="13"/>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项目一招</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年，合同一年一签，采购人有权根据上一年度合同履约考核情况决定是否续签</w:t>
      </w:r>
      <w:r>
        <w:rPr>
          <w:rFonts w:hint="eastAsia" w:ascii="宋体" w:hAnsi="宋体" w:eastAsia="宋体" w:cs="宋体"/>
          <w:color w:val="auto"/>
          <w:sz w:val="21"/>
          <w:szCs w:val="21"/>
          <w:highlight w:val="none"/>
        </w:rPr>
        <w:t xml:space="preserve">。 </w:t>
      </w:r>
    </w:p>
    <w:p w14:paraId="7FAAC2DF">
      <w:pPr>
        <w:pStyle w:val="25"/>
        <w:numPr>
          <w:ilvl w:val="0"/>
          <w:numId w:val="13"/>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交付验收单签订之日为本协议生效之日，服务期限及服务费计费期间均以交付验收单签订之日为起始日。</w:t>
      </w:r>
    </w:p>
    <w:p w14:paraId="163D265D">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四、费用支付</w:t>
      </w:r>
    </w:p>
    <w:p w14:paraId="1EC206C9">
      <w:pPr>
        <w:pStyle w:val="25"/>
        <w:numPr>
          <w:ilvl w:val="0"/>
          <w:numId w:val="14"/>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w:t>
      </w:r>
    </w:p>
    <w:p w14:paraId="7B3915CA">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服务费金额：含税价费用为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p>
    <w:p w14:paraId="379D83B8">
      <w:pPr>
        <w:pStyle w:val="25"/>
        <w:numPr>
          <w:ilvl w:val="0"/>
          <w:numId w:val="14"/>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支付时间与方式：</w:t>
      </w:r>
    </w:p>
    <w:p w14:paraId="0FE1998D">
      <w:pPr>
        <w:pStyle w:val="25"/>
        <w:spacing w:before="120" w:after="12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合同生效并具备实施条件后7个工作日内，</w:t>
      </w:r>
      <w:r>
        <w:rPr>
          <w:rFonts w:hint="eastAsia" w:ascii="宋体" w:hAnsi="宋体" w:eastAsia="宋体" w:cs="宋体"/>
          <w:color w:val="auto"/>
          <w:kern w:val="0"/>
          <w:sz w:val="21"/>
          <w:szCs w:val="21"/>
          <w:highlight w:val="none"/>
        </w:rPr>
        <w:t>支付中标人合同总价金额的</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0%作为合同预付款</w:t>
      </w:r>
      <w:r>
        <w:rPr>
          <w:rFonts w:hint="eastAsia" w:ascii="宋体" w:hAnsi="宋体" w:eastAsia="宋体" w:cs="宋体"/>
          <w:color w:val="auto"/>
          <w:sz w:val="21"/>
          <w:szCs w:val="21"/>
          <w:highlight w:val="none"/>
        </w:rPr>
        <w:t>（预付款保函应由银行、保险公司等金融机构出具且与预付款同等金额）；中标人于合同签订前书面承诺放弃预付款或降低预付款支付比例的，可不适用本条款。</w:t>
      </w:r>
      <w:r>
        <w:rPr>
          <w:rFonts w:hint="eastAsia" w:ascii="宋体" w:hAnsi="宋体" w:eastAsia="宋体" w:cs="宋体"/>
          <w:color w:val="auto"/>
          <w:sz w:val="21"/>
          <w:szCs w:val="21"/>
          <w:highlight w:val="none"/>
          <w:lang w:val="en-US" w:eastAsia="zh-CN"/>
        </w:rPr>
        <w:t>项目验收后，一次性支付剩余款项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若已支付预付款的，须扣除已支付的预付款。</w:t>
      </w:r>
    </w:p>
    <w:p w14:paraId="137BFD11">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乙方指定银行账户如下：</w:t>
      </w:r>
    </w:p>
    <w:p w14:paraId="0177CC9F">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公司名称：</w:t>
      </w:r>
    </w:p>
    <w:p w14:paraId="02BFC586">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95EF22B">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1B760413">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w:t>
      </w:r>
    </w:p>
    <w:p w14:paraId="52BA0368">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p>
    <w:p w14:paraId="28E9BEB2">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p w14:paraId="7BB71BA0">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五、甲乙双方的权利和义务</w:t>
      </w:r>
    </w:p>
    <w:p w14:paraId="46F61E0E">
      <w:pPr>
        <w:pStyle w:val="25"/>
        <w:numPr>
          <w:ilvl w:val="0"/>
          <w:numId w:val="15"/>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甲方的权利和义务</w:t>
      </w:r>
    </w:p>
    <w:p w14:paraId="2782B693">
      <w:pPr>
        <w:pStyle w:val="25"/>
        <w:numPr>
          <w:ilvl w:val="0"/>
          <w:numId w:val="16"/>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甲方在使用乙方提供的相关服务时，应当遵守国家法律、法规及相关规定；</w:t>
      </w:r>
    </w:p>
    <w:p w14:paraId="2011BBB9">
      <w:pPr>
        <w:pStyle w:val="25"/>
        <w:numPr>
          <w:ilvl w:val="0"/>
          <w:numId w:val="16"/>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未经乙方许可，甲方不得在本合同范围外使用乙方提供的相关资料或将相关资料披露给任何第三方；</w:t>
      </w:r>
    </w:p>
    <w:p w14:paraId="289E9FF7">
      <w:pPr>
        <w:pStyle w:val="25"/>
        <w:numPr>
          <w:ilvl w:val="0"/>
          <w:numId w:val="16"/>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保证该项目合同款项按合同约定进行支付；</w:t>
      </w:r>
    </w:p>
    <w:p w14:paraId="75087919">
      <w:pPr>
        <w:pStyle w:val="25"/>
        <w:numPr>
          <w:ilvl w:val="0"/>
          <w:numId w:val="16"/>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甲方应在收到乙方验收申请后15个工作日内完成验收工作。</w:t>
      </w:r>
    </w:p>
    <w:p w14:paraId="5B72B8D9">
      <w:pPr>
        <w:pStyle w:val="25"/>
        <w:numPr>
          <w:ilvl w:val="0"/>
          <w:numId w:val="15"/>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乙方权利和义务</w:t>
      </w:r>
    </w:p>
    <w:p w14:paraId="5B2DEAE2">
      <w:pPr>
        <w:pStyle w:val="25"/>
        <w:numPr>
          <w:ilvl w:val="0"/>
          <w:numId w:val="17"/>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定期向甲方汇报项目进展情况；</w:t>
      </w:r>
    </w:p>
    <w:p w14:paraId="4608FBFC">
      <w:pPr>
        <w:pStyle w:val="25"/>
        <w:numPr>
          <w:ilvl w:val="0"/>
          <w:numId w:val="17"/>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严格按照项目采购文件、合同要求组织开展项目实施；</w:t>
      </w:r>
    </w:p>
    <w:p w14:paraId="1D3C80CB">
      <w:pPr>
        <w:pStyle w:val="25"/>
        <w:numPr>
          <w:ilvl w:val="0"/>
          <w:numId w:val="17"/>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未经甲方许可，乙方不得在本合同范围外使用甲方提供的相关资料或将相关资料披露给任何第三方；</w:t>
      </w:r>
    </w:p>
    <w:p w14:paraId="20930B5A">
      <w:pPr>
        <w:pStyle w:val="25"/>
        <w:numPr>
          <w:ilvl w:val="0"/>
          <w:numId w:val="17"/>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客户服务：乙方提供7*24小时维护服务热线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重大活动期间提供人员支撑服务。</w:t>
      </w:r>
    </w:p>
    <w:p w14:paraId="2F37D8FA">
      <w:pPr>
        <w:pStyle w:val="25"/>
        <w:numPr>
          <w:ilvl w:val="0"/>
          <w:numId w:val="17"/>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非乙方原因导致合同提前终止，甲方需要补偿乙方投入各项成本，补偿标准为剩余总年限合额服务费。</w:t>
      </w:r>
    </w:p>
    <w:p w14:paraId="588EE311">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六、故障中断与恢复</w:t>
      </w:r>
    </w:p>
    <w:p w14:paraId="3F751055">
      <w:pPr>
        <w:pStyle w:val="25"/>
        <w:numPr>
          <w:ilvl w:val="0"/>
          <w:numId w:val="18"/>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中断：一旦发现设备故障，经乙方检查，如确系乙方提供的场地或配套设备导致的故障，乙方应尽快维修恢复甲方的使用，一切维修费用由乙方承担。如确系运营商线路或者运营商设备故障引起，乙方应尽快通知相关方维修，并将处理进展及时告知甲方。</w:t>
      </w:r>
    </w:p>
    <w:p w14:paraId="2F571926">
      <w:pPr>
        <w:pStyle w:val="25"/>
        <w:numPr>
          <w:ilvl w:val="0"/>
          <w:numId w:val="18"/>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维护时间要求：乙方提供7×24小时服务全天候热线；接到维修要求后1小时内响应，24小时内解决故障，恢复甲方的使用。</w:t>
      </w:r>
    </w:p>
    <w:p w14:paraId="7C06E19D">
      <w:pPr>
        <w:pStyle w:val="25"/>
        <w:numPr>
          <w:ilvl w:val="0"/>
          <w:numId w:val="18"/>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乙方改造、维护、测试等可能导致服务中断前应提前3个工作日书面通知甲方。</w:t>
      </w:r>
    </w:p>
    <w:p w14:paraId="6BAFF9B6">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七、协议的成立、变更、解除及违约责任</w:t>
      </w:r>
    </w:p>
    <w:p w14:paraId="6ED87BAD">
      <w:pPr>
        <w:pStyle w:val="25"/>
        <w:numPr>
          <w:ilvl w:val="0"/>
          <w:numId w:val="19"/>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本协议由双方法定代表人或授权委托人签署并盖章后方可成立。服务履行完毕后即终止。</w:t>
      </w:r>
    </w:p>
    <w:p w14:paraId="5D5321D2">
      <w:pPr>
        <w:pStyle w:val="25"/>
        <w:numPr>
          <w:ilvl w:val="0"/>
          <w:numId w:val="19"/>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任何一方提出变更或解除协议时，须经双方协商一致，并签订书面更改协议，书面协议应视为本协议不可分割的组成部分。</w:t>
      </w:r>
    </w:p>
    <w:p w14:paraId="2D633747">
      <w:pPr>
        <w:pStyle w:val="25"/>
        <w:numPr>
          <w:ilvl w:val="0"/>
          <w:numId w:val="19"/>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未能按甲方规定的日期完成项目时,应向甲方赔偿延期损失费，延期交付一天，甲方有权扣除合同总金额的千分之一，以此类推。因天气、交通、政府行为等不可抗力原因造成的工期拖期，乙方不承担赔偿责任。</w:t>
      </w:r>
    </w:p>
    <w:p w14:paraId="524662F5">
      <w:pPr>
        <w:pStyle w:val="25"/>
        <w:numPr>
          <w:ilvl w:val="0"/>
          <w:numId w:val="19"/>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若甲方不能按照本协议规定的时间按时付款，则甲方应按每延期一天，向乙方支付合同总金额的千分之一作为违约金，以此类推。</w:t>
      </w:r>
    </w:p>
    <w:p w14:paraId="5E86930D">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八、不可抗力</w:t>
      </w:r>
    </w:p>
    <w:p w14:paraId="23936217">
      <w:pPr>
        <w:pStyle w:val="25"/>
        <w:numPr>
          <w:ilvl w:val="0"/>
          <w:numId w:val="20"/>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本协议不可抗力是指出现地震、台风以及其他本协议双方不能预见，并且对其发生和后果不能防止或不能避免且不可克服的客观情况。</w:t>
      </w:r>
    </w:p>
    <w:p w14:paraId="76E231D6">
      <w:pPr>
        <w:pStyle w:val="25"/>
        <w:numPr>
          <w:ilvl w:val="0"/>
          <w:numId w:val="20"/>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因不可抗力导致甲乙双方或一方不能履行或不能完全履行本协议项下有关义务时，双方相互不承担违约责任。但遇不可抗力的一方，应于不可抗力影响消除后30个工作日内将情况书面告知对方。</w:t>
      </w:r>
    </w:p>
    <w:p w14:paraId="7CB81B75">
      <w:pPr>
        <w:pStyle w:val="25"/>
        <w:numPr>
          <w:ilvl w:val="0"/>
          <w:numId w:val="20"/>
        </w:numPr>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因不可抗力不能履行协议的，根据不可抗力的影响，受影响方部分或全部免除责任，但法律另有规定的除外。迟延履行协议后发生不可抗力的，不能免除责任。</w:t>
      </w:r>
    </w:p>
    <w:p w14:paraId="49743A0E">
      <w:pPr>
        <w:pStyle w:val="25"/>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九、争议解决方式</w:t>
      </w:r>
    </w:p>
    <w:p w14:paraId="539EE626">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凡执行本协议发生的一切争议，应由甲、乙双方通过友好协商解决；如协商解决不成，则任何一方均可向甲方住所地人民法院提起诉讼。</w:t>
      </w:r>
    </w:p>
    <w:p w14:paraId="375519F2">
      <w:pPr>
        <w:pStyle w:val="25"/>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本协议一式陆份，双方各执叁份，自双方签字盖章之日起生效，本合同另有约定，以相应约定为准。</w:t>
      </w:r>
    </w:p>
    <w:p w14:paraId="4D873683">
      <w:pPr>
        <w:rPr>
          <w:rFonts w:hint="eastAsia" w:ascii="宋体" w:hAnsi="宋体" w:eastAsia="宋体" w:cs="宋体"/>
          <w:color w:val="auto"/>
          <w:szCs w:val="21"/>
          <w:highlight w:val="none"/>
        </w:rPr>
      </w:pPr>
    </w:p>
    <w:p w14:paraId="794A9846">
      <w:pPr>
        <w:pStyle w:val="25"/>
        <w:keepNext w:val="0"/>
        <w:keepLines w:val="0"/>
        <w:pageBreakBefore w:val="0"/>
        <w:widowControl w:val="0"/>
        <w:kinsoku/>
        <w:wordWrap/>
        <w:overflowPunct/>
        <w:topLinePunct w:val="0"/>
        <w:autoSpaceDE/>
        <w:autoSpaceDN/>
        <w:bidi w:val="0"/>
        <w:adjustRightInd/>
        <w:snapToGrid/>
        <w:spacing w:before="120" w:after="120"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14:paraId="47695279">
      <w:pPr>
        <w:pStyle w:val="25"/>
        <w:keepNext w:val="0"/>
        <w:keepLines w:val="0"/>
        <w:pageBreakBefore w:val="0"/>
        <w:widowControl w:val="0"/>
        <w:kinsoku/>
        <w:wordWrap/>
        <w:overflowPunct/>
        <w:topLinePunct w:val="0"/>
        <w:autoSpaceDE/>
        <w:autoSpaceDN/>
        <w:bidi w:val="0"/>
        <w:adjustRightInd/>
        <w:snapToGrid/>
        <w:spacing w:before="120" w:after="120"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              法定代表人或授权代表人签字：</w:t>
      </w:r>
    </w:p>
    <w:p w14:paraId="3BBF5B2D">
      <w:pPr>
        <w:pStyle w:val="25"/>
        <w:keepNext w:val="0"/>
        <w:keepLines w:val="0"/>
        <w:pageBreakBefore w:val="0"/>
        <w:widowControl w:val="0"/>
        <w:kinsoku/>
        <w:wordWrap/>
        <w:overflowPunct/>
        <w:topLinePunct w:val="0"/>
        <w:autoSpaceDE/>
        <w:autoSpaceDN/>
        <w:bidi w:val="0"/>
        <w:adjustRightInd/>
        <w:snapToGrid/>
        <w:spacing w:before="120" w:after="120"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14:paraId="0FAA26FE">
      <w:pPr>
        <w:pStyle w:val="19"/>
        <w:rPr>
          <w:rFonts w:hint="eastAsia" w:ascii="宋体" w:hAnsi="宋体" w:eastAsia="宋体" w:cs="宋体"/>
          <w:color w:val="auto"/>
          <w:highlight w:val="none"/>
          <w:lang w:val="zh-CN"/>
        </w:rPr>
      </w:pPr>
    </w:p>
    <w:p w14:paraId="1B1DD0F7">
      <w:pPr>
        <w:rPr>
          <w:rFonts w:hint="eastAsia" w:ascii="宋体" w:hAnsi="宋体" w:eastAsia="宋体" w:cs="宋体"/>
          <w:color w:val="auto"/>
          <w:highlight w:val="none"/>
        </w:rPr>
      </w:pPr>
      <w:bookmarkStart w:id="140" w:name="_Toc530378534"/>
    </w:p>
    <w:p w14:paraId="5E357C8F">
      <w:pPr>
        <w:pStyle w:val="3"/>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140"/>
    </w:p>
    <w:p w14:paraId="03477DD1">
      <w:pPr>
        <w:snapToGrid w:val="0"/>
        <w:spacing w:before="120" w:beforeLines="50" w:after="50"/>
        <w:rPr>
          <w:rFonts w:hint="eastAsia" w:ascii="宋体" w:hAnsi="宋体" w:eastAsia="宋体" w:cs="宋体"/>
          <w:b/>
          <w:color w:val="auto"/>
          <w:szCs w:val="21"/>
          <w:highlight w:val="none"/>
        </w:rPr>
      </w:pPr>
    </w:p>
    <w:p w14:paraId="3BEBDD38">
      <w:pPr>
        <w:snapToGrid w:val="0"/>
        <w:spacing w:before="120" w:beforeLines="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电子备份投标文件的外包装封面格式（可选用）：</w:t>
      </w:r>
    </w:p>
    <w:p w14:paraId="3D7DD185">
      <w:pPr>
        <w:snapToGrid w:val="0"/>
        <w:spacing w:before="120" w:beforeLines="50" w:after="50"/>
        <w:rPr>
          <w:rFonts w:hint="eastAsia" w:ascii="宋体" w:hAnsi="宋体" w:eastAsia="宋体" w:cs="宋体"/>
          <w:b/>
          <w:bCs/>
          <w:color w:val="auto"/>
          <w:szCs w:val="21"/>
          <w:highlight w:val="none"/>
        </w:rPr>
      </w:pPr>
    </w:p>
    <w:p w14:paraId="50084B3D">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外包装格式：</w:t>
      </w:r>
    </w:p>
    <w:p w14:paraId="226302B0">
      <w:pPr>
        <w:snapToGrid w:val="0"/>
        <w:spacing w:before="120" w:beforeLines="50" w:after="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电子备份投标文件</w:t>
      </w:r>
    </w:p>
    <w:p w14:paraId="20721103">
      <w:pPr>
        <w:snapToGrid w:val="0"/>
        <w:spacing w:before="120" w:beforeLines="50" w:after="50"/>
        <w:ind w:firstLine="945" w:firstLineChars="450"/>
        <w:rPr>
          <w:rFonts w:hint="eastAsia" w:ascii="宋体" w:hAnsi="宋体" w:eastAsia="宋体" w:cs="宋体"/>
          <w:bCs/>
          <w:color w:val="auto"/>
          <w:szCs w:val="21"/>
          <w:highlight w:val="none"/>
        </w:rPr>
      </w:pPr>
    </w:p>
    <w:p w14:paraId="44E6FC58">
      <w:pPr>
        <w:snapToGrid w:val="0"/>
        <w:spacing w:before="120" w:beforeLines="50" w:after="50"/>
        <w:ind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14:paraId="41ABB946">
      <w:pPr>
        <w:snapToGrid w:val="0"/>
        <w:spacing w:before="120" w:beforeLines="50" w:after="5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项目编号： </w:t>
      </w:r>
    </w:p>
    <w:p w14:paraId="63E33D16">
      <w:pPr>
        <w:snapToGrid w:val="0"/>
        <w:spacing w:before="120" w:beforeLines="50" w:after="50"/>
        <w:ind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标项：</w:t>
      </w:r>
    </w:p>
    <w:p w14:paraId="68BFE886">
      <w:pPr>
        <w:snapToGrid w:val="0"/>
        <w:spacing w:before="120" w:beforeLines="50" w:after="50"/>
        <w:ind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供应商名称（加盖公章）：</w:t>
      </w:r>
    </w:p>
    <w:p w14:paraId="4D3BD2F4">
      <w:pPr>
        <w:snapToGrid w:val="0"/>
        <w:spacing w:before="120" w:beforeLines="50" w:after="50"/>
        <w:ind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供应商地址：</w:t>
      </w:r>
    </w:p>
    <w:p w14:paraId="351EACED">
      <w:pPr>
        <w:snapToGrid w:val="0"/>
        <w:spacing w:before="120" w:beforeLines="50" w:after="50"/>
        <w:ind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开标前不得启封</w:t>
      </w:r>
    </w:p>
    <w:p w14:paraId="22EA7FB2">
      <w:pPr>
        <w:snapToGrid w:val="0"/>
        <w:spacing w:before="120" w:beforeLines="50" w:after="50"/>
        <w:ind w:firstLine="3570" w:firstLineChars="1700"/>
        <w:rPr>
          <w:rFonts w:hint="eastAsia" w:ascii="宋体" w:hAnsi="宋体" w:eastAsia="宋体" w:cs="宋体"/>
          <w:bCs/>
          <w:color w:val="auto"/>
          <w:szCs w:val="21"/>
          <w:highlight w:val="none"/>
        </w:rPr>
      </w:pPr>
    </w:p>
    <w:p w14:paraId="190A70E6">
      <w:pPr>
        <w:snapToGrid w:val="0"/>
        <w:spacing w:before="120" w:beforeLines="50" w:after="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14:paraId="67760DA5">
      <w:pPr>
        <w:snapToGrid w:val="0"/>
        <w:spacing w:before="120" w:beforeLines="50" w:after="50"/>
        <w:jc w:val="center"/>
        <w:rPr>
          <w:rFonts w:hint="eastAsia" w:ascii="宋体" w:hAnsi="宋体" w:eastAsia="宋体" w:cs="宋体"/>
          <w:bCs/>
          <w:color w:val="auto"/>
          <w:szCs w:val="21"/>
          <w:highlight w:val="none"/>
        </w:rPr>
      </w:pPr>
    </w:p>
    <w:p w14:paraId="1564C302">
      <w:pPr>
        <w:snapToGrid w:val="0"/>
        <w:spacing w:before="120" w:beforeLines="50" w:after="50"/>
        <w:jc w:val="center"/>
        <w:rPr>
          <w:rFonts w:hint="eastAsia" w:ascii="宋体" w:hAnsi="宋体" w:eastAsia="宋体" w:cs="宋体"/>
          <w:bCs/>
          <w:color w:val="auto"/>
          <w:szCs w:val="21"/>
          <w:highlight w:val="none"/>
        </w:rPr>
      </w:pPr>
    </w:p>
    <w:p w14:paraId="152AFFB0">
      <w:pPr>
        <w:snapToGrid w:val="0"/>
        <w:spacing w:before="120" w:beforeLines="50" w:after="50"/>
        <w:rPr>
          <w:rFonts w:hint="eastAsia" w:ascii="宋体" w:hAnsi="宋体" w:eastAsia="宋体" w:cs="宋体"/>
          <w:b/>
          <w:bCs/>
          <w:color w:val="auto"/>
          <w:sz w:val="24"/>
          <w:highlight w:val="none"/>
        </w:rPr>
        <w:sectPr>
          <w:headerReference r:id="rId11" w:type="default"/>
          <w:footerReference r:id="rId12" w:type="default"/>
          <w:pgSz w:w="11906" w:h="16838"/>
          <w:pgMar w:top="1304" w:right="1134" w:bottom="1134" w:left="1304" w:header="851" w:footer="850" w:gutter="0"/>
          <w:cols w:space="0" w:num="1"/>
          <w:rtlGutter w:val="0"/>
          <w:docGrid w:linePitch="602" w:charSpace="0"/>
        </w:sectPr>
      </w:pPr>
    </w:p>
    <w:p w14:paraId="584FBBEE">
      <w:pPr>
        <w:snapToGrid w:val="0"/>
        <w:spacing w:beforeLines="50" w:after="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封面格式： </w:t>
      </w:r>
    </w:p>
    <w:p w14:paraId="36B1E682">
      <w:pPr>
        <w:snapToGrid w:val="0"/>
        <w:spacing w:beforeLines="50" w:after="50"/>
        <w:rPr>
          <w:rFonts w:hint="eastAsia" w:ascii="宋体" w:hAnsi="宋体" w:eastAsia="宋体" w:cs="宋体"/>
          <w:b/>
          <w:bCs/>
          <w:color w:val="auto"/>
          <w:szCs w:val="21"/>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2940C911">
      <w:pPr>
        <w:snapToGrid w:val="0"/>
        <w:spacing w:beforeLines="50" w:after="50"/>
        <w:rPr>
          <w:rFonts w:hint="eastAsia" w:ascii="宋体" w:hAnsi="宋体" w:eastAsia="宋体" w:cs="宋体"/>
          <w:color w:val="auto"/>
          <w:szCs w:val="21"/>
          <w:highlight w:val="none"/>
        </w:rPr>
      </w:pPr>
    </w:p>
    <w:p w14:paraId="0B085A58">
      <w:pPr>
        <w:snapToGrid w:val="0"/>
        <w:spacing w:beforeLines="50" w:after="50"/>
        <w:jc w:val="center"/>
        <w:rPr>
          <w:rFonts w:hint="eastAsia" w:ascii="宋体" w:hAnsi="宋体" w:eastAsia="宋体" w:cs="宋体"/>
          <w:bCs/>
          <w:color w:val="auto"/>
          <w:szCs w:val="21"/>
          <w:highlight w:val="none"/>
        </w:rPr>
      </w:pPr>
    </w:p>
    <w:p w14:paraId="1EC07241">
      <w:pPr>
        <w:snapToGrid w:val="0"/>
        <w:spacing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投标文件</w:t>
      </w:r>
    </w:p>
    <w:p w14:paraId="71B6BDB4">
      <w:pPr>
        <w:snapToGrid w:val="0"/>
        <w:spacing w:beforeLines="50" w:after="50"/>
        <w:rPr>
          <w:rFonts w:hint="eastAsia" w:ascii="宋体" w:hAnsi="宋体" w:eastAsia="宋体" w:cs="宋体"/>
          <w:bCs/>
          <w:color w:val="auto"/>
          <w:szCs w:val="21"/>
          <w:highlight w:val="none"/>
        </w:rPr>
      </w:pPr>
    </w:p>
    <w:p w14:paraId="575AC58E">
      <w:pPr>
        <w:snapToGrid w:val="0"/>
        <w:spacing w:line="400" w:lineRule="exact"/>
        <w:ind w:firstLine="1039" w:firstLineChars="49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rPr>
        <w:t xml:space="preserve"> </w:t>
      </w:r>
    </w:p>
    <w:p w14:paraId="7F292D0C">
      <w:pPr>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项目编号：</w:t>
      </w:r>
    </w:p>
    <w:p w14:paraId="3F9E9417">
      <w:pPr>
        <w:snapToGrid w:val="0"/>
        <w:spacing w:line="400" w:lineRule="exact"/>
        <w:ind w:firstLine="1050" w:firstLineChars="5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投标文件名称：资格证明文件/报价文件/技术商务文件 </w:t>
      </w:r>
    </w:p>
    <w:p w14:paraId="06C5FBDE">
      <w:pPr>
        <w:snapToGrid w:val="0"/>
        <w:spacing w:line="400" w:lineRule="exact"/>
        <w:ind w:firstLine="1050" w:firstLineChars="5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投标人名称（盖章）：</w:t>
      </w:r>
    </w:p>
    <w:p w14:paraId="580CF2F1">
      <w:pPr>
        <w:snapToGrid w:val="0"/>
        <w:spacing w:line="400" w:lineRule="exact"/>
        <w:ind w:firstLine="1050" w:firstLineChars="5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投标人地址：</w:t>
      </w:r>
    </w:p>
    <w:p w14:paraId="4A53D0FA">
      <w:pPr>
        <w:snapToGrid w:val="0"/>
        <w:spacing w:line="400" w:lineRule="exact"/>
        <w:ind w:firstLine="1050" w:firstLineChars="5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法定代表人或授权代表人（签字或盖章）</w:t>
      </w:r>
    </w:p>
    <w:p w14:paraId="4B925966">
      <w:pPr>
        <w:pStyle w:val="14"/>
        <w:snapToGrid w:val="0"/>
        <w:spacing w:line="400" w:lineRule="exact"/>
        <w:ind w:firstLine="978" w:firstLineChars="46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2173EF10">
      <w:pPr>
        <w:snapToGrid w:val="0"/>
        <w:spacing w:line="400" w:lineRule="exact"/>
        <w:ind w:firstLine="6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14:paraId="484AA411">
      <w:pPr>
        <w:snapToGrid w:val="0"/>
        <w:spacing w:line="360" w:lineRule="auto"/>
        <w:jc w:val="left"/>
        <w:rPr>
          <w:rFonts w:hint="eastAsia" w:ascii="宋体" w:hAnsi="宋体" w:eastAsia="宋体" w:cs="宋体"/>
          <w:b/>
          <w:color w:val="auto"/>
          <w:szCs w:val="21"/>
          <w:highlight w:val="none"/>
        </w:rPr>
        <w:sectPr>
          <w:type w:val="continuous"/>
          <w:pgSz w:w="11906" w:h="16838"/>
          <w:pgMar w:top="1304" w:right="1134" w:bottom="1134" w:left="1304" w:header="851" w:footer="850" w:gutter="0"/>
          <w:cols w:space="0" w:num="1"/>
          <w:rtlGutter w:val="0"/>
          <w:docGrid w:linePitch="602" w:charSpace="0"/>
        </w:sectPr>
      </w:pPr>
    </w:p>
    <w:p w14:paraId="38A21866">
      <w:pPr>
        <w:spacing w:line="360" w:lineRule="auto"/>
        <w:jc w:val="left"/>
        <w:outlineLvl w:val="0"/>
        <w:rPr>
          <w:rFonts w:hint="eastAsia" w:ascii="宋体" w:hAnsi="宋体" w:eastAsia="宋体" w:cs="宋体"/>
          <w:b/>
          <w:bCs/>
          <w:color w:val="auto"/>
          <w:szCs w:val="21"/>
          <w:highlight w:val="none"/>
        </w:rPr>
      </w:pPr>
    </w:p>
    <w:p w14:paraId="0169FF6E">
      <w:pPr>
        <w:spacing w:line="360" w:lineRule="auto"/>
        <w:jc w:val="left"/>
        <w:outlineLvl w:val="0"/>
        <w:rPr>
          <w:rFonts w:hint="eastAsia" w:ascii="宋体" w:hAnsi="宋体" w:eastAsia="宋体" w:cs="宋体"/>
          <w:b/>
          <w:bCs/>
          <w:color w:val="auto"/>
          <w:szCs w:val="21"/>
          <w:highlight w:val="none"/>
        </w:rPr>
      </w:pPr>
    </w:p>
    <w:p w14:paraId="43CA0736">
      <w:pPr>
        <w:spacing w:line="360" w:lineRule="auto"/>
        <w:jc w:val="left"/>
        <w:outlineLvl w:val="0"/>
        <w:rPr>
          <w:rFonts w:hint="eastAsia" w:ascii="宋体" w:hAnsi="宋体" w:eastAsia="宋体" w:cs="宋体"/>
          <w:b/>
          <w:bCs/>
          <w:color w:val="auto"/>
          <w:szCs w:val="21"/>
          <w:highlight w:val="none"/>
        </w:rPr>
      </w:pPr>
    </w:p>
    <w:p w14:paraId="098E5447">
      <w:pPr>
        <w:spacing w:line="360" w:lineRule="auto"/>
        <w:jc w:val="left"/>
        <w:outlineLvl w:val="0"/>
        <w:rPr>
          <w:rFonts w:hint="eastAsia" w:ascii="宋体" w:hAnsi="宋体" w:eastAsia="宋体" w:cs="宋体"/>
          <w:b/>
          <w:bCs/>
          <w:color w:val="auto"/>
          <w:szCs w:val="21"/>
          <w:highlight w:val="none"/>
        </w:rPr>
      </w:pPr>
    </w:p>
    <w:p w14:paraId="4A266C8F">
      <w:pPr>
        <w:spacing w:line="360" w:lineRule="auto"/>
        <w:jc w:val="left"/>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14:paraId="61BA896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bookmarkStart w:id="141" w:name="OLE_LINK29"/>
      <w:r>
        <w:rPr>
          <w:rFonts w:hint="eastAsia" w:ascii="宋体" w:hAnsi="宋体" w:eastAsia="宋体" w:cs="宋体"/>
          <w:color w:val="auto"/>
          <w:sz w:val="21"/>
          <w:szCs w:val="21"/>
          <w:highlight w:val="none"/>
        </w:rPr>
        <w:t xml:space="preserve">（1）投标函（格式）； </w:t>
      </w:r>
    </w:p>
    <w:p w14:paraId="6B2D2CB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w:t>
      </w:r>
    </w:p>
    <w:p w14:paraId="1D3AD8F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（3）投标报价明细表（格式）；</w:t>
      </w:r>
    </w:p>
    <w:p w14:paraId="4CB4043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（4）中标服务费支付承诺函（格式）；</w:t>
      </w:r>
    </w:p>
    <w:p w14:paraId="3E8454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）供应商针对报价需要说明的其他文件和说明（如有）。</w:t>
      </w:r>
      <w:bookmarkEnd w:id="141"/>
    </w:p>
    <w:p w14:paraId="5AC0A1E7">
      <w:pPr>
        <w:pStyle w:val="47"/>
        <w:keepNext w:val="0"/>
        <w:keepLines w:val="0"/>
        <w:pageBreakBefore w:val="0"/>
        <w:widowControl w:val="0"/>
        <w:kinsoku/>
        <w:wordWrap/>
        <w:overflowPunct/>
        <w:topLinePunct w:val="0"/>
        <w:autoSpaceDE/>
        <w:autoSpaceDN/>
        <w:bidi w:val="0"/>
        <w:spacing w:after="0" w:line="360" w:lineRule="auto"/>
        <w:ind w:firstLine="280"/>
        <w:textAlignment w:val="auto"/>
        <w:rPr>
          <w:rFonts w:hint="eastAsia" w:ascii="宋体" w:hAnsi="宋体" w:eastAsia="宋体" w:cs="宋体"/>
          <w:color w:val="auto"/>
          <w:sz w:val="21"/>
          <w:szCs w:val="21"/>
          <w:highlight w:val="none"/>
        </w:rPr>
      </w:pPr>
    </w:p>
    <w:p w14:paraId="5E81F168">
      <w:pPr>
        <w:rPr>
          <w:rFonts w:hint="eastAsia" w:ascii="宋体" w:hAnsi="宋体" w:eastAsia="宋体" w:cs="宋体"/>
          <w:color w:val="auto"/>
          <w:sz w:val="21"/>
          <w:szCs w:val="21"/>
          <w:highlight w:val="none"/>
        </w:rPr>
      </w:pPr>
    </w:p>
    <w:p w14:paraId="25DAB7C0">
      <w:pPr>
        <w:pStyle w:val="66"/>
        <w:rPr>
          <w:rFonts w:hint="eastAsia" w:ascii="宋体" w:hAnsi="宋体" w:eastAsia="宋体" w:cs="宋体"/>
          <w:color w:val="auto"/>
          <w:sz w:val="21"/>
          <w:szCs w:val="21"/>
          <w:highlight w:val="none"/>
        </w:rPr>
      </w:pPr>
    </w:p>
    <w:p w14:paraId="0E4F611F">
      <w:pPr>
        <w:pStyle w:val="66"/>
        <w:rPr>
          <w:rFonts w:hint="eastAsia" w:ascii="宋体" w:hAnsi="宋体" w:eastAsia="宋体" w:cs="宋体"/>
          <w:color w:val="auto"/>
          <w:sz w:val="21"/>
          <w:szCs w:val="21"/>
          <w:highlight w:val="none"/>
        </w:rPr>
        <w:sectPr>
          <w:pgSz w:w="11906" w:h="16838"/>
          <w:pgMar w:top="1304" w:right="1134" w:bottom="1134" w:left="1304" w:header="851" w:footer="850" w:gutter="0"/>
          <w:cols w:space="0" w:num="1"/>
          <w:rtlGutter w:val="0"/>
          <w:docGrid w:linePitch="602" w:charSpace="0"/>
        </w:sectPr>
      </w:pPr>
    </w:p>
    <w:p w14:paraId="5A588AAE">
      <w:pPr>
        <w:snapToGrid w:val="0"/>
        <w:spacing w:before="120" w:beforeLines="50" w:after="50"/>
        <w:jc w:val="left"/>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格式一：投标函：</w:t>
      </w:r>
    </w:p>
    <w:p w14:paraId="25E982A8">
      <w:pPr>
        <w:snapToGrid w:val="0"/>
        <w:spacing w:before="120" w:beforeLines="50" w:after="50"/>
        <w:jc w:val="center"/>
        <w:rPr>
          <w:rFonts w:hint="eastAsia" w:ascii="宋体" w:hAnsi="宋体" w:eastAsia="宋体" w:cs="宋体"/>
          <w:b/>
          <w:color w:val="auto"/>
          <w:spacing w:val="-4"/>
          <w:sz w:val="24"/>
          <w:szCs w:val="20"/>
          <w:highlight w:val="none"/>
        </w:rPr>
      </w:pPr>
      <w:r>
        <w:rPr>
          <w:rFonts w:hint="eastAsia" w:ascii="宋体" w:hAnsi="宋体" w:eastAsia="宋体" w:cs="宋体"/>
          <w:b/>
          <w:color w:val="auto"/>
          <w:spacing w:val="-4"/>
          <w:sz w:val="32"/>
          <w:szCs w:val="32"/>
          <w:highlight w:val="none"/>
        </w:rPr>
        <w:t>投 标 函</w:t>
      </w:r>
    </w:p>
    <w:p w14:paraId="2C297EEA">
      <w:pPr>
        <w:snapToGrid w:val="0"/>
        <w:spacing w:before="120" w:beforeLines="50" w:after="50"/>
        <w:jc w:val="center"/>
        <w:rPr>
          <w:rFonts w:hint="eastAsia" w:ascii="宋体" w:hAnsi="宋体" w:eastAsia="宋体" w:cs="宋体"/>
          <w:bCs/>
          <w:color w:val="auto"/>
          <w:sz w:val="36"/>
          <w:szCs w:val="36"/>
          <w:highlight w:val="none"/>
        </w:rPr>
      </w:pPr>
    </w:p>
    <w:p w14:paraId="401B36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p>
    <w:p w14:paraId="109754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（项目名称、标项）的招标公告（招标编号：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bCs/>
          <w:color w:val="auto"/>
          <w:szCs w:val="21"/>
          <w:highlight w:val="none"/>
        </w:rPr>
        <w:t>投标文件</w:t>
      </w:r>
      <w:r>
        <w:rPr>
          <w:rFonts w:hint="eastAsia" w:ascii="宋体" w:hAnsi="宋体" w:eastAsia="宋体" w:cs="宋体"/>
          <w:color w:val="auto"/>
          <w:szCs w:val="21"/>
          <w:highlight w:val="none"/>
        </w:rPr>
        <w:t>。</w:t>
      </w:r>
    </w:p>
    <w:p w14:paraId="4672B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19B92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CE609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2、投标人在投标之前已经与贵方进行了充分的沟通，完全理解并接受招标文件的各项规定和要求，对招标文件的合理性、合法性不再有异议。</w:t>
      </w:r>
    </w:p>
    <w:p w14:paraId="4F8B7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w:t>
      </w:r>
      <w:r>
        <w:rPr>
          <w:rFonts w:hint="eastAsia" w:ascii="宋体" w:hAnsi="宋体" w:eastAsia="宋体" w:cs="宋体"/>
          <w:b/>
          <w:bCs/>
          <w:color w:val="auto"/>
          <w:szCs w:val="21"/>
          <w:highlight w:val="none"/>
          <w:u w:val="single"/>
          <w:lang w:val="en-US" w:eastAsia="zh-CN"/>
        </w:rPr>
        <w:t>90</w:t>
      </w:r>
      <w:r>
        <w:rPr>
          <w:rFonts w:hint="eastAsia" w:ascii="宋体" w:hAnsi="宋体" w:eastAsia="宋体" w:cs="宋体"/>
          <w:color w:val="auto"/>
          <w:szCs w:val="21"/>
          <w:highlight w:val="none"/>
        </w:rPr>
        <w:t>日。</w:t>
      </w:r>
    </w:p>
    <w:p w14:paraId="11A6DE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4、如中标，本投标文件至本项目合同履行完毕止均保持有效，本投标人将按“招标文件”及政府采购法律、法规的规定履行合同责任和义务。</w:t>
      </w:r>
    </w:p>
    <w:p w14:paraId="1ECA28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14:paraId="3A8F86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73891B43">
      <w:pPr>
        <w:spacing w:line="360" w:lineRule="auto"/>
        <w:ind w:firstLine="420" w:firstLineChars="200"/>
        <w:rPr>
          <w:rFonts w:hint="eastAsia" w:ascii="宋体" w:hAnsi="宋体" w:eastAsia="宋体" w:cs="宋体"/>
          <w:color w:val="auto"/>
          <w:szCs w:val="21"/>
          <w:highlight w:val="none"/>
        </w:rPr>
      </w:pPr>
    </w:p>
    <w:p w14:paraId="63546B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59BFA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4DC68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1F20835">
      <w:pPr>
        <w:pStyle w:val="25"/>
        <w:snapToGrid w:val="0"/>
        <w:spacing w:beforeLines="0" w:afterLines="0" w:line="240" w:lineRule="auto"/>
        <w:rPr>
          <w:rFonts w:hint="eastAsia" w:ascii="宋体" w:hAnsi="宋体" w:eastAsia="宋体" w:cs="宋体"/>
          <w:color w:val="auto"/>
          <w:sz w:val="21"/>
          <w:szCs w:val="21"/>
          <w:highlight w:val="none"/>
        </w:rPr>
      </w:pPr>
    </w:p>
    <w:p w14:paraId="76B59A1A">
      <w:pPr>
        <w:snapToGrid w:val="0"/>
        <w:spacing w:before="50" w:after="50" w:line="360" w:lineRule="auto"/>
        <w:ind w:right="-817" w:rightChars="-389" w:firstLine="420" w:firstLineChars="200"/>
        <w:rPr>
          <w:rFonts w:hint="eastAsia" w:ascii="宋体" w:hAnsi="宋体" w:eastAsia="宋体" w:cs="宋体"/>
          <w:color w:val="auto"/>
          <w:szCs w:val="21"/>
          <w:highlight w:val="none"/>
        </w:rPr>
      </w:pPr>
    </w:p>
    <w:p w14:paraId="5B9863BC">
      <w:pPr>
        <w:snapToGrid w:val="0"/>
        <w:spacing w:before="50" w:after="50" w:line="360" w:lineRule="auto"/>
        <w:ind w:right="-817" w:rightChars="-389" w:firstLine="420" w:firstLineChars="200"/>
        <w:rPr>
          <w:rFonts w:hint="eastAsia" w:ascii="宋体" w:hAnsi="宋体" w:eastAsia="宋体" w:cs="宋体"/>
          <w:color w:val="auto"/>
          <w:szCs w:val="21"/>
          <w:highlight w:val="none"/>
        </w:rPr>
      </w:pPr>
    </w:p>
    <w:p w14:paraId="65D16992">
      <w:pPr>
        <w:snapToGrid w:val="0"/>
        <w:spacing w:before="50" w:after="50" w:line="360" w:lineRule="auto"/>
        <w:ind w:right="-817" w:rightChars="-3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投标人全称（盖章）：                                     </w:t>
      </w:r>
    </w:p>
    <w:p w14:paraId="40F9725E">
      <w:pPr>
        <w:snapToGrid w:val="0"/>
        <w:spacing w:before="50" w:after="50" w:line="360" w:lineRule="auto"/>
        <w:ind w:right="-817" w:rightChars="-3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0AA72E90">
      <w:pPr>
        <w:rPr>
          <w:rFonts w:hint="eastAsia" w:ascii="宋体" w:hAnsi="宋体" w:eastAsia="宋体" w:cs="宋体"/>
          <w:color w:val="auto"/>
          <w:highlight w:val="none"/>
        </w:rPr>
      </w:pPr>
    </w:p>
    <w:p w14:paraId="7A87F2D6">
      <w:pPr>
        <w:rPr>
          <w:rFonts w:hint="eastAsia" w:ascii="宋体" w:hAnsi="宋体" w:eastAsia="宋体" w:cs="宋体"/>
          <w:color w:val="auto"/>
          <w:highlight w:val="none"/>
        </w:rPr>
      </w:pPr>
    </w:p>
    <w:p w14:paraId="4106D288">
      <w:pPr>
        <w:snapToGrid w:val="0"/>
        <w:spacing w:before="50" w:after="50" w:line="360" w:lineRule="auto"/>
        <w:rPr>
          <w:rFonts w:hint="eastAsia" w:ascii="宋体" w:hAnsi="宋体" w:eastAsia="宋体" w:cs="宋体"/>
          <w:color w:val="auto"/>
          <w:szCs w:val="21"/>
          <w:highlight w:val="none"/>
        </w:rPr>
      </w:pPr>
    </w:p>
    <w:p w14:paraId="3F8F8DC1">
      <w:pPr>
        <w:pStyle w:val="25"/>
        <w:snapToGrid w:val="0"/>
        <w:spacing w:beforeLines="0" w:afterLines="0" w:line="240" w:lineRule="auto"/>
        <w:rPr>
          <w:rFonts w:hint="eastAsia" w:ascii="宋体" w:hAnsi="宋体" w:eastAsia="宋体" w:cs="宋体"/>
          <w:b/>
          <w:bCs/>
          <w:color w:val="auto"/>
          <w:highlight w:val="none"/>
        </w:rPr>
        <w:sectPr>
          <w:pgSz w:w="11906" w:h="16838"/>
          <w:pgMar w:top="1304" w:right="1134" w:bottom="1134" w:left="1304" w:header="851" w:footer="850" w:gutter="0"/>
          <w:cols w:space="0" w:num="1"/>
          <w:rtlGutter w:val="0"/>
          <w:docGrid w:linePitch="602" w:charSpace="0"/>
        </w:sectPr>
      </w:pPr>
    </w:p>
    <w:p w14:paraId="3FD2B408">
      <w:pPr>
        <w:pStyle w:val="25"/>
        <w:snapToGrid w:val="0"/>
        <w:spacing w:beforeLines="0" w:afterLines="0" w:line="240" w:lineRule="auto"/>
        <w:rPr>
          <w:rFonts w:hint="eastAsia" w:ascii="宋体" w:hAnsi="宋体" w:eastAsia="宋体" w:cs="宋体"/>
          <w:b/>
          <w:bCs/>
          <w:color w:val="auto"/>
          <w:highlight w:val="none"/>
        </w:rPr>
      </w:pPr>
    </w:p>
    <w:p w14:paraId="3EBC15BB">
      <w:pPr>
        <w:pStyle w:val="25"/>
        <w:snapToGrid w:val="0"/>
        <w:spacing w:beforeLines="0" w:afterLines="0" w:line="24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格式二：开标一览表：</w:t>
      </w:r>
    </w:p>
    <w:p w14:paraId="3524306E">
      <w:pPr>
        <w:pStyle w:val="25"/>
        <w:snapToGrid w:val="0"/>
        <w:spacing w:beforeLines="0" w:afterLines="0" w:line="240" w:lineRule="auto"/>
        <w:rPr>
          <w:rFonts w:hint="eastAsia" w:ascii="宋体" w:hAnsi="宋体" w:eastAsia="宋体" w:cs="宋体"/>
          <w:b/>
          <w:bCs/>
          <w:color w:val="auto"/>
          <w:highlight w:val="none"/>
        </w:rPr>
      </w:pPr>
    </w:p>
    <w:p w14:paraId="6D9A0F7F">
      <w:pPr>
        <w:snapToGrid w:val="0"/>
        <w:spacing w:before="120" w:beforeLines="50" w:after="50"/>
        <w:jc w:val="center"/>
        <w:rPr>
          <w:rFonts w:hint="eastAsia" w:ascii="宋体" w:hAnsi="宋体" w:eastAsia="宋体" w:cs="宋体"/>
          <w:b/>
          <w:color w:val="auto"/>
          <w:spacing w:val="-4"/>
          <w:sz w:val="32"/>
          <w:szCs w:val="32"/>
          <w:highlight w:val="none"/>
        </w:rPr>
      </w:pPr>
      <w:r>
        <w:rPr>
          <w:rFonts w:hint="eastAsia" w:ascii="宋体" w:hAnsi="宋体" w:eastAsia="宋体" w:cs="宋体"/>
          <w:b/>
          <w:color w:val="auto"/>
          <w:spacing w:val="-4"/>
          <w:sz w:val="32"/>
          <w:szCs w:val="32"/>
          <w:highlight w:val="none"/>
        </w:rPr>
        <w:t>开标一览表</w:t>
      </w:r>
    </w:p>
    <w:p w14:paraId="378927DE">
      <w:pPr>
        <w:pStyle w:val="45"/>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rPr>
      </w:pPr>
    </w:p>
    <w:p w14:paraId="0CD9E28D">
      <w:pPr>
        <w:pStyle w:val="45"/>
        <w:widowControl w:val="0"/>
        <w:spacing w:before="0" w:beforeAutospacing="0" w:after="0" w:afterAutospacing="0" w:line="360" w:lineRule="auto"/>
        <w:jc w:val="both"/>
        <w:rPr>
          <w:rFonts w:hint="eastAsia" w:ascii="宋体" w:hAnsi="宋体" w:eastAsia="宋体" w:cs="宋体"/>
          <w:bCs/>
          <w:color w:val="auto"/>
          <w:sz w:val="36"/>
          <w:szCs w:val="36"/>
          <w:highlight w:val="none"/>
        </w:rPr>
      </w:pPr>
      <w:r>
        <w:rPr>
          <w:rFonts w:hint="eastAsia" w:ascii="宋体" w:hAnsi="宋体" w:eastAsia="宋体" w:cs="宋体"/>
          <w:color w:val="auto"/>
          <w:spacing w:val="-4"/>
          <w:kern w:val="2"/>
          <w:sz w:val="21"/>
          <w:szCs w:val="21"/>
          <w:highlight w:val="none"/>
        </w:rPr>
        <w:t>项目名称：</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项目编号：</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标项：</w:t>
      </w:r>
      <w:r>
        <w:rPr>
          <w:rFonts w:hint="eastAsia" w:ascii="宋体" w:hAnsi="宋体" w:eastAsia="宋体" w:cs="宋体"/>
          <w:color w:val="auto"/>
          <w:spacing w:val="-4"/>
          <w:kern w:val="2"/>
          <w:sz w:val="21"/>
          <w:szCs w:val="21"/>
          <w:highlight w:val="none"/>
          <w:u w:val="single"/>
        </w:rPr>
        <w:t xml:space="preserve">       </w:t>
      </w:r>
    </w:p>
    <w:p w14:paraId="55215501">
      <w:pPr>
        <w:snapToGrid w:val="0"/>
        <w:spacing w:before="50" w:after="50"/>
        <w:ind w:firstLine="7035" w:firstLineChars="3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单位：元      </w:t>
      </w:r>
    </w:p>
    <w:tbl>
      <w:tblPr>
        <w:tblStyle w:val="49"/>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05"/>
        <w:gridCol w:w="2020"/>
        <w:gridCol w:w="3060"/>
        <w:gridCol w:w="1480"/>
      </w:tblGrid>
      <w:tr w14:paraId="6DA6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7" w:type="dxa"/>
            <w:vAlign w:val="center"/>
          </w:tcPr>
          <w:p w14:paraId="52A0CD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标项</w:t>
            </w:r>
          </w:p>
        </w:tc>
        <w:tc>
          <w:tcPr>
            <w:tcW w:w="2205" w:type="dxa"/>
            <w:vAlign w:val="center"/>
          </w:tcPr>
          <w:p w14:paraId="09C04E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标项名称</w:t>
            </w:r>
          </w:p>
        </w:tc>
        <w:tc>
          <w:tcPr>
            <w:tcW w:w="2020" w:type="dxa"/>
            <w:vAlign w:val="center"/>
          </w:tcPr>
          <w:p w14:paraId="15B599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投标报价（1年）</w:t>
            </w:r>
          </w:p>
        </w:tc>
        <w:tc>
          <w:tcPr>
            <w:tcW w:w="3060" w:type="dxa"/>
            <w:vAlign w:val="center"/>
          </w:tcPr>
          <w:p w14:paraId="378E40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服务期限</w:t>
            </w:r>
          </w:p>
        </w:tc>
        <w:tc>
          <w:tcPr>
            <w:tcW w:w="1480" w:type="dxa"/>
            <w:vAlign w:val="center"/>
          </w:tcPr>
          <w:p w14:paraId="0064E2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14:paraId="7B25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837" w:type="dxa"/>
            <w:vAlign w:val="center"/>
          </w:tcPr>
          <w:p w14:paraId="0E131D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205" w:type="dxa"/>
            <w:vAlign w:val="center"/>
          </w:tcPr>
          <w:p w14:paraId="6D0ACD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大碶成人学校报告厅软硬件租赁及运维服务项目</w:t>
            </w:r>
          </w:p>
        </w:tc>
        <w:tc>
          <w:tcPr>
            <w:tcW w:w="2020" w:type="dxa"/>
            <w:vAlign w:val="center"/>
          </w:tcPr>
          <w:p w14:paraId="3758AF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元/年</w:t>
            </w:r>
          </w:p>
        </w:tc>
        <w:tc>
          <w:tcPr>
            <w:tcW w:w="3060" w:type="dxa"/>
            <w:vAlign w:val="center"/>
          </w:tcPr>
          <w:p w14:paraId="72B710F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本</w:t>
            </w:r>
            <w:r>
              <w:rPr>
                <w:rFonts w:hint="eastAsia" w:ascii="宋体" w:hAnsi="宋体" w:eastAsia="宋体" w:cs="宋体"/>
                <w:b w:val="0"/>
                <w:bCs w:val="0"/>
                <w:color w:val="auto"/>
                <w:sz w:val="21"/>
                <w:szCs w:val="21"/>
                <w:highlight w:val="none"/>
                <w:lang w:eastAsia="zh-CN"/>
              </w:rPr>
              <w:t>项目一招</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年，合同一年一签，采购人有权根据上一年度合同履约考核情况决定是否续签</w:t>
            </w:r>
            <w:r>
              <w:rPr>
                <w:rFonts w:hint="eastAsia" w:ascii="宋体" w:hAnsi="宋体" w:eastAsia="宋体" w:cs="宋体"/>
                <w:b w:val="0"/>
                <w:bCs w:val="0"/>
                <w:color w:val="auto"/>
                <w:sz w:val="21"/>
                <w:szCs w:val="21"/>
                <w:highlight w:val="none"/>
              </w:rPr>
              <w:t xml:space="preserve">。 </w:t>
            </w:r>
          </w:p>
        </w:tc>
        <w:tc>
          <w:tcPr>
            <w:tcW w:w="1480" w:type="dxa"/>
            <w:vAlign w:val="center"/>
          </w:tcPr>
          <w:p w14:paraId="1AB76C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rPr>
            </w:pPr>
          </w:p>
        </w:tc>
      </w:tr>
      <w:tr w14:paraId="2CDD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3042" w:type="dxa"/>
            <w:gridSpan w:val="2"/>
            <w:vAlign w:val="center"/>
          </w:tcPr>
          <w:p w14:paraId="1571B8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投标报价（大写）</w:t>
            </w:r>
            <w:r>
              <w:rPr>
                <w:rFonts w:hint="eastAsia" w:ascii="宋体" w:hAnsi="宋体" w:eastAsia="宋体" w:cs="宋体"/>
                <w:b w:val="0"/>
                <w:bCs w:val="0"/>
                <w:color w:val="auto"/>
                <w:sz w:val="21"/>
                <w:szCs w:val="21"/>
                <w:highlight w:val="none"/>
                <w:lang w:val="en-US" w:eastAsia="zh-CN"/>
              </w:rPr>
              <w:t xml:space="preserve"> 元/年</w:t>
            </w:r>
          </w:p>
        </w:tc>
        <w:tc>
          <w:tcPr>
            <w:tcW w:w="6560" w:type="dxa"/>
            <w:gridSpan w:val="3"/>
            <w:vAlign w:val="center"/>
          </w:tcPr>
          <w:p w14:paraId="2310E8E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lang w:val="en-US" w:eastAsia="zh-CN"/>
              </w:rPr>
              <w:t xml:space="preserve">                        </w:t>
            </w:r>
            <w:bookmarkStart w:id="142" w:name="OLE_LINK2"/>
            <w:r>
              <w:rPr>
                <w:rFonts w:hint="eastAsia" w:ascii="宋体" w:hAnsi="宋体" w:eastAsia="宋体" w:cs="宋体"/>
                <w:b w:val="0"/>
                <w:bCs w:val="0"/>
                <w:color w:val="auto"/>
                <w:sz w:val="21"/>
                <w:szCs w:val="21"/>
                <w:highlight w:val="none"/>
                <w:lang w:val="en-US" w:eastAsia="zh-CN"/>
              </w:rPr>
              <w:t>元/</w:t>
            </w:r>
            <w:bookmarkEnd w:id="142"/>
            <w:bookmarkStart w:id="143" w:name="OLE_LINK3"/>
            <w:r>
              <w:rPr>
                <w:rFonts w:hint="eastAsia" w:ascii="宋体" w:hAnsi="宋体" w:eastAsia="宋体" w:cs="宋体"/>
                <w:b w:val="0"/>
                <w:bCs w:val="0"/>
                <w:color w:val="auto"/>
                <w:sz w:val="21"/>
                <w:szCs w:val="21"/>
                <w:highlight w:val="none"/>
                <w:lang w:val="en-US" w:eastAsia="zh-CN"/>
              </w:rPr>
              <w:t>年</w:t>
            </w:r>
            <w:bookmarkEnd w:id="143"/>
          </w:p>
        </w:tc>
      </w:tr>
    </w:tbl>
    <w:p w14:paraId="35320F09">
      <w:pPr>
        <w:snapToGrid w:val="0"/>
        <w:spacing w:before="50" w:after="50" w:line="360" w:lineRule="auto"/>
        <w:ind w:firstLine="630" w:firstLineChars="300"/>
        <w:jc w:val="left"/>
        <w:rPr>
          <w:rFonts w:hint="eastAsia" w:ascii="宋体" w:hAnsi="宋体" w:eastAsia="宋体" w:cs="宋体"/>
          <w:color w:val="auto"/>
          <w:szCs w:val="21"/>
          <w:highlight w:val="none"/>
        </w:rPr>
      </w:pPr>
    </w:p>
    <w:p w14:paraId="50C40C16">
      <w:pPr>
        <w:snapToGrid w:val="0"/>
        <w:spacing w:before="50" w:after="50"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1、报价一经涂改，应在涂改处加盖单位公章或者由法定代表人或授权委托人签字或盖章，否则其投标作无效标处理。</w:t>
      </w:r>
    </w:p>
    <w:p w14:paraId="1FED289F">
      <w:pPr>
        <w:snapToGrid w:val="0"/>
        <w:spacing w:before="50" w:after="50"/>
        <w:ind w:left="-21" w:leftChars="-72" w:right="-817" w:rightChars="-389" w:hanging="130" w:hangingChars="62"/>
        <w:rPr>
          <w:rFonts w:hint="eastAsia" w:ascii="宋体" w:hAnsi="宋体" w:eastAsia="宋体" w:cs="宋体"/>
          <w:color w:val="auto"/>
          <w:szCs w:val="21"/>
          <w:highlight w:val="none"/>
        </w:rPr>
      </w:pPr>
    </w:p>
    <w:p w14:paraId="5CF4CF35">
      <w:pPr>
        <w:snapToGrid w:val="0"/>
        <w:spacing w:before="50" w:after="50"/>
        <w:ind w:left="-21" w:leftChars="-72" w:right="-817" w:rightChars="-389" w:hanging="130" w:hangingChars="62"/>
        <w:rPr>
          <w:rFonts w:hint="eastAsia" w:ascii="宋体" w:hAnsi="宋体" w:eastAsia="宋体" w:cs="宋体"/>
          <w:color w:val="auto"/>
          <w:szCs w:val="21"/>
          <w:highlight w:val="none"/>
        </w:rPr>
      </w:pPr>
    </w:p>
    <w:p w14:paraId="17BADD97">
      <w:pPr>
        <w:snapToGrid w:val="0"/>
        <w:spacing w:before="50" w:after="50"/>
        <w:ind w:left="-21" w:leftChars="-72" w:right="-817" w:rightChars="-389" w:hanging="130" w:hangingChars="62"/>
        <w:rPr>
          <w:rFonts w:hint="eastAsia" w:ascii="宋体" w:hAnsi="宋体" w:eastAsia="宋体" w:cs="宋体"/>
          <w:color w:val="auto"/>
          <w:szCs w:val="21"/>
          <w:highlight w:val="none"/>
        </w:rPr>
      </w:pPr>
    </w:p>
    <w:p w14:paraId="194AC665">
      <w:pPr>
        <w:snapToGrid w:val="0"/>
        <w:spacing w:before="50" w:after="50" w:line="360" w:lineRule="auto"/>
        <w:ind w:left="-21" w:leftChars="-72" w:right="-817" w:rightChars="-389"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D3BC7E6">
      <w:pPr>
        <w:snapToGrid w:val="0"/>
        <w:spacing w:before="50" w:after="50" w:line="360" w:lineRule="auto"/>
        <w:ind w:right="-817" w:rightChars="-38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投标人全称（盖章）：                                     </w:t>
      </w:r>
    </w:p>
    <w:p w14:paraId="734100E6">
      <w:pPr>
        <w:snapToGrid w:val="0"/>
        <w:spacing w:before="50" w:after="50" w:line="360" w:lineRule="auto"/>
        <w:ind w:right="-817" w:rightChars="-38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5A4ACE2B">
      <w:pPr>
        <w:pStyle w:val="25"/>
        <w:snapToGrid w:val="0"/>
        <w:spacing w:beforeLines="0" w:afterLines="0" w:line="360" w:lineRule="auto"/>
        <w:rPr>
          <w:rFonts w:hint="eastAsia" w:ascii="宋体" w:hAnsi="宋体" w:eastAsia="宋体" w:cs="宋体"/>
          <w:b/>
          <w:bCs/>
          <w:color w:val="auto"/>
          <w:highlight w:val="none"/>
        </w:rPr>
      </w:pPr>
    </w:p>
    <w:p w14:paraId="78925EB3">
      <w:pPr>
        <w:rPr>
          <w:rFonts w:hint="eastAsia" w:ascii="宋体" w:hAnsi="宋体" w:eastAsia="宋体" w:cs="宋体"/>
          <w:color w:val="auto"/>
          <w:highlight w:val="none"/>
        </w:rPr>
      </w:pPr>
    </w:p>
    <w:p w14:paraId="0FFEC222">
      <w:pPr>
        <w:rPr>
          <w:rFonts w:hint="eastAsia" w:ascii="宋体" w:hAnsi="宋体" w:eastAsia="宋体" w:cs="宋体"/>
          <w:color w:val="auto"/>
          <w:highlight w:val="none"/>
        </w:rPr>
        <w:sectPr>
          <w:pgSz w:w="11906" w:h="16838"/>
          <w:pgMar w:top="1304" w:right="1134" w:bottom="1134" w:left="1304" w:header="851" w:footer="850" w:gutter="0"/>
          <w:cols w:space="0" w:num="1"/>
          <w:rtlGutter w:val="0"/>
          <w:docGrid w:linePitch="602" w:charSpace="0"/>
        </w:sectPr>
      </w:pPr>
    </w:p>
    <w:p w14:paraId="2D3B4071">
      <w:pPr>
        <w:pStyle w:val="25"/>
        <w:snapToGrid w:val="0"/>
        <w:spacing w:beforeLines="0" w:afterLines="0" w:line="360" w:lineRule="auto"/>
        <w:rPr>
          <w:rFonts w:hint="eastAsia" w:ascii="宋体" w:hAnsi="宋体" w:eastAsia="宋体" w:cs="宋体"/>
          <w:b/>
          <w:bCs/>
          <w:color w:val="auto"/>
          <w:highlight w:val="none"/>
        </w:rPr>
      </w:pPr>
    </w:p>
    <w:p w14:paraId="0BC1D391">
      <w:pPr>
        <w:pStyle w:val="25"/>
        <w:snapToGrid w:val="0"/>
        <w:spacing w:beforeLines="0" w:afterLines="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格式三：投标报价明细表：</w:t>
      </w:r>
    </w:p>
    <w:p w14:paraId="03B88D73">
      <w:pPr>
        <w:snapToGrid w:val="0"/>
        <w:spacing w:before="120" w:beforeLines="50" w:after="50"/>
        <w:jc w:val="center"/>
        <w:rPr>
          <w:rFonts w:hint="eastAsia" w:ascii="宋体" w:hAnsi="宋体" w:eastAsia="宋体" w:cs="宋体"/>
          <w:b/>
          <w:color w:val="auto"/>
          <w:spacing w:val="-4"/>
          <w:sz w:val="24"/>
          <w:szCs w:val="20"/>
          <w:highlight w:val="none"/>
        </w:rPr>
      </w:pPr>
      <w:r>
        <w:rPr>
          <w:rFonts w:hint="eastAsia" w:ascii="宋体" w:hAnsi="宋体" w:eastAsia="宋体" w:cs="宋体"/>
          <w:b/>
          <w:color w:val="auto"/>
          <w:spacing w:val="-4"/>
          <w:sz w:val="24"/>
          <w:szCs w:val="20"/>
          <w:highlight w:val="none"/>
        </w:rPr>
        <w:t>投标报价明细表</w:t>
      </w:r>
    </w:p>
    <w:p w14:paraId="163D989A">
      <w:pPr>
        <w:pStyle w:val="45"/>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sz w:val="21"/>
          <w:szCs w:val="21"/>
          <w:highlight w:val="none"/>
        </w:rPr>
        <w:t xml:space="preserve">  </w:t>
      </w:r>
    </w:p>
    <w:p w14:paraId="691E3A42">
      <w:pPr>
        <w:pStyle w:val="45"/>
        <w:widowControl w:val="0"/>
        <w:spacing w:before="0" w:beforeAutospacing="0" w:after="0" w:afterAutospacing="0" w:line="360" w:lineRule="auto"/>
        <w:jc w:val="both"/>
        <w:rPr>
          <w:rFonts w:hint="eastAsia" w:ascii="宋体" w:hAnsi="宋体" w:eastAsia="宋体" w:cs="宋体"/>
          <w:bCs/>
          <w:color w:val="auto"/>
          <w:sz w:val="36"/>
          <w:szCs w:val="36"/>
          <w:highlight w:val="none"/>
        </w:rPr>
      </w:pPr>
      <w:r>
        <w:rPr>
          <w:rFonts w:hint="eastAsia" w:ascii="宋体" w:hAnsi="宋体" w:eastAsia="宋体" w:cs="宋体"/>
          <w:color w:val="auto"/>
          <w:spacing w:val="-4"/>
          <w:kern w:val="2"/>
          <w:sz w:val="21"/>
          <w:szCs w:val="21"/>
          <w:highlight w:val="none"/>
        </w:rPr>
        <w:t>项目名称：</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项目编号：</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标项：</w:t>
      </w:r>
      <w:r>
        <w:rPr>
          <w:rFonts w:hint="eastAsia" w:ascii="宋体" w:hAnsi="宋体" w:eastAsia="宋体" w:cs="宋体"/>
          <w:color w:val="auto"/>
          <w:spacing w:val="-4"/>
          <w:kern w:val="2"/>
          <w:sz w:val="21"/>
          <w:szCs w:val="21"/>
          <w:highlight w:val="none"/>
          <w:u w:val="single"/>
        </w:rPr>
        <w:t xml:space="preserve">       </w:t>
      </w:r>
    </w:p>
    <w:p w14:paraId="30E0AF9F">
      <w:pPr>
        <w:pStyle w:val="25"/>
        <w:snapToGrid w:val="0"/>
        <w:spacing w:beforeLines="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金额单位：人民币（元）</w:t>
      </w:r>
    </w:p>
    <w:tbl>
      <w:tblPr>
        <w:tblStyle w:val="49"/>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454"/>
        <w:gridCol w:w="1440"/>
        <w:gridCol w:w="1620"/>
        <w:gridCol w:w="1643"/>
        <w:gridCol w:w="1057"/>
      </w:tblGrid>
      <w:tr w14:paraId="44DFC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14:paraId="4E0FE1DF">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序号</w:t>
            </w:r>
          </w:p>
        </w:tc>
        <w:tc>
          <w:tcPr>
            <w:tcW w:w="2454" w:type="dxa"/>
            <w:tcBorders>
              <w:top w:val="single" w:color="auto" w:sz="4" w:space="0"/>
              <w:left w:val="single" w:color="auto" w:sz="4" w:space="0"/>
              <w:bottom w:val="single" w:color="auto" w:sz="4" w:space="0"/>
              <w:right w:val="single" w:color="auto" w:sz="4" w:space="0"/>
            </w:tcBorders>
            <w:vAlign w:val="center"/>
          </w:tcPr>
          <w:p w14:paraId="2C040B2B">
            <w:pPr>
              <w:tabs>
                <w:tab w:val="left" w:pos="1418"/>
              </w:tabs>
              <w:snapToGrid w:val="0"/>
              <w:spacing w:before="50" w:after="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440" w:type="dxa"/>
            <w:tcBorders>
              <w:top w:val="single" w:color="auto" w:sz="4" w:space="0"/>
              <w:left w:val="single" w:color="auto" w:sz="4" w:space="0"/>
              <w:bottom w:val="single" w:color="auto" w:sz="4" w:space="0"/>
              <w:right w:val="single" w:color="auto" w:sz="4" w:space="0"/>
            </w:tcBorders>
            <w:vAlign w:val="center"/>
          </w:tcPr>
          <w:p w14:paraId="6FCC2A1C">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单位及数量</w:t>
            </w:r>
          </w:p>
        </w:tc>
        <w:tc>
          <w:tcPr>
            <w:tcW w:w="1620" w:type="dxa"/>
            <w:tcBorders>
              <w:top w:val="single" w:color="auto" w:sz="4" w:space="0"/>
              <w:left w:val="single" w:color="auto" w:sz="4" w:space="0"/>
              <w:bottom w:val="single" w:color="auto" w:sz="4" w:space="0"/>
              <w:right w:val="single" w:color="auto" w:sz="4" w:space="0"/>
            </w:tcBorders>
            <w:vAlign w:val="center"/>
          </w:tcPr>
          <w:p w14:paraId="41E50BFE">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单价</w:t>
            </w:r>
          </w:p>
        </w:tc>
        <w:tc>
          <w:tcPr>
            <w:tcW w:w="1643" w:type="dxa"/>
            <w:tcBorders>
              <w:top w:val="single" w:color="auto" w:sz="4" w:space="0"/>
              <w:left w:val="single" w:color="auto" w:sz="4" w:space="0"/>
              <w:bottom w:val="single" w:color="auto" w:sz="4" w:space="0"/>
              <w:right w:val="single" w:color="auto" w:sz="4" w:space="0"/>
            </w:tcBorders>
            <w:vAlign w:val="center"/>
          </w:tcPr>
          <w:p w14:paraId="17CC6874">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金额</w:t>
            </w:r>
          </w:p>
        </w:tc>
        <w:tc>
          <w:tcPr>
            <w:tcW w:w="1057" w:type="dxa"/>
            <w:tcBorders>
              <w:top w:val="single" w:color="auto" w:sz="4" w:space="0"/>
              <w:left w:val="single" w:color="auto" w:sz="4" w:space="0"/>
              <w:bottom w:val="single" w:color="auto" w:sz="4" w:space="0"/>
              <w:right w:val="single" w:color="auto" w:sz="4" w:space="0"/>
            </w:tcBorders>
            <w:vAlign w:val="center"/>
          </w:tcPr>
          <w:p w14:paraId="7385EA9D">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备注</w:t>
            </w:r>
          </w:p>
        </w:tc>
      </w:tr>
      <w:tr w14:paraId="2496A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04B68823">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6CC74DF8">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2834ED2">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20FCE2D">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5E3C1420">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2C0C06CF">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71CE7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5AD5FF0">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30345ABF">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FDBE14">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4E4ED8A">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54952EC6">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AA91E2B">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685FE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7D588015">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7DD938C5">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CE96CDF">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129B53D">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03B6A8DC">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72505FD">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79F46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478F96A1">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6947224F">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EE7128B">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9088D63">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150092B5">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628BAC67">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2E208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2B66BFDE">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019399F7">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D775234">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BDC6423">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28E96510">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4AF8259D">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336D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28E1B79E">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46DD75EB">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B161A17">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4C3CAC1">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56CAF989">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35323C7F">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10EA7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050588D8">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6A777E48">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93C8CEC">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1585B59">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6C7FDC9E">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5BD45135">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23292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tcPr>
          <w:p w14:paraId="4125FE80">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51073052">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0C5AAE4">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A1A5AC5">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tcPr>
          <w:p w14:paraId="1D9D441E">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tcPr>
          <w:p w14:paraId="12EC84B2">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r w14:paraId="5DB05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43" w:type="dxa"/>
            <w:gridSpan w:val="5"/>
            <w:tcBorders>
              <w:top w:val="single" w:color="auto" w:sz="4" w:space="0"/>
              <w:left w:val="single" w:color="auto" w:sz="4" w:space="0"/>
              <w:bottom w:val="single" w:color="auto" w:sz="4" w:space="0"/>
              <w:right w:val="single" w:color="auto" w:sz="4" w:space="0"/>
            </w:tcBorders>
            <w:vAlign w:val="center"/>
          </w:tcPr>
          <w:p w14:paraId="62D1C69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rPr>
              <w:t>投标报价（</w:t>
            </w:r>
            <w:r>
              <w:rPr>
                <w:rFonts w:hint="eastAsia" w:ascii="宋体" w:hAnsi="宋体" w:eastAsia="宋体" w:cs="宋体"/>
                <w:color w:val="auto"/>
                <w:sz w:val="21"/>
                <w:szCs w:val="21"/>
                <w:highlight w:val="none"/>
                <w:lang w:val="en-US" w:eastAsia="zh-CN"/>
              </w:rPr>
              <w:t>元</w:t>
            </w:r>
            <w:bookmarkStart w:id="144" w:name="OLE_LINK5"/>
            <w:r>
              <w:rPr>
                <w:rFonts w:hint="eastAsia" w:ascii="宋体" w:hAnsi="宋体" w:eastAsia="宋体" w:cs="宋体"/>
                <w:color w:val="auto"/>
                <w:sz w:val="21"/>
                <w:szCs w:val="21"/>
                <w:highlight w:val="none"/>
                <w:lang w:val="en-US" w:eastAsia="zh-CN"/>
              </w:rPr>
              <w:t>/年</w:t>
            </w:r>
            <w:bookmarkEnd w:id="144"/>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pacing w:val="20"/>
                <w:szCs w:val="21"/>
                <w:highlight w:val="none"/>
                <w:u w:val="single"/>
                <w:lang w:val="en-US" w:eastAsia="zh-CN"/>
              </w:rPr>
              <w:t xml:space="preserve">        </w:t>
            </w:r>
            <w:r>
              <w:rPr>
                <w:rFonts w:hint="eastAsia" w:ascii="宋体" w:hAnsi="宋体" w:eastAsia="宋体" w:cs="宋体"/>
                <w:color w:val="auto"/>
                <w:spacing w:val="20"/>
                <w:szCs w:val="21"/>
                <w:highlight w:val="none"/>
                <w:lang w:val="en-US" w:eastAsia="zh-CN"/>
              </w:rPr>
              <w:t>元</w:t>
            </w:r>
            <w:r>
              <w:rPr>
                <w:rFonts w:hint="eastAsia" w:ascii="宋体" w:hAnsi="宋体" w:eastAsia="宋体" w:cs="宋体"/>
                <w:color w:val="auto"/>
                <w:sz w:val="21"/>
                <w:szCs w:val="21"/>
                <w:highlight w:val="none"/>
                <w:lang w:val="en-US" w:eastAsia="zh-CN"/>
              </w:rPr>
              <w:t>/年</w:t>
            </w:r>
          </w:p>
        </w:tc>
        <w:tc>
          <w:tcPr>
            <w:tcW w:w="1057" w:type="dxa"/>
            <w:tcBorders>
              <w:top w:val="single" w:color="auto" w:sz="4" w:space="0"/>
              <w:left w:val="single" w:color="auto" w:sz="4" w:space="0"/>
              <w:bottom w:val="single" w:color="auto" w:sz="4" w:space="0"/>
              <w:right w:val="single" w:color="auto" w:sz="4" w:space="0"/>
            </w:tcBorders>
          </w:tcPr>
          <w:p w14:paraId="5A3350F4">
            <w:pPr>
              <w:tabs>
                <w:tab w:val="left" w:pos="1418"/>
              </w:tabs>
              <w:snapToGrid w:val="0"/>
              <w:spacing w:before="50" w:after="50" w:line="360" w:lineRule="auto"/>
              <w:jc w:val="center"/>
              <w:rPr>
                <w:rFonts w:hint="eastAsia" w:ascii="宋体" w:hAnsi="宋体" w:eastAsia="宋体" w:cs="宋体"/>
                <w:color w:val="auto"/>
                <w:spacing w:val="20"/>
                <w:szCs w:val="21"/>
                <w:highlight w:val="none"/>
              </w:rPr>
            </w:pPr>
          </w:p>
        </w:tc>
      </w:tr>
    </w:tbl>
    <w:p w14:paraId="4457D266">
      <w:pPr>
        <w:spacing w:line="580" w:lineRule="exact"/>
        <w:ind w:right="25" w:rightChars="12"/>
        <w:rPr>
          <w:rFonts w:hint="eastAsia" w:ascii="宋体" w:hAnsi="宋体" w:eastAsia="宋体" w:cs="宋体"/>
          <w:color w:val="auto"/>
          <w:sz w:val="24"/>
          <w:highlight w:val="none"/>
        </w:rPr>
      </w:pPr>
    </w:p>
    <w:p w14:paraId="249658CF">
      <w:pPr>
        <w:spacing w:line="580" w:lineRule="exact"/>
        <w:ind w:right="25" w:rightChars="12"/>
        <w:rPr>
          <w:rFonts w:hint="eastAsia" w:ascii="宋体" w:hAnsi="宋体" w:eastAsia="宋体" w:cs="宋体"/>
          <w:color w:val="auto"/>
          <w:sz w:val="24"/>
          <w:highlight w:val="none"/>
        </w:rPr>
      </w:pPr>
    </w:p>
    <w:p w14:paraId="775589C6">
      <w:pPr>
        <w:snapToGrid w:val="0"/>
        <w:spacing w:before="50" w:after="50" w:line="360" w:lineRule="auto"/>
        <w:ind w:right="-817" w:rightChars="-38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投标人全称（盖章）：                                     </w:t>
      </w:r>
    </w:p>
    <w:p w14:paraId="15F396E5">
      <w:pPr>
        <w:snapToGrid w:val="0"/>
        <w:spacing w:before="50" w:after="50" w:line="360" w:lineRule="auto"/>
        <w:ind w:right="-817" w:rightChars="-389"/>
        <w:rPr>
          <w:rFonts w:hint="eastAsia" w:ascii="宋体" w:hAnsi="宋体" w:eastAsia="宋体" w:cs="宋体"/>
          <w:color w:val="auto"/>
          <w:szCs w:val="21"/>
          <w:highlight w:val="none"/>
        </w:rPr>
      </w:pPr>
    </w:p>
    <w:p w14:paraId="4B551459">
      <w:pPr>
        <w:snapToGrid w:val="0"/>
        <w:spacing w:before="50" w:after="50" w:line="360" w:lineRule="auto"/>
        <w:ind w:right="-817" w:rightChars="-389"/>
        <w:rPr>
          <w:rFonts w:hint="eastAsia" w:ascii="宋体" w:hAnsi="宋体" w:eastAsia="宋体" w:cs="宋体"/>
          <w:color w:val="auto"/>
          <w:szCs w:val="21"/>
          <w:highlight w:val="none"/>
        </w:rPr>
      </w:pPr>
      <w:bookmarkStart w:id="145" w:name="OLE_LINK6"/>
      <w:r>
        <w:rPr>
          <w:rFonts w:hint="eastAsia" w:ascii="宋体" w:hAnsi="宋体" w:eastAsia="宋体" w:cs="宋体"/>
          <w:color w:val="auto"/>
          <w:szCs w:val="21"/>
          <w:highlight w:val="none"/>
        </w:rPr>
        <w:t>日期：    年   月   日</w:t>
      </w:r>
      <w:bookmarkEnd w:id="145"/>
    </w:p>
    <w:p w14:paraId="2FCE2F47">
      <w:pPr>
        <w:snapToGrid w:val="0"/>
        <w:spacing w:before="50" w:after="50" w:line="600" w:lineRule="auto"/>
        <w:ind w:right="-817" w:rightChars="-389"/>
        <w:rPr>
          <w:rFonts w:hint="eastAsia" w:ascii="宋体" w:hAnsi="宋体" w:eastAsia="宋体" w:cs="宋体"/>
          <w:color w:val="auto"/>
          <w:szCs w:val="21"/>
          <w:highlight w:val="none"/>
        </w:rPr>
      </w:pPr>
    </w:p>
    <w:p w14:paraId="6AECF5C7">
      <w:pPr>
        <w:pStyle w:val="47"/>
        <w:ind w:firstLine="280"/>
        <w:rPr>
          <w:rFonts w:hint="eastAsia" w:ascii="宋体" w:hAnsi="宋体" w:eastAsia="宋体" w:cs="宋体"/>
          <w:color w:val="auto"/>
          <w:szCs w:val="21"/>
          <w:highlight w:val="none"/>
        </w:rPr>
      </w:pPr>
    </w:p>
    <w:p w14:paraId="32DECAB1">
      <w:pPr>
        <w:pStyle w:val="39"/>
        <w:rPr>
          <w:rFonts w:hint="eastAsia" w:ascii="宋体" w:hAnsi="宋体" w:eastAsia="宋体" w:cs="宋体"/>
          <w:color w:val="auto"/>
          <w:highlight w:val="none"/>
        </w:rPr>
        <w:sectPr>
          <w:pgSz w:w="11906" w:h="16838"/>
          <w:pgMar w:top="1304" w:right="1134" w:bottom="1134" w:left="1304" w:header="851" w:footer="850" w:gutter="0"/>
          <w:cols w:space="0" w:num="1"/>
          <w:rtlGutter w:val="0"/>
          <w:docGrid w:linePitch="602" w:charSpace="0"/>
        </w:sectPr>
      </w:pPr>
    </w:p>
    <w:p w14:paraId="6A16912E">
      <w:pPr>
        <w:snapToGrid w:val="0"/>
        <w:spacing w:before="50" w:after="50"/>
        <w:rPr>
          <w:rFonts w:hint="eastAsia" w:ascii="宋体" w:hAnsi="宋体" w:eastAsia="宋体" w:cs="宋体"/>
          <w:b/>
          <w:color w:val="auto"/>
          <w:sz w:val="24"/>
          <w:szCs w:val="21"/>
          <w:highlight w:val="none"/>
        </w:rPr>
      </w:pPr>
    </w:p>
    <w:p w14:paraId="2E57FFCD">
      <w:pPr>
        <w:snapToGrid w:val="0"/>
        <w:spacing w:before="50" w:after="50"/>
        <w:rPr>
          <w:rFonts w:hint="eastAsia" w:ascii="宋体" w:hAnsi="宋体" w:eastAsia="宋体" w:cs="宋体"/>
          <w:b/>
          <w:color w:val="auto"/>
          <w:sz w:val="24"/>
          <w:szCs w:val="21"/>
          <w:highlight w:val="none"/>
        </w:rPr>
      </w:pPr>
    </w:p>
    <w:p w14:paraId="5FB6CBD2">
      <w:pPr>
        <w:snapToGrid w:val="0"/>
        <w:spacing w:before="50" w:after="5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格式四：中标服务费支付承诺函：</w:t>
      </w:r>
    </w:p>
    <w:p w14:paraId="3F3DDBAC">
      <w:pPr>
        <w:widowControl/>
        <w:spacing w:line="360" w:lineRule="auto"/>
        <w:jc w:val="center"/>
        <w:rPr>
          <w:rFonts w:hint="eastAsia" w:ascii="宋体" w:hAnsi="宋体" w:eastAsia="宋体" w:cs="宋体"/>
          <w:b/>
          <w:color w:val="auto"/>
          <w:spacing w:val="-4"/>
          <w:sz w:val="24"/>
          <w:highlight w:val="none"/>
        </w:rPr>
      </w:pPr>
    </w:p>
    <w:p w14:paraId="7179C2A9">
      <w:pPr>
        <w:widowControl/>
        <w:spacing w:line="360" w:lineRule="auto"/>
        <w:jc w:val="center"/>
        <w:rPr>
          <w:rFonts w:hint="eastAsia" w:ascii="宋体" w:hAnsi="宋体" w:eastAsia="宋体" w:cs="宋体"/>
          <w:b/>
          <w:color w:val="auto"/>
          <w:spacing w:val="-4"/>
          <w:sz w:val="32"/>
          <w:szCs w:val="32"/>
          <w:highlight w:val="none"/>
        </w:rPr>
      </w:pPr>
      <w:r>
        <w:rPr>
          <w:rFonts w:hint="eastAsia" w:ascii="宋体" w:hAnsi="宋体" w:eastAsia="宋体" w:cs="宋体"/>
          <w:b/>
          <w:color w:val="auto"/>
          <w:spacing w:val="-4"/>
          <w:sz w:val="32"/>
          <w:szCs w:val="32"/>
          <w:highlight w:val="none"/>
        </w:rPr>
        <w:t>中标服务费支付承诺函</w:t>
      </w:r>
    </w:p>
    <w:p w14:paraId="505EE545">
      <w:pPr>
        <w:widowControl/>
        <w:spacing w:line="360" w:lineRule="auto"/>
        <w:rPr>
          <w:rFonts w:hint="eastAsia" w:ascii="宋体" w:hAnsi="宋体" w:eastAsia="宋体" w:cs="宋体"/>
          <w:b/>
          <w:color w:val="auto"/>
          <w:spacing w:val="-4"/>
          <w:sz w:val="24"/>
          <w:highlight w:val="none"/>
        </w:rPr>
      </w:pPr>
    </w:p>
    <w:p w14:paraId="13C54AE4">
      <w:pPr>
        <w:widowControl/>
        <w:spacing w:line="360" w:lineRule="auto"/>
        <w:rPr>
          <w:rFonts w:hint="eastAsia" w:ascii="宋体" w:hAnsi="宋体" w:eastAsia="宋体" w:cs="宋体"/>
          <w:b/>
          <w:color w:val="auto"/>
          <w:spacing w:val="-4"/>
          <w:szCs w:val="21"/>
          <w:highlight w:val="none"/>
          <w:lang w:eastAsia="zh-CN"/>
        </w:rPr>
      </w:pPr>
      <w:r>
        <w:rPr>
          <w:rFonts w:hint="eastAsia" w:ascii="宋体" w:hAnsi="宋体" w:eastAsia="宋体" w:cs="宋体"/>
          <w:b/>
          <w:color w:val="auto"/>
          <w:spacing w:val="-4"/>
          <w:szCs w:val="21"/>
          <w:highlight w:val="none"/>
        </w:rPr>
        <w:t>致：</w:t>
      </w:r>
      <w:r>
        <w:rPr>
          <w:rFonts w:hint="eastAsia" w:ascii="宋体" w:hAnsi="宋体" w:eastAsia="宋体" w:cs="宋体"/>
          <w:b/>
          <w:color w:val="auto"/>
          <w:spacing w:val="-4"/>
          <w:szCs w:val="21"/>
          <w:highlight w:val="none"/>
          <w:lang w:eastAsia="zh-CN"/>
        </w:rPr>
        <w:t>宁波杜威工程项目管理有限公司</w:t>
      </w:r>
    </w:p>
    <w:p w14:paraId="3EE1B16C">
      <w:pPr>
        <w:widowControl/>
        <w:spacing w:line="360" w:lineRule="auto"/>
        <w:ind w:firstLine="404" w:firstLineChars="200"/>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u w:val="single"/>
          <w:lang w:val="en-US" w:eastAsia="zh-CN"/>
        </w:rPr>
        <w:t xml:space="preserve">    </w:t>
      </w:r>
      <w:r>
        <w:rPr>
          <w:rFonts w:hint="eastAsia" w:ascii="宋体" w:hAnsi="宋体" w:eastAsia="宋体" w:cs="宋体"/>
          <w:bCs/>
          <w:color w:val="auto"/>
          <w:spacing w:val="-4"/>
          <w:szCs w:val="21"/>
          <w:highlight w:val="none"/>
          <w:u w:val="single"/>
        </w:rPr>
        <w:t>投标人单位名称</w:t>
      </w:r>
      <w:r>
        <w:rPr>
          <w:rFonts w:hint="eastAsia" w:ascii="宋体" w:hAnsi="宋体" w:eastAsia="宋体" w:cs="宋体"/>
          <w:bCs/>
          <w:color w:val="auto"/>
          <w:spacing w:val="-4"/>
          <w:szCs w:val="21"/>
          <w:highlight w:val="none"/>
          <w:u w:val="single"/>
          <w:lang w:val="en-US" w:eastAsia="zh-CN"/>
        </w:rPr>
        <w:t xml:space="preserve">    </w:t>
      </w:r>
      <w:r>
        <w:rPr>
          <w:rFonts w:hint="eastAsia" w:ascii="宋体" w:hAnsi="宋体" w:eastAsia="宋体" w:cs="宋体"/>
          <w:bCs/>
          <w:color w:val="auto"/>
          <w:spacing w:val="-4"/>
          <w:szCs w:val="21"/>
          <w:highlight w:val="none"/>
        </w:rPr>
        <w:t>郑重承诺：</w:t>
      </w:r>
    </w:p>
    <w:p w14:paraId="30EC884C">
      <w:pPr>
        <w:widowControl/>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bCs/>
          <w:color w:val="auto"/>
          <w:spacing w:val="-4"/>
          <w:szCs w:val="21"/>
          <w:highlight w:val="none"/>
        </w:rPr>
        <w:t>若我司在</w:t>
      </w:r>
      <w:r>
        <w:rPr>
          <w:rFonts w:hint="eastAsia" w:ascii="宋体" w:hAnsi="宋体" w:eastAsia="宋体" w:cs="宋体"/>
          <w:bCs/>
          <w:color w:val="auto"/>
          <w:spacing w:val="-4"/>
          <w:szCs w:val="21"/>
          <w:highlight w:val="none"/>
          <w:u w:val="single"/>
        </w:rPr>
        <w:t xml:space="preserve">                     </w:t>
      </w:r>
      <w:r>
        <w:rPr>
          <w:rFonts w:hint="eastAsia" w:ascii="宋体" w:hAnsi="宋体" w:eastAsia="宋体" w:cs="宋体"/>
          <w:bCs/>
          <w:color w:val="auto"/>
          <w:spacing w:val="-4"/>
          <w:szCs w:val="21"/>
          <w:highlight w:val="none"/>
        </w:rPr>
        <w:t>项目（以下简称“本项目”）中有幸中标，我司将严格按照本项目招标文件第三章投标人须知中有关</w:t>
      </w:r>
      <w:r>
        <w:rPr>
          <w:rFonts w:hint="eastAsia" w:ascii="宋体" w:hAnsi="宋体" w:eastAsia="宋体" w:cs="宋体"/>
          <w:color w:val="auto"/>
          <w:szCs w:val="21"/>
          <w:highlight w:val="none"/>
        </w:rPr>
        <w:t>中标服务费的规定，在本项目结果公示期满5个工作日内向贵司支付中标服务费。</w:t>
      </w:r>
    </w:p>
    <w:p w14:paraId="53BFD088">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若我司未按上述承诺内容执行，我司自愿承担本项目中标服务费200%的违约金，且在中标通知书领取后5个工作日内支付上述违约金，否则由此引起的一切法律责任和经济责任由我司承担。</w:t>
      </w:r>
    </w:p>
    <w:p w14:paraId="43D16345">
      <w:pPr>
        <w:widowControl/>
        <w:spacing w:line="360" w:lineRule="auto"/>
        <w:ind w:firstLine="406" w:firstLineChars="200"/>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特此承诺！</w:t>
      </w:r>
    </w:p>
    <w:p w14:paraId="748CE227">
      <w:pPr>
        <w:widowControl/>
        <w:spacing w:line="360" w:lineRule="auto"/>
        <w:ind w:firstLine="406" w:firstLineChars="200"/>
        <w:rPr>
          <w:rFonts w:hint="eastAsia" w:ascii="宋体" w:hAnsi="宋体" w:eastAsia="宋体" w:cs="宋体"/>
          <w:b/>
          <w:color w:val="auto"/>
          <w:spacing w:val="-4"/>
          <w:szCs w:val="21"/>
          <w:highlight w:val="none"/>
        </w:rPr>
      </w:pPr>
    </w:p>
    <w:p w14:paraId="3FAE9B7B">
      <w:pPr>
        <w:widowControl/>
        <w:spacing w:line="360" w:lineRule="auto"/>
        <w:rPr>
          <w:rFonts w:hint="eastAsia" w:ascii="宋体" w:hAnsi="宋体" w:eastAsia="宋体" w:cs="宋体"/>
          <w:bCs/>
          <w:color w:val="auto"/>
          <w:spacing w:val="-4"/>
          <w:szCs w:val="21"/>
          <w:highlight w:val="none"/>
        </w:rPr>
      </w:pPr>
    </w:p>
    <w:p w14:paraId="33091D85">
      <w:pPr>
        <w:widowControl/>
        <w:spacing w:line="360" w:lineRule="auto"/>
        <w:rPr>
          <w:rFonts w:hint="eastAsia" w:ascii="宋体" w:hAnsi="宋体" w:eastAsia="宋体" w:cs="宋体"/>
          <w:bCs/>
          <w:color w:val="auto"/>
          <w:spacing w:val="-4"/>
          <w:szCs w:val="21"/>
          <w:highlight w:val="none"/>
        </w:rPr>
      </w:pPr>
    </w:p>
    <w:p w14:paraId="625CF9C3">
      <w:pPr>
        <w:widowControl/>
        <w:spacing w:line="360" w:lineRule="auto"/>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承诺人（盖章）：</w:t>
      </w:r>
    </w:p>
    <w:p w14:paraId="4FA5BEFF">
      <w:pPr>
        <w:widowControl/>
        <w:spacing w:line="360" w:lineRule="auto"/>
        <w:rPr>
          <w:rFonts w:hint="eastAsia" w:ascii="宋体" w:hAnsi="宋体" w:eastAsia="宋体" w:cs="宋体"/>
          <w:bCs/>
          <w:color w:val="auto"/>
          <w:spacing w:val="-4"/>
          <w:szCs w:val="21"/>
          <w:highlight w:val="none"/>
        </w:rPr>
      </w:pPr>
    </w:p>
    <w:p w14:paraId="7E6A3F9C">
      <w:pPr>
        <w:snapToGrid w:val="0"/>
        <w:spacing w:before="50" w:after="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2CE155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7A9A414">
      <w:pPr>
        <w:snapToGrid w:val="0"/>
        <w:spacing w:before="50" w:after="50" w:line="600" w:lineRule="auto"/>
        <w:ind w:right="-817" w:rightChars="-389"/>
        <w:rPr>
          <w:rFonts w:hint="eastAsia" w:ascii="宋体" w:hAnsi="宋体" w:eastAsia="宋体" w:cs="宋体"/>
          <w:b/>
          <w:bCs/>
          <w:color w:val="auto"/>
          <w:sz w:val="24"/>
          <w:highlight w:val="none"/>
        </w:rPr>
      </w:pPr>
    </w:p>
    <w:p w14:paraId="598A8DC8">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0"/>
        <w:rPr>
          <w:rFonts w:hint="eastAsia" w:ascii="宋体" w:hAnsi="宋体" w:eastAsia="宋体" w:cs="宋体"/>
          <w:b/>
          <w:bCs/>
          <w:color w:val="auto"/>
          <w:szCs w:val="21"/>
          <w:highlight w:val="none"/>
        </w:rPr>
      </w:pPr>
    </w:p>
    <w:p w14:paraId="1459C7ED">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0"/>
        <w:rPr>
          <w:rFonts w:hint="eastAsia" w:ascii="宋体" w:hAnsi="宋体" w:eastAsia="宋体" w:cs="宋体"/>
          <w:b/>
          <w:bCs/>
          <w:color w:val="auto"/>
          <w:szCs w:val="21"/>
          <w:highlight w:val="none"/>
        </w:rPr>
      </w:pPr>
    </w:p>
    <w:p w14:paraId="53A6EB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宋体" w:hAnsi="宋体" w:eastAsia="宋体" w:cs="宋体"/>
          <w:color w:val="auto"/>
          <w:highlight w:val="none"/>
        </w:rPr>
      </w:pPr>
      <w:r>
        <w:rPr>
          <w:rFonts w:hint="eastAsia" w:ascii="宋体" w:hAnsi="宋体" w:eastAsia="宋体" w:cs="宋体"/>
          <w:b/>
          <w:bCs/>
          <w:color w:val="auto"/>
          <w:szCs w:val="21"/>
          <w:highlight w:val="none"/>
        </w:rPr>
        <w:t>资格证明文件：</w:t>
      </w:r>
    </w:p>
    <w:p w14:paraId="464A21E5">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bookmarkStart w:id="146" w:name="OLE_LINK25"/>
      <w:r>
        <w:rPr>
          <w:rFonts w:hint="eastAsia" w:ascii="宋体" w:hAnsi="宋体" w:eastAsia="宋体" w:cs="宋体"/>
          <w:color w:val="auto"/>
          <w:szCs w:val="21"/>
          <w:highlight w:val="none"/>
        </w:rPr>
        <w:t>（1）资格条件自查表（格式）；</w:t>
      </w:r>
    </w:p>
    <w:p w14:paraId="3BB98F08">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（2）有效的企业法人营业执照（或事业法人登记证）、其他组织（个体工商户）的营业执照或者民办非企业单位登记证书复印件</w:t>
      </w:r>
      <w:r>
        <w:rPr>
          <w:rFonts w:hint="eastAsia" w:ascii="宋体" w:hAnsi="宋体" w:eastAsia="宋体" w:cs="宋体"/>
          <w:bCs/>
          <w:color w:val="auto"/>
          <w:szCs w:val="21"/>
          <w:highlight w:val="none"/>
        </w:rPr>
        <w:t>；</w:t>
      </w:r>
    </w:p>
    <w:p w14:paraId="01387A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（3）投标人资格声明函（格式见）；</w:t>
      </w:r>
    </w:p>
    <w:p w14:paraId="263429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）中小企业声明函（如是，请提供，格式）；</w:t>
      </w:r>
    </w:p>
    <w:p w14:paraId="4E7779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）供应商为监狱企业的证明文件：省级以上监狱管理局、戒毒管理局（含新疆生产建设兵团）出具（如是，请提供）；</w:t>
      </w:r>
    </w:p>
    <w:p w14:paraId="630AE1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）残疾人福利性单位声明函（如是，请提供。格式）；</w:t>
      </w:r>
    </w:p>
    <w:p w14:paraId="6C178A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2"/>
          <w:highlight w:val="none"/>
        </w:rPr>
        <w:t>招标文件</w:t>
      </w:r>
      <w:r>
        <w:rPr>
          <w:rFonts w:hint="eastAsia" w:ascii="宋体" w:hAnsi="宋体" w:eastAsia="宋体" w:cs="宋体"/>
          <w:color w:val="auto"/>
          <w:szCs w:val="21"/>
          <w:highlight w:val="none"/>
        </w:rPr>
        <w:t>要求的其他资格条件证明材料（如有）。</w:t>
      </w:r>
    </w:p>
    <w:bookmarkEnd w:id="146"/>
    <w:p w14:paraId="664DBAC7">
      <w:pPr>
        <w:adjustRightInd w:val="0"/>
        <w:snapToGrid w:val="0"/>
        <w:outlineLvl w:val="0"/>
        <w:rPr>
          <w:rFonts w:hint="eastAsia" w:ascii="宋体" w:hAnsi="宋体" w:eastAsia="宋体" w:cs="宋体"/>
          <w:b/>
          <w:bCs/>
          <w:color w:val="auto"/>
          <w:sz w:val="24"/>
          <w:highlight w:val="none"/>
        </w:rPr>
      </w:pPr>
    </w:p>
    <w:p w14:paraId="5E7AC315">
      <w:pPr>
        <w:pStyle w:val="65"/>
        <w:rPr>
          <w:rFonts w:hint="eastAsia" w:ascii="宋体" w:hAnsi="宋体" w:eastAsia="宋体" w:cs="宋体"/>
          <w:color w:val="auto"/>
          <w:highlight w:val="none"/>
        </w:rPr>
        <w:sectPr>
          <w:pgSz w:w="11906" w:h="16838"/>
          <w:pgMar w:top="1304" w:right="1134" w:bottom="1134" w:left="1304" w:header="851" w:footer="850" w:gutter="0"/>
          <w:cols w:space="0" w:num="1"/>
          <w:rtlGutter w:val="0"/>
          <w:docGrid w:linePitch="602" w:charSpace="0"/>
        </w:sectPr>
      </w:pPr>
    </w:p>
    <w:p w14:paraId="208597D3">
      <w:pPr>
        <w:rPr>
          <w:rFonts w:hint="eastAsia" w:ascii="宋体" w:hAnsi="宋体" w:eastAsia="宋体" w:cs="宋体"/>
          <w:color w:val="auto"/>
          <w:highlight w:val="none"/>
        </w:rPr>
      </w:pPr>
    </w:p>
    <w:p w14:paraId="66974065">
      <w:pPr>
        <w:rPr>
          <w:rFonts w:hint="eastAsia" w:ascii="宋体" w:hAnsi="宋体" w:eastAsia="宋体" w:cs="宋体"/>
          <w:color w:val="auto"/>
          <w:highlight w:val="none"/>
        </w:rPr>
      </w:pPr>
    </w:p>
    <w:p w14:paraId="45B8B742">
      <w:pPr>
        <w:rPr>
          <w:rFonts w:hint="eastAsia"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：资格条件自查表：</w:t>
      </w:r>
    </w:p>
    <w:p w14:paraId="546E8E0F">
      <w:pPr>
        <w:rPr>
          <w:rFonts w:hint="eastAsia" w:ascii="宋体" w:hAnsi="宋体" w:eastAsia="宋体" w:cs="宋体"/>
          <w:color w:val="auto"/>
          <w:highlight w:val="none"/>
        </w:rPr>
      </w:pPr>
    </w:p>
    <w:p w14:paraId="31E436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资格条件自查表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14:paraId="6AF1C07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69652892">
            <w:pPr>
              <w:adjustRightInd w:val="0"/>
              <w:snapToGrid w:val="0"/>
              <w:jc w:val="center"/>
              <w:rPr>
                <w:rFonts w:hint="eastAsia" w:ascii="宋体" w:hAnsi="宋体" w:eastAsia="宋体" w:cs="宋体"/>
                <w:color w:val="auto"/>
                <w:szCs w:val="21"/>
                <w:highlight w:val="none"/>
              </w:rPr>
            </w:pPr>
            <w:r>
              <w:rPr>
                <w:rStyle w:val="52"/>
                <w:rFonts w:hint="eastAsia" w:ascii="宋体" w:hAnsi="宋体" w:eastAsia="宋体" w:cs="宋体"/>
                <w:color w:val="auto"/>
                <w:szCs w:val="21"/>
                <w:highlight w:val="none"/>
              </w:rPr>
              <w:t>评审内容</w:t>
            </w:r>
          </w:p>
        </w:tc>
        <w:tc>
          <w:tcPr>
            <w:tcW w:w="4221" w:type="dxa"/>
            <w:tcBorders>
              <w:top w:val="single" w:color="auto" w:sz="4" w:space="0"/>
              <w:left w:val="single" w:color="auto" w:sz="4" w:space="0"/>
              <w:bottom w:val="single" w:color="auto" w:sz="4" w:space="0"/>
              <w:right w:val="single" w:color="auto" w:sz="4" w:space="0"/>
            </w:tcBorders>
            <w:vAlign w:val="center"/>
          </w:tcPr>
          <w:p w14:paraId="130969A7">
            <w:pPr>
              <w:adjustRightInd w:val="0"/>
              <w:snapToGrid w:val="0"/>
              <w:jc w:val="center"/>
              <w:rPr>
                <w:rFonts w:hint="eastAsia" w:ascii="宋体" w:hAnsi="宋体" w:eastAsia="宋体" w:cs="宋体"/>
                <w:color w:val="auto"/>
                <w:szCs w:val="21"/>
                <w:highlight w:val="none"/>
              </w:rPr>
            </w:pPr>
            <w:r>
              <w:rPr>
                <w:rStyle w:val="52"/>
                <w:rFonts w:hint="eastAsia" w:ascii="宋体" w:hAnsi="宋体" w:eastAsia="宋体" w:cs="宋体"/>
                <w:color w:val="auto"/>
                <w:szCs w:val="21"/>
                <w:highlight w:val="none"/>
              </w:rPr>
              <w:t>采购文件要求</w:t>
            </w:r>
          </w:p>
        </w:tc>
        <w:tc>
          <w:tcPr>
            <w:tcW w:w="1270" w:type="dxa"/>
            <w:tcBorders>
              <w:top w:val="single" w:color="auto" w:sz="4" w:space="0"/>
              <w:left w:val="single" w:color="auto" w:sz="4" w:space="0"/>
              <w:bottom w:val="single" w:color="auto" w:sz="4" w:space="0"/>
              <w:right w:val="single" w:color="auto" w:sz="4" w:space="0"/>
            </w:tcBorders>
            <w:vAlign w:val="center"/>
          </w:tcPr>
          <w:p w14:paraId="3E7396C4">
            <w:pPr>
              <w:adjustRightInd w:val="0"/>
              <w:snapToGrid w:val="0"/>
              <w:jc w:val="center"/>
              <w:rPr>
                <w:rFonts w:hint="eastAsia" w:ascii="宋体" w:hAnsi="宋体" w:eastAsia="宋体" w:cs="宋体"/>
                <w:color w:val="auto"/>
                <w:szCs w:val="21"/>
                <w:highlight w:val="none"/>
              </w:rPr>
            </w:pPr>
            <w:r>
              <w:rPr>
                <w:rStyle w:val="52"/>
                <w:rFonts w:hint="eastAsia" w:ascii="宋体" w:hAnsi="宋体" w:eastAsia="宋体" w:cs="宋体"/>
                <w:color w:val="auto"/>
                <w:szCs w:val="21"/>
                <w:highlight w:val="none"/>
              </w:rPr>
              <w:t>自查结论</w:t>
            </w:r>
          </w:p>
        </w:tc>
        <w:tc>
          <w:tcPr>
            <w:tcW w:w="2611" w:type="dxa"/>
            <w:tcBorders>
              <w:top w:val="single" w:color="auto" w:sz="4" w:space="0"/>
              <w:left w:val="single" w:color="auto" w:sz="4" w:space="0"/>
              <w:bottom w:val="single" w:color="auto" w:sz="4" w:space="0"/>
              <w:right w:val="single" w:color="auto" w:sz="4" w:space="0"/>
            </w:tcBorders>
            <w:vAlign w:val="center"/>
          </w:tcPr>
          <w:p w14:paraId="2FF46B95">
            <w:pPr>
              <w:adjustRightInd w:val="0"/>
              <w:snapToGrid w:val="0"/>
              <w:jc w:val="center"/>
              <w:rPr>
                <w:rFonts w:hint="eastAsia" w:ascii="宋体" w:hAnsi="宋体" w:eastAsia="宋体" w:cs="宋体"/>
                <w:color w:val="auto"/>
                <w:szCs w:val="21"/>
                <w:highlight w:val="none"/>
              </w:rPr>
            </w:pPr>
            <w:r>
              <w:rPr>
                <w:rStyle w:val="52"/>
                <w:rFonts w:hint="eastAsia" w:ascii="宋体" w:hAnsi="宋体" w:eastAsia="宋体" w:cs="宋体"/>
                <w:color w:val="auto"/>
                <w:szCs w:val="21"/>
                <w:highlight w:val="none"/>
              </w:rPr>
              <w:t>证明资料</w:t>
            </w:r>
          </w:p>
        </w:tc>
      </w:tr>
      <w:tr w14:paraId="4580AC6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14:paraId="3BF80ECF">
            <w:pPr>
              <w:pStyle w:val="262"/>
              <w:adjustRightInd w:val="0"/>
              <w:snapToGrid w:val="0"/>
              <w:spacing w:before="0" w:beforeAutospacing="0" w:after="0" w:afterAutospacing="0"/>
              <w:jc w:val="center"/>
              <w:rPr>
                <w:rFonts w:hint="eastAsia" w:ascii="宋体" w:hAnsi="宋体" w:eastAsia="宋体" w:cs="宋体"/>
                <w:bCs/>
                <w:color w:val="auto"/>
                <w:sz w:val="21"/>
                <w:szCs w:val="21"/>
                <w:highlight w:val="none"/>
              </w:rPr>
            </w:pPr>
            <w:bookmarkStart w:id="147" w:name="OLE_LINK23" w:colFirst="1" w:colLast="1"/>
            <w:r>
              <w:rPr>
                <w:rFonts w:hint="eastAsia" w:ascii="宋体" w:hAnsi="宋体" w:eastAsia="宋体" w:cs="宋体"/>
                <w:bCs/>
                <w:color w:val="auto"/>
                <w:sz w:val="21"/>
                <w:szCs w:val="21"/>
                <w:highlight w:val="none"/>
              </w:rPr>
              <w:t>资</w:t>
            </w:r>
          </w:p>
          <w:p w14:paraId="352F9C95">
            <w:pPr>
              <w:pStyle w:val="262"/>
              <w:adjustRightInd w:val="0"/>
              <w:snapToGrid w:val="0"/>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w:t>
            </w:r>
          </w:p>
          <w:p w14:paraId="32B61D7B">
            <w:pPr>
              <w:pStyle w:val="262"/>
              <w:adjustRightInd w:val="0"/>
              <w:snapToGrid w:val="0"/>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w:t>
            </w:r>
          </w:p>
          <w:p w14:paraId="44D75022">
            <w:pPr>
              <w:pStyle w:val="262"/>
              <w:adjustRightInd w:val="0"/>
              <w:snapToGrid w:val="0"/>
              <w:spacing w:before="0" w:beforeAutospacing="0" w:after="0" w:afterAutospacing="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审</w:t>
            </w:r>
          </w:p>
          <w:p w14:paraId="5A008BCD">
            <w:pPr>
              <w:pStyle w:val="262"/>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查</w:t>
            </w:r>
          </w:p>
        </w:tc>
        <w:tc>
          <w:tcPr>
            <w:tcW w:w="4221" w:type="dxa"/>
            <w:tcBorders>
              <w:top w:val="single" w:color="auto" w:sz="4" w:space="0"/>
              <w:left w:val="single" w:color="auto" w:sz="4" w:space="0"/>
              <w:bottom w:val="single" w:color="auto" w:sz="4" w:space="0"/>
              <w:right w:val="single" w:color="auto" w:sz="4" w:space="0"/>
            </w:tcBorders>
            <w:vAlign w:val="center"/>
          </w:tcPr>
          <w:p w14:paraId="44D8D426">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1.符合《中华人民共和国政府采购法》第二十二条规定的供应商资格条件</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090B0690">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319F27E6">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c>
          <w:tcPr>
            <w:tcW w:w="2611" w:type="dxa"/>
            <w:tcBorders>
              <w:top w:val="single" w:color="auto" w:sz="4" w:space="0"/>
              <w:left w:val="single" w:color="auto" w:sz="4" w:space="0"/>
              <w:bottom w:val="single" w:color="auto" w:sz="4" w:space="0"/>
              <w:right w:val="single" w:color="auto" w:sz="4" w:space="0"/>
            </w:tcBorders>
            <w:vAlign w:val="center"/>
          </w:tcPr>
          <w:p w14:paraId="393436B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 ）页-（  ）页</w:t>
            </w:r>
          </w:p>
        </w:tc>
      </w:tr>
      <w:tr w14:paraId="2691D4A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59"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349C8ADB">
            <w:pPr>
              <w:pStyle w:val="262"/>
              <w:adjustRightInd w:val="0"/>
              <w:snapToGrid w:val="0"/>
              <w:spacing w:before="0" w:beforeAutospacing="0" w:after="0" w:afterAutospacing="0"/>
              <w:jc w:val="center"/>
              <w:rPr>
                <w:rFonts w:hint="eastAsia" w:ascii="宋体" w:hAnsi="宋体" w:eastAsia="宋体" w:cs="宋体"/>
                <w:b/>
                <w:color w:val="auto"/>
                <w:sz w:val="21"/>
                <w:szCs w:val="21"/>
                <w:highlight w:val="none"/>
              </w:rPr>
            </w:pPr>
          </w:p>
        </w:tc>
        <w:tc>
          <w:tcPr>
            <w:tcW w:w="4221" w:type="dxa"/>
            <w:tcBorders>
              <w:top w:val="single" w:color="auto" w:sz="4" w:space="0"/>
              <w:left w:val="single" w:color="auto" w:sz="4" w:space="0"/>
              <w:bottom w:val="single" w:color="auto" w:sz="4" w:space="0"/>
              <w:right w:val="single" w:color="auto" w:sz="4" w:space="0"/>
            </w:tcBorders>
            <w:vAlign w:val="center"/>
          </w:tcPr>
          <w:p w14:paraId="6A0E9811">
            <w:pPr>
              <w:rPr>
                <w:rFonts w:hint="eastAsia" w:ascii="宋体" w:hAnsi="宋体" w:eastAsia="宋体" w:cs="宋体"/>
                <w:color w:val="auto"/>
                <w:highlight w:val="none"/>
              </w:rPr>
            </w:pPr>
            <w:r>
              <w:rPr>
                <w:rFonts w:hint="eastAsia" w:ascii="宋体" w:hAnsi="宋体" w:eastAsia="宋体" w:cs="宋体"/>
                <w:color w:val="auto"/>
                <w:szCs w:val="21"/>
                <w:highlight w:val="none"/>
              </w:rPr>
              <w:t>2.有效的企业法人营业执照（或事业法人登记证）、其他组织的营业执照或者民办非企业单位登记证书复印件；</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0D62462F">
            <w:pPr>
              <w:adjustRightInd w:val="0"/>
              <w:snapToGrid w:val="0"/>
              <w:rPr>
                <w:rFonts w:hint="eastAsia" w:ascii="宋体" w:hAnsi="宋体" w:eastAsia="宋体" w:cs="宋体"/>
                <w:color w:val="auto"/>
                <w:szCs w:val="21"/>
                <w:highlight w:val="none"/>
              </w:rPr>
            </w:pPr>
          </w:p>
        </w:tc>
        <w:tc>
          <w:tcPr>
            <w:tcW w:w="2611" w:type="dxa"/>
            <w:tcBorders>
              <w:top w:val="single" w:color="auto" w:sz="4" w:space="0"/>
              <w:left w:val="single" w:color="auto" w:sz="4" w:space="0"/>
              <w:bottom w:val="single" w:color="auto" w:sz="4" w:space="0"/>
              <w:right w:val="single" w:color="auto" w:sz="4" w:space="0"/>
            </w:tcBorders>
            <w:vAlign w:val="center"/>
          </w:tcPr>
          <w:p w14:paraId="34A4342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 ）页</w:t>
            </w:r>
          </w:p>
        </w:tc>
      </w:tr>
      <w:tr w14:paraId="241B74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7"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244267E9">
            <w:pPr>
              <w:adjustRightInd w:val="0"/>
              <w:snapToGrid w:val="0"/>
              <w:rPr>
                <w:rFonts w:hint="eastAsia" w:ascii="宋体" w:hAnsi="宋体" w:eastAsia="宋体" w:cs="宋体"/>
                <w:color w:val="auto"/>
                <w:szCs w:val="21"/>
                <w:highlight w:val="none"/>
              </w:rPr>
            </w:pPr>
          </w:p>
        </w:tc>
        <w:tc>
          <w:tcPr>
            <w:tcW w:w="4221" w:type="dxa"/>
            <w:tcBorders>
              <w:top w:val="single" w:color="auto" w:sz="4" w:space="0"/>
              <w:left w:val="single" w:color="auto" w:sz="4" w:space="0"/>
              <w:bottom w:val="single" w:color="auto" w:sz="4" w:space="0"/>
              <w:right w:val="single" w:color="auto" w:sz="4" w:space="0"/>
            </w:tcBorders>
            <w:vAlign w:val="center"/>
          </w:tcPr>
          <w:p w14:paraId="75EAA4E2">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Fonts w:hint="eastAsia" w:ascii="宋体" w:hAnsi="宋体" w:eastAsia="宋体" w:cs="宋体"/>
                <w:bCs/>
                <w:color w:val="auto"/>
                <w:szCs w:val="21"/>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14:paraId="7F6266AD">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3435B0DA">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c>
          <w:tcPr>
            <w:tcW w:w="2611" w:type="dxa"/>
            <w:tcBorders>
              <w:top w:val="single" w:color="auto" w:sz="4" w:space="0"/>
              <w:left w:val="single" w:color="auto" w:sz="4" w:space="0"/>
              <w:bottom w:val="single" w:color="auto" w:sz="4" w:space="0"/>
              <w:right w:val="single" w:color="auto" w:sz="4" w:space="0"/>
            </w:tcBorders>
            <w:vAlign w:val="center"/>
          </w:tcPr>
          <w:p w14:paraId="042124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 ）页-（  ）页</w:t>
            </w:r>
          </w:p>
        </w:tc>
      </w:tr>
      <w:tr w14:paraId="3C660A7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38"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0B11FEB9">
            <w:pPr>
              <w:adjustRightInd w:val="0"/>
              <w:snapToGrid w:val="0"/>
              <w:rPr>
                <w:rFonts w:hint="eastAsia" w:ascii="宋体" w:hAnsi="宋体" w:eastAsia="宋体" w:cs="宋体"/>
                <w:color w:val="auto"/>
                <w:szCs w:val="21"/>
                <w:highlight w:val="none"/>
              </w:rPr>
            </w:pPr>
          </w:p>
        </w:tc>
        <w:tc>
          <w:tcPr>
            <w:tcW w:w="4221" w:type="dxa"/>
            <w:tcBorders>
              <w:top w:val="single" w:color="auto" w:sz="4" w:space="0"/>
              <w:left w:val="single" w:color="auto" w:sz="4" w:space="0"/>
              <w:bottom w:val="single" w:color="auto" w:sz="4" w:space="0"/>
              <w:right w:val="single" w:color="auto" w:sz="4" w:space="0"/>
            </w:tcBorders>
            <w:vAlign w:val="center"/>
          </w:tcPr>
          <w:p w14:paraId="63C4D94C">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4.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tc>
        <w:tc>
          <w:tcPr>
            <w:tcW w:w="1270" w:type="dxa"/>
            <w:tcBorders>
              <w:top w:val="single" w:color="auto" w:sz="4" w:space="0"/>
              <w:left w:val="single" w:color="auto" w:sz="4" w:space="0"/>
              <w:bottom w:val="single" w:color="auto" w:sz="4" w:space="0"/>
              <w:right w:val="single" w:color="auto" w:sz="4" w:space="0"/>
            </w:tcBorders>
            <w:vAlign w:val="center"/>
          </w:tcPr>
          <w:p w14:paraId="5322CD02">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69C6C86A">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c>
          <w:tcPr>
            <w:tcW w:w="2611" w:type="dxa"/>
            <w:tcBorders>
              <w:top w:val="single" w:color="auto" w:sz="4" w:space="0"/>
              <w:left w:val="single" w:color="auto" w:sz="4" w:space="0"/>
              <w:bottom w:val="single" w:color="auto" w:sz="4" w:space="0"/>
              <w:right w:val="single" w:color="auto" w:sz="4" w:space="0"/>
            </w:tcBorders>
            <w:vAlign w:val="center"/>
          </w:tcPr>
          <w:p w14:paraId="61C2722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 ）页-（  ）页</w:t>
            </w:r>
          </w:p>
        </w:tc>
      </w:tr>
      <w:tr w14:paraId="3DEA47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48"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5F25B67A">
            <w:pPr>
              <w:adjustRightInd w:val="0"/>
              <w:snapToGrid w:val="0"/>
              <w:rPr>
                <w:rFonts w:hint="eastAsia" w:ascii="宋体" w:hAnsi="宋体" w:eastAsia="宋体" w:cs="宋体"/>
                <w:color w:val="auto"/>
                <w:szCs w:val="21"/>
                <w:highlight w:val="none"/>
              </w:rPr>
            </w:pPr>
          </w:p>
        </w:tc>
        <w:tc>
          <w:tcPr>
            <w:tcW w:w="4221" w:type="dxa"/>
            <w:tcBorders>
              <w:top w:val="single" w:color="auto" w:sz="4" w:space="0"/>
              <w:left w:val="single" w:color="auto" w:sz="4" w:space="0"/>
              <w:bottom w:val="single" w:color="auto" w:sz="4" w:space="0"/>
              <w:right w:val="single" w:color="auto" w:sz="4" w:space="0"/>
            </w:tcBorders>
            <w:vAlign w:val="center"/>
          </w:tcPr>
          <w:p w14:paraId="7DB97132">
            <w:pPr>
              <w:rPr>
                <w:rFonts w:hint="eastAsia" w:ascii="宋体" w:hAnsi="宋体" w:eastAsia="宋体" w:cs="宋体"/>
                <w:b w:val="0"/>
                <w:bCs w:val="0"/>
                <w:color w:val="auto"/>
                <w:kern w:val="1"/>
                <w:szCs w:val="21"/>
                <w:highlight w:val="none"/>
              </w:rPr>
            </w:pP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落实政府采购政策需满足的资格要求：</w:t>
            </w:r>
            <w:r>
              <w:rPr>
                <w:rFonts w:hint="eastAsia" w:ascii="宋体" w:hAnsi="宋体" w:eastAsia="宋体" w:cs="宋体"/>
                <w:b w:val="0"/>
                <w:bCs w:val="0"/>
                <w:color w:val="auto"/>
                <w:kern w:val="1"/>
                <w:szCs w:val="21"/>
                <w:highlight w:val="none"/>
              </w:rPr>
              <w:t>本项目</w:t>
            </w:r>
            <w:r>
              <w:rPr>
                <w:rFonts w:hint="eastAsia" w:ascii="宋体" w:hAnsi="宋体" w:eastAsia="宋体" w:cs="宋体"/>
                <w:b/>
                <w:bCs/>
                <w:color w:val="auto"/>
                <w:kern w:val="1"/>
                <w:szCs w:val="21"/>
                <w:highlight w:val="none"/>
              </w:rPr>
              <w:t>专门面向小</w:t>
            </w:r>
            <w:r>
              <w:rPr>
                <w:rFonts w:hint="eastAsia" w:ascii="宋体" w:hAnsi="宋体" w:eastAsia="宋体" w:cs="宋体"/>
                <w:b/>
                <w:bCs/>
                <w:color w:val="auto"/>
                <w:kern w:val="1"/>
                <w:szCs w:val="21"/>
                <w:highlight w:val="none"/>
                <w:lang w:val="en-US" w:eastAsia="zh-CN"/>
              </w:rPr>
              <w:t>微</w:t>
            </w:r>
            <w:r>
              <w:rPr>
                <w:rFonts w:hint="eastAsia" w:ascii="宋体" w:hAnsi="宋体" w:eastAsia="宋体" w:cs="宋体"/>
                <w:b/>
                <w:bCs/>
                <w:color w:val="auto"/>
                <w:kern w:val="1"/>
                <w:szCs w:val="21"/>
                <w:highlight w:val="none"/>
              </w:rPr>
              <w:t>企业采购</w:t>
            </w:r>
            <w:r>
              <w:rPr>
                <w:rFonts w:hint="eastAsia" w:ascii="宋体" w:hAnsi="宋体" w:eastAsia="宋体" w:cs="宋体"/>
                <w:b w:val="0"/>
                <w:bCs w:val="0"/>
                <w:color w:val="auto"/>
                <w:kern w:val="1"/>
                <w:szCs w:val="21"/>
                <w:highlight w:val="none"/>
              </w:rPr>
              <w:t>（监狱企业及残疾人福利性单位视同小型、微型企业）。</w:t>
            </w:r>
          </w:p>
          <w:p w14:paraId="13B35923">
            <w:pPr>
              <w:ind w:firstLine="210" w:firstLineChars="0"/>
              <w:rPr>
                <w:rFonts w:hint="eastAsia" w:ascii="宋体" w:hAnsi="宋体" w:eastAsia="宋体" w:cs="宋体"/>
                <w:color w:val="auto"/>
                <w:highlight w:val="none"/>
              </w:rPr>
            </w:pPr>
            <w:r>
              <w:rPr>
                <w:rFonts w:hint="eastAsia" w:ascii="宋体" w:hAnsi="宋体" w:eastAsia="宋体" w:cs="宋体"/>
                <w:b w:val="0"/>
                <w:bCs w:val="0"/>
                <w:color w:val="auto"/>
                <w:kern w:val="1"/>
                <w:szCs w:val="21"/>
                <w:highlight w:val="none"/>
              </w:rPr>
              <w:t>投标人提供中小企业声明函；注：从业人员、营业收入、资产总额填报上一年度数据，无上一年度数据的新成立企业可不填报。</w:t>
            </w:r>
          </w:p>
        </w:tc>
        <w:tc>
          <w:tcPr>
            <w:tcW w:w="1270" w:type="dxa"/>
            <w:tcBorders>
              <w:top w:val="single" w:color="auto" w:sz="4" w:space="0"/>
              <w:left w:val="single" w:color="auto" w:sz="4" w:space="0"/>
              <w:bottom w:val="single" w:color="auto" w:sz="4" w:space="0"/>
              <w:right w:val="single" w:color="auto" w:sz="4" w:space="0"/>
            </w:tcBorders>
            <w:vAlign w:val="center"/>
          </w:tcPr>
          <w:p w14:paraId="27286D79">
            <w:pP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□通过 </w:t>
            </w:r>
          </w:p>
          <w:p w14:paraId="0D68812A">
            <w:pP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rPr>
              <w:t>□不通过</w:t>
            </w:r>
          </w:p>
        </w:tc>
        <w:tc>
          <w:tcPr>
            <w:tcW w:w="2611" w:type="dxa"/>
            <w:tcBorders>
              <w:top w:val="single" w:color="auto" w:sz="4" w:space="0"/>
              <w:left w:val="single" w:color="auto" w:sz="4" w:space="0"/>
              <w:bottom w:val="single" w:color="auto" w:sz="4" w:space="0"/>
              <w:right w:val="single" w:color="auto" w:sz="4" w:space="0"/>
            </w:tcBorders>
            <w:vAlign w:val="center"/>
          </w:tcPr>
          <w:p w14:paraId="3EEECFC6">
            <w:pPr>
              <w:jc w:val="cente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rPr>
              <w:t>第（）页-（）页</w:t>
            </w:r>
          </w:p>
        </w:tc>
      </w:tr>
      <w:tr w14:paraId="5F8D596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8"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777FD314">
            <w:pPr>
              <w:adjustRightInd w:val="0"/>
              <w:snapToGrid w:val="0"/>
              <w:rPr>
                <w:rFonts w:hint="eastAsia" w:ascii="宋体" w:hAnsi="宋体" w:eastAsia="宋体" w:cs="宋体"/>
                <w:color w:val="auto"/>
                <w:szCs w:val="21"/>
                <w:highlight w:val="none"/>
              </w:rPr>
            </w:pPr>
          </w:p>
        </w:tc>
        <w:tc>
          <w:tcPr>
            <w:tcW w:w="4221" w:type="dxa"/>
            <w:tcBorders>
              <w:top w:val="single" w:color="auto" w:sz="4" w:space="0"/>
              <w:left w:val="single" w:color="auto" w:sz="4" w:space="0"/>
              <w:bottom w:val="single" w:color="auto" w:sz="4" w:space="0"/>
              <w:right w:val="single" w:color="auto" w:sz="4" w:space="0"/>
            </w:tcBorders>
            <w:vAlign w:val="center"/>
          </w:tcPr>
          <w:p w14:paraId="7A87A857">
            <w:pPr>
              <w:spacing w:line="300" w:lineRule="exact"/>
              <w:rPr>
                <w:rFonts w:hint="eastAsia" w:ascii="宋体" w:hAnsi="宋体" w:eastAsia="宋体" w:cs="宋体"/>
                <w:b w:val="0"/>
                <w:bCs w:val="0"/>
                <w:color w:val="auto"/>
                <w:kern w:val="1"/>
                <w:szCs w:val="21"/>
                <w:highlight w:val="none"/>
              </w:rPr>
            </w:pPr>
            <w:r>
              <w:rPr>
                <w:rFonts w:hint="eastAsia" w:ascii="宋体" w:hAnsi="宋体" w:eastAsia="宋体" w:cs="宋体"/>
                <w:color w:val="auto"/>
                <w:kern w:val="1"/>
                <w:szCs w:val="21"/>
                <w:highlight w:val="none"/>
                <w:lang w:val="en-US" w:eastAsia="zh-CN"/>
              </w:rPr>
              <w:t>6.</w:t>
            </w:r>
            <w:r>
              <w:rPr>
                <w:rFonts w:hint="eastAsia" w:ascii="宋体" w:hAnsi="宋体" w:eastAsia="宋体" w:cs="宋体"/>
                <w:color w:val="auto"/>
                <w:kern w:val="1"/>
                <w:szCs w:val="21"/>
                <w:highlight w:val="none"/>
              </w:rPr>
              <w:t>招标文件规定的其他资格条件（如有）</w:t>
            </w:r>
          </w:p>
        </w:tc>
        <w:tc>
          <w:tcPr>
            <w:tcW w:w="1270" w:type="dxa"/>
            <w:tcBorders>
              <w:top w:val="single" w:color="auto" w:sz="4" w:space="0"/>
              <w:left w:val="single" w:color="auto" w:sz="4" w:space="0"/>
              <w:bottom w:val="single" w:color="auto" w:sz="4" w:space="0"/>
              <w:right w:val="single" w:color="auto" w:sz="4" w:space="0"/>
            </w:tcBorders>
            <w:vAlign w:val="center"/>
          </w:tcPr>
          <w:p w14:paraId="07A67A72">
            <w:pPr>
              <w:spacing w:line="30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□通过 </w:t>
            </w:r>
          </w:p>
          <w:p w14:paraId="14A199E7">
            <w:pPr>
              <w:spacing w:line="30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□不通过</w:t>
            </w:r>
          </w:p>
        </w:tc>
        <w:tc>
          <w:tcPr>
            <w:tcW w:w="2611" w:type="dxa"/>
            <w:tcBorders>
              <w:top w:val="single" w:color="auto" w:sz="4" w:space="0"/>
              <w:left w:val="single" w:color="auto" w:sz="4" w:space="0"/>
              <w:bottom w:val="single" w:color="auto" w:sz="4" w:space="0"/>
              <w:right w:val="single" w:color="auto" w:sz="4" w:space="0"/>
            </w:tcBorders>
            <w:vAlign w:val="center"/>
          </w:tcPr>
          <w:p w14:paraId="567E8F2F">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第（）页-（）页</w:t>
            </w:r>
          </w:p>
        </w:tc>
      </w:tr>
      <w:tr w14:paraId="512912B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75"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5DCB0A95">
            <w:pPr>
              <w:adjustRightInd w:val="0"/>
              <w:snapToGrid w:val="0"/>
              <w:rPr>
                <w:rFonts w:hint="eastAsia" w:ascii="宋体" w:hAnsi="宋体" w:eastAsia="宋体" w:cs="宋体"/>
                <w:color w:val="auto"/>
                <w:szCs w:val="21"/>
                <w:highlight w:val="none"/>
              </w:rPr>
            </w:pPr>
          </w:p>
        </w:tc>
        <w:tc>
          <w:tcPr>
            <w:tcW w:w="4221" w:type="dxa"/>
            <w:tcBorders>
              <w:top w:val="single" w:color="auto" w:sz="4" w:space="0"/>
              <w:left w:val="single" w:color="auto" w:sz="4" w:space="0"/>
              <w:bottom w:val="single" w:color="auto" w:sz="4" w:space="0"/>
              <w:right w:val="single" w:color="auto" w:sz="4" w:space="0"/>
            </w:tcBorders>
            <w:vAlign w:val="center"/>
          </w:tcPr>
          <w:p w14:paraId="2EAC3DA3">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.本项目不接受联合体投标。</w:t>
            </w:r>
          </w:p>
        </w:tc>
        <w:tc>
          <w:tcPr>
            <w:tcW w:w="1270" w:type="dxa"/>
            <w:tcBorders>
              <w:top w:val="single" w:color="auto" w:sz="4" w:space="0"/>
              <w:left w:val="single" w:color="auto" w:sz="4" w:space="0"/>
              <w:bottom w:val="single" w:color="auto" w:sz="4" w:space="0"/>
              <w:right w:val="single" w:color="auto" w:sz="4" w:space="0"/>
            </w:tcBorders>
            <w:vAlign w:val="center"/>
          </w:tcPr>
          <w:p w14:paraId="13E151CE">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5A61E17C">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c>
          <w:tcPr>
            <w:tcW w:w="2611" w:type="dxa"/>
            <w:tcBorders>
              <w:top w:val="single" w:color="auto" w:sz="4" w:space="0"/>
              <w:left w:val="single" w:color="auto" w:sz="4" w:space="0"/>
              <w:bottom w:val="single" w:color="auto" w:sz="4" w:space="0"/>
              <w:right w:val="single" w:color="auto" w:sz="4" w:space="0"/>
            </w:tcBorders>
            <w:vAlign w:val="center"/>
          </w:tcPr>
          <w:p w14:paraId="2B7BCBD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 ）页</w:t>
            </w:r>
          </w:p>
        </w:tc>
      </w:tr>
      <w:bookmarkEnd w:id="147"/>
    </w:tbl>
    <w:p w14:paraId="7A5AEB41">
      <w:pPr>
        <w:snapToGrid w:val="0"/>
        <w:spacing w:before="50" w:after="120" w:afterLines="50"/>
        <w:jc w:val="left"/>
        <w:rPr>
          <w:rFonts w:hint="eastAsia" w:ascii="宋体" w:hAnsi="宋体" w:eastAsia="宋体" w:cs="宋体"/>
          <w:color w:val="auto"/>
          <w:szCs w:val="21"/>
          <w:highlight w:val="none"/>
        </w:rPr>
      </w:pPr>
    </w:p>
    <w:p w14:paraId="7D984AF9">
      <w:pPr>
        <w:autoSpaceDE w:val="0"/>
        <w:autoSpaceDN w:val="0"/>
        <w:adjustRightIn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highlight w:val="none"/>
        </w:rPr>
        <w:br w:type="page"/>
      </w:r>
    </w:p>
    <w:p w14:paraId="2B491A34">
      <w:pPr>
        <w:widowControl/>
        <w:spacing w:line="360" w:lineRule="auto"/>
        <w:jc w:val="left"/>
        <w:rPr>
          <w:rFonts w:hint="eastAsia" w:ascii="宋体" w:hAnsi="宋体" w:eastAsia="宋体" w:cs="宋体"/>
          <w:b/>
          <w:color w:val="auto"/>
          <w:spacing w:val="-4"/>
          <w:sz w:val="24"/>
          <w:highlight w:val="none"/>
        </w:rPr>
      </w:pPr>
    </w:p>
    <w:p w14:paraId="31DD0D52">
      <w:pPr>
        <w:widowControl/>
        <w:spacing w:line="360" w:lineRule="auto"/>
        <w:jc w:val="left"/>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格式</w:t>
      </w:r>
      <w:r>
        <w:rPr>
          <w:rFonts w:hint="eastAsia" w:ascii="宋体" w:hAnsi="宋体" w:eastAsia="宋体" w:cs="宋体"/>
          <w:b/>
          <w:color w:val="auto"/>
          <w:spacing w:val="-4"/>
          <w:sz w:val="24"/>
          <w:highlight w:val="none"/>
          <w:lang w:val="en-US" w:eastAsia="zh-CN"/>
        </w:rPr>
        <w:t>六</w:t>
      </w:r>
      <w:r>
        <w:rPr>
          <w:rFonts w:hint="eastAsia" w:ascii="宋体" w:hAnsi="宋体" w:eastAsia="宋体" w:cs="宋体"/>
          <w:b/>
          <w:color w:val="auto"/>
          <w:spacing w:val="-4"/>
          <w:sz w:val="24"/>
          <w:highlight w:val="none"/>
        </w:rPr>
        <w:t>、投标人资格声明函</w:t>
      </w:r>
    </w:p>
    <w:p w14:paraId="32BB986B">
      <w:pPr>
        <w:widowControl/>
        <w:spacing w:line="360" w:lineRule="auto"/>
        <w:jc w:val="center"/>
        <w:rPr>
          <w:rFonts w:hint="eastAsia" w:ascii="宋体" w:hAnsi="宋体" w:eastAsia="宋体" w:cs="宋体"/>
          <w:b/>
          <w:color w:val="auto"/>
          <w:spacing w:val="-4"/>
          <w:sz w:val="24"/>
          <w:highlight w:val="none"/>
        </w:rPr>
      </w:pPr>
    </w:p>
    <w:p w14:paraId="34DB1ED0">
      <w:pPr>
        <w:widowControl/>
        <w:spacing w:line="360" w:lineRule="auto"/>
        <w:jc w:val="center"/>
        <w:rPr>
          <w:rFonts w:hint="eastAsia" w:ascii="宋体" w:hAnsi="宋体" w:eastAsia="宋体" w:cs="宋体"/>
          <w:b/>
          <w:color w:val="auto"/>
          <w:spacing w:val="-4"/>
          <w:sz w:val="32"/>
          <w:szCs w:val="32"/>
          <w:highlight w:val="none"/>
        </w:rPr>
      </w:pPr>
      <w:r>
        <w:rPr>
          <w:rFonts w:hint="eastAsia" w:ascii="宋体" w:hAnsi="宋体" w:eastAsia="宋体" w:cs="宋体"/>
          <w:b/>
          <w:color w:val="auto"/>
          <w:spacing w:val="-4"/>
          <w:sz w:val="32"/>
          <w:szCs w:val="32"/>
          <w:highlight w:val="none"/>
        </w:rPr>
        <w:t>投标人资格声明函</w:t>
      </w:r>
    </w:p>
    <w:p w14:paraId="43EA3629">
      <w:pPr>
        <w:widowControl/>
        <w:spacing w:line="360" w:lineRule="auto"/>
        <w:jc w:val="center"/>
        <w:rPr>
          <w:rFonts w:hint="eastAsia" w:ascii="宋体" w:hAnsi="宋体" w:eastAsia="宋体" w:cs="宋体"/>
          <w:b/>
          <w:color w:val="auto"/>
          <w:spacing w:val="-4"/>
          <w:sz w:val="24"/>
          <w:highlight w:val="none"/>
        </w:rPr>
      </w:pPr>
    </w:p>
    <w:p w14:paraId="6519E60E">
      <w:pPr>
        <w:rPr>
          <w:rFonts w:hint="eastAsia" w:ascii="宋体" w:hAnsi="宋体" w:eastAsia="宋体" w:cs="宋体"/>
          <w:b/>
          <w:color w:val="auto"/>
          <w:highlight w:val="none"/>
        </w:rPr>
      </w:pPr>
      <w:r>
        <w:rPr>
          <w:rFonts w:hint="eastAsia" w:ascii="宋体" w:hAnsi="宋体" w:eastAsia="宋体" w:cs="宋体"/>
          <w:b/>
          <w:color w:val="auto"/>
          <w:highlight w:val="none"/>
          <w:lang w:eastAsia="zh-CN"/>
        </w:rPr>
        <w:t>宁波杜威工程项目管理有限公司</w:t>
      </w:r>
      <w:r>
        <w:rPr>
          <w:rFonts w:hint="eastAsia" w:ascii="宋体" w:hAnsi="宋体" w:eastAsia="宋体" w:cs="宋体"/>
          <w:b/>
          <w:color w:val="auto"/>
          <w:highlight w:val="none"/>
        </w:rPr>
        <w:t>：</w:t>
      </w:r>
    </w:p>
    <w:p w14:paraId="3DE6A965">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），我方愿意参加投标，并声明：</w:t>
      </w:r>
    </w:p>
    <w:p w14:paraId="0EB7AED0">
      <w:pPr>
        <w:numPr>
          <w:ilvl w:val="0"/>
          <w:numId w:val="21"/>
        </w:numPr>
        <w:snapToGrid w:val="0"/>
        <w:spacing w:line="360" w:lineRule="auto"/>
        <w:ind w:firstLine="424" w:firstLineChars="202"/>
        <w:rPr>
          <w:rFonts w:hint="eastAsia" w:ascii="宋体" w:hAnsi="宋体" w:eastAsia="宋体" w:cs="宋体"/>
          <w:bCs/>
          <w:color w:val="auto"/>
          <w:szCs w:val="21"/>
          <w:highlight w:val="none"/>
        </w:rPr>
      </w:pPr>
      <w:r>
        <w:rPr>
          <w:rFonts w:hint="eastAsia" w:ascii="宋体" w:hAnsi="宋体" w:eastAsia="宋体" w:cs="宋体"/>
          <w:color w:val="auto"/>
          <w:highlight w:val="none"/>
        </w:rPr>
        <w:t>我方具备</w:t>
      </w:r>
      <w:r>
        <w:rPr>
          <w:rFonts w:hint="eastAsia" w:ascii="宋体" w:hAnsi="宋体" w:eastAsia="宋体" w:cs="宋体"/>
          <w:bCs/>
          <w:color w:val="auto"/>
          <w:szCs w:val="21"/>
          <w:highlight w:val="none"/>
        </w:rPr>
        <w:t>《中华人民共和国政府采购法》第二十二条规定资格条件：</w:t>
      </w:r>
    </w:p>
    <w:p w14:paraId="5437C063">
      <w:pPr>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140BC027">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2、我方的单位负责人与所参投的本采购项目的其他投标人的单位负责人不为同一人且与其他投标人之间不存在直接控股、管理关系。</w:t>
      </w:r>
    </w:p>
    <w:p w14:paraId="5DD8FE97">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3、我方不是本采购项目提供整体设计、规范编制或者项目管理、监理、检测等服务的供应商。</w:t>
      </w:r>
    </w:p>
    <w:p w14:paraId="3AFB201F">
      <w:pPr>
        <w:snapToGrid w:val="0"/>
        <w:spacing w:line="360" w:lineRule="auto"/>
        <w:ind w:firstLine="424" w:firstLineChars="202"/>
        <w:rPr>
          <w:rFonts w:hint="eastAsia" w:ascii="宋体" w:hAnsi="宋体" w:eastAsia="宋体" w:cs="宋体"/>
          <w:bCs/>
          <w:color w:val="auto"/>
          <w:szCs w:val="21"/>
          <w:highlight w:val="none"/>
        </w:rPr>
      </w:pPr>
      <w:r>
        <w:rPr>
          <w:rFonts w:hint="eastAsia" w:ascii="宋体" w:hAnsi="宋体" w:eastAsia="宋体" w:cs="宋体"/>
          <w:color w:val="auto"/>
          <w:highlight w:val="none"/>
        </w:rPr>
        <w:t>4、我方</w:t>
      </w:r>
      <w:r>
        <w:rPr>
          <w:rFonts w:hint="eastAsia" w:ascii="宋体" w:hAnsi="宋体" w:eastAsia="宋体" w:cs="宋体"/>
          <w:bCs/>
          <w:color w:val="auto"/>
          <w:szCs w:val="21"/>
          <w:highlight w:val="none"/>
        </w:rPr>
        <w:t>未被“信用中国”（www.creditchina.gov.cn)、中国政府采购网（www.ccgp.gov.cn）列入失信被执行人、重大税收违法失信主体、政府采购严重违法失信行为记录名单。</w:t>
      </w:r>
    </w:p>
    <w:p w14:paraId="5F21DE8C">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bCs/>
          <w:color w:val="auto"/>
          <w:szCs w:val="21"/>
          <w:highlight w:val="none"/>
        </w:rPr>
        <w:t>我方对上述声明的真实性负责。</w:t>
      </w:r>
      <w:r>
        <w:rPr>
          <w:rFonts w:hint="eastAsia" w:ascii="宋体" w:hAnsi="宋体" w:eastAsia="宋体" w:cs="宋体"/>
          <w:color w:val="auto"/>
          <w:highlight w:val="none"/>
        </w:rPr>
        <w:t>本次招标采购活动中，如有违法、违规、弄虚作假行为，所造成的损失、不良后果及法律责任，一律由我方承担。</w:t>
      </w:r>
    </w:p>
    <w:p w14:paraId="2924C6A2">
      <w:pPr>
        <w:spacing w:line="360" w:lineRule="auto"/>
        <w:ind w:firstLine="420"/>
        <w:rPr>
          <w:rFonts w:hint="eastAsia" w:ascii="宋体" w:hAnsi="宋体" w:eastAsia="宋体" w:cs="宋体"/>
          <w:b/>
          <w:color w:val="auto"/>
          <w:highlight w:val="none"/>
        </w:rPr>
      </w:pPr>
    </w:p>
    <w:p w14:paraId="36586A8E">
      <w:pPr>
        <w:spacing w:line="360" w:lineRule="auto"/>
        <w:ind w:firstLine="420"/>
        <w:rPr>
          <w:rFonts w:hint="eastAsia" w:ascii="宋体" w:hAnsi="宋体" w:eastAsia="宋体" w:cs="宋体"/>
          <w:b/>
          <w:color w:val="auto"/>
          <w:highlight w:val="none"/>
        </w:rPr>
      </w:pPr>
    </w:p>
    <w:p w14:paraId="3D42B776">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14:paraId="22D000A3">
      <w:pPr>
        <w:rPr>
          <w:rFonts w:hint="eastAsia" w:ascii="宋体" w:hAnsi="宋体" w:eastAsia="宋体" w:cs="宋体"/>
          <w:color w:val="auto"/>
          <w:highlight w:val="none"/>
        </w:rPr>
      </w:pPr>
    </w:p>
    <w:p w14:paraId="2E3218D4">
      <w:pPr>
        <w:spacing w:line="360" w:lineRule="auto"/>
        <w:ind w:firstLine="4830" w:firstLineChars="2300"/>
        <w:rPr>
          <w:rFonts w:hint="eastAsia" w:ascii="宋体" w:hAnsi="宋体" w:eastAsia="宋体" w:cs="宋体"/>
          <w:color w:val="auto"/>
          <w:highlight w:val="none"/>
        </w:rPr>
      </w:pPr>
    </w:p>
    <w:p w14:paraId="6DB6541E">
      <w:pPr>
        <w:spacing w:line="360" w:lineRule="auto"/>
        <w:ind w:firstLine="4830" w:firstLineChars="2300"/>
        <w:rPr>
          <w:rFonts w:hint="eastAsia" w:ascii="宋体" w:hAnsi="宋体" w:eastAsia="宋体" w:cs="宋体"/>
          <w:color w:val="auto"/>
          <w:highlight w:val="none"/>
        </w:rPr>
      </w:pPr>
      <w:r>
        <w:rPr>
          <w:rFonts w:hint="eastAsia" w:ascii="宋体" w:hAnsi="宋体" w:eastAsia="宋体" w:cs="宋体"/>
          <w:color w:val="auto"/>
          <w:highlight w:val="none"/>
        </w:rPr>
        <w:t>投标人（盖公章）：</w:t>
      </w:r>
    </w:p>
    <w:p w14:paraId="114EFA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日期：    年   月   日</w:t>
      </w:r>
    </w:p>
    <w:p w14:paraId="370A93C4">
      <w:pPr>
        <w:widowControl/>
        <w:spacing w:line="360" w:lineRule="auto"/>
        <w:jc w:val="left"/>
        <w:rPr>
          <w:rFonts w:hint="eastAsia" w:ascii="宋体" w:hAnsi="宋体" w:eastAsia="宋体" w:cs="宋体"/>
          <w:b/>
          <w:color w:val="auto"/>
          <w:spacing w:val="-4"/>
          <w:sz w:val="24"/>
          <w:highlight w:val="none"/>
        </w:rPr>
        <w:sectPr>
          <w:pgSz w:w="11906" w:h="16838"/>
          <w:pgMar w:top="1304" w:right="1134" w:bottom="1134" w:left="1304" w:header="851" w:footer="850" w:gutter="0"/>
          <w:cols w:space="0" w:num="1"/>
          <w:rtlGutter w:val="0"/>
          <w:docGrid w:linePitch="602" w:charSpace="0"/>
        </w:sectPr>
      </w:pPr>
    </w:p>
    <w:p w14:paraId="73A9C174">
      <w:pPr>
        <w:snapToGrid w:val="0"/>
        <w:spacing w:before="50" w:after="50" w:line="600" w:lineRule="auto"/>
        <w:ind w:right="-817" w:rightChars="-389"/>
        <w:rPr>
          <w:rFonts w:hint="eastAsia" w:ascii="宋体" w:hAnsi="宋体" w:eastAsia="宋体" w:cs="宋体"/>
          <w:color w:val="auto"/>
          <w:highlight w:val="none"/>
          <w:shd w:val="clear" w:color="auto" w:fill="FFFFFF"/>
        </w:rPr>
      </w:pPr>
      <w:r>
        <w:rPr>
          <w:rFonts w:hint="eastAsia" w:ascii="宋体" w:hAnsi="宋体" w:eastAsia="宋体" w:cs="宋体"/>
          <w:b/>
          <w:bCs/>
          <w:color w:val="auto"/>
          <w:sz w:val="24"/>
          <w:highlight w:val="none"/>
        </w:rPr>
        <w:t>格式</w:t>
      </w: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：中小企业声明函：</w:t>
      </w:r>
    </w:p>
    <w:p w14:paraId="5C06B140">
      <w:pPr>
        <w:rPr>
          <w:rFonts w:hint="eastAsia" w:ascii="宋体" w:hAnsi="宋体" w:eastAsia="宋体" w:cs="宋体"/>
          <w:color w:val="auto"/>
          <w:highlight w:val="none"/>
          <w:shd w:val="clear" w:color="auto" w:fill="FFFFFF"/>
        </w:rPr>
      </w:pPr>
    </w:p>
    <w:p w14:paraId="39F5455E">
      <w:pPr>
        <w:pStyle w:val="19"/>
        <w:widowControl/>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64EAA90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14:paraId="6F6B5C7B">
      <w:pPr>
        <w:spacing w:line="5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i/>
          <w:color w:val="auto"/>
          <w:szCs w:val="21"/>
          <w:highlight w:val="none"/>
          <w:u w:val="single"/>
        </w:rPr>
        <w:t xml:space="preserve"> </w:t>
      </w:r>
      <w:r>
        <w:rPr>
          <w:rFonts w:hint="eastAsia" w:ascii="宋体" w:hAnsi="宋体" w:eastAsia="宋体" w:cs="宋体"/>
          <w:b/>
          <w:bCs/>
          <w:i/>
          <w:color w:val="auto"/>
          <w:szCs w:val="21"/>
          <w:highlight w:val="none"/>
          <w:u w:val="single"/>
          <w:lang w:val="en-US" w:eastAsia="zh-CN"/>
        </w:rPr>
        <w:t xml:space="preserve">        </w:t>
      </w:r>
      <w:r>
        <w:rPr>
          <w:rFonts w:hint="eastAsia" w:ascii="宋体" w:hAnsi="宋体" w:eastAsia="宋体" w:cs="宋体"/>
          <w:b/>
          <w:bCs/>
          <w:i/>
          <w:color w:val="auto"/>
          <w:szCs w:val="21"/>
          <w:highlight w:val="none"/>
          <w:u w:val="single"/>
        </w:rPr>
        <w:t xml:space="preserve">（标的名称） </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 w:val="21"/>
          <w:highlight w:val="none"/>
          <w:u w:val="single"/>
          <w:lang w:val="en-US" w:eastAsia="zh-CN"/>
        </w:rPr>
        <w:t>租赁和商务</w:t>
      </w:r>
      <w:r>
        <w:rPr>
          <w:rFonts w:hint="eastAsia" w:ascii="宋体" w:hAnsi="宋体" w:eastAsia="宋体" w:cs="宋体"/>
          <w:b/>
          <w:bCs/>
          <w:color w:val="auto"/>
          <w:sz w:val="21"/>
          <w:highlight w:val="none"/>
          <w:u w:val="single"/>
        </w:rPr>
        <w:t>服务业</w:t>
      </w:r>
      <w:r>
        <w:rPr>
          <w:rFonts w:hint="eastAsia" w:ascii="宋体" w:hAnsi="宋体" w:eastAsia="宋体" w:cs="宋体"/>
          <w:b/>
          <w:bCs/>
          <w:color w:val="auto"/>
          <w:sz w:val="21"/>
          <w:highlight w:val="none"/>
          <w:u w:val="single"/>
          <w:lang w:val="en-US" w:eastAsia="zh-CN"/>
        </w:rPr>
        <w:t xml:space="preserve"> </w:t>
      </w:r>
      <w:r>
        <w:rPr>
          <w:rFonts w:hint="eastAsia" w:ascii="宋体" w:hAnsi="宋体" w:eastAsia="宋体" w:cs="宋体"/>
          <w:b/>
          <w:bCs/>
          <w:color w:val="auto"/>
          <w:szCs w:val="21"/>
          <w:highlight w:val="none"/>
        </w:rPr>
        <w:t>；承接企业为</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i/>
          <w:color w:val="auto"/>
          <w:szCs w:val="21"/>
          <w:highlight w:val="none"/>
          <w:u w:val="single"/>
        </w:rPr>
        <w:t>（企业名称）</w:t>
      </w:r>
      <w:r>
        <w:rPr>
          <w:rFonts w:hint="eastAsia" w:ascii="宋体" w:hAnsi="宋体" w:eastAsia="宋体" w:cs="宋体"/>
          <w:b/>
          <w:bCs/>
          <w:color w:val="auto"/>
          <w:szCs w:val="21"/>
          <w:highlight w:val="none"/>
        </w:rPr>
        <w:t>，</w:t>
      </w:r>
      <w:bookmarkStart w:id="148" w:name="OLE_LINK10"/>
      <w:r>
        <w:rPr>
          <w:rFonts w:hint="eastAsia" w:ascii="宋体" w:hAnsi="宋体" w:eastAsia="宋体" w:cs="宋体"/>
          <w:b/>
          <w:bCs/>
          <w:color w:val="auto"/>
          <w:szCs w:val="21"/>
          <w:highlight w:val="none"/>
        </w:rPr>
        <w:t>从业人员</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人，营业收入为</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万元，资产总额为</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万元，</w:t>
      </w:r>
      <w:bookmarkEnd w:id="148"/>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i/>
          <w:color w:val="auto"/>
          <w:szCs w:val="21"/>
          <w:highlight w:val="none"/>
          <w:u w:val="single"/>
        </w:rPr>
        <w:t>（小型企业、微型企业）</w:t>
      </w:r>
      <w:r>
        <w:rPr>
          <w:rFonts w:hint="eastAsia" w:ascii="宋体" w:hAnsi="宋体" w:eastAsia="宋体" w:cs="宋体"/>
          <w:b/>
          <w:bCs/>
          <w:i/>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p w14:paraId="4B3A552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i/>
          <w:color w:val="auto"/>
          <w:szCs w:val="21"/>
          <w:highlight w:val="none"/>
          <w:u w:val="single"/>
        </w:rPr>
        <w:t xml:space="preserve"> </w:t>
      </w:r>
      <w:r>
        <w:rPr>
          <w:rFonts w:hint="eastAsia" w:ascii="宋体" w:hAnsi="宋体" w:eastAsia="宋体" w:cs="宋体"/>
          <w:i/>
          <w:color w:val="auto"/>
          <w:szCs w:val="21"/>
          <w:highlight w:val="none"/>
          <w:u w:val="single"/>
          <w:lang w:val="en-US" w:eastAsia="zh-CN"/>
        </w:rPr>
        <w:t xml:space="preserve">      </w:t>
      </w:r>
      <w:r>
        <w:rPr>
          <w:rFonts w:hint="eastAsia" w:ascii="宋体" w:hAnsi="宋体" w:eastAsia="宋体" w:cs="宋体"/>
          <w:i/>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68F9642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EBD2A7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05B3D00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538FA5DB">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企业名称（盖章）：</w:t>
      </w:r>
    </w:p>
    <w:p w14:paraId="0420AE3C">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    年   月   日</w:t>
      </w:r>
    </w:p>
    <w:p w14:paraId="1F80EF7F">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635CE79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1.从业人员、营业收入、资产总额填报上一年度数据，无上一年度数据的新成立企业可不填报。</w:t>
      </w:r>
    </w:p>
    <w:p w14:paraId="137AA74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bookmarkStart w:id="149" w:name="OLE_LINK9"/>
      <w:r>
        <w:rPr>
          <w:rFonts w:hint="eastAsia" w:ascii="宋体" w:hAnsi="宋体" w:eastAsia="宋体" w:cs="宋体"/>
          <w:b/>
          <w:bCs/>
          <w:color w:val="auto"/>
          <w:sz w:val="21"/>
          <w:szCs w:val="21"/>
          <w:highlight w:val="none"/>
        </w:rPr>
        <w:t>根据工信部联企业[2011]300号规定。</w:t>
      </w:r>
      <w:r>
        <w:rPr>
          <w:rFonts w:hint="eastAsia" w:ascii="宋体" w:hAnsi="宋体" w:eastAsia="宋体" w:cs="宋体"/>
          <w:b/>
          <w:bCs/>
          <w:color w:val="auto"/>
          <w:sz w:val="21"/>
          <w:szCs w:val="21"/>
          <w:highlight w:val="none"/>
          <w:u w:val="single"/>
          <w:lang w:val="en-US" w:eastAsia="zh-CN"/>
        </w:rPr>
        <w:t>租赁和商务</w:t>
      </w:r>
      <w:r>
        <w:rPr>
          <w:rFonts w:hint="eastAsia" w:ascii="宋体" w:hAnsi="宋体" w:eastAsia="宋体" w:cs="宋体"/>
          <w:b/>
          <w:bCs/>
          <w:color w:val="auto"/>
          <w:sz w:val="21"/>
          <w:szCs w:val="21"/>
          <w:highlight w:val="none"/>
          <w:u w:val="single"/>
        </w:rPr>
        <w:t>服务业</w:t>
      </w:r>
      <w:r>
        <w:rPr>
          <w:rFonts w:hint="eastAsia" w:ascii="宋体" w:hAnsi="宋体" w:eastAsia="宋体" w:cs="宋体"/>
          <w:b/>
          <w:bCs/>
          <w:color w:val="auto"/>
          <w:sz w:val="21"/>
          <w:szCs w:val="21"/>
          <w:highlight w:val="none"/>
        </w:rPr>
        <w:t>：从业人员300人以下或营业收入1</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000万元以下的为中小微型企业。其中，从业人员100人及以上，且</w:t>
      </w:r>
      <w:r>
        <w:rPr>
          <w:rFonts w:hint="eastAsia" w:ascii="宋体" w:hAnsi="宋体" w:eastAsia="宋体" w:cs="宋体"/>
          <w:b/>
          <w:bCs/>
          <w:color w:val="auto"/>
          <w:sz w:val="21"/>
          <w:szCs w:val="21"/>
          <w:highlight w:val="none"/>
          <w:lang w:val="en-US" w:eastAsia="zh-CN"/>
        </w:rPr>
        <w:t>资产总额在8</w:t>
      </w:r>
      <w:r>
        <w:rPr>
          <w:rFonts w:hint="eastAsia" w:ascii="宋体" w:hAnsi="宋体" w:eastAsia="宋体" w:cs="宋体"/>
          <w:b/>
          <w:bCs/>
          <w:color w:val="auto"/>
          <w:sz w:val="21"/>
          <w:szCs w:val="21"/>
          <w:highlight w:val="none"/>
        </w:rPr>
        <w:t>000万元及以上的为中型企业；从业人员10人及以上，且</w:t>
      </w:r>
      <w:r>
        <w:rPr>
          <w:rFonts w:hint="eastAsia" w:ascii="宋体" w:hAnsi="宋体" w:eastAsia="宋体" w:cs="宋体"/>
          <w:b/>
          <w:bCs/>
          <w:color w:val="auto"/>
          <w:sz w:val="21"/>
          <w:szCs w:val="21"/>
          <w:highlight w:val="none"/>
          <w:lang w:val="en-US" w:eastAsia="zh-CN"/>
        </w:rPr>
        <w:t>资产总额在10</w:t>
      </w:r>
      <w:r>
        <w:rPr>
          <w:rFonts w:hint="eastAsia" w:ascii="宋体" w:hAnsi="宋体" w:eastAsia="宋体" w:cs="宋体"/>
          <w:b/>
          <w:bCs/>
          <w:color w:val="auto"/>
          <w:sz w:val="21"/>
          <w:szCs w:val="21"/>
          <w:highlight w:val="none"/>
        </w:rPr>
        <w:t>0万元及以上的为小型企业；从业人员10人以下或且</w:t>
      </w:r>
      <w:r>
        <w:rPr>
          <w:rFonts w:hint="eastAsia" w:ascii="宋体" w:hAnsi="宋体" w:eastAsia="宋体" w:cs="宋体"/>
          <w:b/>
          <w:bCs/>
          <w:color w:val="auto"/>
          <w:sz w:val="21"/>
          <w:szCs w:val="21"/>
          <w:highlight w:val="none"/>
          <w:lang w:val="en-US" w:eastAsia="zh-CN"/>
        </w:rPr>
        <w:t>资产总额在100</w:t>
      </w:r>
      <w:r>
        <w:rPr>
          <w:rFonts w:hint="eastAsia" w:ascii="宋体" w:hAnsi="宋体" w:eastAsia="宋体" w:cs="宋体"/>
          <w:b/>
          <w:bCs/>
          <w:color w:val="auto"/>
          <w:sz w:val="21"/>
          <w:szCs w:val="21"/>
          <w:highlight w:val="none"/>
        </w:rPr>
        <w:t>万元以下的为微型企业。</w:t>
      </w:r>
    </w:p>
    <w:bookmarkEnd w:id="149"/>
    <w:p w14:paraId="5107454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风险提示：</w:t>
      </w:r>
      <w:r>
        <w:rPr>
          <w:rFonts w:hint="eastAsia" w:ascii="宋体" w:hAnsi="宋体" w:eastAsia="宋体" w:cs="宋体"/>
          <w:b/>
          <w:color w:val="auto"/>
          <w:sz w:val="21"/>
          <w:szCs w:val="21"/>
          <w:highlight w:val="none"/>
        </w:rPr>
        <w:t>投标人应当对其出具的《中小企业声明函》真实性负责，投标人出具的《中小企业声明函》内容不实的，属于提供虚假材料谋取中标。</w:t>
      </w:r>
    </w:p>
    <w:p w14:paraId="20195FE1">
      <w:pPr>
        <w:pStyle w:val="2"/>
        <w:rPr>
          <w:rFonts w:hint="eastAsia" w:ascii="宋体" w:hAnsi="宋体" w:eastAsia="宋体" w:cs="宋体"/>
          <w:color w:val="auto"/>
          <w:sz w:val="21"/>
          <w:szCs w:val="21"/>
          <w:highlight w:val="none"/>
        </w:rPr>
      </w:pPr>
    </w:p>
    <w:p w14:paraId="0FB08B15">
      <w:pPr>
        <w:tabs>
          <w:tab w:val="left" w:pos="4860"/>
        </w:tabs>
        <w:spacing w:line="588" w:lineRule="exact"/>
        <w:ind w:right="1560"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注：中小企业划型标准规定（</w:t>
      </w:r>
      <w:r>
        <w:rPr>
          <w:rFonts w:hint="eastAsia" w:ascii="宋体" w:hAnsi="宋体" w:eastAsia="宋体" w:cs="宋体"/>
          <w:b/>
          <w:bCs/>
          <w:color w:val="auto"/>
          <w:sz w:val="21"/>
          <w:szCs w:val="21"/>
          <w:highlight w:val="none"/>
        </w:rPr>
        <w:t>工信部联企业[2011]300号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见后附</w:t>
      </w:r>
      <w:r>
        <w:rPr>
          <w:rFonts w:hint="eastAsia" w:ascii="宋体" w:hAnsi="宋体" w:eastAsia="宋体" w:cs="宋体"/>
          <w:b/>
          <w:bCs/>
          <w:color w:val="auto"/>
          <w:kern w:val="0"/>
          <w:sz w:val="21"/>
          <w:szCs w:val="21"/>
          <w:highlight w:val="none"/>
        </w:rPr>
        <w:br w:type="page"/>
      </w:r>
    </w:p>
    <w:p w14:paraId="155D0B01">
      <w:pPr>
        <w:keepNext w:val="0"/>
        <w:keepLines w:val="0"/>
        <w:pageBreakBefore w:val="0"/>
        <w:widowControl w:val="0"/>
        <w:tabs>
          <w:tab w:val="left" w:pos="4860"/>
        </w:tabs>
        <w:kinsoku/>
        <w:wordWrap/>
        <w:overflowPunct/>
        <w:topLinePunct w:val="0"/>
        <w:autoSpaceDE/>
        <w:autoSpaceDN/>
        <w:bidi w:val="0"/>
        <w:adjustRightInd/>
        <w:snapToGrid/>
        <w:spacing w:line="240" w:lineRule="auto"/>
        <w:ind w:left="0" w:leftChars="0" w:right="1559" w:firstLine="0" w:firstLineChars="0"/>
        <w:textAlignment w:val="auto"/>
        <w:rPr>
          <w:rFonts w:hint="eastAsia" w:ascii="宋体" w:hAnsi="宋体" w:eastAsia="宋体" w:cs="宋体"/>
          <w:b/>
          <w:bCs/>
          <w:color w:val="auto"/>
          <w:sz w:val="24"/>
          <w:szCs w:val="24"/>
          <w:highlight w:val="none"/>
        </w:rPr>
      </w:pPr>
    </w:p>
    <w:p w14:paraId="21F6BC1D">
      <w:pPr>
        <w:tabs>
          <w:tab w:val="left" w:pos="4860"/>
        </w:tabs>
        <w:spacing w:line="588" w:lineRule="exact"/>
        <w:ind w:left="0" w:leftChars="0" w:right="1560" w:firstLine="0" w:firstLineChars="0"/>
        <w:rPr>
          <w:rFonts w:hint="eastAsia" w:ascii="宋体" w:hAnsi="宋体" w:eastAsia="宋体" w:cs="宋体"/>
          <w:color w:val="auto"/>
          <w:kern w:val="0"/>
          <w:highlight w:val="none"/>
        </w:rPr>
      </w:pPr>
      <w:r>
        <w:rPr>
          <w:rFonts w:hint="eastAsia" w:ascii="宋体" w:hAnsi="宋体" w:eastAsia="宋体" w:cs="宋体"/>
          <w:b/>
          <w:bCs/>
          <w:color w:val="auto"/>
          <w:sz w:val="24"/>
          <w:highlight w:val="none"/>
        </w:rPr>
        <w:t>格式</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：残疾人福利性单位声明函：</w:t>
      </w:r>
    </w:p>
    <w:p w14:paraId="22D370E3">
      <w:pPr>
        <w:pStyle w:val="19"/>
        <w:widowControl/>
        <w:spacing w:line="360" w:lineRule="auto"/>
        <w:ind w:firstLine="0"/>
        <w:jc w:val="center"/>
        <w:rPr>
          <w:rFonts w:hint="eastAsia" w:ascii="宋体" w:hAnsi="宋体" w:eastAsia="宋体" w:cs="宋体"/>
          <w:b/>
          <w:color w:val="auto"/>
          <w:sz w:val="24"/>
          <w:highlight w:val="none"/>
        </w:rPr>
      </w:pPr>
    </w:p>
    <w:p w14:paraId="704BFBE5">
      <w:pPr>
        <w:pStyle w:val="19"/>
        <w:widowControl/>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53E1C63A">
      <w:pPr>
        <w:widowControl/>
        <w:spacing w:line="360" w:lineRule="auto"/>
        <w:jc w:val="left"/>
        <w:rPr>
          <w:rFonts w:hint="eastAsia" w:ascii="宋体" w:hAnsi="宋体" w:eastAsia="宋体" w:cs="宋体"/>
          <w:color w:val="auto"/>
          <w:kern w:val="0"/>
          <w:szCs w:val="21"/>
          <w:highlight w:val="none"/>
        </w:rPr>
      </w:pPr>
    </w:p>
    <w:p w14:paraId="399BAA48">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1.本单位郑重声明，根据《财政部 民政部 中国残疾人联合会关于促进残疾人就业政府采购政策的通知》（财库〔2017〕141号）的规定，本单位</w:t>
      </w:r>
      <w:r>
        <w:rPr>
          <w:rFonts w:hint="eastAsia" w:ascii="宋体" w:hAnsi="宋体" w:eastAsia="宋体" w:cs="宋体"/>
          <w:color w:val="auto"/>
          <w:highlight w:val="none"/>
        </w:rPr>
        <w:t>_____（填写：</w:t>
      </w:r>
      <w:r>
        <w:rPr>
          <w:rFonts w:hint="eastAsia" w:ascii="宋体" w:hAnsi="宋体" w:eastAsia="宋体" w:cs="宋体"/>
          <w:color w:val="auto"/>
          <w:kern w:val="0"/>
          <w:szCs w:val="21"/>
          <w:highlight w:val="none"/>
        </w:rPr>
        <w:t>为符合或者不符合</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条件的残疾人福利性单位，且本单位参加</w:t>
      </w:r>
      <w:r>
        <w:rPr>
          <w:rFonts w:hint="eastAsia" w:ascii="宋体" w:hAnsi="宋体" w:eastAsia="宋体" w:cs="宋体"/>
          <w:color w:val="auto"/>
          <w:highlight w:val="none"/>
        </w:rPr>
        <w:t>_____</w:t>
      </w:r>
      <w:r>
        <w:rPr>
          <w:rFonts w:hint="eastAsia" w:ascii="宋体" w:hAnsi="宋体" w:eastAsia="宋体" w:cs="宋体"/>
          <w:color w:val="auto"/>
          <w:kern w:val="0"/>
          <w:szCs w:val="21"/>
          <w:highlight w:val="none"/>
        </w:rPr>
        <w:t>单位的</w:t>
      </w:r>
      <w:r>
        <w:rPr>
          <w:rFonts w:hint="eastAsia" w:ascii="宋体" w:hAnsi="宋体" w:eastAsia="宋体" w:cs="宋体"/>
          <w:color w:val="auto"/>
          <w:highlight w:val="none"/>
        </w:rPr>
        <w:t>_____</w:t>
      </w:r>
      <w:r>
        <w:rPr>
          <w:rFonts w:hint="eastAsia" w:ascii="宋体" w:hAnsi="宋体" w:eastAsia="宋体" w:cs="宋体"/>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14:paraId="05A85C5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2.本单位对上述声明的真实性负责。如有虚假，将依法承担相应责任。</w:t>
      </w:r>
    </w:p>
    <w:p w14:paraId="498D48E6">
      <w:pPr>
        <w:widowControl/>
        <w:spacing w:line="360" w:lineRule="auto"/>
        <w:jc w:val="left"/>
        <w:rPr>
          <w:rFonts w:hint="eastAsia" w:ascii="宋体" w:hAnsi="宋体" w:eastAsia="宋体" w:cs="宋体"/>
          <w:color w:val="auto"/>
          <w:kern w:val="0"/>
          <w:szCs w:val="21"/>
          <w:highlight w:val="none"/>
        </w:rPr>
      </w:pPr>
    </w:p>
    <w:p w14:paraId="39D26FFB">
      <w:pPr>
        <w:widowControl/>
        <w:spacing w:line="360" w:lineRule="auto"/>
        <w:jc w:val="left"/>
        <w:rPr>
          <w:rFonts w:hint="eastAsia" w:ascii="宋体" w:hAnsi="宋体" w:eastAsia="宋体" w:cs="宋体"/>
          <w:color w:val="auto"/>
          <w:kern w:val="0"/>
          <w:szCs w:val="21"/>
          <w:highlight w:val="none"/>
        </w:rPr>
      </w:pPr>
    </w:p>
    <w:p w14:paraId="71CF69DE">
      <w:pPr>
        <w:widowControl/>
        <w:tabs>
          <w:tab w:val="left" w:pos="4860"/>
        </w:tabs>
        <w:spacing w:line="360" w:lineRule="auto"/>
        <w:ind w:right="1560" w:firstLine="420"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pacing w:val="6"/>
          <w:szCs w:val="21"/>
          <w:highlight w:val="none"/>
        </w:rPr>
        <w:t xml:space="preserve">企业名称（盖章）： </w:t>
      </w:r>
    </w:p>
    <w:p w14:paraId="58545834">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zCs w:val="21"/>
          <w:highlight w:val="none"/>
        </w:rPr>
        <w:t>日期：    年   月   日</w:t>
      </w:r>
    </w:p>
    <w:p w14:paraId="6897F407">
      <w:pPr>
        <w:spacing w:line="360" w:lineRule="auto"/>
        <w:rPr>
          <w:rFonts w:hint="eastAsia" w:ascii="宋体" w:hAnsi="宋体" w:eastAsia="宋体" w:cs="宋体"/>
          <w:color w:val="auto"/>
          <w:szCs w:val="21"/>
          <w:highlight w:val="none"/>
        </w:rPr>
      </w:pPr>
    </w:p>
    <w:p w14:paraId="2CC8F602">
      <w:pPr>
        <w:spacing w:line="360" w:lineRule="auto"/>
        <w:rPr>
          <w:rFonts w:hint="eastAsia" w:ascii="宋体" w:hAnsi="宋体" w:eastAsia="宋体" w:cs="宋体"/>
          <w:color w:val="auto"/>
          <w:spacing w:val="6"/>
          <w:szCs w:val="21"/>
          <w:highlight w:val="none"/>
        </w:rPr>
      </w:pPr>
    </w:p>
    <w:p w14:paraId="44F0988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投标人如为非残疾人福利性单位的，可不提供本声明函。</w:t>
      </w:r>
    </w:p>
    <w:p w14:paraId="064382F7">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p>
    <w:p w14:paraId="2670B357">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1.如投标人为非残疾人福利性单位的可不提供本声明函。</w:t>
      </w:r>
    </w:p>
    <w:p w14:paraId="7CDD79A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2.享受政府采购支持政策的残疾人福利性单位应当同时满足以下条件：</w:t>
      </w:r>
    </w:p>
    <w:p w14:paraId="5809D0DE">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14:paraId="1229733F">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14:paraId="72B40396">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14:paraId="3D88C08A">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14:paraId="7A12BEB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30065D6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2539C01">
      <w:pPr>
        <w:spacing w:line="360" w:lineRule="auto"/>
        <w:jc w:val="left"/>
        <w:outlineLvl w:val="0"/>
        <w:rPr>
          <w:rFonts w:hint="eastAsia" w:ascii="宋体" w:hAnsi="宋体" w:eastAsia="宋体" w:cs="宋体"/>
          <w:b/>
          <w:bCs/>
          <w:color w:val="auto"/>
          <w:szCs w:val="21"/>
          <w:highlight w:val="none"/>
        </w:rPr>
      </w:pPr>
    </w:p>
    <w:p w14:paraId="5420A6A1">
      <w:pPr>
        <w:spacing w:line="360" w:lineRule="auto"/>
        <w:jc w:val="left"/>
        <w:outlineLvl w:val="0"/>
        <w:rPr>
          <w:rFonts w:hint="eastAsia" w:ascii="宋体" w:hAnsi="宋体" w:eastAsia="宋体" w:cs="宋体"/>
          <w:b/>
          <w:bCs/>
          <w:color w:val="auto"/>
          <w:sz w:val="24"/>
          <w:szCs w:val="24"/>
          <w:highlight w:val="none"/>
        </w:rPr>
      </w:pPr>
    </w:p>
    <w:p w14:paraId="19423953">
      <w:pPr>
        <w:spacing w:line="360" w:lineRule="auto"/>
        <w:jc w:val="left"/>
        <w:outlineLvl w:val="0"/>
        <w:rPr>
          <w:rFonts w:hint="eastAsia" w:ascii="宋体" w:hAnsi="宋体" w:eastAsia="宋体" w:cs="宋体"/>
          <w:b/>
          <w:bCs/>
          <w:color w:val="auto"/>
          <w:sz w:val="24"/>
          <w:szCs w:val="24"/>
          <w:highlight w:val="none"/>
        </w:rPr>
      </w:pPr>
    </w:p>
    <w:p w14:paraId="1E7B4F24">
      <w:pPr>
        <w:spacing w:line="360" w:lineRule="auto"/>
        <w:jc w:val="left"/>
        <w:outlineLvl w:val="0"/>
        <w:rPr>
          <w:rFonts w:hint="eastAsia" w:ascii="宋体" w:hAnsi="宋体" w:eastAsia="宋体" w:cs="宋体"/>
          <w:b/>
          <w:bCs/>
          <w:color w:val="auto"/>
          <w:sz w:val="24"/>
          <w:szCs w:val="24"/>
          <w:highlight w:val="none"/>
        </w:rPr>
      </w:pPr>
    </w:p>
    <w:p w14:paraId="4E3E4ABB">
      <w:pPr>
        <w:spacing w:line="360" w:lineRule="auto"/>
        <w:jc w:val="left"/>
        <w:outlineLvl w:val="0"/>
        <w:rPr>
          <w:rFonts w:hint="eastAsia" w:ascii="宋体" w:hAnsi="宋体" w:eastAsia="宋体" w:cs="宋体"/>
          <w:b/>
          <w:bCs/>
          <w:color w:val="auto"/>
          <w:sz w:val="24"/>
          <w:szCs w:val="24"/>
          <w:highlight w:val="none"/>
        </w:rPr>
      </w:pPr>
    </w:p>
    <w:p w14:paraId="0533FC0E">
      <w:pPr>
        <w:spacing w:line="360" w:lineRule="auto"/>
        <w:jc w:val="left"/>
        <w:outlineLvl w:val="0"/>
        <w:rPr>
          <w:rFonts w:hint="eastAsia" w:ascii="宋体" w:hAnsi="宋体" w:eastAsia="宋体" w:cs="宋体"/>
          <w:b/>
          <w:bCs/>
          <w:color w:val="auto"/>
          <w:sz w:val="24"/>
          <w:szCs w:val="24"/>
          <w:highlight w:val="none"/>
        </w:rPr>
      </w:pPr>
    </w:p>
    <w:p w14:paraId="7E917E8B">
      <w:pPr>
        <w:spacing w:line="360" w:lineRule="auto"/>
        <w:ind w:firstLine="241" w:firstLineChars="100"/>
        <w:jc w:val="lef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w:t>
      </w:r>
    </w:p>
    <w:p w14:paraId="02579433">
      <w:pPr>
        <w:pStyle w:val="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66FDC5C9">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bookmarkStart w:id="150" w:name="OLE_LINK26"/>
      <w:r>
        <w:rPr>
          <w:rFonts w:hint="eastAsia" w:ascii="宋体" w:hAnsi="宋体" w:eastAsia="宋体" w:cs="宋体"/>
          <w:color w:val="auto"/>
          <w:szCs w:val="21"/>
          <w:highlight w:val="none"/>
        </w:rPr>
        <w:t>（1）符合性自查表（格式）；</w:t>
      </w:r>
    </w:p>
    <w:p w14:paraId="33620891">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（2）法定代表人身份证正反面复印件加盖公章；如供应商的代表为非法定代表人的，还需提供法定代表人授权委托书(格式见附件)及授权代表的身份证正反面复印件加盖公章；</w:t>
      </w:r>
    </w:p>
    <w:p w14:paraId="66514C79">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（3）商务条款响应（偏离）表（格式）；</w:t>
      </w:r>
    </w:p>
    <w:p w14:paraId="090C346D">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（4）技术条款响应（偏离）表（格式）</w:t>
      </w:r>
    </w:p>
    <w:p w14:paraId="68A3F57B">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（5）拟投入本项目的成员表（格式）；</w:t>
      </w:r>
    </w:p>
    <w:p w14:paraId="77070FF9">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（6）业绩一览表（格式见第六章，附合同复印件加盖公章）；</w:t>
      </w:r>
    </w:p>
    <w:p w14:paraId="7A788B16">
      <w:pPr>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rPr>
        <w:t>（7）招标文件中要求提供的资料（详见评标办法及评分标准）</w:t>
      </w:r>
      <w:r>
        <w:rPr>
          <w:rFonts w:hint="eastAsia" w:ascii="宋体" w:hAnsi="宋体" w:eastAsia="宋体" w:cs="宋体"/>
          <w:b w:val="0"/>
          <w:bCs/>
          <w:color w:val="auto"/>
          <w:szCs w:val="21"/>
          <w:highlight w:val="none"/>
        </w:rPr>
        <w:t>，格式自拟</w:t>
      </w:r>
      <w:r>
        <w:rPr>
          <w:rFonts w:hint="eastAsia" w:ascii="宋体" w:hAnsi="宋体" w:eastAsia="宋体" w:cs="宋体"/>
          <w:b w:val="0"/>
          <w:bCs/>
          <w:color w:val="auto"/>
          <w:szCs w:val="21"/>
          <w:highlight w:val="none"/>
          <w:shd w:val="clear" w:color="auto" w:fill="FFFFFF"/>
          <w:lang w:eastAsia="zh-CN"/>
        </w:rPr>
        <w:t>；</w:t>
      </w:r>
    </w:p>
    <w:p w14:paraId="477F22BE">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8）</w:t>
      </w:r>
      <w:r>
        <w:rPr>
          <w:rFonts w:hint="eastAsia" w:ascii="宋体" w:hAnsi="宋体" w:eastAsia="宋体" w:cs="宋体"/>
          <w:b w:val="0"/>
          <w:bCs w:val="0"/>
          <w:color w:val="auto"/>
          <w:szCs w:val="21"/>
          <w:highlight w:val="none"/>
        </w:rPr>
        <w:t>其他供应商认为需要提交的商务技术资料。</w:t>
      </w:r>
      <w:bookmarkEnd w:id="150"/>
    </w:p>
    <w:p w14:paraId="1F9F0913">
      <w:pPr>
        <w:pStyle w:val="65"/>
        <w:rPr>
          <w:rFonts w:hint="eastAsia" w:ascii="宋体" w:hAnsi="宋体" w:eastAsia="宋体" w:cs="宋体"/>
          <w:b w:val="0"/>
          <w:bCs w:val="0"/>
          <w:color w:val="auto"/>
          <w:szCs w:val="21"/>
          <w:highlight w:val="none"/>
        </w:rPr>
      </w:pPr>
    </w:p>
    <w:p w14:paraId="7C906C62">
      <w:pPr>
        <w:pStyle w:val="65"/>
        <w:rPr>
          <w:rFonts w:hint="eastAsia" w:ascii="宋体" w:hAnsi="宋体" w:eastAsia="宋体" w:cs="宋体"/>
          <w:b w:val="0"/>
          <w:bCs w:val="0"/>
          <w:color w:val="auto"/>
          <w:szCs w:val="21"/>
          <w:highlight w:val="none"/>
        </w:rPr>
      </w:pPr>
    </w:p>
    <w:p w14:paraId="313E9095">
      <w:pPr>
        <w:pStyle w:val="65"/>
        <w:rPr>
          <w:rFonts w:hint="eastAsia" w:ascii="宋体" w:hAnsi="宋体" w:eastAsia="宋体" w:cs="宋体"/>
          <w:b w:val="0"/>
          <w:bCs w:val="0"/>
          <w:color w:val="auto"/>
          <w:szCs w:val="21"/>
          <w:highlight w:val="none"/>
        </w:rPr>
      </w:pPr>
    </w:p>
    <w:p w14:paraId="06C5B3EF">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outlineLvl w:val="0"/>
        <w:rPr>
          <w:rFonts w:hint="eastAsia" w:ascii="宋体" w:hAnsi="宋体" w:eastAsia="宋体" w:cs="宋体"/>
          <w:color w:val="auto"/>
          <w:szCs w:val="21"/>
          <w:highlight w:val="none"/>
        </w:rPr>
        <w:sectPr>
          <w:pgSz w:w="11906" w:h="16838"/>
          <w:pgMar w:top="1304" w:right="1134" w:bottom="1134" w:left="1304" w:header="851" w:footer="850" w:gutter="0"/>
          <w:cols w:space="0" w:num="1"/>
          <w:rtlGutter w:val="0"/>
          <w:docGrid w:linePitch="602" w:charSpace="0"/>
        </w:sectPr>
      </w:pPr>
    </w:p>
    <w:p w14:paraId="4C7B9BE3">
      <w:pPr>
        <w:rPr>
          <w:rFonts w:hint="eastAsia" w:ascii="宋体" w:hAnsi="宋体" w:eastAsia="宋体" w:cs="宋体"/>
          <w:color w:val="auto"/>
          <w:highlight w:val="none"/>
        </w:rPr>
      </w:pPr>
      <w:bookmarkStart w:id="151" w:name="_Toc18895"/>
    </w:p>
    <w:p w14:paraId="7F387D72">
      <w:pPr>
        <w:rPr>
          <w:rFonts w:hint="eastAsia" w:ascii="宋体" w:hAnsi="宋体" w:eastAsia="宋体" w:cs="宋体"/>
          <w:color w:val="auto"/>
          <w:highlight w:val="none"/>
        </w:rPr>
      </w:pPr>
      <w:r>
        <w:rPr>
          <w:rFonts w:hint="eastAsia" w:ascii="宋体" w:hAnsi="宋体" w:eastAsia="宋体" w:cs="宋体"/>
          <w:color w:val="auto"/>
          <w:highlight w:val="none"/>
        </w:rPr>
        <w:t>格式九：符合性自查表：</w:t>
      </w:r>
      <w:bookmarkEnd w:id="151"/>
      <w:bookmarkStart w:id="152" w:name="_Toc30387"/>
    </w:p>
    <w:p w14:paraId="72C81C5C">
      <w:pPr>
        <w:rPr>
          <w:rFonts w:hint="eastAsia" w:ascii="宋体" w:hAnsi="宋体" w:eastAsia="宋体" w:cs="宋体"/>
          <w:color w:val="auto"/>
          <w:highlight w:val="none"/>
        </w:rPr>
      </w:pPr>
    </w:p>
    <w:p w14:paraId="3B0E7DAA">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符合性自查表</w:t>
      </w:r>
      <w:bookmarkEnd w:id="152"/>
    </w:p>
    <w:p w14:paraId="09BDF727">
      <w:pPr>
        <w:jc w:val="center"/>
        <w:rPr>
          <w:rFonts w:hint="eastAsia" w:ascii="宋体" w:hAnsi="宋体" w:eastAsia="宋体" w:cs="宋体"/>
          <w:b/>
          <w:color w:val="auto"/>
          <w:highlight w:val="none"/>
        </w:rPr>
      </w:pPr>
    </w:p>
    <w:tbl>
      <w:tblPr>
        <w:tblStyle w:val="49"/>
        <w:tblW w:w="89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5618"/>
        <w:gridCol w:w="1960"/>
      </w:tblGrid>
      <w:tr w14:paraId="4AF0D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390" w:type="dxa"/>
            <w:tcBorders>
              <w:top w:val="single" w:color="auto" w:sz="4" w:space="0"/>
              <w:left w:val="single" w:color="auto" w:sz="4" w:space="0"/>
              <w:tl2br w:val="nil"/>
              <w:tr2bl w:val="nil"/>
            </w:tcBorders>
          </w:tcPr>
          <w:p w14:paraId="2E6D23FE">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5618" w:type="dxa"/>
            <w:tcBorders>
              <w:top w:val="single" w:color="auto" w:sz="4" w:space="0"/>
              <w:tl2br w:val="nil"/>
              <w:tr2bl w:val="nil"/>
            </w:tcBorders>
          </w:tcPr>
          <w:p w14:paraId="46B28C6F">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c>
          <w:tcPr>
            <w:tcW w:w="1960" w:type="dxa"/>
            <w:tcBorders>
              <w:top w:val="single" w:color="auto" w:sz="4" w:space="0"/>
              <w:right w:val="single" w:color="auto" w:sz="4" w:space="0"/>
              <w:tl2br w:val="nil"/>
              <w:tr2bl w:val="nil"/>
            </w:tcBorders>
          </w:tcPr>
          <w:p w14:paraId="6E2E0059">
            <w:pPr>
              <w:snapToGrid w:val="0"/>
              <w:spacing w:line="400" w:lineRule="exact"/>
              <w:jc w:val="center"/>
              <w:rPr>
                <w:rFonts w:hint="eastAsia" w:ascii="宋体" w:hAnsi="宋体" w:eastAsia="宋体" w:cs="宋体"/>
                <w:b/>
                <w:color w:val="auto"/>
                <w:szCs w:val="21"/>
                <w:highlight w:val="none"/>
              </w:rPr>
            </w:pPr>
            <w:r>
              <w:rPr>
                <w:rStyle w:val="52"/>
                <w:rFonts w:hint="eastAsia" w:ascii="宋体" w:hAnsi="宋体" w:eastAsia="宋体" w:cs="宋体"/>
                <w:color w:val="auto"/>
                <w:szCs w:val="21"/>
                <w:highlight w:val="none"/>
              </w:rPr>
              <w:t>自查结论</w:t>
            </w:r>
          </w:p>
        </w:tc>
      </w:tr>
      <w:tr w14:paraId="5709F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restart"/>
            <w:tcBorders>
              <w:left w:val="single" w:color="auto" w:sz="4" w:space="0"/>
              <w:tl2br w:val="nil"/>
              <w:tr2bl w:val="nil"/>
            </w:tcBorders>
            <w:vAlign w:val="center"/>
          </w:tcPr>
          <w:p w14:paraId="12D732EB">
            <w:pPr>
              <w:snapToGrid w:val="0"/>
              <w:spacing w:line="400" w:lineRule="exact"/>
              <w:jc w:val="center"/>
              <w:rPr>
                <w:rFonts w:hint="eastAsia" w:ascii="宋体" w:hAnsi="宋体" w:eastAsia="宋体" w:cs="宋体"/>
                <w:color w:val="auto"/>
                <w:szCs w:val="21"/>
                <w:highlight w:val="none"/>
              </w:rPr>
            </w:pPr>
            <w:bookmarkStart w:id="153" w:name="OLE_LINK27" w:colFirst="1" w:colLast="1"/>
            <w:r>
              <w:rPr>
                <w:rFonts w:hint="eastAsia" w:ascii="宋体" w:hAnsi="宋体" w:eastAsia="宋体" w:cs="宋体"/>
                <w:color w:val="auto"/>
                <w:szCs w:val="21"/>
                <w:highlight w:val="none"/>
              </w:rPr>
              <w:t>符合性审查</w:t>
            </w:r>
          </w:p>
          <w:p w14:paraId="327020B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tc>
        <w:tc>
          <w:tcPr>
            <w:tcW w:w="5618" w:type="dxa"/>
            <w:tcBorders>
              <w:tl2br w:val="nil"/>
              <w:tr2bl w:val="nil"/>
            </w:tcBorders>
            <w:vAlign w:val="center"/>
          </w:tcPr>
          <w:p w14:paraId="5A08FB52">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（一）按照招标文件规定要求签署或盖章；</w:t>
            </w:r>
          </w:p>
        </w:tc>
        <w:tc>
          <w:tcPr>
            <w:tcW w:w="1960" w:type="dxa"/>
            <w:tcBorders>
              <w:right w:val="single" w:color="auto" w:sz="4" w:space="0"/>
              <w:tl2br w:val="nil"/>
              <w:tr2bl w:val="nil"/>
            </w:tcBorders>
            <w:vAlign w:val="center"/>
          </w:tcPr>
          <w:p w14:paraId="09937776">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57544036">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55F86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left w:val="single" w:color="auto" w:sz="4" w:space="0"/>
              <w:tl2br w:val="nil"/>
              <w:tr2bl w:val="nil"/>
            </w:tcBorders>
            <w:vAlign w:val="center"/>
          </w:tcPr>
          <w:p w14:paraId="25DE42EF">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6A132325">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（二）投标文件有法定代表人签署本人姓名（或印盖本人姓名章），或签署人提供有效的法定代表人授权委托书且授权委托书填写项目齐全的；</w:t>
            </w:r>
          </w:p>
        </w:tc>
        <w:tc>
          <w:tcPr>
            <w:tcW w:w="1960" w:type="dxa"/>
            <w:tcBorders>
              <w:right w:val="single" w:color="auto" w:sz="4" w:space="0"/>
              <w:tl2br w:val="nil"/>
              <w:tr2bl w:val="nil"/>
            </w:tcBorders>
            <w:vAlign w:val="center"/>
          </w:tcPr>
          <w:p w14:paraId="5D9A88F0">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681D9F54">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10483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tl2br w:val="nil"/>
              <w:tr2bl w:val="nil"/>
            </w:tcBorders>
            <w:vAlign w:val="center"/>
          </w:tcPr>
          <w:p w14:paraId="1724ABB9">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082FD86E">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（三）投标文件无虚假内容的；</w:t>
            </w:r>
          </w:p>
        </w:tc>
        <w:tc>
          <w:tcPr>
            <w:tcW w:w="1960" w:type="dxa"/>
            <w:tcBorders>
              <w:right w:val="single" w:color="auto" w:sz="4" w:space="0"/>
              <w:tl2br w:val="nil"/>
              <w:tr2bl w:val="nil"/>
            </w:tcBorders>
            <w:vAlign w:val="center"/>
          </w:tcPr>
          <w:p w14:paraId="4B07FF0E">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51EA3416">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13454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tl2br w:val="nil"/>
              <w:tr2bl w:val="nil"/>
            </w:tcBorders>
            <w:vAlign w:val="center"/>
          </w:tcPr>
          <w:p w14:paraId="7B6E0400">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491AA072">
            <w:pPr>
              <w:tabs>
                <w:tab w:val="left" w:pos="612"/>
              </w:tabs>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（四）投标文件标明的响应或偏离与事实相符的；</w:t>
            </w:r>
          </w:p>
        </w:tc>
        <w:tc>
          <w:tcPr>
            <w:tcW w:w="1960" w:type="dxa"/>
            <w:tcBorders>
              <w:right w:val="single" w:color="auto" w:sz="4" w:space="0"/>
              <w:tl2br w:val="nil"/>
              <w:tr2bl w:val="nil"/>
            </w:tcBorders>
            <w:vAlign w:val="center"/>
          </w:tcPr>
          <w:p w14:paraId="16F91528">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4F74A143">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22C90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left w:val="single" w:color="auto" w:sz="4" w:space="0"/>
              <w:tl2br w:val="nil"/>
              <w:tr2bl w:val="nil"/>
            </w:tcBorders>
            <w:vAlign w:val="center"/>
          </w:tcPr>
          <w:p w14:paraId="190775D0">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64FE984B">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（五）投标文件的实质性内容使用中文表述且意思表述明确，前后无矛盾且使用计量单位符合招标文件要求的；</w:t>
            </w:r>
          </w:p>
        </w:tc>
        <w:tc>
          <w:tcPr>
            <w:tcW w:w="1960" w:type="dxa"/>
            <w:tcBorders>
              <w:right w:val="single" w:color="auto" w:sz="4" w:space="0"/>
              <w:tl2br w:val="nil"/>
              <w:tr2bl w:val="nil"/>
            </w:tcBorders>
            <w:vAlign w:val="center"/>
          </w:tcPr>
          <w:p w14:paraId="01CFCE59">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22D4109E">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576F6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left w:val="single" w:color="auto" w:sz="4" w:space="0"/>
              <w:tl2br w:val="nil"/>
              <w:tr2bl w:val="nil"/>
            </w:tcBorders>
            <w:vAlign w:val="center"/>
          </w:tcPr>
          <w:p w14:paraId="7EF14C2A">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526EA788">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（六）带“★”的条款满足采购文件要求、已实质性响应采购文件要求且投标文件无采购人不能接受的附加条件的；</w:t>
            </w:r>
          </w:p>
        </w:tc>
        <w:tc>
          <w:tcPr>
            <w:tcW w:w="1960" w:type="dxa"/>
            <w:tcBorders>
              <w:right w:val="single" w:color="auto" w:sz="4" w:space="0"/>
              <w:tl2br w:val="nil"/>
              <w:tr2bl w:val="nil"/>
            </w:tcBorders>
            <w:vAlign w:val="center"/>
          </w:tcPr>
          <w:p w14:paraId="2258B885">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29029988">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17046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left w:val="single" w:color="auto" w:sz="4" w:space="0"/>
              <w:tl2br w:val="nil"/>
              <w:tr2bl w:val="nil"/>
            </w:tcBorders>
            <w:vAlign w:val="center"/>
          </w:tcPr>
          <w:p w14:paraId="1354A47D">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79AD9A8C">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（七）技术方案明确，不存在一个或一个以上备选（替代）投标方案的；</w:t>
            </w:r>
          </w:p>
        </w:tc>
        <w:tc>
          <w:tcPr>
            <w:tcW w:w="1960" w:type="dxa"/>
            <w:tcBorders>
              <w:right w:val="single" w:color="auto" w:sz="4" w:space="0"/>
              <w:tl2br w:val="nil"/>
              <w:tr2bl w:val="nil"/>
            </w:tcBorders>
            <w:vAlign w:val="center"/>
          </w:tcPr>
          <w:p w14:paraId="79509820">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7458A1F8">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78A74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tl2br w:val="nil"/>
              <w:tr2bl w:val="nil"/>
            </w:tcBorders>
            <w:vAlign w:val="center"/>
          </w:tcPr>
          <w:p w14:paraId="13F3EF08">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542AB4EC">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（八）不存在法律、法规和招标文件规定的其他无效情形；</w:t>
            </w:r>
          </w:p>
        </w:tc>
        <w:tc>
          <w:tcPr>
            <w:tcW w:w="1960" w:type="dxa"/>
            <w:tcBorders>
              <w:right w:val="single" w:color="auto" w:sz="4" w:space="0"/>
              <w:tl2br w:val="nil"/>
              <w:tr2bl w:val="nil"/>
            </w:tcBorders>
            <w:vAlign w:val="center"/>
          </w:tcPr>
          <w:p w14:paraId="3F1161FA">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6F677EFE">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02670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tl2br w:val="nil"/>
              <w:tr2bl w:val="nil"/>
            </w:tcBorders>
            <w:vAlign w:val="center"/>
          </w:tcPr>
          <w:p w14:paraId="48352A7C">
            <w:pPr>
              <w:snapToGrid w:val="0"/>
              <w:spacing w:line="400" w:lineRule="exact"/>
              <w:jc w:val="center"/>
              <w:rPr>
                <w:rFonts w:hint="eastAsia" w:ascii="宋体" w:hAnsi="宋体" w:eastAsia="宋体" w:cs="宋体"/>
                <w:color w:val="auto"/>
                <w:szCs w:val="21"/>
                <w:highlight w:val="none"/>
              </w:rPr>
            </w:pPr>
          </w:p>
        </w:tc>
        <w:tc>
          <w:tcPr>
            <w:tcW w:w="5618" w:type="dxa"/>
            <w:tcBorders>
              <w:tl2br w:val="nil"/>
              <w:tr2bl w:val="nil"/>
            </w:tcBorders>
            <w:vAlign w:val="center"/>
          </w:tcPr>
          <w:p w14:paraId="05F71BA8">
            <w:pPr>
              <w:tabs>
                <w:tab w:val="left" w:pos="612"/>
              </w:tabs>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（九）不存在投标文件的有效期不满足采购文件要求情形；</w:t>
            </w:r>
          </w:p>
        </w:tc>
        <w:tc>
          <w:tcPr>
            <w:tcW w:w="1960" w:type="dxa"/>
            <w:tcBorders>
              <w:right w:val="single" w:color="auto" w:sz="4" w:space="0"/>
              <w:tl2br w:val="nil"/>
              <w:tr2bl w:val="nil"/>
            </w:tcBorders>
            <w:vAlign w:val="center"/>
          </w:tcPr>
          <w:p w14:paraId="14CBCD6B">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1A6D1BCF">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bookmarkEnd w:id="153"/>
      <w:tr w14:paraId="70A07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restart"/>
            <w:tcBorders>
              <w:left w:val="single" w:color="auto" w:sz="4" w:space="0"/>
              <w:tl2br w:val="nil"/>
              <w:tr2bl w:val="nil"/>
            </w:tcBorders>
            <w:vAlign w:val="center"/>
          </w:tcPr>
          <w:p w14:paraId="270FDD33">
            <w:pPr>
              <w:snapToGrid w:val="0"/>
              <w:spacing w:line="400" w:lineRule="exact"/>
              <w:jc w:val="center"/>
              <w:rPr>
                <w:rFonts w:hint="eastAsia" w:ascii="宋体" w:hAnsi="宋体" w:eastAsia="宋体" w:cs="宋体"/>
                <w:color w:val="auto"/>
                <w:szCs w:val="21"/>
                <w:highlight w:val="none"/>
              </w:rPr>
            </w:pPr>
            <w:bookmarkStart w:id="154" w:name="OLE_LINK28" w:colFirst="1" w:colLast="1"/>
            <w:r>
              <w:rPr>
                <w:rFonts w:hint="eastAsia" w:ascii="宋体" w:hAnsi="宋体" w:eastAsia="宋体" w:cs="宋体"/>
                <w:color w:val="auto"/>
                <w:szCs w:val="21"/>
                <w:highlight w:val="none"/>
              </w:rPr>
              <w:t>符合性审查</w:t>
            </w:r>
          </w:p>
          <w:p w14:paraId="5A77BB54">
            <w:pPr>
              <w:snapToGrid w:val="0"/>
              <w:spacing w:line="40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tc>
        <w:tc>
          <w:tcPr>
            <w:tcW w:w="5618" w:type="dxa"/>
            <w:tcBorders>
              <w:tl2br w:val="nil"/>
              <w:tr2bl w:val="nil"/>
            </w:tcBorders>
            <w:vAlign w:val="center"/>
          </w:tcPr>
          <w:p w14:paraId="23A278D2">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（一）按照招标文件规定要求签署或盖章；</w:t>
            </w:r>
          </w:p>
        </w:tc>
        <w:tc>
          <w:tcPr>
            <w:tcW w:w="1960" w:type="dxa"/>
            <w:tcBorders>
              <w:right w:val="single" w:color="auto" w:sz="4" w:space="0"/>
              <w:tl2br w:val="nil"/>
              <w:tr2bl w:val="nil"/>
            </w:tcBorders>
            <w:vAlign w:val="center"/>
          </w:tcPr>
          <w:p w14:paraId="0D5753C7">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0B5A2D41">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42CC6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tl2br w:val="nil"/>
              <w:tr2bl w:val="nil"/>
            </w:tcBorders>
          </w:tcPr>
          <w:p w14:paraId="6C7ECA65">
            <w:pPr>
              <w:snapToGrid w:val="0"/>
              <w:spacing w:line="400" w:lineRule="exact"/>
              <w:ind w:firstLine="210" w:firstLineChars="100"/>
              <w:rPr>
                <w:rFonts w:hint="eastAsia" w:ascii="宋体" w:hAnsi="宋体" w:eastAsia="宋体" w:cs="宋体"/>
                <w:color w:val="auto"/>
                <w:szCs w:val="21"/>
                <w:highlight w:val="none"/>
              </w:rPr>
            </w:pPr>
          </w:p>
        </w:tc>
        <w:tc>
          <w:tcPr>
            <w:tcW w:w="5618" w:type="dxa"/>
            <w:tcBorders>
              <w:tl2br w:val="nil"/>
              <w:tr2bl w:val="nil"/>
            </w:tcBorders>
            <w:vAlign w:val="center"/>
          </w:tcPr>
          <w:p w14:paraId="2DC06BEF">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（二）采用人民币报价或者按照采购文件标明的币种报价的；</w:t>
            </w:r>
          </w:p>
        </w:tc>
        <w:tc>
          <w:tcPr>
            <w:tcW w:w="1960" w:type="dxa"/>
            <w:tcBorders>
              <w:right w:val="single" w:color="auto" w:sz="4" w:space="0"/>
              <w:tl2br w:val="nil"/>
              <w:tr2bl w:val="nil"/>
            </w:tcBorders>
            <w:vAlign w:val="center"/>
          </w:tcPr>
          <w:p w14:paraId="694A3A75">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313E1C74">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44DE2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left w:val="single" w:color="auto" w:sz="4" w:space="0"/>
              <w:tl2br w:val="nil"/>
              <w:tr2bl w:val="nil"/>
            </w:tcBorders>
          </w:tcPr>
          <w:p w14:paraId="686B0D52">
            <w:pPr>
              <w:snapToGrid w:val="0"/>
              <w:spacing w:line="400" w:lineRule="exact"/>
              <w:ind w:firstLine="210" w:firstLineChars="100"/>
              <w:rPr>
                <w:rFonts w:hint="eastAsia" w:ascii="宋体" w:hAnsi="宋体" w:eastAsia="宋体" w:cs="宋体"/>
                <w:color w:val="auto"/>
                <w:szCs w:val="21"/>
                <w:highlight w:val="none"/>
              </w:rPr>
            </w:pPr>
          </w:p>
        </w:tc>
        <w:tc>
          <w:tcPr>
            <w:tcW w:w="5618" w:type="dxa"/>
            <w:tcBorders>
              <w:tl2br w:val="nil"/>
              <w:tr2bl w:val="nil"/>
            </w:tcBorders>
            <w:vAlign w:val="center"/>
          </w:tcPr>
          <w:p w14:paraId="4CCE9DF0">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（三）不存在报价超出最高限价，或者超出采购预算金额，采购人不能支付的情形；</w:t>
            </w:r>
          </w:p>
        </w:tc>
        <w:tc>
          <w:tcPr>
            <w:tcW w:w="1960" w:type="dxa"/>
            <w:tcBorders>
              <w:right w:val="single" w:color="auto" w:sz="4" w:space="0"/>
              <w:tl2br w:val="nil"/>
              <w:tr2bl w:val="nil"/>
            </w:tcBorders>
            <w:vAlign w:val="center"/>
          </w:tcPr>
          <w:p w14:paraId="03865F94">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5CE4CF6E">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2DE10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tl2br w:val="nil"/>
              <w:tr2bl w:val="nil"/>
            </w:tcBorders>
          </w:tcPr>
          <w:p w14:paraId="24F432FB">
            <w:pPr>
              <w:snapToGrid w:val="0"/>
              <w:spacing w:line="400" w:lineRule="exact"/>
              <w:ind w:firstLine="210" w:firstLineChars="100"/>
              <w:rPr>
                <w:rFonts w:hint="eastAsia" w:ascii="宋体" w:hAnsi="宋体" w:eastAsia="宋体" w:cs="宋体"/>
                <w:color w:val="auto"/>
                <w:szCs w:val="21"/>
                <w:highlight w:val="none"/>
              </w:rPr>
            </w:pPr>
          </w:p>
        </w:tc>
        <w:tc>
          <w:tcPr>
            <w:tcW w:w="5618" w:type="dxa"/>
            <w:tcBorders>
              <w:tl2br w:val="nil"/>
              <w:tr2bl w:val="nil"/>
            </w:tcBorders>
            <w:vAlign w:val="center"/>
          </w:tcPr>
          <w:p w14:paraId="68BF5600">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（四）不存在投标报价具有选择性的情形；</w:t>
            </w:r>
          </w:p>
        </w:tc>
        <w:tc>
          <w:tcPr>
            <w:tcW w:w="1960" w:type="dxa"/>
            <w:tcBorders>
              <w:right w:val="single" w:color="auto" w:sz="4" w:space="0"/>
              <w:tl2br w:val="nil"/>
              <w:tr2bl w:val="nil"/>
            </w:tcBorders>
            <w:vAlign w:val="center"/>
          </w:tcPr>
          <w:p w14:paraId="7B368F32">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4BFE484A">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2653F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left w:val="single" w:color="auto" w:sz="4" w:space="0"/>
              <w:tl2br w:val="nil"/>
              <w:tr2bl w:val="nil"/>
            </w:tcBorders>
          </w:tcPr>
          <w:p w14:paraId="5E3064D0">
            <w:pPr>
              <w:snapToGrid w:val="0"/>
              <w:spacing w:line="400" w:lineRule="exact"/>
              <w:ind w:firstLine="210" w:firstLineChars="100"/>
              <w:rPr>
                <w:rFonts w:hint="eastAsia" w:ascii="宋体" w:hAnsi="宋体" w:eastAsia="宋体" w:cs="宋体"/>
                <w:color w:val="auto"/>
                <w:szCs w:val="21"/>
                <w:highlight w:val="none"/>
              </w:rPr>
            </w:pPr>
          </w:p>
        </w:tc>
        <w:tc>
          <w:tcPr>
            <w:tcW w:w="5618" w:type="dxa"/>
            <w:tcBorders>
              <w:tl2br w:val="nil"/>
              <w:tr2bl w:val="nil"/>
            </w:tcBorders>
            <w:vAlign w:val="center"/>
          </w:tcPr>
          <w:p w14:paraId="3E381325">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（五）不存在评审小组认为供应商的报价明显低于其他通过符合性审查供应商的报价，有可能影响产品质量或者不能诚信履约的且不能在评标现场合理时间内提供相关证明材料说明其报价的合理性的情形；</w:t>
            </w:r>
          </w:p>
        </w:tc>
        <w:tc>
          <w:tcPr>
            <w:tcW w:w="1960" w:type="dxa"/>
            <w:tcBorders>
              <w:right w:val="single" w:color="auto" w:sz="4" w:space="0"/>
              <w:tl2br w:val="nil"/>
              <w:tr2bl w:val="nil"/>
            </w:tcBorders>
            <w:vAlign w:val="center"/>
          </w:tcPr>
          <w:p w14:paraId="1B29E7A3">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7B6B7E4C">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14:paraId="2139B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0" w:type="dxa"/>
            <w:vMerge w:val="continue"/>
            <w:tcBorders>
              <w:left w:val="single" w:color="auto" w:sz="4" w:space="0"/>
              <w:bottom w:val="single" w:color="auto" w:sz="4" w:space="0"/>
              <w:tl2br w:val="nil"/>
              <w:tr2bl w:val="nil"/>
            </w:tcBorders>
          </w:tcPr>
          <w:p w14:paraId="7B367DA6">
            <w:pPr>
              <w:snapToGrid w:val="0"/>
              <w:spacing w:line="400" w:lineRule="exact"/>
              <w:ind w:firstLine="210" w:firstLineChars="100"/>
              <w:rPr>
                <w:rFonts w:hint="eastAsia" w:ascii="宋体" w:hAnsi="宋体" w:eastAsia="宋体" w:cs="宋体"/>
                <w:color w:val="auto"/>
                <w:szCs w:val="21"/>
                <w:highlight w:val="none"/>
              </w:rPr>
            </w:pPr>
          </w:p>
        </w:tc>
        <w:tc>
          <w:tcPr>
            <w:tcW w:w="5618" w:type="dxa"/>
            <w:tcBorders>
              <w:bottom w:val="single" w:color="auto" w:sz="4" w:space="0"/>
              <w:tl2br w:val="nil"/>
              <w:tr2bl w:val="nil"/>
            </w:tcBorders>
            <w:vAlign w:val="center"/>
          </w:tcPr>
          <w:p w14:paraId="4AC809C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（六）不存在法律、法规和招标文件规定的其他无效情形；</w:t>
            </w:r>
          </w:p>
        </w:tc>
        <w:tc>
          <w:tcPr>
            <w:tcW w:w="1960" w:type="dxa"/>
            <w:tcBorders>
              <w:bottom w:val="single" w:color="auto" w:sz="4" w:space="0"/>
              <w:right w:val="single" w:color="auto" w:sz="4" w:space="0"/>
              <w:tl2br w:val="nil"/>
              <w:tr2bl w:val="nil"/>
            </w:tcBorders>
            <w:vAlign w:val="center"/>
          </w:tcPr>
          <w:p w14:paraId="72DF6DFF">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14:paraId="195699F8">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□不通过</w:t>
            </w:r>
          </w:p>
        </w:tc>
      </w:tr>
      <w:bookmarkEnd w:id="154"/>
    </w:tbl>
    <w:p w14:paraId="20F66BC2">
      <w:pPr>
        <w:snapToGrid w:val="0"/>
        <w:spacing w:before="50" w:after="120" w:afterLines="50"/>
        <w:jc w:val="left"/>
        <w:rPr>
          <w:rFonts w:hint="eastAsia" w:ascii="宋体" w:hAnsi="宋体" w:eastAsia="宋体" w:cs="宋体"/>
          <w:color w:val="auto"/>
          <w:spacing w:val="6"/>
          <w:szCs w:val="21"/>
          <w:highlight w:val="none"/>
        </w:rPr>
      </w:pPr>
    </w:p>
    <w:p w14:paraId="48A5E742">
      <w:pPr>
        <w:snapToGrid w:val="0"/>
        <w:spacing w:before="120" w:beforeLines="50" w:after="50"/>
        <w:rPr>
          <w:rFonts w:hint="eastAsia" w:ascii="宋体" w:hAnsi="宋体" w:eastAsia="宋体" w:cs="宋体"/>
          <w:b/>
          <w:bCs/>
          <w:color w:val="auto"/>
          <w:sz w:val="24"/>
          <w:highlight w:val="none"/>
        </w:rPr>
      </w:pPr>
    </w:p>
    <w:p w14:paraId="19036CAE">
      <w:pPr>
        <w:snapToGrid w:val="0"/>
        <w:spacing w:before="120" w:beforeLines="50" w:after="50"/>
        <w:rPr>
          <w:rFonts w:hint="eastAsia" w:ascii="宋体" w:hAnsi="宋体" w:eastAsia="宋体" w:cs="宋体"/>
          <w:b/>
          <w:bCs/>
          <w:color w:val="auto"/>
          <w:sz w:val="24"/>
          <w:highlight w:val="none"/>
        </w:rPr>
      </w:pPr>
    </w:p>
    <w:p w14:paraId="7985FCF2">
      <w:pPr>
        <w:snapToGrid w:val="0"/>
        <w:spacing w:before="120" w:beforeLines="50" w:after="50"/>
        <w:rPr>
          <w:rFonts w:hint="eastAsia" w:ascii="宋体" w:hAnsi="宋体" w:eastAsia="宋体" w:cs="宋体"/>
          <w:b/>
          <w:bCs/>
          <w:color w:val="auto"/>
          <w:sz w:val="24"/>
          <w:highlight w:val="none"/>
        </w:rPr>
      </w:pPr>
    </w:p>
    <w:p w14:paraId="1A743A29">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 w:val="0"/>
          <w:bCs w:val="0"/>
          <w:color w:val="auto"/>
          <w:spacing w:val="40"/>
          <w:sz w:val="21"/>
          <w:szCs w:val="21"/>
          <w:highlight w:val="none"/>
        </w:rPr>
      </w:pPr>
      <w:r>
        <w:rPr>
          <w:rFonts w:hint="eastAsia" w:ascii="宋体" w:hAnsi="宋体" w:eastAsia="宋体" w:cs="宋体"/>
          <w:b w:val="0"/>
          <w:bCs w:val="0"/>
          <w:color w:val="auto"/>
          <w:sz w:val="21"/>
          <w:szCs w:val="21"/>
          <w:highlight w:val="none"/>
        </w:rPr>
        <w:t>格式十：法定代表人身份证正反面复印件加盖公章；如供应商的代表为非法定代表人的，还需提供法定代表人授权委托书(格式见附件)及授权代表的身份证正反面复印件加盖公章：</w:t>
      </w:r>
    </w:p>
    <w:p w14:paraId="01C7EB10">
      <w:pPr>
        <w:ind w:right="25" w:rightChars="12"/>
        <w:jc w:val="center"/>
        <w:rPr>
          <w:rFonts w:hint="eastAsia" w:ascii="宋体" w:hAnsi="宋体" w:eastAsia="宋体" w:cs="宋体"/>
          <w:b/>
          <w:color w:val="auto"/>
          <w:spacing w:val="40"/>
          <w:sz w:val="36"/>
          <w:szCs w:val="44"/>
          <w:highlight w:val="none"/>
        </w:rPr>
      </w:pPr>
    </w:p>
    <w:p w14:paraId="2852AED8">
      <w:pPr>
        <w:widowControl/>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466519E2">
      <w:pPr>
        <w:pStyle w:val="19"/>
        <w:widowControl/>
        <w:snapToGrid w:val="0"/>
        <w:spacing w:line="360" w:lineRule="auto"/>
        <w:jc w:val="center"/>
        <w:rPr>
          <w:rFonts w:hint="eastAsia" w:ascii="宋体" w:hAnsi="宋体" w:eastAsia="宋体" w:cs="宋体"/>
          <w:color w:val="auto"/>
          <w:highlight w:val="none"/>
        </w:rPr>
      </w:pPr>
    </w:p>
    <w:p w14:paraId="08AA75C9">
      <w:pPr>
        <w:pStyle w:val="19"/>
        <w:widowControl/>
        <w:snapToGrid w:val="0"/>
        <w:spacing w:line="360" w:lineRule="auto"/>
        <w:ind w:firstLine="0"/>
        <w:rPr>
          <w:rFonts w:hint="eastAsia" w:ascii="宋体" w:hAnsi="宋体" w:eastAsia="宋体" w:cs="宋体"/>
          <w:color w:val="auto"/>
          <w:sz w:val="21"/>
          <w:highlight w:val="none"/>
        </w:rPr>
      </w:pPr>
      <w:r>
        <w:rPr>
          <w:rFonts w:hint="eastAsia" w:ascii="宋体" w:hAnsi="宋体" w:eastAsia="宋体" w:cs="宋体"/>
          <w:color w:val="auto"/>
          <w:sz w:val="21"/>
          <w:highlight w:val="none"/>
          <w:u w:val="single"/>
        </w:rPr>
        <w:t xml:space="preserve">致       </w:t>
      </w:r>
      <w:r>
        <w:rPr>
          <w:rFonts w:hint="eastAsia" w:ascii="宋体" w:hAnsi="宋体" w:eastAsia="宋体" w:cs="宋体"/>
          <w:color w:val="auto"/>
          <w:sz w:val="21"/>
          <w:highlight w:val="none"/>
        </w:rPr>
        <w:t>（采购人名称）：</w:t>
      </w:r>
    </w:p>
    <w:p w14:paraId="6A396D6F">
      <w:pPr>
        <w:pStyle w:val="19"/>
        <w:widowControl/>
        <w:snapToGrid w:val="0"/>
        <w:spacing w:line="360" w:lineRule="auto"/>
        <w:rPr>
          <w:rFonts w:hint="eastAsia" w:ascii="宋体" w:hAnsi="宋体" w:eastAsia="宋体" w:cs="宋体"/>
          <w:color w:val="auto"/>
          <w:sz w:val="21"/>
          <w:highlight w:val="none"/>
        </w:rPr>
      </w:pPr>
    </w:p>
    <w:p w14:paraId="1FF823D2">
      <w:pPr>
        <w:pStyle w:val="19"/>
        <w:widowControl/>
        <w:snapToGrid w:val="0"/>
        <w:spacing w:line="360" w:lineRule="auto"/>
        <w:ind w:firstLine="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（投标人全称）法定代表人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（姓名、职务） 授权</w:t>
      </w:r>
      <w:r>
        <w:rPr>
          <w:rFonts w:hint="eastAsia" w:ascii="宋体" w:hAnsi="宋体" w:eastAsia="宋体" w:cs="宋体"/>
          <w:color w:val="auto"/>
          <w:sz w:val="21"/>
          <w:highlight w:val="none"/>
          <w:u w:val="single"/>
        </w:rPr>
        <w:t xml:space="preserve">                 （授权代表姓名、职务）</w:t>
      </w:r>
      <w:r>
        <w:rPr>
          <w:rFonts w:hint="eastAsia" w:ascii="宋体" w:hAnsi="宋体" w:eastAsia="宋体" w:cs="宋体"/>
          <w:color w:val="auto"/>
          <w:sz w:val="21"/>
          <w:highlight w:val="none"/>
        </w:rPr>
        <w:t>为本公司合法代理人，参加贵招标代理公司组织的</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（招标编号、项目名称、标项）项目的招标投标活动，代表本公司处理招标投标活动中的一切事宜。</w:t>
      </w:r>
    </w:p>
    <w:p w14:paraId="4B190B3C">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本授权书于</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月</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日签字生效，特此声明。</w:t>
      </w:r>
    </w:p>
    <w:p w14:paraId="0F0D4224">
      <w:pPr>
        <w:pStyle w:val="19"/>
        <w:widowControl/>
        <w:snapToGrid w:val="0"/>
        <w:spacing w:line="360" w:lineRule="auto"/>
        <w:rPr>
          <w:rFonts w:hint="eastAsia" w:ascii="宋体" w:hAnsi="宋体" w:eastAsia="宋体" w:cs="宋体"/>
          <w:color w:val="auto"/>
          <w:sz w:val="21"/>
          <w:highlight w:val="none"/>
        </w:rPr>
      </w:pPr>
    </w:p>
    <w:p w14:paraId="303C5A41">
      <w:pPr>
        <w:pStyle w:val="19"/>
        <w:widowControl/>
        <w:snapToGrid w:val="0"/>
        <w:spacing w:line="360" w:lineRule="auto"/>
        <w:rPr>
          <w:rFonts w:hint="eastAsia" w:ascii="宋体" w:hAnsi="宋体" w:eastAsia="宋体" w:cs="宋体"/>
          <w:color w:val="auto"/>
          <w:sz w:val="21"/>
          <w:highlight w:val="none"/>
        </w:rPr>
      </w:pPr>
    </w:p>
    <w:p w14:paraId="5D375B36">
      <w:pPr>
        <w:pStyle w:val="19"/>
        <w:widowControl/>
        <w:snapToGrid w:val="0"/>
        <w:spacing w:line="360" w:lineRule="auto"/>
        <w:ind w:firstLine="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 xml:space="preserve">    后附授权代表身份证正反面复印件，加盖公章。</w:t>
      </w:r>
    </w:p>
    <w:p w14:paraId="5B30C821">
      <w:pPr>
        <w:pStyle w:val="19"/>
        <w:widowControl/>
        <w:snapToGrid w:val="0"/>
        <w:spacing w:line="360" w:lineRule="auto"/>
        <w:rPr>
          <w:rFonts w:hint="eastAsia" w:ascii="宋体" w:hAnsi="宋体" w:eastAsia="宋体" w:cs="宋体"/>
          <w:color w:val="auto"/>
          <w:sz w:val="21"/>
          <w:highlight w:val="none"/>
        </w:rPr>
      </w:pPr>
    </w:p>
    <w:p w14:paraId="5CDBA120">
      <w:pPr>
        <w:pStyle w:val="19"/>
        <w:widowControl/>
        <w:snapToGrid w:val="0"/>
        <w:spacing w:line="360" w:lineRule="auto"/>
        <w:rPr>
          <w:rFonts w:hint="eastAsia" w:ascii="宋体" w:hAnsi="宋体" w:eastAsia="宋体" w:cs="宋体"/>
          <w:color w:val="auto"/>
          <w:sz w:val="21"/>
          <w:highlight w:val="none"/>
        </w:rPr>
      </w:pPr>
    </w:p>
    <w:p w14:paraId="2391C1D1">
      <w:pPr>
        <w:pStyle w:val="19"/>
        <w:widowControl/>
        <w:snapToGrid w:val="0"/>
        <w:spacing w:line="360" w:lineRule="auto"/>
        <w:ind w:left="3366" w:leftChars="1600" w:hanging="6"/>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法定代表人（签字或盖章）：</w:t>
      </w:r>
    </w:p>
    <w:p w14:paraId="5FC2556F">
      <w:pPr>
        <w:pStyle w:val="19"/>
        <w:widowControl/>
        <w:snapToGrid w:val="0"/>
        <w:spacing w:line="360" w:lineRule="auto"/>
        <w:ind w:left="3366" w:leftChars="1600" w:hanging="6"/>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投标人全称（盖章）： </w:t>
      </w:r>
    </w:p>
    <w:p w14:paraId="4BC72F5C">
      <w:pPr>
        <w:pStyle w:val="19"/>
        <w:widowControl/>
        <w:snapToGrid w:val="0"/>
        <w:spacing w:line="360" w:lineRule="auto"/>
        <w:ind w:left="3366" w:leftChars="1600" w:hanging="6"/>
        <w:rPr>
          <w:rFonts w:hint="eastAsia" w:ascii="宋体" w:hAnsi="宋体" w:eastAsia="宋体" w:cs="宋体"/>
          <w:color w:val="auto"/>
          <w:sz w:val="21"/>
          <w:highlight w:val="none"/>
        </w:rPr>
      </w:pPr>
      <w:r>
        <w:rPr>
          <w:rFonts w:hint="eastAsia" w:ascii="宋体" w:hAnsi="宋体" w:eastAsia="宋体" w:cs="宋体"/>
          <w:color w:val="auto"/>
          <w:szCs w:val="21"/>
          <w:highlight w:val="none"/>
        </w:rPr>
        <w:t>日期：    年   月   日</w:t>
      </w:r>
    </w:p>
    <w:p w14:paraId="2C980F5B">
      <w:pPr>
        <w:pStyle w:val="19"/>
        <w:widowControl/>
        <w:snapToGrid w:val="0"/>
        <w:spacing w:line="360" w:lineRule="auto"/>
        <w:rPr>
          <w:rFonts w:hint="eastAsia" w:ascii="宋体" w:hAnsi="宋体" w:eastAsia="宋体" w:cs="宋体"/>
          <w:color w:val="auto"/>
          <w:sz w:val="21"/>
          <w:highlight w:val="none"/>
        </w:rPr>
      </w:pPr>
    </w:p>
    <w:p w14:paraId="0F1036F5">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附：</w:t>
      </w:r>
    </w:p>
    <w:p w14:paraId="48C38BAB">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授权代表姓名：（印刷体）</w:t>
      </w:r>
    </w:p>
    <w:p w14:paraId="72E321CB">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职务：</w:t>
      </w:r>
    </w:p>
    <w:p w14:paraId="627BC6DC">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授权代表签字：</w:t>
      </w:r>
    </w:p>
    <w:p w14:paraId="57583AB7">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详细通讯地址：</w:t>
      </w:r>
    </w:p>
    <w:p w14:paraId="6F57A029">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w:t>
      </w:r>
    </w:p>
    <w:p w14:paraId="4BF2C769">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传真：</w:t>
      </w:r>
    </w:p>
    <w:p w14:paraId="135C3A17">
      <w:pPr>
        <w:pStyle w:val="19"/>
        <w:widowControl/>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p w14:paraId="28696020">
      <w:pPr>
        <w:rPr>
          <w:rFonts w:hint="eastAsia" w:ascii="宋体" w:hAnsi="宋体" w:eastAsia="宋体" w:cs="宋体"/>
          <w:color w:val="auto"/>
          <w:highlight w:val="none"/>
        </w:rPr>
      </w:pPr>
    </w:p>
    <w:p w14:paraId="24F5F6F6">
      <w:pPr>
        <w:pStyle w:val="47"/>
        <w:ind w:firstLine="280"/>
        <w:rPr>
          <w:rFonts w:hint="eastAsia" w:ascii="宋体" w:hAnsi="宋体" w:eastAsia="宋体" w:cs="宋体"/>
          <w:color w:val="auto"/>
          <w:highlight w:val="none"/>
        </w:rPr>
      </w:pPr>
      <w:r>
        <w:rPr>
          <w:rFonts w:hint="eastAsia" w:ascii="宋体" w:hAnsi="宋体" w:eastAsia="宋体" w:cs="宋体"/>
          <w:b/>
          <w:color w:val="auto"/>
          <w:kern w:val="1"/>
          <w:sz w:val="21"/>
          <w:szCs w:val="21"/>
          <w:highlight w:val="none"/>
        </w:rPr>
        <w:t>后附：法定代表人身份证复印件（正反面）、授权代表身份证复印件（正反面），加盖公章。</w:t>
      </w:r>
    </w:p>
    <w:p w14:paraId="1CB73826">
      <w:pPr>
        <w:snapToGrid w:val="0"/>
        <w:spacing w:before="120" w:beforeLines="50" w:after="50"/>
        <w:rPr>
          <w:rFonts w:hint="eastAsia" w:ascii="宋体" w:hAnsi="宋体" w:eastAsia="宋体" w:cs="宋体"/>
          <w:b/>
          <w:color w:val="auto"/>
          <w:spacing w:val="40"/>
          <w:sz w:val="36"/>
          <w:szCs w:val="44"/>
          <w:highlight w:val="none"/>
        </w:rPr>
      </w:pPr>
      <w:r>
        <w:rPr>
          <w:rStyle w:val="95"/>
          <w:rFonts w:hint="eastAsia" w:ascii="宋体" w:hAnsi="宋体" w:eastAsia="宋体" w:cs="宋体"/>
          <w:b w:val="0"/>
          <w:color w:val="auto"/>
          <w:highlight w:val="none"/>
        </w:rPr>
        <w:br w:type="page"/>
      </w:r>
    </w:p>
    <w:p w14:paraId="16748D29">
      <w:pPr>
        <w:pStyle w:val="19"/>
        <w:widowControl/>
        <w:spacing w:line="360" w:lineRule="auto"/>
        <w:ind w:firstLine="0"/>
        <w:jc w:val="center"/>
        <w:rPr>
          <w:rFonts w:hint="eastAsia" w:ascii="宋体" w:hAnsi="宋体" w:eastAsia="宋体" w:cs="宋体"/>
          <w:b/>
          <w:color w:val="auto"/>
          <w:sz w:val="24"/>
          <w:highlight w:val="none"/>
        </w:rPr>
      </w:pPr>
    </w:p>
    <w:p w14:paraId="03901718">
      <w:pPr>
        <w:pStyle w:val="19"/>
        <w:widowControl/>
        <w:spacing w:line="360" w:lineRule="auto"/>
        <w:ind w:firstLine="0"/>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法定代表人身份证明</w:t>
      </w:r>
    </w:p>
    <w:p w14:paraId="79B98B6B">
      <w:pPr>
        <w:widowControl/>
        <w:adjustRightInd w:val="0"/>
        <w:spacing w:line="360" w:lineRule="auto"/>
        <w:jc w:val="left"/>
        <w:rPr>
          <w:rFonts w:hint="eastAsia" w:ascii="宋体" w:hAnsi="宋体" w:eastAsia="宋体" w:cs="宋体"/>
          <w:b/>
          <w:color w:val="auto"/>
          <w:szCs w:val="21"/>
          <w:highlight w:val="none"/>
        </w:rPr>
      </w:pPr>
    </w:p>
    <w:p w14:paraId="0DF86E0D">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14:paraId="13BD0CAD">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2661CFC1">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    别：</w:t>
      </w:r>
      <w:r>
        <w:rPr>
          <w:rFonts w:hint="eastAsia" w:ascii="宋体" w:hAnsi="宋体" w:eastAsia="宋体" w:cs="宋体"/>
          <w:color w:val="auto"/>
          <w:szCs w:val="21"/>
          <w:highlight w:val="none"/>
          <w:u w:val="single"/>
        </w:rPr>
        <w:t xml:space="preserve">                            </w:t>
      </w:r>
    </w:p>
    <w:p w14:paraId="7ACEC383">
      <w:pPr>
        <w:widowControl/>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    务：</w:t>
      </w:r>
      <w:r>
        <w:rPr>
          <w:rFonts w:hint="eastAsia" w:ascii="宋体" w:hAnsi="宋体" w:eastAsia="宋体" w:cs="宋体"/>
          <w:color w:val="auto"/>
          <w:szCs w:val="21"/>
          <w:highlight w:val="none"/>
          <w:u w:val="single"/>
        </w:rPr>
        <w:t xml:space="preserve">                            </w:t>
      </w:r>
    </w:p>
    <w:p w14:paraId="3C42558B">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3626EC6F">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14:paraId="693CD1EA">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特此证明。</w:t>
      </w:r>
    </w:p>
    <w:p w14:paraId="6D4AA250">
      <w:pPr>
        <w:widowControl/>
        <w:spacing w:line="360" w:lineRule="auto"/>
        <w:rPr>
          <w:rFonts w:hint="eastAsia" w:ascii="宋体" w:hAnsi="宋体" w:eastAsia="宋体" w:cs="宋体"/>
          <w:color w:val="auto"/>
          <w:szCs w:val="21"/>
          <w:highlight w:val="none"/>
        </w:rPr>
      </w:pPr>
    </w:p>
    <w:p w14:paraId="0382406F">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后附法定代表人身份证正反面复印件，加盖公章。</w:t>
      </w:r>
    </w:p>
    <w:p w14:paraId="728CC990">
      <w:pPr>
        <w:widowControl/>
        <w:spacing w:line="360" w:lineRule="auto"/>
        <w:rPr>
          <w:rFonts w:hint="eastAsia" w:ascii="宋体" w:hAnsi="宋体" w:eastAsia="宋体" w:cs="宋体"/>
          <w:color w:val="auto"/>
          <w:szCs w:val="21"/>
          <w:highlight w:val="none"/>
        </w:rPr>
      </w:pPr>
    </w:p>
    <w:p w14:paraId="288B5C71">
      <w:pPr>
        <w:widowControl/>
        <w:spacing w:line="360" w:lineRule="auto"/>
        <w:rPr>
          <w:rFonts w:hint="eastAsia" w:ascii="宋体" w:hAnsi="宋体" w:eastAsia="宋体" w:cs="宋体"/>
          <w:color w:val="auto"/>
          <w:szCs w:val="21"/>
          <w:highlight w:val="none"/>
        </w:rPr>
      </w:pPr>
    </w:p>
    <w:p w14:paraId="702BE7DA">
      <w:pPr>
        <w:widowControl/>
        <w:spacing w:line="360" w:lineRule="auto"/>
        <w:rPr>
          <w:rFonts w:hint="eastAsia" w:ascii="宋体" w:hAnsi="宋体" w:eastAsia="宋体" w:cs="宋体"/>
          <w:color w:val="auto"/>
          <w:szCs w:val="21"/>
          <w:highlight w:val="none"/>
        </w:rPr>
      </w:pPr>
    </w:p>
    <w:p w14:paraId="34933142">
      <w:pPr>
        <w:widowControl/>
        <w:spacing w:line="360" w:lineRule="auto"/>
        <w:rPr>
          <w:rFonts w:hint="eastAsia" w:ascii="宋体" w:hAnsi="宋体" w:eastAsia="宋体" w:cs="宋体"/>
          <w:color w:val="auto"/>
          <w:szCs w:val="21"/>
          <w:highlight w:val="none"/>
        </w:rPr>
      </w:pPr>
    </w:p>
    <w:p w14:paraId="5D68DF0C">
      <w:pPr>
        <w:widowControl/>
        <w:spacing w:line="360" w:lineRule="auto"/>
        <w:rPr>
          <w:rFonts w:hint="eastAsia" w:ascii="宋体" w:hAnsi="宋体" w:eastAsia="宋体" w:cs="宋体"/>
          <w:color w:val="auto"/>
          <w:szCs w:val="21"/>
          <w:highlight w:val="none"/>
        </w:rPr>
      </w:pPr>
    </w:p>
    <w:p w14:paraId="359F68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537404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B8A495B">
      <w:pPr>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00FE8A7">
      <w:pPr>
        <w:snapToGrid w:val="0"/>
        <w:spacing w:before="120" w:beforeLines="50" w:after="50"/>
        <w:ind w:firstLine="3150" w:firstLineChars="1500"/>
        <w:rPr>
          <w:rFonts w:hint="eastAsia" w:ascii="宋体" w:hAnsi="宋体" w:eastAsia="宋体" w:cs="宋体"/>
          <w:color w:val="auto"/>
          <w:szCs w:val="21"/>
          <w:highlight w:val="none"/>
        </w:rPr>
      </w:pPr>
    </w:p>
    <w:p w14:paraId="1250186C">
      <w:pPr>
        <w:snapToGrid w:val="0"/>
        <w:spacing w:before="120" w:beforeLines="50" w:after="50"/>
        <w:rPr>
          <w:rFonts w:hint="eastAsia" w:ascii="宋体" w:hAnsi="宋体" w:eastAsia="宋体" w:cs="宋体"/>
          <w:color w:val="auto"/>
          <w:szCs w:val="21"/>
          <w:highlight w:val="none"/>
        </w:rPr>
      </w:pPr>
    </w:p>
    <w:p w14:paraId="277F831B">
      <w:pPr>
        <w:snapToGrid w:val="0"/>
        <w:spacing w:before="50" w:after="120" w:afterLines="50"/>
        <w:jc w:val="left"/>
        <w:rPr>
          <w:rFonts w:hint="eastAsia" w:ascii="宋体" w:hAnsi="宋体" w:eastAsia="宋体" w:cs="宋体"/>
          <w:color w:val="auto"/>
          <w:szCs w:val="21"/>
          <w:highlight w:val="none"/>
        </w:rPr>
      </w:pPr>
    </w:p>
    <w:p w14:paraId="2012B457">
      <w:pPr>
        <w:pStyle w:val="47"/>
        <w:ind w:firstLine="0" w:firstLineChars="0"/>
        <w:rPr>
          <w:rFonts w:hint="eastAsia" w:ascii="宋体" w:hAnsi="宋体" w:eastAsia="宋体" w:cs="宋体"/>
          <w:b/>
          <w:bCs/>
          <w:color w:val="auto"/>
          <w:sz w:val="24"/>
          <w:highlight w:val="none"/>
        </w:rPr>
        <w:sectPr>
          <w:pgSz w:w="11906" w:h="16838"/>
          <w:pgMar w:top="1304" w:right="1134" w:bottom="1134" w:left="1304" w:header="851" w:footer="850" w:gutter="0"/>
          <w:cols w:space="0" w:num="1"/>
          <w:rtlGutter w:val="0"/>
          <w:docGrid w:linePitch="602" w:charSpace="0"/>
        </w:sectPr>
      </w:pPr>
    </w:p>
    <w:p w14:paraId="4A32556F">
      <w:pPr>
        <w:pStyle w:val="47"/>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格式十一：商务条款响应（偏离）表：</w:t>
      </w:r>
    </w:p>
    <w:p w14:paraId="17B5F05D">
      <w:pPr>
        <w:snapToGrid w:val="0"/>
        <w:spacing w:before="50" w:after="120" w:afterLines="50"/>
        <w:jc w:val="left"/>
        <w:rPr>
          <w:rFonts w:hint="eastAsia" w:ascii="宋体" w:hAnsi="宋体" w:eastAsia="宋体" w:cs="宋体"/>
          <w:color w:val="auto"/>
          <w:szCs w:val="21"/>
          <w:highlight w:val="none"/>
        </w:rPr>
      </w:pPr>
    </w:p>
    <w:p w14:paraId="0D08D362">
      <w:pPr>
        <w:pStyle w:val="19"/>
        <w:widowControl/>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商务条款响应（偏离）表</w:t>
      </w:r>
    </w:p>
    <w:p w14:paraId="029C3088">
      <w:pPr>
        <w:pStyle w:val="45"/>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highlight w:val="none"/>
        </w:rPr>
        <w:t xml:space="preserve">  </w:t>
      </w:r>
    </w:p>
    <w:p w14:paraId="483C372D">
      <w:pPr>
        <w:pStyle w:val="45"/>
        <w:widowControl w:val="0"/>
        <w:spacing w:before="0" w:beforeAutospacing="0" w:after="0" w:afterAutospacing="0" w:line="360" w:lineRule="auto"/>
        <w:jc w:val="both"/>
        <w:rPr>
          <w:rFonts w:hint="eastAsia" w:ascii="宋体" w:hAnsi="宋体" w:eastAsia="宋体" w:cs="宋体"/>
          <w:bCs/>
          <w:color w:val="auto"/>
          <w:sz w:val="36"/>
          <w:szCs w:val="36"/>
          <w:highlight w:val="none"/>
        </w:rPr>
      </w:pPr>
      <w:r>
        <w:rPr>
          <w:rFonts w:hint="eastAsia" w:ascii="宋体" w:hAnsi="宋体" w:eastAsia="宋体" w:cs="宋体"/>
          <w:color w:val="auto"/>
          <w:spacing w:val="-4"/>
          <w:kern w:val="2"/>
          <w:sz w:val="21"/>
          <w:szCs w:val="21"/>
          <w:highlight w:val="none"/>
        </w:rPr>
        <w:t>项目名称：</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项目编号：</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标项：</w:t>
      </w:r>
      <w:r>
        <w:rPr>
          <w:rFonts w:hint="eastAsia" w:ascii="宋体" w:hAnsi="宋体" w:eastAsia="宋体" w:cs="宋体"/>
          <w:color w:val="auto"/>
          <w:spacing w:val="-4"/>
          <w:kern w:val="2"/>
          <w:sz w:val="21"/>
          <w:szCs w:val="21"/>
          <w:highlight w:val="none"/>
          <w:u w:val="single"/>
        </w:rPr>
        <w:t xml:space="preserve">       </w:t>
      </w:r>
    </w:p>
    <w:p w14:paraId="185D3221">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49"/>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107"/>
        <w:gridCol w:w="2977"/>
        <w:gridCol w:w="1621"/>
      </w:tblGrid>
      <w:tr w14:paraId="182C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02667D5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107" w:type="dxa"/>
            <w:vAlign w:val="center"/>
          </w:tcPr>
          <w:p w14:paraId="74C6771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招标文件的商务条款</w:t>
            </w:r>
          </w:p>
        </w:tc>
        <w:tc>
          <w:tcPr>
            <w:tcW w:w="2977" w:type="dxa"/>
            <w:vAlign w:val="center"/>
          </w:tcPr>
          <w:p w14:paraId="374DBC0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投标文件的商务条款</w:t>
            </w:r>
          </w:p>
        </w:tc>
        <w:tc>
          <w:tcPr>
            <w:tcW w:w="1621" w:type="dxa"/>
            <w:vAlign w:val="center"/>
          </w:tcPr>
          <w:p w14:paraId="384103A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tc>
      </w:tr>
      <w:tr w14:paraId="1BE4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0F85A5F5">
            <w:pPr>
              <w:jc w:val="center"/>
              <w:rPr>
                <w:rFonts w:hint="eastAsia" w:ascii="宋体" w:hAnsi="宋体" w:eastAsia="宋体" w:cs="宋体"/>
                <w:color w:val="auto"/>
                <w:sz w:val="24"/>
                <w:highlight w:val="none"/>
              </w:rPr>
            </w:pPr>
          </w:p>
        </w:tc>
        <w:tc>
          <w:tcPr>
            <w:tcW w:w="3107" w:type="dxa"/>
            <w:vAlign w:val="center"/>
          </w:tcPr>
          <w:p w14:paraId="057F3B33">
            <w:pPr>
              <w:jc w:val="center"/>
              <w:rPr>
                <w:rFonts w:hint="eastAsia" w:ascii="宋体" w:hAnsi="宋体" w:eastAsia="宋体" w:cs="宋体"/>
                <w:color w:val="auto"/>
                <w:sz w:val="24"/>
                <w:highlight w:val="none"/>
              </w:rPr>
            </w:pPr>
          </w:p>
        </w:tc>
        <w:tc>
          <w:tcPr>
            <w:tcW w:w="2977" w:type="dxa"/>
            <w:vAlign w:val="center"/>
          </w:tcPr>
          <w:p w14:paraId="1D3709D2">
            <w:pPr>
              <w:jc w:val="center"/>
              <w:rPr>
                <w:rFonts w:hint="eastAsia" w:ascii="宋体" w:hAnsi="宋体" w:eastAsia="宋体" w:cs="宋体"/>
                <w:color w:val="auto"/>
                <w:sz w:val="24"/>
                <w:highlight w:val="none"/>
              </w:rPr>
            </w:pPr>
          </w:p>
        </w:tc>
        <w:tc>
          <w:tcPr>
            <w:tcW w:w="1621" w:type="dxa"/>
            <w:vAlign w:val="center"/>
          </w:tcPr>
          <w:p w14:paraId="1D750F6B">
            <w:pPr>
              <w:jc w:val="center"/>
              <w:rPr>
                <w:rFonts w:hint="eastAsia" w:ascii="宋体" w:hAnsi="宋体" w:eastAsia="宋体" w:cs="宋体"/>
                <w:color w:val="auto"/>
                <w:sz w:val="24"/>
                <w:highlight w:val="none"/>
              </w:rPr>
            </w:pPr>
          </w:p>
        </w:tc>
      </w:tr>
      <w:tr w14:paraId="2844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73CCD8B8">
            <w:pPr>
              <w:jc w:val="center"/>
              <w:rPr>
                <w:rFonts w:hint="eastAsia" w:ascii="宋体" w:hAnsi="宋体" w:eastAsia="宋体" w:cs="宋体"/>
                <w:color w:val="auto"/>
                <w:sz w:val="24"/>
                <w:highlight w:val="none"/>
              </w:rPr>
            </w:pPr>
          </w:p>
        </w:tc>
        <w:tc>
          <w:tcPr>
            <w:tcW w:w="3107" w:type="dxa"/>
            <w:vAlign w:val="center"/>
          </w:tcPr>
          <w:p w14:paraId="03AE9012">
            <w:pPr>
              <w:jc w:val="center"/>
              <w:rPr>
                <w:rFonts w:hint="eastAsia" w:ascii="宋体" w:hAnsi="宋体" w:eastAsia="宋体" w:cs="宋体"/>
                <w:color w:val="auto"/>
                <w:sz w:val="24"/>
                <w:highlight w:val="none"/>
              </w:rPr>
            </w:pPr>
          </w:p>
        </w:tc>
        <w:tc>
          <w:tcPr>
            <w:tcW w:w="2977" w:type="dxa"/>
            <w:vAlign w:val="center"/>
          </w:tcPr>
          <w:p w14:paraId="41575506">
            <w:pPr>
              <w:jc w:val="center"/>
              <w:rPr>
                <w:rFonts w:hint="eastAsia" w:ascii="宋体" w:hAnsi="宋体" w:eastAsia="宋体" w:cs="宋体"/>
                <w:color w:val="auto"/>
                <w:sz w:val="24"/>
                <w:highlight w:val="none"/>
              </w:rPr>
            </w:pPr>
          </w:p>
        </w:tc>
        <w:tc>
          <w:tcPr>
            <w:tcW w:w="1621" w:type="dxa"/>
            <w:vAlign w:val="center"/>
          </w:tcPr>
          <w:p w14:paraId="12AD8517">
            <w:pPr>
              <w:jc w:val="center"/>
              <w:rPr>
                <w:rFonts w:hint="eastAsia" w:ascii="宋体" w:hAnsi="宋体" w:eastAsia="宋体" w:cs="宋体"/>
                <w:color w:val="auto"/>
                <w:sz w:val="24"/>
                <w:highlight w:val="none"/>
              </w:rPr>
            </w:pPr>
          </w:p>
        </w:tc>
      </w:tr>
      <w:tr w14:paraId="15A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75AB5B26">
            <w:pPr>
              <w:jc w:val="center"/>
              <w:rPr>
                <w:rFonts w:hint="eastAsia" w:ascii="宋体" w:hAnsi="宋体" w:eastAsia="宋体" w:cs="宋体"/>
                <w:color w:val="auto"/>
                <w:sz w:val="24"/>
                <w:highlight w:val="none"/>
              </w:rPr>
            </w:pPr>
          </w:p>
        </w:tc>
        <w:tc>
          <w:tcPr>
            <w:tcW w:w="3107" w:type="dxa"/>
            <w:vAlign w:val="center"/>
          </w:tcPr>
          <w:p w14:paraId="193A1E81">
            <w:pPr>
              <w:jc w:val="center"/>
              <w:rPr>
                <w:rFonts w:hint="eastAsia" w:ascii="宋体" w:hAnsi="宋体" w:eastAsia="宋体" w:cs="宋体"/>
                <w:color w:val="auto"/>
                <w:sz w:val="24"/>
                <w:highlight w:val="none"/>
              </w:rPr>
            </w:pPr>
          </w:p>
        </w:tc>
        <w:tc>
          <w:tcPr>
            <w:tcW w:w="2977" w:type="dxa"/>
            <w:vAlign w:val="center"/>
          </w:tcPr>
          <w:p w14:paraId="4AD7480A">
            <w:pPr>
              <w:jc w:val="center"/>
              <w:rPr>
                <w:rFonts w:hint="eastAsia" w:ascii="宋体" w:hAnsi="宋体" w:eastAsia="宋体" w:cs="宋体"/>
                <w:color w:val="auto"/>
                <w:sz w:val="24"/>
                <w:highlight w:val="none"/>
              </w:rPr>
            </w:pPr>
          </w:p>
        </w:tc>
        <w:tc>
          <w:tcPr>
            <w:tcW w:w="1621" w:type="dxa"/>
            <w:vAlign w:val="center"/>
          </w:tcPr>
          <w:p w14:paraId="4BE4DAE0">
            <w:pPr>
              <w:jc w:val="center"/>
              <w:rPr>
                <w:rFonts w:hint="eastAsia" w:ascii="宋体" w:hAnsi="宋体" w:eastAsia="宋体" w:cs="宋体"/>
                <w:color w:val="auto"/>
                <w:sz w:val="24"/>
                <w:highlight w:val="none"/>
              </w:rPr>
            </w:pPr>
          </w:p>
        </w:tc>
      </w:tr>
      <w:tr w14:paraId="3D17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2044E31D">
            <w:pPr>
              <w:jc w:val="center"/>
              <w:rPr>
                <w:rFonts w:hint="eastAsia" w:ascii="宋体" w:hAnsi="宋体" w:eastAsia="宋体" w:cs="宋体"/>
                <w:color w:val="auto"/>
                <w:sz w:val="24"/>
                <w:highlight w:val="none"/>
              </w:rPr>
            </w:pPr>
          </w:p>
        </w:tc>
        <w:tc>
          <w:tcPr>
            <w:tcW w:w="3107" w:type="dxa"/>
            <w:vAlign w:val="center"/>
          </w:tcPr>
          <w:p w14:paraId="0C951DAA">
            <w:pPr>
              <w:jc w:val="center"/>
              <w:rPr>
                <w:rFonts w:hint="eastAsia" w:ascii="宋体" w:hAnsi="宋体" w:eastAsia="宋体" w:cs="宋体"/>
                <w:color w:val="auto"/>
                <w:sz w:val="24"/>
                <w:highlight w:val="none"/>
              </w:rPr>
            </w:pPr>
          </w:p>
        </w:tc>
        <w:tc>
          <w:tcPr>
            <w:tcW w:w="2977" w:type="dxa"/>
            <w:vAlign w:val="center"/>
          </w:tcPr>
          <w:p w14:paraId="147789D9">
            <w:pPr>
              <w:jc w:val="center"/>
              <w:rPr>
                <w:rFonts w:hint="eastAsia" w:ascii="宋体" w:hAnsi="宋体" w:eastAsia="宋体" w:cs="宋体"/>
                <w:color w:val="auto"/>
                <w:sz w:val="24"/>
                <w:highlight w:val="none"/>
              </w:rPr>
            </w:pPr>
          </w:p>
        </w:tc>
        <w:tc>
          <w:tcPr>
            <w:tcW w:w="1621" w:type="dxa"/>
            <w:vAlign w:val="center"/>
          </w:tcPr>
          <w:p w14:paraId="425554B4">
            <w:pPr>
              <w:jc w:val="center"/>
              <w:rPr>
                <w:rFonts w:hint="eastAsia" w:ascii="宋体" w:hAnsi="宋体" w:eastAsia="宋体" w:cs="宋体"/>
                <w:color w:val="auto"/>
                <w:sz w:val="24"/>
                <w:highlight w:val="none"/>
              </w:rPr>
            </w:pPr>
          </w:p>
        </w:tc>
      </w:tr>
      <w:tr w14:paraId="1DE6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2AA33CCC">
            <w:pPr>
              <w:jc w:val="center"/>
              <w:rPr>
                <w:rFonts w:hint="eastAsia" w:ascii="宋体" w:hAnsi="宋体" w:eastAsia="宋体" w:cs="宋体"/>
                <w:color w:val="auto"/>
                <w:sz w:val="24"/>
                <w:highlight w:val="none"/>
              </w:rPr>
            </w:pPr>
          </w:p>
        </w:tc>
        <w:tc>
          <w:tcPr>
            <w:tcW w:w="3107" w:type="dxa"/>
            <w:vAlign w:val="center"/>
          </w:tcPr>
          <w:p w14:paraId="4B46F58A">
            <w:pPr>
              <w:jc w:val="center"/>
              <w:rPr>
                <w:rFonts w:hint="eastAsia" w:ascii="宋体" w:hAnsi="宋体" w:eastAsia="宋体" w:cs="宋体"/>
                <w:color w:val="auto"/>
                <w:sz w:val="24"/>
                <w:highlight w:val="none"/>
              </w:rPr>
            </w:pPr>
          </w:p>
        </w:tc>
        <w:tc>
          <w:tcPr>
            <w:tcW w:w="2977" w:type="dxa"/>
            <w:vAlign w:val="center"/>
          </w:tcPr>
          <w:p w14:paraId="5744066B">
            <w:pPr>
              <w:jc w:val="center"/>
              <w:rPr>
                <w:rFonts w:hint="eastAsia" w:ascii="宋体" w:hAnsi="宋体" w:eastAsia="宋体" w:cs="宋体"/>
                <w:color w:val="auto"/>
                <w:sz w:val="24"/>
                <w:highlight w:val="none"/>
              </w:rPr>
            </w:pPr>
          </w:p>
        </w:tc>
        <w:tc>
          <w:tcPr>
            <w:tcW w:w="1621" w:type="dxa"/>
            <w:vAlign w:val="center"/>
          </w:tcPr>
          <w:p w14:paraId="0FACDE0E">
            <w:pPr>
              <w:jc w:val="center"/>
              <w:rPr>
                <w:rFonts w:hint="eastAsia" w:ascii="宋体" w:hAnsi="宋体" w:eastAsia="宋体" w:cs="宋体"/>
                <w:color w:val="auto"/>
                <w:sz w:val="24"/>
                <w:highlight w:val="none"/>
              </w:rPr>
            </w:pPr>
          </w:p>
        </w:tc>
      </w:tr>
      <w:tr w14:paraId="24C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6561C5E5">
            <w:pPr>
              <w:jc w:val="center"/>
              <w:rPr>
                <w:rFonts w:hint="eastAsia" w:ascii="宋体" w:hAnsi="宋体" w:eastAsia="宋体" w:cs="宋体"/>
                <w:color w:val="auto"/>
                <w:sz w:val="24"/>
                <w:highlight w:val="none"/>
              </w:rPr>
            </w:pPr>
          </w:p>
        </w:tc>
        <w:tc>
          <w:tcPr>
            <w:tcW w:w="3107" w:type="dxa"/>
            <w:vAlign w:val="center"/>
          </w:tcPr>
          <w:p w14:paraId="1BE23BEA">
            <w:pPr>
              <w:jc w:val="center"/>
              <w:rPr>
                <w:rFonts w:hint="eastAsia" w:ascii="宋体" w:hAnsi="宋体" w:eastAsia="宋体" w:cs="宋体"/>
                <w:color w:val="auto"/>
                <w:sz w:val="24"/>
                <w:highlight w:val="none"/>
              </w:rPr>
            </w:pPr>
          </w:p>
        </w:tc>
        <w:tc>
          <w:tcPr>
            <w:tcW w:w="2977" w:type="dxa"/>
            <w:vAlign w:val="center"/>
          </w:tcPr>
          <w:p w14:paraId="0A4EC982">
            <w:pPr>
              <w:jc w:val="center"/>
              <w:rPr>
                <w:rFonts w:hint="eastAsia" w:ascii="宋体" w:hAnsi="宋体" w:eastAsia="宋体" w:cs="宋体"/>
                <w:color w:val="auto"/>
                <w:sz w:val="24"/>
                <w:highlight w:val="none"/>
              </w:rPr>
            </w:pPr>
          </w:p>
        </w:tc>
        <w:tc>
          <w:tcPr>
            <w:tcW w:w="1621" w:type="dxa"/>
            <w:vAlign w:val="center"/>
          </w:tcPr>
          <w:p w14:paraId="4DFC2622">
            <w:pPr>
              <w:jc w:val="center"/>
              <w:rPr>
                <w:rFonts w:hint="eastAsia" w:ascii="宋体" w:hAnsi="宋体" w:eastAsia="宋体" w:cs="宋体"/>
                <w:color w:val="auto"/>
                <w:sz w:val="24"/>
                <w:highlight w:val="none"/>
              </w:rPr>
            </w:pPr>
          </w:p>
        </w:tc>
      </w:tr>
      <w:tr w14:paraId="3CCD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8" w:type="dxa"/>
            <w:vAlign w:val="center"/>
          </w:tcPr>
          <w:p w14:paraId="13199BAD">
            <w:pPr>
              <w:jc w:val="center"/>
              <w:rPr>
                <w:rFonts w:hint="eastAsia" w:ascii="宋体" w:hAnsi="宋体" w:eastAsia="宋体" w:cs="宋体"/>
                <w:color w:val="auto"/>
                <w:sz w:val="24"/>
                <w:highlight w:val="none"/>
              </w:rPr>
            </w:pPr>
          </w:p>
        </w:tc>
        <w:tc>
          <w:tcPr>
            <w:tcW w:w="3107" w:type="dxa"/>
            <w:vAlign w:val="center"/>
          </w:tcPr>
          <w:p w14:paraId="67434117">
            <w:pPr>
              <w:jc w:val="center"/>
              <w:rPr>
                <w:rFonts w:hint="eastAsia" w:ascii="宋体" w:hAnsi="宋体" w:eastAsia="宋体" w:cs="宋体"/>
                <w:color w:val="auto"/>
                <w:sz w:val="24"/>
                <w:highlight w:val="none"/>
              </w:rPr>
            </w:pPr>
          </w:p>
        </w:tc>
        <w:tc>
          <w:tcPr>
            <w:tcW w:w="2977" w:type="dxa"/>
            <w:vAlign w:val="center"/>
          </w:tcPr>
          <w:p w14:paraId="47AEACC6">
            <w:pPr>
              <w:jc w:val="center"/>
              <w:rPr>
                <w:rFonts w:hint="eastAsia" w:ascii="宋体" w:hAnsi="宋体" w:eastAsia="宋体" w:cs="宋体"/>
                <w:color w:val="auto"/>
                <w:sz w:val="24"/>
                <w:highlight w:val="none"/>
              </w:rPr>
            </w:pPr>
          </w:p>
        </w:tc>
        <w:tc>
          <w:tcPr>
            <w:tcW w:w="1621" w:type="dxa"/>
            <w:vAlign w:val="center"/>
          </w:tcPr>
          <w:p w14:paraId="7981F3F2">
            <w:pPr>
              <w:jc w:val="center"/>
              <w:rPr>
                <w:rFonts w:hint="eastAsia" w:ascii="宋体" w:hAnsi="宋体" w:eastAsia="宋体" w:cs="宋体"/>
                <w:color w:val="auto"/>
                <w:sz w:val="24"/>
                <w:highlight w:val="none"/>
              </w:rPr>
            </w:pPr>
          </w:p>
        </w:tc>
      </w:tr>
    </w:tbl>
    <w:p w14:paraId="5716D4AB">
      <w:pPr>
        <w:snapToGrid w:val="0"/>
        <w:spacing w:line="360" w:lineRule="auto"/>
        <w:ind w:firstLine="632" w:firstLineChars="300"/>
        <w:rPr>
          <w:rFonts w:hint="eastAsia" w:ascii="宋体" w:hAnsi="宋体" w:eastAsia="宋体" w:cs="宋体"/>
          <w:b/>
          <w:color w:val="auto"/>
          <w:szCs w:val="21"/>
          <w:highlight w:val="none"/>
        </w:rPr>
      </w:pPr>
    </w:p>
    <w:p w14:paraId="527BCEDD">
      <w:pPr>
        <w:snapToGrid w:val="0"/>
        <w:spacing w:line="360" w:lineRule="auto"/>
        <w:ind w:firstLine="632" w:firstLineChars="300"/>
        <w:rPr>
          <w:rFonts w:hint="eastAsia" w:ascii="宋体" w:hAnsi="宋体" w:eastAsia="宋体" w:cs="宋体"/>
          <w:b/>
          <w:color w:val="auto"/>
          <w:highlight w:val="none"/>
        </w:rPr>
      </w:pPr>
      <w:r>
        <w:rPr>
          <w:rFonts w:hint="eastAsia" w:ascii="宋体" w:hAnsi="宋体" w:eastAsia="宋体" w:cs="宋体"/>
          <w:b/>
          <w:color w:val="auto"/>
          <w:szCs w:val="21"/>
          <w:highlight w:val="none"/>
        </w:rPr>
        <w:t>注：投标人应对照招标文件第二章招标需求中的“商务要求”各条款逐条填写；</w:t>
      </w:r>
      <w:r>
        <w:rPr>
          <w:rFonts w:hint="eastAsia" w:ascii="宋体" w:hAnsi="宋体" w:eastAsia="宋体" w:cs="宋体"/>
          <w:b/>
          <w:color w:val="auto"/>
          <w:highlight w:val="none"/>
        </w:rPr>
        <w:t>若无负偏离也可在本表第一行中醒目标明“无商务条款负偏离”的字样，无商务条款负偏离即完全响应招标文件的商务要求。</w:t>
      </w:r>
    </w:p>
    <w:p w14:paraId="63890448">
      <w:pPr>
        <w:rPr>
          <w:rFonts w:hint="eastAsia" w:ascii="宋体" w:hAnsi="宋体" w:eastAsia="宋体" w:cs="宋体"/>
          <w:color w:val="auto"/>
          <w:sz w:val="24"/>
          <w:highlight w:val="none"/>
        </w:rPr>
      </w:pPr>
    </w:p>
    <w:p w14:paraId="4F93692B">
      <w:pPr>
        <w:spacing w:line="580" w:lineRule="exact"/>
        <w:ind w:right="25" w:rightChars="12"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投标人全称（盖章）：     </w:t>
      </w:r>
    </w:p>
    <w:p w14:paraId="42769EC9">
      <w:pPr>
        <w:spacing w:line="580" w:lineRule="exact"/>
        <w:ind w:right="25" w:rightChars="1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623DDC4">
      <w:pPr>
        <w:snapToGrid w:val="0"/>
        <w:spacing w:before="50" w:after="50" w:line="360" w:lineRule="auto"/>
        <w:ind w:left="57" w:leftChars="27" w:right="-817" w:rightChars="-389" w:firstLine="77" w:firstLineChars="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D45BAB7">
      <w:pPr>
        <w:rPr>
          <w:rFonts w:hint="eastAsia" w:ascii="宋体" w:hAnsi="宋体" w:eastAsia="宋体" w:cs="宋体"/>
          <w:b/>
          <w:bCs/>
          <w:color w:val="auto"/>
          <w:sz w:val="24"/>
          <w:highlight w:val="none"/>
        </w:rPr>
      </w:pPr>
    </w:p>
    <w:p w14:paraId="764F7818">
      <w:pPr>
        <w:pStyle w:val="47"/>
        <w:ind w:firstLine="241"/>
        <w:rPr>
          <w:rFonts w:hint="eastAsia" w:ascii="宋体" w:hAnsi="宋体" w:eastAsia="宋体" w:cs="宋体"/>
          <w:b/>
          <w:bCs/>
          <w:color w:val="auto"/>
          <w:sz w:val="24"/>
          <w:highlight w:val="none"/>
        </w:rPr>
      </w:pPr>
    </w:p>
    <w:p w14:paraId="07F9F99D">
      <w:pPr>
        <w:pStyle w:val="47"/>
        <w:ind w:firstLine="0" w:firstLineChars="0"/>
        <w:rPr>
          <w:rFonts w:hint="eastAsia" w:ascii="宋体" w:hAnsi="宋体" w:eastAsia="宋体" w:cs="宋体"/>
          <w:color w:val="auto"/>
          <w:sz w:val="21"/>
          <w:highlight w:val="none"/>
        </w:rPr>
        <w:sectPr>
          <w:pgSz w:w="11906" w:h="16838"/>
          <w:pgMar w:top="1304" w:right="1134" w:bottom="1134" w:left="1304" w:header="851" w:footer="850" w:gutter="0"/>
          <w:cols w:space="0" w:num="1"/>
          <w:rtlGutter w:val="0"/>
          <w:docGrid w:linePitch="602" w:charSpace="0"/>
        </w:sectPr>
      </w:pPr>
    </w:p>
    <w:p w14:paraId="64C9BA95">
      <w:pPr>
        <w:rPr>
          <w:rFonts w:hint="eastAsia" w:ascii="宋体" w:hAnsi="宋体" w:eastAsia="宋体" w:cs="宋体"/>
          <w:b/>
          <w:bCs/>
          <w:color w:val="auto"/>
          <w:sz w:val="24"/>
          <w:highlight w:val="none"/>
        </w:rPr>
      </w:pPr>
    </w:p>
    <w:p w14:paraId="74A7F71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格式十二：技术条款响应（偏离）表</w:t>
      </w:r>
      <w:r>
        <w:rPr>
          <w:rFonts w:hint="eastAsia" w:ascii="宋体" w:hAnsi="宋体" w:eastAsia="宋体" w:cs="宋体"/>
          <w:color w:val="auto"/>
          <w:sz w:val="24"/>
          <w:highlight w:val="none"/>
        </w:rPr>
        <w:t>：</w:t>
      </w:r>
    </w:p>
    <w:p w14:paraId="763A1BDF">
      <w:pPr>
        <w:pStyle w:val="2"/>
        <w:rPr>
          <w:rFonts w:hint="eastAsia" w:ascii="宋体" w:hAnsi="宋体" w:eastAsia="宋体" w:cs="宋体"/>
          <w:color w:val="auto"/>
          <w:highlight w:val="none"/>
        </w:rPr>
      </w:pPr>
    </w:p>
    <w:p w14:paraId="75BA1B42">
      <w:pPr>
        <w:jc w:val="left"/>
        <w:rPr>
          <w:rFonts w:hint="eastAsia" w:ascii="宋体" w:hAnsi="宋体" w:eastAsia="宋体" w:cs="宋体"/>
          <w:b/>
          <w:color w:val="auto"/>
          <w:szCs w:val="21"/>
          <w:highlight w:val="none"/>
        </w:rPr>
      </w:pPr>
    </w:p>
    <w:p w14:paraId="6EC0FDD4">
      <w:pPr>
        <w:pStyle w:val="19"/>
        <w:widowControl/>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技术条款响应（偏离）表</w:t>
      </w:r>
    </w:p>
    <w:p w14:paraId="5179C8B3">
      <w:pPr>
        <w:pStyle w:val="45"/>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rPr>
      </w:pPr>
    </w:p>
    <w:p w14:paraId="10A343E4">
      <w:pPr>
        <w:pStyle w:val="45"/>
        <w:widowControl w:val="0"/>
        <w:spacing w:before="0" w:beforeAutospacing="0" w:after="0" w:afterAutospacing="0" w:line="360" w:lineRule="auto"/>
        <w:jc w:val="both"/>
        <w:rPr>
          <w:rFonts w:hint="eastAsia" w:ascii="宋体" w:hAnsi="宋体" w:eastAsia="宋体" w:cs="宋体"/>
          <w:bCs/>
          <w:color w:val="auto"/>
          <w:sz w:val="36"/>
          <w:szCs w:val="36"/>
          <w:highlight w:val="none"/>
        </w:rPr>
      </w:pPr>
      <w:r>
        <w:rPr>
          <w:rFonts w:hint="eastAsia" w:ascii="宋体" w:hAnsi="宋体" w:eastAsia="宋体" w:cs="宋体"/>
          <w:color w:val="auto"/>
          <w:spacing w:val="-4"/>
          <w:kern w:val="2"/>
          <w:sz w:val="21"/>
          <w:szCs w:val="21"/>
          <w:highlight w:val="none"/>
        </w:rPr>
        <w:t>项目名称：</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项目编号：</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标项：</w:t>
      </w:r>
      <w:r>
        <w:rPr>
          <w:rFonts w:hint="eastAsia" w:ascii="宋体" w:hAnsi="宋体" w:eastAsia="宋体" w:cs="宋体"/>
          <w:color w:val="auto"/>
          <w:spacing w:val="-4"/>
          <w:kern w:val="2"/>
          <w:sz w:val="21"/>
          <w:szCs w:val="21"/>
          <w:highlight w:val="none"/>
          <w:u w:val="single"/>
        </w:rPr>
        <w:t xml:space="preserve">       </w:t>
      </w:r>
    </w:p>
    <w:tbl>
      <w:tblPr>
        <w:tblStyle w:val="4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657"/>
        <w:gridCol w:w="2977"/>
        <w:gridCol w:w="1405"/>
        <w:gridCol w:w="1405"/>
      </w:tblGrid>
      <w:tr w14:paraId="6E93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5DB9A31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657" w:type="dxa"/>
            <w:vAlign w:val="center"/>
          </w:tcPr>
          <w:p w14:paraId="39E52E7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招标文件的技术要求</w:t>
            </w:r>
          </w:p>
        </w:tc>
        <w:tc>
          <w:tcPr>
            <w:tcW w:w="2977" w:type="dxa"/>
            <w:vAlign w:val="center"/>
          </w:tcPr>
          <w:p w14:paraId="0375536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投标响应</w:t>
            </w:r>
          </w:p>
        </w:tc>
        <w:tc>
          <w:tcPr>
            <w:tcW w:w="1405" w:type="dxa"/>
            <w:vAlign w:val="center"/>
          </w:tcPr>
          <w:p w14:paraId="4FC2FF99">
            <w:pPr>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投标设备及材料品牌</w:t>
            </w:r>
          </w:p>
        </w:tc>
        <w:tc>
          <w:tcPr>
            <w:tcW w:w="1405" w:type="dxa"/>
            <w:vAlign w:val="center"/>
          </w:tcPr>
          <w:p w14:paraId="33862CF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tc>
      </w:tr>
      <w:tr w14:paraId="4150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266D3C4C">
            <w:pPr>
              <w:jc w:val="center"/>
              <w:rPr>
                <w:rFonts w:hint="eastAsia" w:ascii="宋体" w:hAnsi="宋体" w:eastAsia="宋体" w:cs="宋体"/>
                <w:color w:val="auto"/>
                <w:sz w:val="24"/>
                <w:highlight w:val="none"/>
              </w:rPr>
            </w:pPr>
          </w:p>
        </w:tc>
        <w:tc>
          <w:tcPr>
            <w:tcW w:w="3657" w:type="dxa"/>
            <w:vAlign w:val="center"/>
          </w:tcPr>
          <w:p w14:paraId="03A13C4D">
            <w:pPr>
              <w:jc w:val="center"/>
              <w:rPr>
                <w:rFonts w:hint="eastAsia" w:ascii="宋体" w:hAnsi="宋体" w:eastAsia="宋体" w:cs="宋体"/>
                <w:color w:val="auto"/>
                <w:sz w:val="24"/>
                <w:highlight w:val="none"/>
              </w:rPr>
            </w:pPr>
          </w:p>
        </w:tc>
        <w:tc>
          <w:tcPr>
            <w:tcW w:w="2977" w:type="dxa"/>
            <w:vAlign w:val="center"/>
          </w:tcPr>
          <w:p w14:paraId="54B2D902">
            <w:pPr>
              <w:jc w:val="center"/>
              <w:rPr>
                <w:rFonts w:hint="eastAsia" w:ascii="宋体" w:hAnsi="宋体" w:eastAsia="宋体" w:cs="宋体"/>
                <w:color w:val="auto"/>
                <w:sz w:val="24"/>
                <w:highlight w:val="none"/>
              </w:rPr>
            </w:pPr>
          </w:p>
        </w:tc>
        <w:tc>
          <w:tcPr>
            <w:tcW w:w="1405" w:type="dxa"/>
            <w:vAlign w:val="center"/>
          </w:tcPr>
          <w:p w14:paraId="54BE4E11">
            <w:pPr>
              <w:jc w:val="center"/>
              <w:rPr>
                <w:rFonts w:hint="eastAsia" w:ascii="宋体" w:hAnsi="宋体" w:eastAsia="宋体" w:cs="宋体"/>
                <w:color w:val="auto"/>
                <w:sz w:val="24"/>
                <w:highlight w:val="none"/>
              </w:rPr>
            </w:pPr>
          </w:p>
        </w:tc>
        <w:tc>
          <w:tcPr>
            <w:tcW w:w="1405" w:type="dxa"/>
            <w:vAlign w:val="center"/>
          </w:tcPr>
          <w:p w14:paraId="5185CCD3">
            <w:pPr>
              <w:jc w:val="center"/>
              <w:rPr>
                <w:rFonts w:hint="eastAsia" w:ascii="宋体" w:hAnsi="宋体" w:eastAsia="宋体" w:cs="宋体"/>
                <w:color w:val="auto"/>
                <w:sz w:val="24"/>
                <w:highlight w:val="none"/>
              </w:rPr>
            </w:pPr>
          </w:p>
        </w:tc>
      </w:tr>
      <w:tr w14:paraId="5DD4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20E0BB08">
            <w:pPr>
              <w:jc w:val="center"/>
              <w:rPr>
                <w:rFonts w:hint="eastAsia" w:ascii="宋体" w:hAnsi="宋体" w:eastAsia="宋体" w:cs="宋体"/>
                <w:color w:val="auto"/>
                <w:sz w:val="24"/>
                <w:highlight w:val="none"/>
              </w:rPr>
            </w:pPr>
          </w:p>
        </w:tc>
        <w:tc>
          <w:tcPr>
            <w:tcW w:w="3657" w:type="dxa"/>
            <w:vAlign w:val="center"/>
          </w:tcPr>
          <w:p w14:paraId="200E6528">
            <w:pPr>
              <w:jc w:val="center"/>
              <w:rPr>
                <w:rFonts w:hint="eastAsia" w:ascii="宋体" w:hAnsi="宋体" w:eastAsia="宋体" w:cs="宋体"/>
                <w:color w:val="auto"/>
                <w:sz w:val="24"/>
                <w:highlight w:val="none"/>
              </w:rPr>
            </w:pPr>
          </w:p>
        </w:tc>
        <w:tc>
          <w:tcPr>
            <w:tcW w:w="2977" w:type="dxa"/>
            <w:vAlign w:val="center"/>
          </w:tcPr>
          <w:p w14:paraId="084EF15F">
            <w:pPr>
              <w:jc w:val="center"/>
              <w:rPr>
                <w:rFonts w:hint="eastAsia" w:ascii="宋体" w:hAnsi="宋体" w:eastAsia="宋体" w:cs="宋体"/>
                <w:color w:val="auto"/>
                <w:sz w:val="24"/>
                <w:highlight w:val="none"/>
              </w:rPr>
            </w:pPr>
          </w:p>
        </w:tc>
        <w:tc>
          <w:tcPr>
            <w:tcW w:w="1405" w:type="dxa"/>
            <w:vAlign w:val="center"/>
          </w:tcPr>
          <w:p w14:paraId="42023A52">
            <w:pPr>
              <w:jc w:val="center"/>
              <w:rPr>
                <w:rFonts w:hint="eastAsia" w:ascii="宋体" w:hAnsi="宋体" w:eastAsia="宋体" w:cs="宋体"/>
                <w:color w:val="auto"/>
                <w:sz w:val="24"/>
                <w:highlight w:val="none"/>
              </w:rPr>
            </w:pPr>
          </w:p>
        </w:tc>
        <w:tc>
          <w:tcPr>
            <w:tcW w:w="1405" w:type="dxa"/>
            <w:vAlign w:val="center"/>
          </w:tcPr>
          <w:p w14:paraId="23FE1E30">
            <w:pPr>
              <w:jc w:val="center"/>
              <w:rPr>
                <w:rFonts w:hint="eastAsia" w:ascii="宋体" w:hAnsi="宋体" w:eastAsia="宋体" w:cs="宋体"/>
                <w:color w:val="auto"/>
                <w:sz w:val="24"/>
                <w:highlight w:val="none"/>
              </w:rPr>
            </w:pPr>
          </w:p>
        </w:tc>
      </w:tr>
      <w:tr w14:paraId="0249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7CCF9174">
            <w:pPr>
              <w:jc w:val="center"/>
              <w:rPr>
                <w:rFonts w:hint="eastAsia" w:ascii="宋体" w:hAnsi="宋体" w:eastAsia="宋体" w:cs="宋体"/>
                <w:color w:val="auto"/>
                <w:sz w:val="24"/>
                <w:highlight w:val="none"/>
              </w:rPr>
            </w:pPr>
          </w:p>
        </w:tc>
        <w:tc>
          <w:tcPr>
            <w:tcW w:w="3657" w:type="dxa"/>
            <w:vAlign w:val="center"/>
          </w:tcPr>
          <w:p w14:paraId="35800F01">
            <w:pPr>
              <w:jc w:val="center"/>
              <w:rPr>
                <w:rFonts w:hint="eastAsia" w:ascii="宋体" w:hAnsi="宋体" w:eastAsia="宋体" w:cs="宋体"/>
                <w:color w:val="auto"/>
                <w:sz w:val="24"/>
                <w:highlight w:val="none"/>
              </w:rPr>
            </w:pPr>
          </w:p>
        </w:tc>
        <w:tc>
          <w:tcPr>
            <w:tcW w:w="2977" w:type="dxa"/>
            <w:vAlign w:val="center"/>
          </w:tcPr>
          <w:p w14:paraId="4EF70D92">
            <w:pPr>
              <w:jc w:val="center"/>
              <w:rPr>
                <w:rFonts w:hint="eastAsia" w:ascii="宋体" w:hAnsi="宋体" w:eastAsia="宋体" w:cs="宋体"/>
                <w:color w:val="auto"/>
                <w:sz w:val="24"/>
                <w:highlight w:val="none"/>
              </w:rPr>
            </w:pPr>
          </w:p>
        </w:tc>
        <w:tc>
          <w:tcPr>
            <w:tcW w:w="1405" w:type="dxa"/>
            <w:vAlign w:val="center"/>
          </w:tcPr>
          <w:p w14:paraId="21036251">
            <w:pPr>
              <w:jc w:val="center"/>
              <w:rPr>
                <w:rFonts w:hint="eastAsia" w:ascii="宋体" w:hAnsi="宋体" w:eastAsia="宋体" w:cs="宋体"/>
                <w:color w:val="auto"/>
                <w:sz w:val="24"/>
                <w:highlight w:val="none"/>
              </w:rPr>
            </w:pPr>
          </w:p>
        </w:tc>
        <w:tc>
          <w:tcPr>
            <w:tcW w:w="1405" w:type="dxa"/>
            <w:vAlign w:val="center"/>
          </w:tcPr>
          <w:p w14:paraId="535E9B42">
            <w:pPr>
              <w:jc w:val="center"/>
              <w:rPr>
                <w:rFonts w:hint="eastAsia" w:ascii="宋体" w:hAnsi="宋体" w:eastAsia="宋体" w:cs="宋体"/>
                <w:color w:val="auto"/>
                <w:sz w:val="24"/>
                <w:highlight w:val="none"/>
              </w:rPr>
            </w:pPr>
          </w:p>
        </w:tc>
      </w:tr>
      <w:tr w14:paraId="260C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05960767">
            <w:pPr>
              <w:jc w:val="center"/>
              <w:rPr>
                <w:rFonts w:hint="eastAsia" w:ascii="宋体" w:hAnsi="宋体" w:eastAsia="宋体" w:cs="宋体"/>
                <w:color w:val="auto"/>
                <w:sz w:val="24"/>
                <w:highlight w:val="none"/>
              </w:rPr>
            </w:pPr>
          </w:p>
        </w:tc>
        <w:tc>
          <w:tcPr>
            <w:tcW w:w="3657" w:type="dxa"/>
            <w:vAlign w:val="center"/>
          </w:tcPr>
          <w:p w14:paraId="6B980955">
            <w:pPr>
              <w:jc w:val="center"/>
              <w:rPr>
                <w:rFonts w:hint="eastAsia" w:ascii="宋体" w:hAnsi="宋体" w:eastAsia="宋体" w:cs="宋体"/>
                <w:color w:val="auto"/>
                <w:sz w:val="24"/>
                <w:highlight w:val="none"/>
              </w:rPr>
            </w:pPr>
          </w:p>
        </w:tc>
        <w:tc>
          <w:tcPr>
            <w:tcW w:w="2977" w:type="dxa"/>
            <w:vAlign w:val="center"/>
          </w:tcPr>
          <w:p w14:paraId="718093D4">
            <w:pPr>
              <w:jc w:val="center"/>
              <w:rPr>
                <w:rFonts w:hint="eastAsia" w:ascii="宋体" w:hAnsi="宋体" w:eastAsia="宋体" w:cs="宋体"/>
                <w:color w:val="auto"/>
                <w:sz w:val="24"/>
                <w:highlight w:val="none"/>
              </w:rPr>
            </w:pPr>
          </w:p>
        </w:tc>
        <w:tc>
          <w:tcPr>
            <w:tcW w:w="1405" w:type="dxa"/>
            <w:vAlign w:val="center"/>
          </w:tcPr>
          <w:p w14:paraId="225CE043">
            <w:pPr>
              <w:jc w:val="center"/>
              <w:rPr>
                <w:rFonts w:hint="eastAsia" w:ascii="宋体" w:hAnsi="宋体" w:eastAsia="宋体" w:cs="宋体"/>
                <w:color w:val="auto"/>
                <w:sz w:val="24"/>
                <w:highlight w:val="none"/>
              </w:rPr>
            </w:pPr>
          </w:p>
        </w:tc>
        <w:tc>
          <w:tcPr>
            <w:tcW w:w="1405" w:type="dxa"/>
            <w:vAlign w:val="center"/>
          </w:tcPr>
          <w:p w14:paraId="545711F0">
            <w:pPr>
              <w:jc w:val="center"/>
              <w:rPr>
                <w:rFonts w:hint="eastAsia" w:ascii="宋体" w:hAnsi="宋体" w:eastAsia="宋体" w:cs="宋体"/>
                <w:color w:val="auto"/>
                <w:sz w:val="24"/>
                <w:highlight w:val="none"/>
              </w:rPr>
            </w:pPr>
          </w:p>
        </w:tc>
      </w:tr>
      <w:tr w14:paraId="55D3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494F2F1D">
            <w:pPr>
              <w:jc w:val="center"/>
              <w:rPr>
                <w:rFonts w:hint="eastAsia" w:ascii="宋体" w:hAnsi="宋体" w:eastAsia="宋体" w:cs="宋体"/>
                <w:color w:val="auto"/>
                <w:sz w:val="24"/>
                <w:highlight w:val="none"/>
              </w:rPr>
            </w:pPr>
          </w:p>
        </w:tc>
        <w:tc>
          <w:tcPr>
            <w:tcW w:w="3657" w:type="dxa"/>
            <w:vAlign w:val="center"/>
          </w:tcPr>
          <w:p w14:paraId="049CD019">
            <w:pPr>
              <w:jc w:val="center"/>
              <w:rPr>
                <w:rFonts w:hint="eastAsia" w:ascii="宋体" w:hAnsi="宋体" w:eastAsia="宋体" w:cs="宋体"/>
                <w:color w:val="auto"/>
                <w:sz w:val="24"/>
                <w:highlight w:val="none"/>
              </w:rPr>
            </w:pPr>
          </w:p>
        </w:tc>
        <w:tc>
          <w:tcPr>
            <w:tcW w:w="2977" w:type="dxa"/>
            <w:vAlign w:val="center"/>
          </w:tcPr>
          <w:p w14:paraId="351F5EA7">
            <w:pPr>
              <w:jc w:val="center"/>
              <w:rPr>
                <w:rFonts w:hint="eastAsia" w:ascii="宋体" w:hAnsi="宋体" w:eastAsia="宋体" w:cs="宋体"/>
                <w:color w:val="auto"/>
                <w:sz w:val="24"/>
                <w:highlight w:val="none"/>
              </w:rPr>
            </w:pPr>
          </w:p>
        </w:tc>
        <w:tc>
          <w:tcPr>
            <w:tcW w:w="1405" w:type="dxa"/>
            <w:vAlign w:val="center"/>
          </w:tcPr>
          <w:p w14:paraId="7F816881">
            <w:pPr>
              <w:jc w:val="center"/>
              <w:rPr>
                <w:rFonts w:hint="eastAsia" w:ascii="宋体" w:hAnsi="宋体" w:eastAsia="宋体" w:cs="宋体"/>
                <w:color w:val="auto"/>
                <w:sz w:val="24"/>
                <w:highlight w:val="none"/>
              </w:rPr>
            </w:pPr>
          </w:p>
        </w:tc>
        <w:tc>
          <w:tcPr>
            <w:tcW w:w="1405" w:type="dxa"/>
            <w:vAlign w:val="center"/>
          </w:tcPr>
          <w:p w14:paraId="457DF6E7">
            <w:pPr>
              <w:jc w:val="center"/>
              <w:rPr>
                <w:rFonts w:hint="eastAsia" w:ascii="宋体" w:hAnsi="宋体" w:eastAsia="宋体" w:cs="宋体"/>
                <w:color w:val="auto"/>
                <w:sz w:val="24"/>
                <w:highlight w:val="none"/>
              </w:rPr>
            </w:pPr>
          </w:p>
        </w:tc>
      </w:tr>
      <w:tr w14:paraId="069B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10" w:type="dxa"/>
            <w:vAlign w:val="center"/>
          </w:tcPr>
          <w:p w14:paraId="4AB30AF6">
            <w:pPr>
              <w:jc w:val="center"/>
              <w:rPr>
                <w:rFonts w:hint="eastAsia" w:ascii="宋体" w:hAnsi="宋体" w:eastAsia="宋体" w:cs="宋体"/>
                <w:color w:val="auto"/>
                <w:sz w:val="24"/>
                <w:highlight w:val="none"/>
              </w:rPr>
            </w:pPr>
          </w:p>
        </w:tc>
        <w:tc>
          <w:tcPr>
            <w:tcW w:w="3657" w:type="dxa"/>
            <w:vAlign w:val="center"/>
          </w:tcPr>
          <w:p w14:paraId="371103F8">
            <w:pPr>
              <w:jc w:val="center"/>
              <w:rPr>
                <w:rFonts w:hint="eastAsia" w:ascii="宋体" w:hAnsi="宋体" w:eastAsia="宋体" w:cs="宋体"/>
                <w:color w:val="auto"/>
                <w:sz w:val="24"/>
                <w:highlight w:val="none"/>
              </w:rPr>
            </w:pPr>
          </w:p>
        </w:tc>
        <w:tc>
          <w:tcPr>
            <w:tcW w:w="2977" w:type="dxa"/>
            <w:vAlign w:val="center"/>
          </w:tcPr>
          <w:p w14:paraId="7F8B922D">
            <w:pPr>
              <w:jc w:val="center"/>
              <w:rPr>
                <w:rFonts w:hint="eastAsia" w:ascii="宋体" w:hAnsi="宋体" w:eastAsia="宋体" w:cs="宋体"/>
                <w:color w:val="auto"/>
                <w:sz w:val="24"/>
                <w:highlight w:val="none"/>
              </w:rPr>
            </w:pPr>
          </w:p>
        </w:tc>
        <w:tc>
          <w:tcPr>
            <w:tcW w:w="1405" w:type="dxa"/>
            <w:vAlign w:val="center"/>
          </w:tcPr>
          <w:p w14:paraId="6E395A1F">
            <w:pPr>
              <w:jc w:val="center"/>
              <w:rPr>
                <w:rFonts w:hint="eastAsia" w:ascii="宋体" w:hAnsi="宋体" w:eastAsia="宋体" w:cs="宋体"/>
                <w:color w:val="auto"/>
                <w:sz w:val="24"/>
                <w:highlight w:val="none"/>
              </w:rPr>
            </w:pPr>
          </w:p>
        </w:tc>
        <w:tc>
          <w:tcPr>
            <w:tcW w:w="1405" w:type="dxa"/>
            <w:vAlign w:val="center"/>
          </w:tcPr>
          <w:p w14:paraId="08F5E485">
            <w:pPr>
              <w:jc w:val="center"/>
              <w:rPr>
                <w:rFonts w:hint="eastAsia" w:ascii="宋体" w:hAnsi="宋体" w:eastAsia="宋体" w:cs="宋体"/>
                <w:color w:val="auto"/>
                <w:sz w:val="24"/>
                <w:highlight w:val="none"/>
              </w:rPr>
            </w:pPr>
          </w:p>
        </w:tc>
      </w:tr>
    </w:tbl>
    <w:p w14:paraId="348C79DB">
      <w:pPr>
        <w:snapToGrid w:val="0"/>
        <w:spacing w:line="360" w:lineRule="auto"/>
        <w:ind w:firstLine="632" w:firstLineChars="300"/>
        <w:rPr>
          <w:rFonts w:hint="eastAsia" w:ascii="宋体" w:hAnsi="宋体" w:eastAsia="宋体" w:cs="宋体"/>
          <w:b/>
          <w:color w:val="auto"/>
          <w:szCs w:val="21"/>
          <w:highlight w:val="none"/>
        </w:rPr>
      </w:pPr>
    </w:p>
    <w:p w14:paraId="0928DFE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投标人应对照招标文件第二章招标需求中的“</w:t>
      </w:r>
      <w:r>
        <w:rPr>
          <w:rFonts w:hint="eastAsia" w:ascii="宋体" w:hAnsi="宋体" w:eastAsia="宋体" w:cs="宋体"/>
          <w:b/>
          <w:color w:val="auto"/>
          <w:szCs w:val="21"/>
          <w:highlight w:val="none"/>
          <w:lang w:val="en-US" w:eastAsia="zh-CN"/>
        </w:rPr>
        <w:t>采购清单</w:t>
      </w:r>
      <w:r>
        <w:rPr>
          <w:rFonts w:hint="eastAsia" w:ascii="宋体" w:hAnsi="宋体" w:eastAsia="宋体" w:cs="宋体"/>
          <w:b/>
          <w:color w:val="auto"/>
          <w:szCs w:val="21"/>
          <w:highlight w:val="none"/>
        </w:rPr>
        <w:t>”各条款逐条填写</w:t>
      </w:r>
      <w:r>
        <w:rPr>
          <w:rFonts w:hint="eastAsia" w:ascii="宋体" w:hAnsi="宋体" w:eastAsia="宋体" w:cs="宋体"/>
          <w:b/>
          <w:color w:val="auto"/>
          <w:szCs w:val="21"/>
          <w:highlight w:val="none"/>
          <w:lang w:eastAsia="zh-CN"/>
        </w:rPr>
        <w:t>；</w:t>
      </w:r>
      <w:r>
        <w:rPr>
          <w:rFonts w:hint="eastAsia" w:ascii="宋体" w:hAnsi="宋体" w:eastAsia="宋体" w:cs="宋体"/>
          <w:b/>
          <w:color w:val="auto"/>
          <w:highlight w:val="none"/>
        </w:rPr>
        <w:t>表后提供相关证明材料</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并注明投标品牌。</w:t>
      </w:r>
    </w:p>
    <w:p w14:paraId="0BFD539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highlight w:val="none"/>
          <w:lang w:val="en-US" w:eastAsia="zh-CN"/>
        </w:rPr>
        <w:t>（2）</w:t>
      </w:r>
      <w:r>
        <w:rPr>
          <w:rStyle w:val="297"/>
          <w:rFonts w:hint="eastAsia" w:ascii="宋体" w:hAnsi="宋体" w:eastAsia="宋体" w:cs="宋体"/>
          <w:b/>
          <w:bCs w:val="0"/>
          <w:color w:val="auto"/>
          <w:szCs w:val="21"/>
          <w:highlight w:val="none"/>
        </w:rPr>
        <w:t>采购需求中涉及的参考品牌供投标人在编制投标文件时参考。投标人如选择其他品牌的产品</w:t>
      </w:r>
      <w:r>
        <w:rPr>
          <w:rStyle w:val="297"/>
          <w:rFonts w:hint="eastAsia" w:ascii="宋体" w:hAnsi="宋体" w:eastAsia="宋体" w:cs="宋体"/>
          <w:b/>
          <w:bCs w:val="0"/>
          <w:color w:val="auto"/>
          <w:szCs w:val="21"/>
          <w:highlight w:val="none"/>
          <w:lang w:val="en-US"/>
        </w:rPr>
        <w:t>时</w:t>
      </w:r>
      <w:r>
        <w:rPr>
          <w:rStyle w:val="297"/>
          <w:rFonts w:hint="eastAsia" w:ascii="宋体" w:hAnsi="宋体" w:eastAsia="宋体" w:cs="宋体"/>
          <w:b/>
          <w:bCs w:val="0"/>
          <w:color w:val="auto"/>
          <w:szCs w:val="21"/>
          <w:highlight w:val="none"/>
        </w:rPr>
        <w:t>，其提供的产品质量应不低于招标人提供参考品牌及对应的技术性能或档次，</w:t>
      </w:r>
      <w:r>
        <w:rPr>
          <w:rStyle w:val="297"/>
          <w:rFonts w:hint="eastAsia" w:ascii="宋体" w:hAnsi="宋体" w:eastAsia="宋体" w:cs="宋体"/>
          <w:b/>
          <w:bCs w:val="0"/>
          <w:color w:val="auto"/>
          <w:szCs w:val="21"/>
          <w:highlight w:val="none"/>
          <w:lang w:val="en-US"/>
        </w:rPr>
        <w:t>并提供相关证明材料</w:t>
      </w:r>
      <w:r>
        <w:rPr>
          <w:rStyle w:val="297"/>
          <w:rFonts w:hint="eastAsia" w:ascii="宋体" w:hAnsi="宋体" w:eastAsia="宋体" w:cs="宋体"/>
          <w:b/>
          <w:bCs w:val="0"/>
          <w:color w:val="auto"/>
          <w:szCs w:val="21"/>
          <w:highlight w:val="none"/>
        </w:rPr>
        <w:t>，</w:t>
      </w:r>
      <w:r>
        <w:rPr>
          <w:rStyle w:val="297"/>
          <w:rFonts w:hint="eastAsia" w:ascii="宋体" w:hAnsi="宋体" w:eastAsia="宋体" w:cs="宋体"/>
          <w:b/>
          <w:bCs w:val="0"/>
          <w:color w:val="auto"/>
          <w:szCs w:val="21"/>
          <w:highlight w:val="none"/>
          <w:lang w:val="en-US"/>
        </w:rPr>
        <w:t>若提供的证明材料经评审，作未能充分证明</w:t>
      </w:r>
      <w:r>
        <w:rPr>
          <w:rStyle w:val="297"/>
          <w:rFonts w:hint="eastAsia" w:ascii="宋体" w:hAnsi="宋体" w:eastAsia="宋体" w:cs="宋体"/>
          <w:b/>
          <w:bCs w:val="0"/>
          <w:color w:val="auto"/>
          <w:szCs w:val="21"/>
          <w:highlight w:val="none"/>
        </w:rPr>
        <w:t>不低于招标人提供参考品牌及对应的技术性能或档次</w:t>
      </w:r>
      <w:r>
        <w:rPr>
          <w:rStyle w:val="297"/>
          <w:rFonts w:hint="eastAsia" w:ascii="宋体" w:hAnsi="宋体" w:eastAsia="宋体" w:cs="宋体"/>
          <w:b/>
          <w:bCs w:val="0"/>
          <w:color w:val="auto"/>
          <w:szCs w:val="21"/>
          <w:highlight w:val="none"/>
          <w:lang w:val="en-US"/>
        </w:rPr>
        <w:t>质量的，可作实质上不响应招标文件要求处理</w:t>
      </w:r>
      <w:r>
        <w:rPr>
          <w:rStyle w:val="297"/>
          <w:rFonts w:hint="eastAsia" w:ascii="宋体" w:hAnsi="宋体" w:eastAsia="宋体" w:cs="宋体"/>
          <w:b/>
          <w:bCs w:val="0"/>
          <w:color w:val="auto"/>
          <w:szCs w:val="21"/>
          <w:highlight w:val="none"/>
        </w:rPr>
        <w:t>。</w:t>
      </w:r>
    </w:p>
    <w:p w14:paraId="62C4C4E4">
      <w:pPr>
        <w:snapToGrid w:val="0"/>
        <w:spacing w:line="360" w:lineRule="auto"/>
        <w:ind w:firstLine="632" w:firstLineChars="300"/>
        <w:rPr>
          <w:rFonts w:hint="eastAsia" w:ascii="宋体" w:hAnsi="宋体" w:eastAsia="宋体" w:cs="宋体"/>
          <w:b/>
          <w:color w:val="auto"/>
          <w:highlight w:val="none"/>
          <w:lang w:val="en-US" w:eastAsia="zh-CN"/>
        </w:rPr>
      </w:pPr>
    </w:p>
    <w:p w14:paraId="23B4E823">
      <w:pPr>
        <w:rPr>
          <w:rFonts w:hint="eastAsia" w:ascii="宋体" w:hAnsi="宋体" w:eastAsia="宋体" w:cs="宋体"/>
          <w:color w:val="auto"/>
          <w:sz w:val="24"/>
          <w:highlight w:val="none"/>
        </w:rPr>
      </w:pPr>
    </w:p>
    <w:p w14:paraId="569AD54B">
      <w:pPr>
        <w:snapToGrid w:val="0"/>
        <w:spacing w:before="50" w:after="50" w:line="360" w:lineRule="auto"/>
        <w:ind w:right="-817" w:rightChars="-38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投标人全称（盖章）：   </w:t>
      </w:r>
    </w:p>
    <w:p w14:paraId="29749DCE">
      <w:pPr>
        <w:snapToGrid w:val="0"/>
        <w:spacing w:before="50" w:after="50" w:line="360" w:lineRule="auto"/>
        <w:ind w:right="-817" w:rightChars="-38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1E8FBFD">
      <w:pPr>
        <w:snapToGrid w:val="0"/>
        <w:spacing w:before="50"/>
        <w:jc w:val="left"/>
        <w:rPr>
          <w:rFonts w:hint="eastAsia" w:ascii="宋体" w:hAnsi="宋体" w:eastAsia="宋体" w:cs="宋体"/>
          <w:color w:val="auto"/>
          <w:szCs w:val="21"/>
          <w:highlight w:val="none"/>
          <w:u w:val="single"/>
        </w:rPr>
      </w:pPr>
    </w:p>
    <w:p w14:paraId="3DC36396">
      <w:pPr>
        <w:snapToGrid w:val="0"/>
        <w:spacing w:before="50" w:after="50" w:line="360" w:lineRule="auto"/>
        <w:rPr>
          <w:rFonts w:hint="eastAsia" w:ascii="宋体" w:hAnsi="宋体" w:eastAsia="宋体" w:cs="宋体"/>
          <w:color w:val="auto"/>
          <w:szCs w:val="21"/>
          <w:highlight w:val="none"/>
        </w:rPr>
      </w:pPr>
    </w:p>
    <w:p w14:paraId="1795B4A4">
      <w:pPr>
        <w:pStyle w:val="19"/>
        <w:rPr>
          <w:rFonts w:hint="eastAsia" w:ascii="宋体" w:hAnsi="宋体" w:eastAsia="宋体" w:cs="宋体"/>
          <w:color w:val="auto"/>
          <w:szCs w:val="21"/>
          <w:highlight w:val="none"/>
        </w:rPr>
      </w:pPr>
    </w:p>
    <w:p w14:paraId="53C86167">
      <w:pPr>
        <w:pStyle w:val="32"/>
        <w:rPr>
          <w:rFonts w:hint="eastAsia" w:ascii="宋体" w:hAnsi="宋体" w:eastAsia="宋体" w:cs="宋体"/>
          <w:color w:val="auto"/>
          <w:szCs w:val="21"/>
          <w:highlight w:val="none"/>
        </w:rPr>
      </w:pPr>
    </w:p>
    <w:p w14:paraId="6C2C9BBB">
      <w:pPr>
        <w:pStyle w:val="32"/>
        <w:rPr>
          <w:rFonts w:hint="eastAsia" w:ascii="宋体" w:hAnsi="宋体" w:eastAsia="宋体" w:cs="宋体"/>
          <w:color w:val="auto"/>
          <w:szCs w:val="21"/>
          <w:highlight w:val="none"/>
        </w:rPr>
      </w:pPr>
    </w:p>
    <w:p w14:paraId="34FB31C5">
      <w:pPr>
        <w:pStyle w:val="32"/>
        <w:rPr>
          <w:rFonts w:hint="eastAsia" w:ascii="宋体" w:hAnsi="宋体" w:eastAsia="宋体" w:cs="宋体"/>
          <w:color w:val="auto"/>
          <w:szCs w:val="21"/>
          <w:highlight w:val="none"/>
        </w:rPr>
      </w:pPr>
    </w:p>
    <w:p w14:paraId="78DC9CB6">
      <w:pPr>
        <w:pStyle w:val="32"/>
        <w:rPr>
          <w:rFonts w:hint="eastAsia" w:ascii="宋体" w:hAnsi="宋体" w:eastAsia="宋体" w:cs="宋体"/>
          <w:color w:val="auto"/>
          <w:szCs w:val="21"/>
          <w:highlight w:val="none"/>
        </w:rPr>
      </w:pPr>
    </w:p>
    <w:p w14:paraId="514A1F4C">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格式十三：拟投入本项目的成员表；</w:t>
      </w:r>
    </w:p>
    <w:p w14:paraId="3602B586">
      <w:pPr>
        <w:pStyle w:val="19"/>
        <w:widowControl/>
        <w:spacing w:line="360" w:lineRule="auto"/>
        <w:ind w:firstLine="0"/>
        <w:jc w:val="center"/>
        <w:rPr>
          <w:rFonts w:hint="eastAsia" w:ascii="宋体" w:hAnsi="宋体" w:eastAsia="宋体" w:cs="宋体"/>
          <w:b/>
          <w:color w:val="auto"/>
          <w:sz w:val="24"/>
          <w:highlight w:val="none"/>
        </w:rPr>
      </w:pPr>
    </w:p>
    <w:p w14:paraId="5434EA89">
      <w:pPr>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lang w:val="en-US" w:eastAsia="zh-CN"/>
        </w:rPr>
        <w:t>供应商可自拟格式。</w:t>
      </w:r>
    </w:p>
    <w:p w14:paraId="5A1BF8D4">
      <w:pPr>
        <w:pStyle w:val="19"/>
        <w:widowControl/>
        <w:spacing w:line="360" w:lineRule="auto"/>
        <w:ind w:firstLine="0"/>
        <w:jc w:val="center"/>
        <w:rPr>
          <w:rFonts w:hint="eastAsia" w:ascii="宋体" w:hAnsi="宋体" w:eastAsia="宋体" w:cs="宋体"/>
          <w:b/>
          <w:color w:val="auto"/>
          <w:sz w:val="24"/>
          <w:highlight w:val="none"/>
        </w:rPr>
      </w:pPr>
    </w:p>
    <w:p w14:paraId="1EDC6C38">
      <w:pPr>
        <w:rPr>
          <w:rFonts w:hint="eastAsia" w:ascii="宋体" w:hAnsi="宋体" w:eastAsia="宋体" w:cs="宋体"/>
          <w:b/>
          <w:bCs/>
          <w:color w:val="auto"/>
          <w:sz w:val="24"/>
          <w:highlight w:val="none"/>
        </w:rPr>
      </w:pPr>
    </w:p>
    <w:p w14:paraId="1D73748F">
      <w:pPr>
        <w:rPr>
          <w:rFonts w:hint="eastAsia" w:ascii="宋体" w:hAnsi="宋体" w:eastAsia="宋体" w:cs="宋体"/>
          <w:b/>
          <w:bCs/>
          <w:color w:val="auto"/>
          <w:sz w:val="24"/>
          <w:highlight w:val="none"/>
        </w:rPr>
      </w:pPr>
    </w:p>
    <w:p w14:paraId="2C222585">
      <w:pPr>
        <w:rPr>
          <w:rFonts w:hint="eastAsia" w:ascii="宋体" w:hAnsi="宋体" w:eastAsia="宋体" w:cs="宋体"/>
          <w:b/>
          <w:bCs/>
          <w:color w:val="auto"/>
          <w:sz w:val="24"/>
          <w:highlight w:val="none"/>
        </w:rPr>
      </w:pPr>
    </w:p>
    <w:p w14:paraId="05DF8CB6">
      <w:pPr>
        <w:rPr>
          <w:rFonts w:hint="eastAsia" w:ascii="宋体" w:hAnsi="宋体" w:eastAsia="宋体" w:cs="宋体"/>
          <w:b/>
          <w:bCs/>
          <w:color w:val="auto"/>
          <w:sz w:val="24"/>
          <w:highlight w:val="none"/>
        </w:rPr>
      </w:pPr>
    </w:p>
    <w:p w14:paraId="2ED6E62E">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格式十四：业绩一览表：</w:t>
      </w:r>
    </w:p>
    <w:p w14:paraId="2A6F8041">
      <w:pPr>
        <w:jc w:val="center"/>
        <w:rPr>
          <w:rFonts w:hint="eastAsia" w:ascii="宋体" w:hAnsi="宋体" w:eastAsia="宋体" w:cs="宋体"/>
          <w:bCs/>
          <w:color w:val="auto"/>
          <w:sz w:val="36"/>
          <w:szCs w:val="36"/>
          <w:highlight w:val="none"/>
        </w:rPr>
      </w:pPr>
    </w:p>
    <w:p w14:paraId="5FFC35DB">
      <w:pPr>
        <w:pStyle w:val="19"/>
        <w:widowControl/>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业绩一览表</w:t>
      </w:r>
    </w:p>
    <w:p w14:paraId="1712031A">
      <w:pPr>
        <w:pStyle w:val="45"/>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rPr>
      </w:pPr>
    </w:p>
    <w:p w14:paraId="49A6E49C">
      <w:pPr>
        <w:pStyle w:val="45"/>
        <w:widowControl w:val="0"/>
        <w:spacing w:before="0" w:beforeAutospacing="0" w:after="0" w:afterAutospacing="0" w:line="360" w:lineRule="auto"/>
        <w:jc w:val="both"/>
        <w:rPr>
          <w:rFonts w:hint="eastAsia" w:ascii="宋体" w:hAnsi="宋体" w:eastAsia="宋体" w:cs="宋体"/>
          <w:bCs/>
          <w:color w:val="auto"/>
          <w:sz w:val="36"/>
          <w:szCs w:val="36"/>
          <w:highlight w:val="none"/>
        </w:rPr>
      </w:pPr>
      <w:r>
        <w:rPr>
          <w:rFonts w:hint="eastAsia" w:ascii="宋体" w:hAnsi="宋体" w:eastAsia="宋体" w:cs="宋体"/>
          <w:color w:val="auto"/>
          <w:spacing w:val="-4"/>
          <w:kern w:val="2"/>
          <w:sz w:val="21"/>
          <w:szCs w:val="21"/>
          <w:highlight w:val="none"/>
        </w:rPr>
        <w:t>项目名称：</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项目编号：</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 xml:space="preserve">  标项：</w:t>
      </w:r>
      <w:r>
        <w:rPr>
          <w:rFonts w:hint="eastAsia" w:ascii="宋体" w:hAnsi="宋体" w:eastAsia="宋体" w:cs="宋体"/>
          <w:color w:val="auto"/>
          <w:spacing w:val="-4"/>
          <w:kern w:val="2"/>
          <w:sz w:val="21"/>
          <w:szCs w:val="21"/>
          <w:highlight w:val="none"/>
          <w:u w:val="single"/>
        </w:rPr>
        <w:t xml:space="preserve">       </w:t>
      </w:r>
    </w:p>
    <w:p w14:paraId="14FBD032">
      <w:pPr>
        <w:rPr>
          <w:rFonts w:hint="eastAsia" w:ascii="宋体" w:hAnsi="宋体" w:eastAsia="宋体" w:cs="宋体"/>
          <w:color w:val="auto"/>
          <w:sz w:val="28"/>
          <w:szCs w:val="28"/>
          <w:highlight w:val="none"/>
        </w:rPr>
      </w:pPr>
    </w:p>
    <w:tbl>
      <w:tblPr>
        <w:tblStyle w:val="49"/>
        <w:tblW w:w="84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375"/>
        <w:gridCol w:w="1701"/>
        <w:gridCol w:w="1985"/>
        <w:gridCol w:w="1659"/>
        <w:gridCol w:w="973"/>
      </w:tblGrid>
      <w:tr w14:paraId="48BD9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6C645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1375" w:type="dxa"/>
            <w:tcBorders>
              <w:top w:val="single" w:color="auto" w:sz="4" w:space="0"/>
              <w:left w:val="single" w:color="auto" w:sz="4" w:space="0"/>
              <w:bottom w:val="single" w:color="auto" w:sz="4" w:space="0"/>
              <w:right w:val="single" w:color="auto" w:sz="4" w:space="0"/>
            </w:tcBorders>
            <w:vAlign w:val="center"/>
          </w:tcPr>
          <w:p w14:paraId="6F8BBB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14:paraId="76830F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项目时间</w:t>
            </w:r>
          </w:p>
          <w:p w14:paraId="76823F4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年/月</w:t>
            </w:r>
          </w:p>
        </w:tc>
        <w:tc>
          <w:tcPr>
            <w:tcW w:w="1985" w:type="dxa"/>
            <w:tcBorders>
              <w:top w:val="single" w:color="auto" w:sz="4" w:space="0"/>
              <w:left w:val="single" w:color="auto" w:sz="4" w:space="0"/>
              <w:bottom w:val="single" w:color="auto" w:sz="4" w:space="0"/>
              <w:right w:val="single" w:color="auto" w:sz="4" w:space="0"/>
            </w:tcBorders>
            <w:vAlign w:val="center"/>
          </w:tcPr>
          <w:p w14:paraId="4B00AA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业主单位名称、地址及联系方式</w:t>
            </w:r>
          </w:p>
        </w:tc>
        <w:tc>
          <w:tcPr>
            <w:tcW w:w="1659" w:type="dxa"/>
            <w:tcBorders>
              <w:top w:val="single" w:color="auto" w:sz="4" w:space="0"/>
              <w:left w:val="single" w:color="auto" w:sz="4" w:space="0"/>
              <w:bottom w:val="single" w:color="auto" w:sz="4" w:space="0"/>
              <w:right w:val="single" w:color="auto" w:sz="4" w:space="0"/>
            </w:tcBorders>
            <w:vAlign w:val="center"/>
          </w:tcPr>
          <w:p w14:paraId="01C02A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项目合同金额（单位：万元）</w:t>
            </w:r>
          </w:p>
        </w:tc>
        <w:tc>
          <w:tcPr>
            <w:tcW w:w="973" w:type="dxa"/>
            <w:tcBorders>
              <w:top w:val="single" w:color="auto" w:sz="4" w:space="0"/>
              <w:left w:val="single" w:color="auto" w:sz="4" w:space="0"/>
              <w:bottom w:val="single" w:color="auto" w:sz="4" w:space="0"/>
              <w:right w:val="single" w:color="auto" w:sz="4" w:space="0"/>
            </w:tcBorders>
            <w:vAlign w:val="center"/>
          </w:tcPr>
          <w:p w14:paraId="311538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E190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34CE7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75" w:type="dxa"/>
            <w:tcBorders>
              <w:top w:val="single" w:color="auto" w:sz="4" w:space="0"/>
              <w:left w:val="single" w:color="auto" w:sz="4" w:space="0"/>
              <w:bottom w:val="single" w:color="auto" w:sz="4" w:space="0"/>
              <w:right w:val="single" w:color="auto" w:sz="4" w:space="0"/>
            </w:tcBorders>
            <w:vAlign w:val="center"/>
          </w:tcPr>
          <w:p w14:paraId="4FCEA28B">
            <w:pPr>
              <w:jc w:val="center"/>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156C1C0">
            <w:pPr>
              <w:jc w:val="center"/>
              <w:rPr>
                <w:rFonts w:hint="eastAsia" w:ascii="宋体" w:hAnsi="宋体" w:eastAsia="宋体" w:cs="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D7E965F">
            <w:pPr>
              <w:jc w:val="center"/>
              <w:rPr>
                <w:rFonts w:hint="eastAsia" w:ascii="宋体" w:hAnsi="宋体" w:eastAsia="宋体" w:cs="宋体"/>
                <w:color w:val="auto"/>
                <w:szCs w:val="21"/>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40C94B72">
            <w:pPr>
              <w:jc w:val="center"/>
              <w:rPr>
                <w:rFonts w:hint="eastAsia" w:ascii="宋体" w:hAnsi="宋体" w:eastAsia="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37D54BD3">
            <w:pPr>
              <w:jc w:val="center"/>
              <w:rPr>
                <w:rFonts w:hint="eastAsia" w:ascii="宋体" w:hAnsi="宋体" w:eastAsia="宋体" w:cs="宋体"/>
                <w:color w:val="auto"/>
                <w:szCs w:val="21"/>
                <w:highlight w:val="none"/>
              </w:rPr>
            </w:pPr>
          </w:p>
        </w:tc>
      </w:tr>
      <w:tr w14:paraId="5D63F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B1710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75" w:type="dxa"/>
            <w:tcBorders>
              <w:top w:val="single" w:color="auto" w:sz="4" w:space="0"/>
              <w:left w:val="single" w:color="auto" w:sz="4" w:space="0"/>
              <w:bottom w:val="single" w:color="auto" w:sz="4" w:space="0"/>
              <w:right w:val="single" w:color="auto" w:sz="4" w:space="0"/>
            </w:tcBorders>
            <w:vAlign w:val="center"/>
          </w:tcPr>
          <w:p w14:paraId="01A01835">
            <w:pPr>
              <w:jc w:val="center"/>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99BB7C9">
            <w:pPr>
              <w:jc w:val="center"/>
              <w:rPr>
                <w:rFonts w:hint="eastAsia" w:ascii="宋体" w:hAnsi="宋体" w:eastAsia="宋体" w:cs="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809D6D8">
            <w:pPr>
              <w:jc w:val="center"/>
              <w:rPr>
                <w:rFonts w:hint="eastAsia" w:ascii="宋体" w:hAnsi="宋体" w:eastAsia="宋体" w:cs="宋体"/>
                <w:color w:val="auto"/>
                <w:szCs w:val="21"/>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1CC9257D">
            <w:pPr>
              <w:jc w:val="center"/>
              <w:rPr>
                <w:rFonts w:hint="eastAsia" w:ascii="宋体" w:hAnsi="宋体" w:eastAsia="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AD03B17">
            <w:pPr>
              <w:jc w:val="center"/>
              <w:rPr>
                <w:rFonts w:hint="eastAsia" w:ascii="宋体" w:hAnsi="宋体" w:eastAsia="宋体" w:cs="宋体"/>
                <w:color w:val="auto"/>
                <w:szCs w:val="21"/>
                <w:highlight w:val="none"/>
              </w:rPr>
            </w:pPr>
          </w:p>
        </w:tc>
      </w:tr>
      <w:tr w14:paraId="74B55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C4B7D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75" w:type="dxa"/>
            <w:tcBorders>
              <w:top w:val="single" w:color="auto" w:sz="4" w:space="0"/>
              <w:left w:val="single" w:color="auto" w:sz="4" w:space="0"/>
              <w:bottom w:val="single" w:color="auto" w:sz="4" w:space="0"/>
              <w:right w:val="single" w:color="auto" w:sz="4" w:space="0"/>
            </w:tcBorders>
            <w:vAlign w:val="center"/>
          </w:tcPr>
          <w:p w14:paraId="1C496EA9">
            <w:pPr>
              <w:jc w:val="center"/>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3FD4EE1">
            <w:pPr>
              <w:jc w:val="center"/>
              <w:rPr>
                <w:rFonts w:hint="eastAsia" w:ascii="宋体" w:hAnsi="宋体" w:eastAsia="宋体" w:cs="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8975B2B">
            <w:pPr>
              <w:jc w:val="center"/>
              <w:rPr>
                <w:rFonts w:hint="eastAsia" w:ascii="宋体" w:hAnsi="宋体" w:eastAsia="宋体" w:cs="宋体"/>
                <w:color w:val="auto"/>
                <w:szCs w:val="21"/>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5AFB13E5">
            <w:pPr>
              <w:jc w:val="center"/>
              <w:rPr>
                <w:rFonts w:hint="eastAsia" w:ascii="宋体" w:hAnsi="宋体" w:eastAsia="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5631ED85">
            <w:pPr>
              <w:jc w:val="center"/>
              <w:rPr>
                <w:rFonts w:hint="eastAsia" w:ascii="宋体" w:hAnsi="宋体" w:eastAsia="宋体" w:cs="宋体"/>
                <w:color w:val="auto"/>
                <w:szCs w:val="21"/>
                <w:highlight w:val="none"/>
              </w:rPr>
            </w:pPr>
          </w:p>
        </w:tc>
      </w:tr>
      <w:tr w14:paraId="0A7AE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91F1B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75" w:type="dxa"/>
            <w:tcBorders>
              <w:top w:val="single" w:color="auto" w:sz="4" w:space="0"/>
              <w:left w:val="single" w:color="auto" w:sz="4" w:space="0"/>
              <w:bottom w:val="single" w:color="auto" w:sz="4" w:space="0"/>
              <w:right w:val="single" w:color="auto" w:sz="4" w:space="0"/>
            </w:tcBorders>
            <w:vAlign w:val="center"/>
          </w:tcPr>
          <w:p w14:paraId="66C4DA84">
            <w:pPr>
              <w:jc w:val="center"/>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F564792">
            <w:pPr>
              <w:jc w:val="center"/>
              <w:rPr>
                <w:rFonts w:hint="eastAsia" w:ascii="宋体" w:hAnsi="宋体" w:eastAsia="宋体" w:cs="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902B101">
            <w:pPr>
              <w:jc w:val="center"/>
              <w:rPr>
                <w:rFonts w:hint="eastAsia" w:ascii="宋体" w:hAnsi="宋体" w:eastAsia="宋体" w:cs="宋体"/>
                <w:color w:val="auto"/>
                <w:szCs w:val="21"/>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27BAA51C">
            <w:pPr>
              <w:jc w:val="center"/>
              <w:rPr>
                <w:rFonts w:hint="eastAsia" w:ascii="宋体" w:hAnsi="宋体" w:eastAsia="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0EE7B6E6">
            <w:pPr>
              <w:jc w:val="center"/>
              <w:rPr>
                <w:rFonts w:hint="eastAsia" w:ascii="宋体" w:hAnsi="宋体" w:eastAsia="宋体" w:cs="宋体"/>
                <w:color w:val="auto"/>
                <w:szCs w:val="21"/>
                <w:highlight w:val="none"/>
              </w:rPr>
            </w:pPr>
          </w:p>
        </w:tc>
      </w:tr>
      <w:tr w14:paraId="1B6D3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CA414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375" w:type="dxa"/>
            <w:tcBorders>
              <w:top w:val="single" w:color="auto" w:sz="4" w:space="0"/>
              <w:left w:val="single" w:color="auto" w:sz="4" w:space="0"/>
              <w:bottom w:val="single" w:color="auto" w:sz="4" w:space="0"/>
              <w:right w:val="single" w:color="auto" w:sz="4" w:space="0"/>
            </w:tcBorders>
            <w:vAlign w:val="center"/>
          </w:tcPr>
          <w:p w14:paraId="2AF9CF7A">
            <w:pPr>
              <w:jc w:val="center"/>
              <w:rPr>
                <w:rFonts w:hint="eastAsia" w:ascii="宋体" w:hAnsi="宋体" w:eastAsia="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75E6127">
            <w:pPr>
              <w:jc w:val="center"/>
              <w:rPr>
                <w:rFonts w:hint="eastAsia" w:ascii="宋体" w:hAnsi="宋体" w:eastAsia="宋体" w:cs="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59303BE">
            <w:pPr>
              <w:jc w:val="center"/>
              <w:rPr>
                <w:rFonts w:hint="eastAsia" w:ascii="宋体" w:hAnsi="宋体" w:eastAsia="宋体" w:cs="宋体"/>
                <w:color w:val="auto"/>
                <w:szCs w:val="21"/>
                <w:highlight w:val="none"/>
              </w:rPr>
            </w:pPr>
          </w:p>
        </w:tc>
        <w:tc>
          <w:tcPr>
            <w:tcW w:w="1659" w:type="dxa"/>
            <w:tcBorders>
              <w:top w:val="single" w:color="auto" w:sz="4" w:space="0"/>
              <w:left w:val="single" w:color="auto" w:sz="4" w:space="0"/>
              <w:bottom w:val="single" w:color="auto" w:sz="4" w:space="0"/>
              <w:right w:val="single" w:color="auto" w:sz="4" w:space="0"/>
            </w:tcBorders>
            <w:vAlign w:val="center"/>
          </w:tcPr>
          <w:p w14:paraId="66B569C8">
            <w:pPr>
              <w:jc w:val="center"/>
              <w:rPr>
                <w:rFonts w:hint="eastAsia" w:ascii="宋体" w:hAnsi="宋体" w:eastAsia="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09FB5DC2">
            <w:pPr>
              <w:jc w:val="center"/>
              <w:rPr>
                <w:rFonts w:hint="eastAsia" w:ascii="宋体" w:hAnsi="宋体" w:eastAsia="宋体" w:cs="宋体"/>
                <w:color w:val="auto"/>
                <w:szCs w:val="21"/>
                <w:highlight w:val="none"/>
              </w:rPr>
            </w:pPr>
          </w:p>
        </w:tc>
      </w:tr>
    </w:tbl>
    <w:p w14:paraId="16352453">
      <w:pPr>
        <w:spacing w:line="360" w:lineRule="auto"/>
        <w:rPr>
          <w:rFonts w:hint="eastAsia" w:ascii="宋体" w:hAnsi="宋体" w:eastAsia="宋体" w:cs="宋体"/>
          <w:color w:val="auto"/>
          <w:szCs w:val="21"/>
          <w:highlight w:val="none"/>
        </w:rPr>
      </w:pPr>
    </w:p>
    <w:p w14:paraId="7F1BB98A">
      <w:pPr>
        <w:spacing w:line="580" w:lineRule="exact"/>
        <w:ind w:right="25" w:rightChars="1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2B4446E9">
      <w:pPr>
        <w:spacing w:line="580" w:lineRule="exact"/>
        <w:ind w:right="25" w:rightChars="1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A770337">
      <w:pPr>
        <w:snapToGrid w:val="0"/>
        <w:spacing w:before="50" w:after="50" w:line="360" w:lineRule="auto"/>
        <w:ind w:right="-817" w:rightChars="-38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AFA37D0">
      <w:pPr>
        <w:wordWrap w:val="0"/>
        <w:spacing w:line="580" w:lineRule="exact"/>
        <w:ind w:right="25" w:rightChars="12"/>
        <w:rPr>
          <w:rFonts w:hint="eastAsia" w:ascii="宋体" w:hAnsi="宋体" w:eastAsia="宋体" w:cs="宋体"/>
          <w:color w:val="auto"/>
          <w:sz w:val="24"/>
          <w:highlight w:val="none"/>
        </w:rPr>
      </w:pPr>
    </w:p>
    <w:p w14:paraId="676A3C81">
      <w:pPr>
        <w:wordWrap w:val="0"/>
        <w:spacing w:line="580" w:lineRule="exact"/>
        <w:ind w:right="25" w:rightChars="12"/>
        <w:rPr>
          <w:rFonts w:hint="eastAsia" w:ascii="宋体" w:hAnsi="宋体" w:eastAsia="宋体" w:cs="宋体"/>
          <w:color w:val="auto"/>
          <w:sz w:val="24"/>
          <w:highlight w:val="none"/>
        </w:rPr>
      </w:pPr>
    </w:p>
    <w:p w14:paraId="73C3C750">
      <w:pPr>
        <w:tabs>
          <w:tab w:val="left" w:pos="845"/>
        </w:tabs>
        <w:spacing w:line="360" w:lineRule="auto"/>
        <w:rPr>
          <w:rFonts w:hint="eastAsia" w:ascii="宋体" w:hAnsi="宋体" w:eastAsia="宋体" w:cs="宋体"/>
          <w:iCs/>
          <w:color w:val="auto"/>
          <w:szCs w:val="21"/>
          <w:highlight w:val="none"/>
          <w:lang w:val="zh-CN"/>
        </w:rPr>
      </w:pPr>
      <w:r>
        <w:rPr>
          <w:rFonts w:hint="eastAsia" w:ascii="宋体" w:hAnsi="宋体" w:eastAsia="宋体" w:cs="宋体"/>
          <w:iCs/>
          <w:color w:val="auto"/>
          <w:szCs w:val="21"/>
          <w:highlight w:val="none"/>
          <w:lang w:val="zh-CN"/>
        </w:rPr>
        <w:t>1.表中的内容必须填写完整并应简明扼要。</w:t>
      </w:r>
    </w:p>
    <w:p w14:paraId="7EC3AD9C">
      <w:pPr>
        <w:tabs>
          <w:tab w:val="left" w:pos="845"/>
        </w:tabs>
        <w:spacing w:line="360" w:lineRule="auto"/>
        <w:rPr>
          <w:rFonts w:hint="eastAsia" w:ascii="宋体" w:hAnsi="宋体" w:eastAsia="宋体" w:cs="宋体"/>
          <w:iCs/>
          <w:color w:val="auto"/>
          <w:szCs w:val="21"/>
          <w:highlight w:val="none"/>
          <w:lang w:val="zh-CN"/>
        </w:rPr>
      </w:pPr>
      <w:r>
        <w:rPr>
          <w:rFonts w:hint="eastAsia" w:ascii="宋体" w:hAnsi="宋体" w:eastAsia="宋体" w:cs="宋体"/>
          <w:iCs/>
          <w:color w:val="auto"/>
          <w:szCs w:val="21"/>
          <w:highlight w:val="none"/>
          <w:lang w:val="zh-CN"/>
        </w:rPr>
        <w:t>2.投标人认为应当说明而本表中无相应栏目的，请在“备注”一栏中说明。</w:t>
      </w:r>
    </w:p>
    <w:p w14:paraId="730D034A">
      <w:pPr>
        <w:tabs>
          <w:tab w:val="left" w:pos="845"/>
        </w:tabs>
        <w:spacing w:line="360" w:lineRule="auto"/>
        <w:rPr>
          <w:rFonts w:hint="eastAsia" w:ascii="宋体" w:hAnsi="宋体" w:eastAsia="宋体" w:cs="宋体"/>
          <w:iCs/>
          <w:color w:val="auto"/>
          <w:szCs w:val="21"/>
          <w:highlight w:val="none"/>
          <w:lang w:val="zh-CN"/>
        </w:rPr>
      </w:pPr>
      <w:r>
        <w:rPr>
          <w:rFonts w:hint="eastAsia" w:ascii="宋体" w:hAnsi="宋体" w:eastAsia="宋体" w:cs="宋体"/>
          <w:iCs/>
          <w:color w:val="auto"/>
          <w:szCs w:val="21"/>
          <w:highlight w:val="none"/>
          <w:lang w:val="zh-CN"/>
        </w:rPr>
        <w:t>3.表中列出的项目须附上合同复印件并加盖公章。</w:t>
      </w:r>
    </w:p>
    <w:p w14:paraId="152F8AD9">
      <w:pPr>
        <w:snapToGrid w:val="0"/>
        <w:spacing w:before="50" w:after="120" w:afterLines="50"/>
        <w:jc w:val="left"/>
        <w:rPr>
          <w:rFonts w:hint="eastAsia" w:ascii="宋体" w:hAnsi="宋体" w:eastAsia="宋体" w:cs="宋体"/>
          <w:color w:val="auto"/>
          <w:szCs w:val="21"/>
          <w:highlight w:val="none"/>
        </w:rPr>
      </w:pPr>
    </w:p>
    <w:p w14:paraId="70E5DB6A">
      <w:pPr>
        <w:snapToGrid w:val="0"/>
        <w:spacing w:before="50" w:after="120" w:afterLines="50"/>
        <w:jc w:val="left"/>
        <w:rPr>
          <w:rFonts w:hint="eastAsia" w:ascii="宋体" w:hAnsi="宋体" w:eastAsia="宋体" w:cs="宋体"/>
          <w:color w:val="auto"/>
          <w:szCs w:val="21"/>
          <w:highlight w:val="none"/>
        </w:rPr>
        <w:sectPr>
          <w:pgSz w:w="11906" w:h="16838"/>
          <w:pgMar w:top="1304" w:right="1134" w:bottom="1134" w:left="1304" w:header="851" w:footer="850" w:gutter="0"/>
          <w:cols w:space="0" w:num="1"/>
          <w:rtlGutter w:val="0"/>
          <w:docGrid w:linePitch="602" w:charSpace="0"/>
        </w:sectPr>
      </w:pPr>
    </w:p>
    <w:p w14:paraId="30334813">
      <w:pPr>
        <w:pStyle w:val="27"/>
        <w:tabs>
          <w:tab w:val="left" w:pos="3450"/>
        </w:tabs>
        <w:spacing w:line="20" w:lineRule="exact"/>
        <w:jc w:val="left"/>
        <w:rPr>
          <w:rFonts w:hint="eastAsia" w:ascii="宋体" w:hAnsi="宋体" w:eastAsia="宋体" w:cs="宋体"/>
          <w:color w:val="auto"/>
          <w:sz w:val="36"/>
          <w:szCs w:val="36"/>
          <w:highlight w:val="none"/>
        </w:rPr>
      </w:pPr>
    </w:p>
    <w:p w14:paraId="2000ADDC">
      <w:pPr>
        <w:jc w:val="left"/>
        <w:rPr>
          <w:rFonts w:hint="eastAsia" w:ascii="宋体" w:hAnsi="宋体" w:eastAsia="宋体" w:cs="宋体"/>
          <w:b/>
          <w:bCs/>
          <w:color w:val="auto"/>
          <w:sz w:val="24"/>
          <w:szCs w:val="24"/>
          <w:highlight w:val="none"/>
          <w:lang w:val="en-US" w:eastAsia="zh-CN"/>
        </w:rPr>
      </w:pPr>
    </w:p>
    <w:p w14:paraId="11C3861D">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 件：</w:t>
      </w:r>
    </w:p>
    <w:p w14:paraId="1B20268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中小企业划型标准规定（工信部联企业[2011]300号）</w:t>
      </w:r>
    </w:p>
    <w:p w14:paraId="3F56FE4A">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8846820" cy="529717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8846820" cy="5297170"/>
                    </a:xfrm>
                    <a:prstGeom prst="rect">
                      <a:avLst/>
                    </a:prstGeom>
                    <a:noFill/>
                    <a:ln>
                      <a:noFill/>
                    </a:ln>
                  </pic:spPr>
                </pic:pic>
              </a:graphicData>
            </a:graphic>
          </wp:inline>
        </w:drawing>
      </w:r>
    </w:p>
    <w:sectPr>
      <w:pgSz w:w="16838" w:h="11906" w:orient="landscape"/>
      <w:pgMar w:top="1134" w:right="1020" w:bottom="1134" w:left="1134" w:header="851" w:footer="850" w:gutter="0"/>
      <w:cols w:space="0" w:num="1"/>
      <w:rtlGutter w:val="0"/>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ヒラギノ角ゴ Pro W3">
    <w:altName w:val="宋体"/>
    <w:panose1 w:val="00000000000000000000"/>
    <w:charset w:val="86"/>
    <w:family w:val="roman"/>
    <w:pitch w:val="default"/>
    <w:sig w:usb0="00000000" w:usb1="00000000" w:usb2="00000000" w:usb3="00000000" w:csb0="0016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C1AB">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93B48">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9993B48">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70B9">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38</w:t>
    </w:r>
    <w:r>
      <w:fldChar w:fldCharType="end"/>
    </w:r>
  </w:p>
  <w:p w14:paraId="7D717A81">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5A99">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C7F9">
                          <w:pPr>
                            <w:pStyle w:val="3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ACC7F9">
                    <w:pPr>
                      <w:pStyle w:val="3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10D9">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1312">
                          <w:pPr>
                            <w:pStyle w:val="3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2AF1312">
                    <w:pPr>
                      <w:pStyle w:val="31"/>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18A1">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E56CF">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FE56CF">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E29B">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ACE64AE">
                          <w:pPr>
                            <w:pStyle w:val="31"/>
                            <w:rPr>
                              <w:rStyle w:val="53"/>
                            </w:rPr>
                          </w:pPr>
                          <w:r>
                            <w:fldChar w:fldCharType="begin"/>
                          </w:r>
                          <w:r>
                            <w:rPr>
                              <w:rStyle w:val="53"/>
                            </w:rPr>
                            <w:instrText xml:space="preserve">PAGE  </w:instrText>
                          </w:r>
                          <w:r>
                            <w:fldChar w:fldCharType="separate"/>
                          </w:r>
                          <w:r>
                            <w:rPr>
                              <w:rStyle w:val="53"/>
                            </w:rPr>
                            <w:t>47</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j8yY0wAAAAMBAAAPAAAAAAAAAAEAIAAAACIAAABkcnMvZG93bnJldi54bWxQSwECFAAU&#10;AAAACACHTuJAJtVUyPYBAADiAwAADgAAAAAAAAABACAAAAAiAQAAZHJzL2Uyb0RvYy54bWxQSwUG&#10;AAAAAAYABgBZAQAAigUAAAAA&#10;">
              <v:fill on="f" focussize="0,0"/>
              <v:stroke on="f"/>
              <v:imagedata o:title=""/>
              <o:lock v:ext="edit" aspectratio="f"/>
              <v:textbox inset="0mm,0mm,0mm,0mm">
                <w:txbxContent>
                  <w:p w14:paraId="6ACE64AE">
                    <w:pPr>
                      <w:pStyle w:val="31"/>
                      <w:rPr>
                        <w:rStyle w:val="53"/>
                      </w:rPr>
                    </w:pPr>
                    <w:r>
                      <w:fldChar w:fldCharType="begin"/>
                    </w:r>
                    <w:r>
                      <w:rPr>
                        <w:rStyle w:val="53"/>
                      </w:rPr>
                      <w:instrText xml:space="preserve">PAGE  </w:instrText>
                    </w:r>
                    <w:r>
                      <w:fldChar w:fldCharType="separate"/>
                    </w:r>
                    <w:r>
                      <w:rPr>
                        <w:rStyle w:val="53"/>
                      </w:rP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56A6">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C4C2">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E01CC">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D3B1">
    <w:pPr>
      <w:pStyle w:val="33"/>
      <w:pBdr>
        <w:bottom w:val="none" w:color="auto" w:sz="0" w:space="0"/>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774A4"/>
    <w:multiLevelType w:val="singleLevel"/>
    <w:tmpl w:val="81E774A4"/>
    <w:lvl w:ilvl="0" w:tentative="0">
      <w:start w:val="1"/>
      <w:numFmt w:val="decimal"/>
      <w:lvlText w:val="(%1)"/>
      <w:lvlJc w:val="left"/>
      <w:pPr>
        <w:ind w:left="425" w:hanging="425"/>
      </w:pPr>
      <w:rPr>
        <w:rFonts w:hint="default"/>
      </w:rPr>
    </w:lvl>
  </w:abstractNum>
  <w:abstractNum w:abstractNumId="1">
    <w:nsid w:val="AF877F56"/>
    <w:multiLevelType w:val="singleLevel"/>
    <w:tmpl w:val="AF877F56"/>
    <w:lvl w:ilvl="0" w:tentative="0">
      <w:start w:val="16"/>
      <w:numFmt w:val="decimal"/>
      <w:suff w:val="nothing"/>
      <w:lvlText w:val="%1、"/>
      <w:lvlJc w:val="left"/>
    </w:lvl>
  </w:abstractNum>
  <w:abstractNum w:abstractNumId="2">
    <w:nsid w:val="B50AFAAD"/>
    <w:multiLevelType w:val="singleLevel"/>
    <w:tmpl w:val="B50AFAAD"/>
    <w:lvl w:ilvl="0" w:tentative="0">
      <w:start w:val="1"/>
      <w:numFmt w:val="decimal"/>
      <w:lvlText w:val="%1."/>
      <w:lvlJc w:val="left"/>
      <w:pPr>
        <w:tabs>
          <w:tab w:val="left" w:pos="312"/>
        </w:tabs>
      </w:pPr>
    </w:lvl>
  </w:abstractNum>
  <w:abstractNum w:abstractNumId="3">
    <w:nsid w:val="B626FD13"/>
    <w:multiLevelType w:val="singleLevel"/>
    <w:tmpl w:val="B626FD13"/>
    <w:lvl w:ilvl="0" w:tentative="0">
      <w:start w:val="1"/>
      <w:numFmt w:val="decimal"/>
      <w:lvlText w:val="%1."/>
      <w:lvlJc w:val="left"/>
      <w:pPr>
        <w:ind w:left="425" w:hanging="425"/>
      </w:pPr>
      <w:rPr>
        <w:rFonts w:hint="default"/>
      </w:rPr>
    </w:lvl>
  </w:abstractNum>
  <w:abstractNum w:abstractNumId="4">
    <w:nsid w:val="D06D2334"/>
    <w:multiLevelType w:val="singleLevel"/>
    <w:tmpl w:val="D06D2334"/>
    <w:lvl w:ilvl="0" w:tentative="0">
      <w:start w:val="1"/>
      <w:numFmt w:val="decimal"/>
      <w:lvlText w:val="%1."/>
      <w:lvlJc w:val="left"/>
      <w:pPr>
        <w:ind w:left="425" w:hanging="425"/>
      </w:pPr>
      <w:rPr>
        <w:rFonts w:hint="default"/>
      </w:rPr>
    </w:lvl>
  </w:abstractNum>
  <w:abstractNum w:abstractNumId="5">
    <w:nsid w:val="D2273B82"/>
    <w:multiLevelType w:val="singleLevel"/>
    <w:tmpl w:val="D2273B82"/>
    <w:lvl w:ilvl="0" w:tentative="0">
      <w:start w:val="3"/>
      <w:numFmt w:val="decimal"/>
      <w:lvlText w:val="%1."/>
      <w:lvlJc w:val="left"/>
      <w:pPr>
        <w:tabs>
          <w:tab w:val="left" w:pos="312"/>
        </w:tabs>
      </w:pPr>
    </w:lvl>
  </w:abstractNum>
  <w:abstractNum w:abstractNumId="6">
    <w:nsid w:val="D4F84437"/>
    <w:multiLevelType w:val="singleLevel"/>
    <w:tmpl w:val="D4F84437"/>
    <w:lvl w:ilvl="0" w:tentative="0">
      <w:start w:val="1"/>
      <w:numFmt w:val="decimal"/>
      <w:lvlText w:val="%1."/>
      <w:lvlJc w:val="left"/>
      <w:pPr>
        <w:tabs>
          <w:tab w:val="left" w:pos="312"/>
        </w:tabs>
      </w:pPr>
    </w:lvl>
  </w:abstractNum>
  <w:abstractNum w:abstractNumId="7">
    <w:nsid w:val="D88E501B"/>
    <w:multiLevelType w:val="singleLevel"/>
    <w:tmpl w:val="D88E501B"/>
    <w:lvl w:ilvl="0" w:tentative="0">
      <w:start w:val="5"/>
      <w:numFmt w:val="decimal"/>
      <w:suff w:val="nothing"/>
      <w:lvlText w:val="%1、"/>
      <w:lvlJc w:val="left"/>
      <w:rPr>
        <w:rFonts w:hint="default"/>
        <w:b/>
        <w:bCs/>
      </w:rPr>
    </w:lvl>
  </w:abstractNum>
  <w:abstractNum w:abstractNumId="8">
    <w:nsid w:val="EDD24984"/>
    <w:multiLevelType w:val="singleLevel"/>
    <w:tmpl w:val="EDD24984"/>
    <w:lvl w:ilvl="0" w:tentative="0">
      <w:start w:val="1"/>
      <w:numFmt w:val="decimal"/>
      <w:lvlText w:val="(%1)"/>
      <w:lvlJc w:val="left"/>
      <w:pPr>
        <w:ind w:left="425" w:hanging="425"/>
      </w:pPr>
      <w:rPr>
        <w:rFonts w:hint="default"/>
      </w:rPr>
    </w:lvl>
  </w:abstractNum>
  <w:abstractNum w:abstractNumId="9">
    <w:nsid w:val="F5685681"/>
    <w:multiLevelType w:val="singleLevel"/>
    <w:tmpl w:val="F5685681"/>
    <w:lvl w:ilvl="0" w:tentative="0">
      <w:start w:val="1"/>
      <w:numFmt w:val="decimal"/>
      <w:lvlText w:val="%1."/>
      <w:lvlJc w:val="left"/>
      <w:pPr>
        <w:ind w:left="425" w:hanging="425"/>
      </w:pPr>
      <w:rPr>
        <w:rFonts w:hint="default"/>
      </w:rPr>
    </w:lvl>
  </w:abstractNum>
  <w:abstractNum w:abstractNumId="10">
    <w:nsid w:val="F580B786"/>
    <w:multiLevelType w:val="singleLevel"/>
    <w:tmpl w:val="F580B786"/>
    <w:lvl w:ilvl="0" w:tentative="0">
      <w:start w:val="1"/>
      <w:numFmt w:val="decimal"/>
      <w:lvlText w:val="%1."/>
      <w:lvlJc w:val="left"/>
      <w:pPr>
        <w:ind w:left="425" w:hanging="425"/>
      </w:pPr>
      <w:rPr>
        <w:rFonts w:hint="default"/>
      </w:rPr>
    </w:lvl>
  </w:abstractNum>
  <w:abstractNum w:abstractNumId="11">
    <w:nsid w:val="FA3B109A"/>
    <w:multiLevelType w:val="singleLevel"/>
    <w:tmpl w:val="FA3B109A"/>
    <w:lvl w:ilvl="0" w:tentative="0">
      <w:start w:val="1"/>
      <w:numFmt w:val="decimal"/>
      <w:lvlText w:val="%1."/>
      <w:lvlJc w:val="left"/>
      <w:pPr>
        <w:ind w:left="425" w:hanging="425"/>
      </w:pPr>
      <w:rPr>
        <w:rFonts w:hint="default"/>
      </w:rPr>
    </w:lvl>
  </w:abstractNum>
  <w:abstractNum w:abstractNumId="12">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3">
    <w:nsid w:val="27F3517D"/>
    <w:multiLevelType w:val="singleLevel"/>
    <w:tmpl w:val="27F3517D"/>
    <w:lvl w:ilvl="0" w:tentative="0">
      <w:start w:val="5"/>
      <w:numFmt w:val="decimal"/>
      <w:suff w:val="nothing"/>
      <w:lvlText w:val="%1、"/>
      <w:lvlJc w:val="left"/>
    </w:lvl>
  </w:abstractNum>
  <w:abstractNum w:abstractNumId="14">
    <w:nsid w:val="29D120CC"/>
    <w:multiLevelType w:val="singleLevel"/>
    <w:tmpl w:val="29D120CC"/>
    <w:lvl w:ilvl="0" w:tentative="0">
      <w:start w:val="1"/>
      <w:numFmt w:val="decimal"/>
      <w:suff w:val="nothing"/>
      <w:lvlText w:val="（%1）"/>
      <w:lvlJc w:val="left"/>
    </w:lvl>
  </w:abstractNum>
  <w:abstractNum w:abstractNumId="15">
    <w:nsid w:val="306F5FC6"/>
    <w:multiLevelType w:val="singleLevel"/>
    <w:tmpl w:val="306F5FC6"/>
    <w:lvl w:ilvl="0" w:tentative="0">
      <w:start w:val="3"/>
      <w:numFmt w:val="chineseCounting"/>
      <w:suff w:val="nothing"/>
      <w:lvlText w:val="（%1）"/>
      <w:lvlJc w:val="left"/>
      <w:rPr>
        <w:rFonts w:hint="eastAsia"/>
      </w:rPr>
    </w:lvl>
  </w:abstractNum>
  <w:abstractNum w:abstractNumId="16">
    <w:nsid w:val="35A5CF8D"/>
    <w:multiLevelType w:val="singleLevel"/>
    <w:tmpl w:val="35A5CF8D"/>
    <w:lvl w:ilvl="0" w:tentative="0">
      <w:start w:val="1"/>
      <w:numFmt w:val="decimal"/>
      <w:suff w:val="nothing"/>
      <w:lvlText w:val="%1、"/>
      <w:lvlJc w:val="left"/>
    </w:lvl>
  </w:abstractNum>
  <w:abstractNum w:abstractNumId="17">
    <w:nsid w:val="4E7F2780"/>
    <w:multiLevelType w:val="singleLevel"/>
    <w:tmpl w:val="4E7F2780"/>
    <w:lvl w:ilvl="0" w:tentative="0">
      <w:start w:val="1"/>
      <w:numFmt w:val="decimal"/>
      <w:lvlText w:val="%1."/>
      <w:lvlJc w:val="left"/>
      <w:pPr>
        <w:ind w:left="425" w:hanging="425"/>
      </w:pPr>
      <w:rPr>
        <w:rFonts w:hint="default"/>
      </w:rPr>
    </w:lvl>
  </w:abstractNum>
  <w:abstractNum w:abstractNumId="18">
    <w:nsid w:val="567CFDD7"/>
    <w:multiLevelType w:val="singleLevel"/>
    <w:tmpl w:val="567CFDD7"/>
    <w:lvl w:ilvl="0" w:tentative="0">
      <w:start w:val="1"/>
      <w:numFmt w:val="decimal"/>
      <w:suff w:val="nothing"/>
      <w:lvlText w:val="%1、"/>
      <w:lvlJc w:val="left"/>
    </w:lvl>
  </w:abstractNum>
  <w:abstractNum w:abstractNumId="19">
    <w:nsid w:val="5F8BF6B7"/>
    <w:multiLevelType w:val="singleLevel"/>
    <w:tmpl w:val="5F8BF6B7"/>
    <w:lvl w:ilvl="0" w:tentative="0">
      <w:start w:val="2"/>
      <w:numFmt w:val="decimal"/>
      <w:suff w:val="nothing"/>
      <w:lvlText w:val="%1."/>
      <w:lvlJc w:val="left"/>
    </w:lvl>
  </w:abstractNum>
  <w:abstractNum w:abstractNumId="20">
    <w:nsid w:val="6EF87889"/>
    <w:multiLevelType w:val="singleLevel"/>
    <w:tmpl w:val="6EF87889"/>
    <w:lvl w:ilvl="0" w:tentative="0">
      <w:start w:val="1"/>
      <w:numFmt w:val="decimal"/>
      <w:lvlText w:val="(%1)"/>
      <w:lvlJc w:val="left"/>
      <w:pPr>
        <w:ind w:left="425" w:hanging="425"/>
      </w:pPr>
      <w:rPr>
        <w:rFonts w:hint="default"/>
      </w:rPr>
    </w:lvl>
  </w:abstractNum>
  <w:num w:numId="1">
    <w:abstractNumId w:val="15"/>
  </w:num>
  <w:num w:numId="2">
    <w:abstractNumId w:val="16"/>
  </w:num>
  <w:num w:numId="3">
    <w:abstractNumId w:val="5"/>
  </w:num>
  <w:num w:numId="4">
    <w:abstractNumId w:val="2"/>
  </w:num>
  <w:num w:numId="5">
    <w:abstractNumId w:val="6"/>
  </w:num>
  <w:num w:numId="6">
    <w:abstractNumId w:val="13"/>
  </w:num>
  <w:num w:numId="7">
    <w:abstractNumId w:val="1"/>
  </w:num>
  <w:num w:numId="8">
    <w:abstractNumId w:val="20"/>
  </w:num>
  <w:num w:numId="9">
    <w:abstractNumId w:val="19"/>
  </w:num>
  <w:num w:numId="10">
    <w:abstractNumId w:val="14"/>
  </w:num>
  <w:num w:numId="11">
    <w:abstractNumId w:val="12"/>
  </w:num>
  <w:num w:numId="12">
    <w:abstractNumId w:val="7"/>
  </w:num>
  <w:num w:numId="13">
    <w:abstractNumId w:val="10"/>
  </w:num>
  <w:num w:numId="14">
    <w:abstractNumId w:val="4"/>
  </w:num>
  <w:num w:numId="15">
    <w:abstractNumId w:val="9"/>
  </w:num>
  <w:num w:numId="16">
    <w:abstractNumId w:val="8"/>
  </w:num>
  <w:num w:numId="17">
    <w:abstractNumId w:val="0"/>
  </w:num>
  <w:num w:numId="18">
    <w:abstractNumId w:val="3"/>
  </w:num>
  <w:num w:numId="19">
    <w:abstractNumId w:val="1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00172A27"/>
    <w:rsid w:val="00012B1E"/>
    <w:rsid w:val="000250C6"/>
    <w:rsid w:val="000252E8"/>
    <w:rsid w:val="00030276"/>
    <w:rsid w:val="00033AFA"/>
    <w:rsid w:val="00033F78"/>
    <w:rsid w:val="0003454D"/>
    <w:rsid w:val="00042047"/>
    <w:rsid w:val="00045BB5"/>
    <w:rsid w:val="0004676E"/>
    <w:rsid w:val="00051222"/>
    <w:rsid w:val="00051F4A"/>
    <w:rsid w:val="00054B5D"/>
    <w:rsid w:val="00055EC9"/>
    <w:rsid w:val="00056D6F"/>
    <w:rsid w:val="00066720"/>
    <w:rsid w:val="00071544"/>
    <w:rsid w:val="0007192A"/>
    <w:rsid w:val="0007464F"/>
    <w:rsid w:val="00075B07"/>
    <w:rsid w:val="000820DA"/>
    <w:rsid w:val="00085A61"/>
    <w:rsid w:val="00091DC8"/>
    <w:rsid w:val="000941AB"/>
    <w:rsid w:val="00094F10"/>
    <w:rsid w:val="000A5301"/>
    <w:rsid w:val="000A7833"/>
    <w:rsid w:val="000A79C6"/>
    <w:rsid w:val="000B22FB"/>
    <w:rsid w:val="000B2B8B"/>
    <w:rsid w:val="000B4B03"/>
    <w:rsid w:val="000B4B38"/>
    <w:rsid w:val="000B5B3D"/>
    <w:rsid w:val="000C1D25"/>
    <w:rsid w:val="000C298A"/>
    <w:rsid w:val="000C385C"/>
    <w:rsid w:val="000C38AB"/>
    <w:rsid w:val="000C3E1C"/>
    <w:rsid w:val="000D15E2"/>
    <w:rsid w:val="000D2672"/>
    <w:rsid w:val="000D51D0"/>
    <w:rsid w:val="000D6D70"/>
    <w:rsid w:val="000E475C"/>
    <w:rsid w:val="000F07AE"/>
    <w:rsid w:val="000F26B5"/>
    <w:rsid w:val="000F3815"/>
    <w:rsid w:val="000F5BED"/>
    <w:rsid w:val="00111127"/>
    <w:rsid w:val="0011760F"/>
    <w:rsid w:val="00123F5B"/>
    <w:rsid w:val="001315D9"/>
    <w:rsid w:val="00137FF9"/>
    <w:rsid w:val="00146936"/>
    <w:rsid w:val="00152150"/>
    <w:rsid w:val="0015494D"/>
    <w:rsid w:val="00157D9F"/>
    <w:rsid w:val="00160D01"/>
    <w:rsid w:val="00164997"/>
    <w:rsid w:val="00172A27"/>
    <w:rsid w:val="00176E35"/>
    <w:rsid w:val="001815D8"/>
    <w:rsid w:val="00191576"/>
    <w:rsid w:val="001916F5"/>
    <w:rsid w:val="00193818"/>
    <w:rsid w:val="00194A6C"/>
    <w:rsid w:val="00197284"/>
    <w:rsid w:val="001A435B"/>
    <w:rsid w:val="001A6CA0"/>
    <w:rsid w:val="001A7399"/>
    <w:rsid w:val="001A74FA"/>
    <w:rsid w:val="001B21FA"/>
    <w:rsid w:val="001B337C"/>
    <w:rsid w:val="001B5B87"/>
    <w:rsid w:val="001B5CD4"/>
    <w:rsid w:val="001B7E33"/>
    <w:rsid w:val="001C1655"/>
    <w:rsid w:val="001C5129"/>
    <w:rsid w:val="001D38E9"/>
    <w:rsid w:val="001D3C9D"/>
    <w:rsid w:val="001E10F6"/>
    <w:rsid w:val="001E23CD"/>
    <w:rsid w:val="001E7AEC"/>
    <w:rsid w:val="001F4BBA"/>
    <w:rsid w:val="001F56F1"/>
    <w:rsid w:val="001F5FB9"/>
    <w:rsid w:val="00203FD2"/>
    <w:rsid w:val="00205F92"/>
    <w:rsid w:val="00216656"/>
    <w:rsid w:val="00217CC4"/>
    <w:rsid w:val="0022267F"/>
    <w:rsid w:val="0022385E"/>
    <w:rsid w:val="00233282"/>
    <w:rsid w:val="002414B8"/>
    <w:rsid w:val="0024520D"/>
    <w:rsid w:val="0024670A"/>
    <w:rsid w:val="00254911"/>
    <w:rsid w:val="00273BF7"/>
    <w:rsid w:val="002770A5"/>
    <w:rsid w:val="00284867"/>
    <w:rsid w:val="0028598A"/>
    <w:rsid w:val="00290761"/>
    <w:rsid w:val="00291FA6"/>
    <w:rsid w:val="00293848"/>
    <w:rsid w:val="00295869"/>
    <w:rsid w:val="00295989"/>
    <w:rsid w:val="002A043A"/>
    <w:rsid w:val="002A14A9"/>
    <w:rsid w:val="002A1629"/>
    <w:rsid w:val="002A2517"/>
    <w:rsid w:val="002A3FAF"/>
    <w:rsid w:val="002A46E7"/>
    <w:rsid w:val="002A4D28"/>
    <w:rsid w:val="002A655F"/>
    <w:rsid w:val="002B11DE"/>
    <w:rsid w:val="002B1678"/>
    <w:rsid w:val="002B3126"/>
    <w:rsid w:val="002B37F2"/>
    <w:rsid w:val="002C23EC"/>
    <w:rsid w:val="002C52BE"/>
    <w:rsid w:val="002C5BA9"/>
    <w:rsid w:val="002C6A3E"/>
    <w:rsid w:val="002C6BE9"/>
    <w:rsid w:val="002E0B8B"/>
    <w:rsid w:val="002F2020"/>
    <w:rsid w:val="0030654E"/>
    <w:rsid w:val="00306C93"/>
    <w:rsid w:val="00307AB2"/>
    <w:rsid w:val="00307E3A"/>
    <w:rsid w:val="00307EC3"/>
    <w:rsid w:val="00311A5F"/>
    <w:rsid w:val="00316B9F"/>
    <w:rsid w:val="00320BEB"/>
    <w:rsid w:val="00320C3A"/>
    <w:rsid w:val="00323867"/>
    <w:rsid w:val="003263C1"/>
    <w:rsid w:val="003319DB"/>
    <w:rsid w:val="0033459F"/>
    <w:rsid w:val="00335F3C"/>
    <w:rsid w:val="00337586"/>
    <w:rsid w:val="00346433"/>
    <w:rsid w:val="0035446C"/>
    <w:rsid w:val="00354A09"/>
    <w:rsid w:val="003558FE"/>
    <w:rsid w:val="00364919"/>
    <w:rsid w:val="00365660"/>
    <w:rsid w:val="00367AEE"/>
    <w:rsid w:val="00372624"/>
    <w:rsid w:val="00373B7F"/>
    <w:rsid w:val="00374F9C"/>
    <w:rsid w:val="00381575"/>
    <w:rsid w:val="00385B9F"/>
    <w:rsid w:val="003935E7"/>
    <w:rsid w:val="00394A88"/>
    <w:rsid w:val="003A4B1C"/>
    <w:rsid w:val="003A6DFF"/>
    <w:rsid w:val="003B2832"/>
    <w:rsid w:val="003B6310"/>
    <w:rsid w:val="003C3A7D"/>
    <w:rsid w:val="003D4BCC"/>
    <w:rsid w:val="003D6656"/>
    <w:rsid w:val="003E062C"/>
    <w:rsid w:val="003E0685"/>
    <w:rsid w:val="003E60BA"/>
    <w:rsid w:val="003F53AA"/>
    <w:rsid w:val="003F56F5"/>
    <w:rsid w:val="003F6573"/>
    <w:rsid w:val="004044F0"/>
    <w:rsid w:val="00405BE7"/>
    <w:rsid w:val="00405E9B"/>
    <w:rsid w:val="00407744"/>
    <w:rsid w:val="0041048B"/>
    <w:rsid w:val="004111B6"/>
    <w:rsid w:val="0041219F"/>
    <w:rsid w:val="00414D56"/>
    <w:rsid w:val="00415C04"/>
    <w:rsid w:val="004201A8"/>
    <w:rsid w:val="00425E7A"/>
    <w:rsid w:val="00425F11"/>
    <w:rsid w:val="0042714E"/>
    <w:rsid w:val="00434899"/>
    <w:rsid w:val="004403DF"/>
    <w:rsid w:val="004403EF"/>
    <w:rsid w:val="00441714"/>
    <w:rsid w:val="00441DCC"/>
    <w:rsid w:val="00445A3E"/>
    <w:rsid w:val="00447CFD"/>
    <w:rsid w:val="00451FBB"/>
    <w:rsid w:val="004570B0"/>
    <w:rsid w:val="00460B48"/>
    <w:rsid w:val="00460C90"/>
    <w:rsid w:val="00461DC2"/>
    <w:rsid w:val="00462B1E"/>
    <w:rsid w:val="00472F9D"/>
    <w:rsid w:val="00474538"/>
    <w:rsid w:val="00474A88"/>
    <w:rsid w:val="00475A9D"/>
    <w:rsid w:val="0047783E"/>
    <w:rsid w:val="00477A4C"/>
    <w:rsid w:val="0048109D"/>
    <w:rsid w:val="00481970"/>
    <w:rsid w:val="00486A5F"/>
    <w:rsid w:val="004A07B8"/>
    <w:rsid w:val="004A3AF8"/>
    <w:rsid w:val="004A415B"/>
    <w:rsid w:val="004A4A1B"/>
    <w:rsid w:val="004A6382"/>
    <w:rsid w:val="004A7A3D"/>
    <w:rsid w:val="004B3691"/>
    <w:rsid w:val="004B42CF"/>
    <w:rsid w:val="004B45D3"/>
    <w:rsid w:val="004B5FB2"/>
    <w:rsid w:val="004B6519"/>
    <w:rsid w:val="004B6A60"/>
    <w:rsid w:val="004B6C9A"/>
    <w:rsid w:val="004C0063"/>
    <w:rsid w:val="004C0DA1"/>
    <w:rsid w:val="004C5AB3"/>
    <w:rsid w:val="004C6249"/>
    <w:rsid w:val="004D2438"/>
    <w:rsid w:val="004D2A58"/>
    <w:rsid w:val="004D4B18"/>
    <w:rsid w:val="004D508C"/>
    <w:rsid w:val="004D5463"/>
    <w:rsid w:val="004D7556"/>
    <w:rsid w:val="004D75A2"/>
    <w:rsid w:val="004E2168"/>
    <w:rsid w:val="004E5F69"/>
    <w:rsid w:val="004E6A23"/>
    <w:rsid w:val="004E6B48"/>
    <w:rsid w:val="004F0650"/>
    <w:rsid w:val="004F60DF"/>
    <w:rsid w:val="004F68F1"/>
    <w:rsid w:val="0050062E"/>
    <w:rsid w:val="005123AB"/>
    <w:rsid w:val="00515FB3"/>
    <w:rsid w:val="00520D49"/>
    <w:rsid w:val="00521632"/>
    <w:rsid w:val="005218D4"/>
    <w:rsid w:val="00523A31"/>
    <w:rsid w:val="0052556E"/>
    <w:rsid w:val="00534384"/>
    <w:rsid w:val="005415FE"/>
    <w:rsid w:val="00541F5C"/>
    <w:rsid w:val="0054206B"/>
    <w:rsid w:val="00544501"/>
    <w:rsid w:val="0055392D"/>
    <w:rsid w:val="00553980"/>
    <w:rsid w:val="00555197"/>
    <w:rsid w:val="00561D97"/>
    <w:rsid w:val="00561FEC"/>
    <w:rsid w:val="00562460"/>
    <w:rsid w:val="005652B7"/>
    <w:rsid w:val="00566079"/>
    <w:rsid w:val="00570F4B"/>
    <w:rsid w:val="0057138C"/>
    <w:rsid w:val="00573E91"/>
    <w:rsid w:val="00574587"/>
    <w:rsid w:val="00576A9F"/>
    <w:rsid w:val="00582AE3"/>
    <w:rsid w:val="0058396F"/>
    <w:rsid w:val="00585D99"/>
    <w:rsid w:val="0059255B"/>
    <w:rsid w:val="00594CA1"/>
    <w:rsid w:val="0059787E"/>
    <w:rsid w:val="005A7C23"/>
    <w:rsid w:val="005B0442"/>
    <w:rsid w:val="005B2341"/>
    <w:rsid w:val="005B5C84"/>
    <w:rsid w:val="005C38FB"/>
    <w:rsid w:val="005C7ECA"/>
    <w:rsid w:val="005D2435"/>
    <w:rsid w:val="005E01C0"/>
    <w:rsid w:val="005E1013"/>
    <w:rsid w:val="005E2599"/>
    <w:rsid w:val="005E3AB8"/>
    <w:rsid w:val="005E4D24"/>
    <w:rsid w:val="005E5C48"/>
    <w:rsid w:val="005F2809"/>
    <w:rsid w:val="0060399D"/>
    <w:rsid w:val="00603DD7"/>
    <w:rsid w:val="00604755"/>
    <w:rsid w:val="00604A70"/>
    <w:rsid w:val="00620504"/>
    <w:rsid w:val="006207FC"/>
    <w:rsid w:val="00620A38"/>
    <w:rsid w:val="00621C7D"/>
    <w:rsid w:val="006222D9"/>
    <w:rsid w:val="00626677"/>
    <w:rsid w:val="00626A80"/>
    <w:rsid w:val="00637A93"/>
    <w:rsid w:val="00641BEF"/>
    <w:rsid w:val="0064256B"/>
    <w:rsid w:val="00645872"/>
    <w:rsid w:val="0064588C"/>
    <w:rsid w:val="00646D12"/>
    <w:rsid w:val="00651148"/>
    <w:rsid w:val="0065190A"/>
    <w:rsid w:val="00654B46"/>
    <w:rsid w:val="0065610E"/>
    <w:rsid w:val="00656481"/>
    <w:rsid w:val="0065652B"/>
    <w:rsid w:val="006617B1"/>
    <w:rsid w:val="00665335"/>
    <w:rsid w:val="00665BAD"/>
    <w:rsid w:val="006664FB"/>
    <w:rsid w:val="00671A28"/>
    <w:rsid w:val="006863C9"/>
    <w:rsid w:val="00696BD4"/>
    <w:rsid w:val="006B0742"/>
    <w:rsid w:val="006B0C93"/>
    <w:rsid w:val="006B4A8C"/>
    <w:rsid w:val="006B617A"/>
    <w:rsid w:val="006C07B1"/>
    <w:rsid w:val="006C2144"/>
    <w:rsid w:val="006C5E3E"/>
    <w:rsid w:val="006C6E3A"/>
    <w:rsid w:val="006D09B8"/>
    <w:rsid w:val="006D7CEA"/>
    <w:rsid w:val="006F16E4"/>
    <w:rsid w:val="006F5E29"/>
    <w:rsid w:val="006F6B15"/>
    <w:rsid w:val="006F7281"/>
    <w:rsid w:val="00700FDA"/>
    <w:rsid w:val="00706A7C"/>
    <w:rsid w:val="00707DE9"/>
    <w:rsid w:val="00710B7B"/>
    <w:rsid w:val="00712FAE"/>
    <w:rsid w:val="0071452A"/>
    <w:rsid w:val="00716AA0"/>
    <w:rsid w:val="00720BC0"/>
    <w:rsid w:val="0072445B"/>
    <w:rsid w:val="00724BC0"/>
    <w:rsid w:val="007250DB"/>
    <w:rsid w:val="0072539F"/>
    <w:rsid w:val="007267C6"/>
    <w:rsid w:val="00730D41"/>
    <w:rsid w:val="00736B6D"/>
    <w:rsid w:val="00737DDC"/>
    <w:rsid w:val="00740FA9"/>
    <w:rsid w:val="00741877"/>
    <w:rsid w:val="007422DF"/>
    <w:rsid w:val="00753CA7"/>
    <w:rsid w:val="00755716"/>
    <w:rsid w:val="00761345"/>
    <w:rsid w:val="00766603"/>
    <w:rsid w:val="007837EF"/>
    <w:rsid w:val="00784CCF"/>
    <w:rsid w:val="0079348D"/>
    <w:rsid w:val="007A0DF8"/>
    <w:rsid w:val="007A18C2"/>
    <w:rsid w:val="007A51B4"/>
    <w:rsid w:val="007B05F8"/>
    <w:rsid w:val="007B2068"/>
    <w:rsid w:val="007B3385"/>
    <w:rsid w:val="007B4FA7"/>
    <w:rsid w:val="007B57CD"/>
    <w:rsid w:val="007B6461"/>
    <w:rsid w:val="007B683E"/>
    <w:rsid w:val="007C25BC"/>
    <w:rsid w:val="007C2F5E"/>
    <w:rsid w:val="007C50F4"/>
    <w:rsid w:val="007D1042"/>
    <w:rsid w:val="007D252B"/>
    <w:rsid w:val="007D46F5"/>
    <w:rsid w:val="007E0FB1"/>
    <w:rsid w:val="007F0462"/>
    <w:rsid w:val="007F13F7"/>
    <w:rsid w:val="007F2704"/>
    <w:rsid w:val="0080344D"/>
    <w:rsid w:val="00810D44"/>
    <w:rsid w:val="0081137D"/>
    <w:rsid w:val="00822F4A"/>
    <w:rsid w:val="00831338"/>
    <w:rsid w:val="008420D1"/>
    <w:rsid w:val="008434DD"/>
    <w:rsid w:val="00843E3A"/>
    <w:rsid w:val="00845BB2"/>
    <w:rsid w:val="008534A3"/>
    <w:rsid w:val="008544FB"/>
    <w:rsid w:val="00854E9F"/>
    <w:rsid w:val="008551F1"/>
    <w:rsid w:val="00856A19"/>
    <w:rsid w:val="00872730"/>
    <w:rsid w:val="00873C2B"/>
    <w:rsid w:val="00874814"/>
    <w:rsid w:val="008749BB"/>
    <w:rsid w:val="0087501B"/>
    <w:rsid w:val="008769E2"/>
    <w:rsid w:val="00881BAA"/>
    <w:rsid w:val="00884404"/>
    <w:rsid w:val="00886C87"/>
    <w:rsid w:val="0089097F"/>
    <w:rsid w:val="0089310E"/>
    <w:rsid w:val="00894E76"/>
    <w:rsid w:val="00896732"/>
    <w:rsid w:val="008A0EFF"/>
    <w:rsid w:val="008A3BBC"/>
    <w:rsid w:val="008B0A01"/>
    <w:rsid w:val="008B3A98"/>
    <w:rsid w:val="008B4393"/>
    <w:rsid w:val="008B61F6"/>
    <w:rsid w:val="008D0F37"/>
    <w:rsid w:val="008D4E60"/>
    <w:rsid w:val="008D53C7"/>
    <w:rsid w:val="008D65DA"/>
    <w:rsid w:val="008E0218"/>
    <w:rsid w:val="008E349D"/>
    <w:rsid w:val="008E3F36"/>
    <w:rsid w:val="008E5338"/>
    <w:rsid w:val="008F1471"/>
    <w:rsid w:val="008F7365"/>
    <w:rsid w:val="009136D2"/>
    <w:rsid w:val="00917024"/>
    <w:rsid w:val="00917A15"/>
    <w:rsid w:val="00922A36"/>
    <w:rsid w:val="009242C5"/>
    <w:rsid w:val="0092531D"/>
    <w:rsid w:val="0093569B"/>
    <w:rsid w:val="009412D0"/>
    <w:rsid w:val="009456AB"/>
    <w:rsid w:val="0096066E"/>
    <w:rsid w:val="00961811"/>
    <w:rsid w:val="00964D5B"/>
    <w:rsid w:val="0096520E"/>
    <w:rsid w:val="00965E4A"/>
    <w:rsid w:val="0097566B"/>
    <w:rsid w:val="009834E0"/>
    <w:rsid w:val="0098368D"/>
    <w:rsid w:val="00992B48"/>
    <w:rsid w:val="00993FAB"/>
    <w:rsid w:val="009A03AD"/>
    <w:rsid w:val="009A308D"/>
    <w:rsid w:val="009A32E5"/>
    <w:rsid w:val="009A3976"/>
    <w:rsid w:val="009A548B"/>
    <w:rsid w:val="009B0DAB"/>
    <w:rsid w:val="009B1EF5"/>
    <w:rsid w:val="009B3731"/>
    <w:rsid w:val="009C0DF5"/>
    <w:rsid w:val="009D55EB"/>
    <w:rsid w:val="009D57B6"/>
    <w:rsid w:val="009E616F"/>
    <w:rsid w:val="009F4C1B"/>
    <w:rsid w:val="00A03DBF"/>
    <w:rsid w:val="00A0408B"/>
    <w:rsid w:val="00A23E3B"/>
    <w:rsid w:val="00A26289"/>
    <w:rsid w:val="00A2676B"/>
    <w:rsid w:val="00A326DF"/>
    <w:rsid w:val="00A35988"/>
    <w:rsid w:val="00A36E64"/>
    <w:rsid w:val="00A410FE"/>
    <w:rsid w:val="00A4213C"/>
    <w:rsid w:val="00A457CD"/>
    <w:rsid w:val="00A5090B"/>
    <w:rsid w:val="00A54193"/>
    <w:rsid w:val="00A554DC"/>
    <w:rsid w:val="00A56F37"/>
    <w:rsid w:val="00A62396"/>
    <w:rsid w:val="00A624FA"/>
    <w:rsid w:val="00A708FB"/>
    <w:rsid w:val="00A7634A"/>
    <w:rsid w:val="00A86C4A"/>
    <w:rsid w:val="00A91366"/>
    <w:rsid w:val="00A9444C"/>
    <w:rsid w:val="00A95CBA"/>
    <w:rsid w:val="00AA48B4"/>
    <w:rsid w:val="00AA74E6"/>
    <w:rsid w:val="00AB4582"/>
    <w:rsid w:val="00AB7816"/>
    <w:rsid w:val="00AC0358"/>
    <w:rsid w:val="00AC25B7"/>
    <w:rsid w:val="00AC59C3"/>
    <w:rsid w:val="00AD71D8"/>
    <w:rsid w:val="00AD7CAD"/>
    <w:rsid w:val="00AE00BF"/>
    <w:rsid w:val="00AE5009"/>
    <w:rsid w:val="00AF75B4"/>
    <w:rsid w:val="00B004EA"/>
    <w:rsid w:val="00B011D5"/>
    <w:rsid w:val="00B0439D"/>
    <w:rsid w:val="00B05B26"/>
    <w:rsid w:val="00B07217"/>
    <w:rsid w:val="00B078ED"/>
    <w:rsid w:val="00B17700"/>
    <w:rsid w:val="00B23100"/>
    <w:rsid w:val="00B256F9"/>
    <w:rsid w:val="00B3009E"/>
    <w:rsid w:val="00B32AF9"/>
    <w:rsid w:val="00B37C10"/>
    <w:rsid w:val="00B418B9"/>
    <w:rsid w:val="00B434D3"/>
    <w:rsid w:val="00B46918"/>
    <w:rsid w:val="00B514A5"/>
    <w:rsid w:val="00B6718A"/>
    <w:rsid w:val="00B67818"/>
    <w:rsid w:val="00B71555"/>
    <w:rsid w:val="00B71915"/>
    <w:rsid w:val="00B73258"/>
    <w:rsid w:val="00B745FA"/>
    <w:rsid w:val="00B82A9F"/>
    <w:rsid w:val="00B909B3"/>
    <w:rsid w:val="00B95F79"/>
    <w:rsid w:val="00BB2511"/>
    <w:rsid w:val="00BB7FFB"/>
    <w:rsid w:val="00BC3C67"/>
    <w:rsid w:val="00BC724E"/>
    <w:rsid w:val="00BC7AFF"/>
    <w:rsid w:val="00BD2402"/>
    <w:rsid w:val="00BE38D7"/>
    <w:rsid w:val="00BE47D8"/>
    <w:rsid w:val="00BE6BF2"/>
    <w:rsid w:val="00C046B4"/>
    <w:rsid w:val="00C06027"/>
    <w:rsid w:val="00C1153A"/>
    <w:rsid w:val="00C2294F"/>
    <w:rsid w:val="00C25782"/>
    <w:rsid w:val="00C2585C"/>
    <w:rsid w:val="00C31BB3"/>
    <w:rsid w:val="00C32220"/>
    <w:rsid w:val="00C358B3"/>
    <w:rsid w:val="00C3689F"/>
    <w:rsid w:val="00C40FF4"/>
    <w:rsid w:val="00C44682"/>
    <w:rsid w:val="00C45EAC"/>
    <w:rsid w:val="00C50CEA"/>
    <w:rsid w:val="00C52A5E"/>
    <w:rsid w:val="00C56A4C"/>
    <w:rsid w:val="00C56B16"/>
    <w:rsid w:val="00C62895"/>
    <w:rsid w:val="00C65E57"/>
    <w:rsid w:val="00C70AE3"/>
    <w:rsid w:val="00C72420"/>
    <w:rsid w:val="00C803F1"/>
    <w:rsid w:val="00C8398F"/>
    <w:rsid w:val="00C844A9"/>
    <w:rsid w:val="00C85206"/>
    <w:rsid w:val="00C918F9"/>
    <w:rsid w:val="00CB15B9"/>
    <w:rsid w:val="00CB2DE5"/>
    <w:rsid w:val="00CB4C4B"/>
    <w:rsid w:val="00CC029A"/>
    <w:rsid w:val="00CC5EFF"/>
    <w:rsid w:val="00CD70E9"/>
    <w:rsid w:val="00CF1C46"/>
    <w:rsid w:val="00CF1C92"/>
    <w:rsid w:val="00CF205A"/>
    <w:rsid w:val="00CF4BE0"/>
    <w:rsid w:val="00CF5500"/>
    <w:rsid w:val="00D046EB"/>
    <w:rsid w:val="00D0500D"/>
    <w:rsid w:val="00D152DF"/>
    <w:rsid w:val="00D16D12"/>
    <w:rsid w:val="00D174C7"/>
    <w:rsid w:val="00D239F7"/>
    <w:rsid w:val="00D31D1B"/>
    <w:rsid w:val="00D33F78"/>
    <w:rsid w:val="00D468D9"/>
    <w:rsid w:val="00D55F77"/>
    <w:rsid w:val="00D577C2"/>
    <w:rsid w:val="00D60684"/>
    <w:rsid w:val="00D6360E"/>
    <w:rsid w:val="00D647D6"/>
    <w:rsid w:val="00D64A10"/>
    <w:rsid w:val="00D64EF4"/>
    <w:rsid w:val="00D67341"/>
    <w:rsid w:val="00D70CF9"/>
    <w:rsid w:val="00D71C4B"/>
    <w:rsid w:val="00D72D97"/>
    <w:rsid w:val="00D75535"/>
    <w:rsid w:val="00D755A8"/>
    <w:rsid w:val="00D758DE"/>
    <w:rsid w:val="00D830D2"/>
    <w:rsid w:val="00D85313"/>
    <w:rsid w:val="00D904D0"/>
    <w:rsid w:val="00D9344D"/>
    <w:rsid w:val="00DA1711"/>
    <w:rsid w:val="00DA4D80"/>
    <w:rsid w:val="00DA723D"/>
    <w:rsid w:val="00DB2D39"/>
    <w:rsid w:val="00DB63F6"/>
    <w:rsid w:val="00DB761F"/>
    <w:rsid w:val="00DC1CBB"/>
    <w:rsid w:val="00DC3B25"/>
    <w:rsid w:val="00DC4516"/>
    <w:rsid w:val="00DC6ECB"/>
    <w:rsid w:val="00DD06D3"/>
    <w:rsid w:val="00DD3E46"/>
    <w:rsid w:val="00DD4154"/>
    <w:rsid w:val="00DE11A7"/>
    <w:rsid w:val="00DE2C2D"/>
    <w:rsid w:val="00DF153F"/>
    <w:rsid w:val="00DF5CEE"/>
    <w:rsid w:val="00E03F5C"/>
    <w:rsid w:val="00E06E48"/>
    <w:rsid w:val="00E117F9"/>
    <w:rsid w:val="00E12E8F"/>
    <w:rsid w:val="00E13C61"/>
    <w:rsid w:val="00E14F07"/>
    <w:rsid w:val="00E171BB"/>
    <w:rsid w:val="00E227CE"/>
    <w:rsid w:val="00E239E6"/>
    <w:rsid w:val="00E26EC8"/>
    <w:rsid w:val="00E359E1"/>
    <w:rsid w:val="00E36E8C"/>
    <w:rsid w:val="00E41503"/>
    <w:rsid w:val="00E4354E"/>
    <w:rsid w:val="00E5644B"/>
    <w:rsid w:val="00E56FED"/>
    <w:rsid w:val="00E648C5"/>
    <w:rsid w:val="00E66DAF"/>
    <w:rsid w:val="00E67789"/>
    <w:rsid w:val="00E76915"/>
    <w:rsid w:val="00E80439"/>
    <w:rsid w:val="00E84773"/>
    <w:rsid w:val="00E84845"/>
    <w:rsid w:val="00E86879"/>
    <w:rsid w:val="00E8764D"/>
    <w:rsid w:val="00E91BE7"/>
    <w:rsid w:val="00E95B94"/>
    <w:rsid w:val="00E97086"/>
    <w:rsid w:val="00EA40E8"/>
    <w:rsid w:val="00EA70E4"/>
    <w:rsid w:val="00EB12A4"/>
    <w:rsid w:val="00EB2A38"/>
    <w:rsid w:val="00EB4635"/>
    <w:rsid w:val="00EB7584"/>
    <w:rsid w:val="00EC2823"/>
    <w:rsid w:val="00EC2CE8"/>
    <w:rsid w:val="00EC3445"/>
    <w:rsid w:val="00EC627B"/>
    <w:rsid w:val="00EC650C"/>
    <w:rsid w:val="00ED682F"/>
    <w:rsid w:val="00EE03C8"/>
    <w:rsid w:val="00EE1995"/>
    <w:rsid w:val="00EE73FC"/>
    <w:rsid w:val="00F0076F"/>
    <w:rsid w:val="00F01569"/>
    <w:rsid w:val="00F14CC9"/>
    <w:rsid w:val="00F1610C"/>
    <w:rsid w:val="00F21898"/>
    <w:rsid w:val="00F24CFC"/>
    <w:rsid w:val="00F26872"/>
    <w:rsid w:val="00F322DC"/>
    <w:rsid w:val="00F340CC"/>
    <w:rsid w:val="00F34D11"/>
    <w:rsid w:val="00F448BE"/>
    <w:rsid w:val="00F50DCD"/>
    <w:rsid w:val="00F52A8D"/>
    <w:rsid w:val="00F530FF"/>
    <w:rsid w:val="00F62C6A"/>
    <w:rsid w:val="00F70CB1"/>
    <w:rsid w:val="00F72118"/>
    <w:rsid w:val="00F7222E"/>
    <w:rsid w:val="00F74EC0"/>
    <w:rsid w:val="00F76534"/>
    <w:rsid w:val="00F76683"/>
    <w:rsid w:val="00F80167"/>
    <w:rsid w:val="00F84B22"/>
    <w:rsid w:val="00F937EE"/>
    <w:rsid w:val="00FA32C8"/>
    <w:rsid w:val="00FB3713"/>
    <w:rsid w:val="00FB4364"/>
    <w:rsid w:val="00FB4825"/>
    <w:rsid w:val="00FB60CE"/>
    <w:rsid w:val="00FB634C"/>
    <w:rsid w:val="00FC1E5F"/>
    <w:rsid w:val="00FC286D"/>
    <w:rsid w:val="00FC5E83"/>
    <w:rsid w:val="00FD7785"/>
    <w:rsid w:val="00FE3435"/>
    <w:rsid w:val="00FF195A"/>
    <w:rsid w:val="00FF3002"/>
    <w:rsid w:val="00FF4CEC"/>
    <w:rsid w:val="00FF6897"/>
    <w:rsid w:val="0100390C"/>
    <w:rsid w:val="01081E24"/>
    <w:rsid w:val="01170C55"/>
    <w:rsid w:val="01253372"/>
    <w:rsid w:val="0137519C"/>
    <w:rsid w:val="01435889"/>
    <w:rsid w:val="01435EF1"/>
    <w:rsid w:val="015C4C73"/>
    <w:rsid w:val="015D0D5E"/>
    <w:rsid w:val="017936BE"/>
    <w:rsid w:val="017F53A9"/>
    <w:rsid w:val="01A7022B"/>
    <w:rsid w:val="01AC481B"/>
    <w:rsid w:val="01AF692A"/>
    <w:rsid w:val="01B841E6"/>
    <w:rsid w:val="01D86637"/>
    <w:rsid w:val="01DB2E0E"/>
    <w:rsid w:val="01E24AAE"/>
    <w:rsid w:val="01F80A87"/>
    <w:rsid w:val="0213766F"/>
    <w:rsid w:val="022E2032"/>
    <w:rsid w:val="02300221"/>
    <w:rsid w:val="02346AA7"/>
    <w:rsid w:val="023D0CB7"/>
    <w:rsid w:val="023D46EC"/>
    <w:rsid w:val="025D4D8E"/>
    <w:rsid w:val="02671768"/>
    <w:rsid w:val="02785724"/>
    <w:rsid w:val="027A5940"/>
    <w:rsid w:val="02820350"/>
    <w:rsid w:val="0284056C"/>
    <w:rsid w:val="02A1447D"/>
    <w:rsid w:val="02AE55E9"/>
    <w:rsid w:val="02B349AE"/>
    <w:rsid w:val="02BF15A4"/>
    <w:rsid w:val="02C46466"/>
    <w:rsid w:val="02CB3070"/>
    <w:rsid w:val="02D05560"/>
    <w:rsid w:val="02D45050"/>
    <w:rsid w:val="02EC5627"/>
    <w:rsid w:val="02FD550B"/>
    <w:rsid w:val="02FF7330"/>
    <w:rsid w:val="031748FC"/>
    <w:rsid w:val="03394EB3"/>
    <w:rsid w:val="03451AAA"/>
    <w:rsid w:val="03555A65"/>
    <w:rsid w:val="035D6AEE"/>
    <w:rsid w:val="03697092"/>
    <w:rsid w:val="03931DB2"/>
    <w:rsid w:val="039B5B6E"/>
    <w:rsid w:val="03B629A7"/>
    <w:rsid w:val="03D472D2"/>
    <w:rsid w:val="03DE5A5A"/>
    <w:rsid w:val="04205CF9"/>
    <w:rsid w:val="04221DEB"/>
    <w:rsid w:val="04335DA6"/>
    <w:rsid w:val="043833BC"/>
    <w:rsid w:val="043D4E77"/>
    <w:rsid w:val="04461F7D"/>
    <w:rsid w:val="044C0C16"/>
    <w:rsid w:val="04583A5F"/>
    <w:rsid w:val="045C0835"/>
    <w:rsid w:val="04671F17"/>
    <w:rsid w:val="048C54B6"/>
    <w:rsid w:val="04934A97"/>
    <w:rsid w:val="04A62A1C"/>
    <w:rsid w:val="04B52C5F"/>
    <w:rsid w:val="04D07A99"/>
    <w:rsid w:val="04E23328"/>
    <w:rsid w:val="04F12F51"/>
    <w:rsid w:val="04F512AE"/>
    <w:rsid w:val="04F73278"/>
    <w:rsid w:val="04FC263C"/>
    <w:rsid w:val="05096B07"/>
    <w:rsid w:val="050B6D23"/>
    <w:rsid w:val="051060E7"/>
    <w:rsid w:val="05221C94"/>
    <w:rsid w:val="052B620D"/>
    <w:rsid w:val="0539563E"/>
    <w:rsid w:val="054B148A"/>
    <w:rsid w:val="05545FD4"/>
    <w:rsid w:val="05551D4C"/>
    <w:rsid w:val="056621AB"/>
    <w:rsid w:val="05725C17"/>
    <w:rsid w:val="05726DA2"/>
    <w:rsid w:val="058F525E"/>
    <w:rsid w:val="05917228"/>
    <w:rsid w:val="05926A54"/>
    <w:rsid w:val="059C797B"/>
    <w:rsid w:val="05A47E39"/>
    <w:rsid w:val="05A52CD4"/>
    <w:rsid w:val="05AB7BBE"/>
    <w:rsid w:val="05C869C2"/>
    <w:rsid w:val="05CC0260"/>
    <w:rsid w:val="05D030B6"/>
    <w:rsid w:val="05D14557"/>
    <w:rsid w:val="05EA4B8A"/>
    <w:rsid w:val="05F652DD"/>
    <w:rsid w:val="060743F1"/>
    <w:rsid w:val="061340E1"/>
    <w:rsid w:val="06545732"/>
    <w:rsid w:val="065D644C"/>
    <w:rsid w:val="06651BC0"/>
    <w:rsid w:val="06672D9E"/>
    <w:rsid w:val="0673692E"/>
    <w:rsid w:val="06787243"/>
    <w:rsid w:val="069074E0"/>
    <w:rsid w:val="069114AA"/>
    <w:rsid w:val="069D7E4F"/>
    <w:rsid w:val="06A92350"/>
    <w:rsid w:val="06AC1E40"/>
    <w:rsid w:val="06B331CE"/>
    <w:rsid w:val="06B424A2"/>
    <w:rsid w:val="06C74ECC"/>
    <w:rsid w:val="06EE7C77"/>
    <w:rsid w:val="06F14B39"/>
    <w:rsid w:val="071F6AB6"/>
    <w:rsid w:val="072D4DB1"/>
    <w:rsid w:val="07350087"/>
    <w:rsid w:val="07375BAD"/>
    <w:rsid w:val="07483DAE"/>
    <w:rsid w:val="07554E13"/>
    <w:rsid w:val="07573D64"/>
    <w:rsid w:val="0759670C"/>
    <w:rsid w:val="077B0190"/>
    <w:rsid w:val="077C1812"/>
    <w:rsid w:val="078A7399"/>
    <w:rsid w:val="07A34C3C"/>
    <w:rsid w:val="07AB20F7"/>
    <w:rsid w:val="07B9754C"/>
    <w:rsid w:val="07E8334B"/>
    <w:rsid w:val="07F10452"/>
    <w:rsid w:val="07F27D26"/>
    <w:rsid w:val="081C0E7A"/>
    <w:rsid w:val="08381BDD"/>
    <w:rsid w:val="08426BAF"/>
    <w:rsid w:val="0843241C"/>
    <w:rsid w:val="08446A04"/>
    <w:rsid w:val="086158A6"/>
    <w:rsid w:val="08695BE2"/>
    <w:rsid w:val="086B331E"/>
    <w:rsid w:val="08857106"/>
    <w:rsid w:val="088D1151"/>
    <w:rsid w:val="08996E49"/>
    <w:rsid w:val="089D4136"/>
    <w:rsid w:val="08A06E25"/>
    <w:rsid w:val="08A6200B"/>
    <w:rsid w:val="08AA1EFA"/>
    <w:rsid w:val="08AE6343"/>
    <w:rsid w:val="08B1198F"/>
    <w:rsid w:val="08BB280E"/>
    <w:rsid w:val="08CF1BA3"/>
    <w:rsid w:val="08CF3ECF"/>
    <w:rsid w:val="08DF64FD"/>
    <w:rsid w:val="08E13A59"/>
    <w:rsid w:val="08E5240D"/>
    <w:rsid w:val="08E83BA9"/>
    <w:rsid w:val="08F8136C"/>
    <w:rsid w:val="091326A6"/>
    <w:rsid w:val="09173EE8"/>
    <w:rsid w:val="093525C0"/>
    <w:rsid w:val="093C74AB"/>
    <w:rsid w:val="094014AE"/>
    <w:rsid w:val="094445B2"/>
    <w:rsid w:val="094B3B92"/>
    <w:rsid w:val="09511975"/>
    <w:rsid w:val="0953737C"/>
    <w:rsid w:val="096507F8"/>
    <w:rsid w:val="097035F9"/>
    <w:rsid w:val="09B2776D"/>
    <w:rsid w:val="09C40038"/>
    <w:rsid w:val="09C63218"/>
    <w:rsid w:val="09D605C0"/>
    <w:rsid w:val="09D973F0"/>
    <w:rsid w:val="09E0172A"/>
    <w:rsid w:val="09E901AD"/>
    <w:rsid w:val="09F0354C"/>
    <w:rsid w:val="0A0817B1"/>
    <w:rsid w:val="0A0B50CF"/>
    <w:rsid w:val="0A1447CE"/>
    <w:rsid w:val="0A1870C8"/>
    <w:rsid w:val="0A27073B"/>
    <w:rsid w:val="0A2C39C3"/>
    <w:rsid w:val="0A3E398A"/>
    <w:rsid w:val="0A402FCB"/>
    <w:rsid w:val="0A656ED5"/>
    <w:rsid w:val="0A6F1B02"/>
    <w:rsid w:val="0A7236F2"/>
    <w:rsid w:val="0A742C74"/>
    <w:rsid w:val="0A801619"/>
    <w:rsid w:val="0A8D4216"/>
    <w:rsid w:val="0A92134D"/>
    <w:rsid w:val="0A943317"/>
    <w:rsid w:val="0AA85949"/>
    <w:rsid w:val="0AD876A7"/>
    <w:rsid w:val="0AE24082"/>
    <w:rsid w:val="0AE4604C"/>
    <w:rsid w:val="0AE53B72"/>
    <w:rsid w:val="0AE5475F"/>
    <w:rsid w:val="0AE93662"/>
    <w:rsid w:val="0AF049F1"/>
    <w:rsid w:val="0AF4749C"/>
    <w:rsid w:val="0B01382D"/>
    <w:rsid w:val="0B03376F"/>
    <w:rsid w:val="0B065FC2"/>
    <w:rsid w:val="0B0A0280"/>
    <w:rsid w:val="0B0B35D9"/>
    <w:rsid w:val="0B1701D0"/>
    <w:rsid w:val="0B294A65"/>
    <w:rsid w:val="0B295777"/>
    <w:rsid w:val="0B2C354F"/>
    <w:rsid w:val="0B2E72C7"/>
    <w:rsid w:val="0B353F77"/>
    <w:rsid w:val="0B3A2110"/>
    <w:rsid w:val="0B5B0384"/>
    <w:rsid w:val="0B5B383F"/>
    <w:rsid w:val="0B61769D"/>
    <w:rsid w:val="0B633415"/>
    <w:rsid w:val="0B763970"/>
    <w:rsid w:val="0B927856"/>
    <w:rsid w:val="0B952F4D"/>
    <w:rsid w:val="0B955598"/>
    <w:rsid w:val="0B9C06D5"/>
    <w:rsid w:val="0BAA1044"/>
    <w:rsid w:val="0BC25540"/>
    <w:rsid w:val="0BCA4C80"/>
    <w:rsid w:val="0BCF0AAA"/>
    <w:rsid w:val="0BE34556"/>
    <w:rsid w:val="0BE37AEB"/>
    <w:rsid w:val="0BE43E2A"/>
    <w:rsid w:val="0BFC1593"/>
    <w:rsid w:val="0C006EB6"/>
    <w:rsid w:val="0C2C2DB9"/>
    <w:rsid w:val="0C430B50"/>
    <w:rsid w:val="0C4B5C57"/>
    <w:rsid w:val="0C523489"/>
    <w:rsid w:val="0C5A0701"/>
    <w:rsid w:val="0C6236CC"/>
    <w:rsid w:val="0C6C454B"/>
    <w:rsid w:val="0C935725"/>
    <w:rsid w:val="0CBF7F28"/>
    <w:rsid w:val="0CCC48E0"/>
    <w:rsid w:val="0CD65E68"/>
    <w:rsid w:val="0D305579"/>
    <w:rsid w:val="0D3112F1"/>
    <w:rsid w:val="0D3A1F53"/>
    <w:rsid w:val="0D3F756A"/>
    <w:rsid w:val="0D470B14"/>
    <w:rsid w:val="0D6F4BE8"/>
    <w:rsid w:val="0D7D0092"/>
    <w:rsid w:val="0D886685"/>
    <w:rsid w:val="0D8B6C53"/>
    <w:rsid w:val="0D9553DC"/>
    <w:rsid w:val="0D976274"/>
    <w:rsid w:val="0DB41BDB"/>
    <w:rsid w:val="0DBA5B74"/>
    <w:rsid w:val="0DC73AC9"/>
    <w:rsid w:val="0DCE706B"/>
    <w:rsid w:val="0DDB6923"/>
    <w:rsid w:val="0DE6378D"/>
    <w:rsid w:val="0DE63E89"/>
    <w:rsid w:val="0DE80C88"/>
    <w:rsid w:val="0DF06C33"/>
    <w:rsid w:val="0E2C567C"/>
    <w:rsid w:val="0E4A29B0"/>
    <w:rsid w:val="0E5205EB"/>
    <w:rsid w:val="0E5E0D34"/>
    <w:rsid w:val="0E6E41A9"/>
    <w:rsid w:val="0E7679FF"/>
    <w:rsid w:val="0E7D63D0"/>
    <w:rsid w:val="0E9E25E5"/>
    <w:rsid w:val="0EC57F43"/>
    <w:rsid w:val="0ECC12D1"/>
    <w:rsid w:val="0ECD3EA6"/>
    <w:rsid w:val="0EE91E83"/>
    <w:rsid w:val="0EEC3721"/>
    <w:rsid w:val="0F047F1C"/>
    <w:rsid w:val="0F135152"/>
    <w:rsid w:val="0F2A424A"/>
    <w:rsid w:val="0F2C6214"/>
    <w:rsid w:val="0F2E3D3A"/>
    <w:rsid w:val="0F384BB8"/>
    <w:rsid w:val="0F706100"/>
    <w:rsid w:val="0F772B5B"/>
    <w:rsid w:val="0F844993"/>
    <w:rsid w:val="0F8938AB"/>
    <w:rsid w:val="0FAC2EB1"/>
    <w:rsid w:val="0FAD1102"/>
    <w:rsid w:val="0FB104C7"/>
    <w:rsid w:val="0FC47D76"/>
    <w:rsid w:val="0FCC2654"/>
    <w:rsid w:val="0FCC70AF"/>
    <w:rsid w:val="0FDA5C70"/>
    <w:rsid w:val="0FE10DAC"/>
    <w:rsid w:val="0FE7309E"/>
    <w:rsid w:val="0FEC42F3"/>
    <w:rsid w:val="0FED7751"/>
    <w:rsid w:val="0FFC1742"/>
    <w:rsid w:val="10022AD1"/>
    <w:rsid w:val="101C3B92"/>
    <w:rsid w:val="10280789"/>
    <w:rsid w:val="105253A5"/>
    <w:rsid w:val="106D2640"/>
    <w:rsid w:val="10721A0D"/>
    <w:rsid w:val="107C6D27"/>
    <w:rsid w:val="10A342B4"/>
    <w:rsid w:val="10D32D80"/>
    <w:rsid w:val="10E255C2"/>
    <w:rsid w:val="10F16DCD"/>
    <w:rsid w:val="10F42BF2"/>
    <w:rsid w:val="10F60887"/>
    <w:rsid w:val="1122167C"/>
    <w:rsid w:val="112801BB"/>
    <w:rsid w:val="11317B11"/>
    <w:rsid w:val="11343BEE"/>
    <w:rsid w:val="1135100A"/>
    <w:rsid w:val="113A08BE"/>
    <w:rsid w:val="116B5850"/>
    <w:rsid w:val="117A5014"/>
    <w:rsid w:val="1191540B"/>
    <w:rsid w:val="11963E18"/>
    <w:rsid w:val="119A7F4F"/>
    <w:rsid w:val="119C142F"/>
    <w:rsid w:val="119E3805"/>
    <w:rsid w:val="11A548E5"/>
    <w:rsid w:val="11B12A00"/>
    <w:rsid w:val="11B440E6"/>
    <w:rsid w:val="11C71B03"/>
    <w:rsid w:val="11E52032"/>
    <w:rsid w:val="11F052D6"/>
    <w:rsid w:val="11FC0E93"/>
    <w:rsid w:val="120174E4"/>
    <w:rsid w:val="120B3EBE"/>
    <w:rsid w:val="121F796A"/>
    <w:rsid w:val="122250B4"/>
    <w:rsid w:val="12241424"/>
    <w:rsid w:val="123512E2"/>
    <w:rsid w:val="124F5746"/>
    <w:rsid w:val="12585242"/>
    <w:rsid w:val="12636034"/>
    <w:rsid w:val="126D6927"/>
    <w:rsid w:val="1272218F"/>
    <w:rsid w:val="12802AFE"/>
    <w:rsid w:val="128123D2"/>
    <w:rsid w:val="12883761"/>
    <w:rsid w:val="129061C8"/>
    <w:rsid w:val="12906AB9"/>
    <w:rsid w:val="12A63C33"/>
    <w:rsid w:val="12B02CB8"/>
    <w:rsid w:val="12C0739F"/>
    <w:rsid w:val="12C21B50"/>
    <w:rsid w:val="12C3314C"/>
    <w:rsid w:val="12DC2D38"/>
    <w:rsid w:val="12E410E0"/>
    <w:rsid w:val="12EB3CF0"/>
    <w:rsid w:val="12F86B39"/>
    <w:rsid w:val="13154ECB"/>
    <w:rsid w:val="13154EFD"/>
    <w:rsid w:val="13160D6D"/>
    <w:rsid w:val="1331204B"/>
    <w:rsid w:val="133E2072"/>
    <w:rsid w:val="1342407F"/>
    <w:rsid w:val="135A334F"/>
    <w:rsid w:val="135F4616"/>
    <w:rsid w:val="13892C54"/>
    <w:rsid w:val="139B5716"/>
    <w:rsid w:val="139F5206"/>
    <w:rsid w:val="13B40289"/>
    <w:rsid w:val="13B75003"/>
    <w:rsid w:val="13CF2BC3"/>
    <w:rsid w:val="13D21145"/>
    <w:rsid w:val="13D425A7"/>
    <w:rsid w:val="13F15336"/>
    <w:rsid w:val="13F17EFF"/>
    <w:rsid w:val="13F53078"/>
    <w:rsid w:val="140D4D05"/>
    <w:rsid w:val="140E5EE8"/>
    <w:rsid w:val="142071CE"/>
    <w:rsid w:val="14223741"/>
    <w:rsid w:val="14264993"/>
    <w:rsid w:val="14421221"/>
    <w:rsid w:val="14506500"/>
    <w:rsid w:val="145F2E2A"/>
    <w:rsid w:val="145F6AA5"/>
    <w:rsid w:val="146A303F"/>
    <w:rsid w:val="147D238A"/>
    <w:rsid w:val="149171AE"/>
    <w:rsid w:val="14956609"/>
    <w:rsid w:val="149802DC"/>
    <w:rsid w:val="14991C55"/>
    <w:rsid w:val="149E0C82"/>
    <w:rsid w:val="14B836DE"/>
    <w:rsid w:val="14C01DF6"/>
    <w:rsid w:val="14C12F5A"/>
    <w:rsid w:val="14C64A14"/>
    <w:rsid w:val="14E474DA"/>
    <w:rsid w:val="14FC0436"/>
    <w:rsid w:val="151412DC"/>
    <w:rsid w:val="15196907"/>
    <w:rsid w:val="15290DC8"/>
    <w:rsid w:val="152E2F6C"/>
    <w:rsid w:val="15363948"/>
    <w:rsid w:val="15436065"/>
    <w:rsid w:val="154716B1"/>
    <w:rsid w:val="15520D96"/>
    <w:rsid w:val="1559675C"/>
    <w:rsid w:val="156F5159"/>
    <w:rsid w:val="15826B8D"/>
    <w:rsid w:val="158579DD"/>
    <w:rsid w:val="158E72E0"/>
    <w:rsid w:val="158F2472"/>
    <w:rsid w:val="15993354"/>
    <w:rsid w:val="15A82943"/>
    <w:rsid w:val="15AD4A65"/>
    <w:rsid w:val="15CA4090"/>
    <w:rsid w:val="15CF1017"/>
    <w:rsid w:val="15F15AC1"/>
    <w:rsid w:val="15FF61B2"/>
    <w:rsid w:val="16007AB2"/>
    <w:rsid w:val="1629525B"/>
    <w:rsid w:val="162B4D52"/>
    <w:rsid w:val="163559AE"/>
    <w:rsid w:val="16482750"/>
    <w:rsid w:val="164D27F7"/>
    <w:rsid w:val="165F2A2B"/>
    <w:rsid w:val="166242C9"/>
    <w:rsid w:val="1666200B"/>
    <w:rsid w:val="1672275E"/>
    <w:rsid w:val="16A070E1"/>
    <w:rsid w:val="16A56E52"/>
    <w:rsid w:val="16C41661"/>
    <w:rsid w:val="16D50F3F"/>
    <w:rsid w:val="16DC407B"/>
    <w:rsid w:val="16DE4297"/>
    <w:rsid w:val="16E64EFA"/>
    <w:rsid w:val="16ED3295"/>
    <w:rsid w:val="16F83D12"/>
    <w:rsid w:val="16F94C2D"/>
    <w:rsid w:val="170513F4"/>
    <w:rsid w:val="17065183"/>
    <w:rsid w:val="1712014A"/>
    <w:rsid w:val="17171557"/>
    <w:rsid w:val="171B4DED"/>
    <w:rsid w:val="17215F32"/>
    <w:rsid w:val="17251F3E"/>
    <w:rsid w:val="17312619"/>
    <w:rsid w:val="174C7453"/>
    <w:rsid w:val="175D4E15"/>
    <w:rsid w:val="175E32F8"/>
    <w:rsid w:val="176C53FF"/>
    <w:rsid w:val="17797B1C"/>
    <w:rsid w:val="1791130A"/>
    <w:rsid w:val="17A27073"/>
    <w:rsid w:val="17A80401"/>
    <w:rsid w:val="17B33D43"/>
    <w:rsid w:val="17C76AD9"/>
    <w:rsid w:val="17D631C0"/>
    <w:rsid w:val="17E92EF4"/>
    <w:rsid w:val="17EE22B8"/>
    <w:rsid w:val="17F268FE"/>
    <w:rsid w:val="180C06D7"/>
    <w:rsid w:val="18100480"/>
    <w:rsid w:val="18253800"/>
    <w:rsid w:val="183349DA"/>
    <w:rsid w:val="183608AF"/>
    <w:rsid w:val="185158AB"/>
    <w:rsid w:val="18660E62"/>
    <w:rsid w:val="186D58D3"/>
    <w:rsid w:val="18722EE9"/>
    <w:rsid w:val="18893D8F"/>
    <w:rsid w:val="18AD390A"/>
    <w:rsid w:val="18B76B4E"/>
    <w:rsid w:val="18BD20E9"/>
    <w:rsid w:val="18CB37DE"/>
    <w:rsid w:val="18CB4360"/>
    <w:rsid w:val="18E26F66"/>
    <w:rsid w:val="18E67433"/>
    <w:rsid w:val="18EB67F8"/>
    <w:rsid w:val="18ED07C2"/>
    <w:rsid w:val="18F43D6D"/>
    <w:rsid w:val="19153875"/>
    <w:rsid w:val="191A0C25"/>
    <w:rsid w:val="191C2E55"/>
    <w:rsid w:val="192146F5"/>
    <w:rsid w:val="193957B5"/>
    <w:rsid w:val="193C7053"/>
    <w:rsid w:val="196A1E12"/>
    <w:rsid w:val="196D2E5D"/>
    <w:rsid w:val="19A02E55"/>
    <w:rsid w:val="19A846E9"/>
    <w:rsid w:val="19BB4B61"/>
    <w:rsid w:val="19C71013"/>
    <w:rsid w:val="19D61256"/>
    <w:rsid w:val="19D6210B"/>
    <w:rsid w:val="19F636A6"/>
    <w:rsid w:val="1A1D3A10"/>
    <w:rsid w:val="1A2C19BB"/>
    <w:rsid w:val="1A3B555D"/>
    <w:rsid w:val="1A3E4845"/>
    <w:rsid w:val="1A410E30"/>
    <w:rsid w:val="1A534654"/>
    <w:rsid w:val="1A8C57B1"/>
    <w:rsid w:val="1AAE3F81"/>
    <w:rsid w:val="1AB62E35"/>
    <w:rsid w:val="1AC82C9A"/>
    <w:rsid w:val="1ACF7559"/>
    <w:rsid w:val="1AD429A9"/>
    <w:rsid w:val="1AD87250"/>
    <w:rsid w:val="1AE415F4"/>
    <w:rsid w:val="1AF51BB0"/>
    <w:rsid w:val="1AF94E84"/>
    <w:rsid w:val="1B03541B"/>
    <w:rsid w:val="1B087B35"/>
    <w:rsid w:val="1B0F32E5"/>
    <w:rsid w:val="1B122762"/>
    <w:rsid w:val="1B1A33C4"/>
    <w:rsid w:val="1B245EA8"/>
    <w:rsid w:val="1B375D24"/>
    <w:rsid w:val="1B4B065D"/>
    <w:rsid w:val="1B5B5EB7"/>
    <w:rsid w:val="1B640E33"/>
    <w:rsid w:val="1B6A434C"/>
    <w:rsid w:val="1B75684C"/>
    <w:rsid w:val="1B80591D"/>
    <w:rsid w:val="1B844DE8"/>
    <w:rsid w:val="1B8D3B96"/>
    <w:rsid w:val="1B94140F"/>
    <w:rsid w:val="1BA3785E"/>
    <w:rsid w:val="1BA86C22"/>
    <w:rsid w:val="1BAF7FB0"/>
    <w:rsid w:val="1BBA1D42"/>
    <w:rsid w:val="1BBC447B"/>
    <w:rsid w:val="1BE51C24"/>
    <w:rsid w:val="1C1C4F1A"/>
    <w:rsid w:val="1C427D00"/>
    <w:rsid w:val="1C4439BC"/>
    <w:rsid w:val="1C673B61"/>
    <w:rsid w:val="1C80194D"/>
    <w:rsid w:val="1C827F34"/>
    <w:rsid w:val="1C84143D"/>
    <w:rsid w:val="1C8A6B97"/>
    <w:rsid w:val="1C8D118E"/>
    <w:rsid w:val="1C964CCC"/>
    <w:rsid w:val="1C981DB6"/>
    <w:rsid w:val="1CB6711D"/>
    <w:rsid w:val="1D295B40"/>
    <w:rsid w:val="1D2B3667"/>
    <w:rsid w:val="1D3764AF"/>
    <w:rsid w:val="1D4209B0"/>
    <w:rsid w:val="1D464944"/>
    <w:rsid w:val="1D4913BD"/>
    <w:rsid w:val="1D4B3D09"/>
    <w:rsid w:val="1D5030CD"/>
    <w:rsid w:val="1D604FD2"/>
    <w:rsid w:val="1D835251"/>
    <w:rsid w:val="1D8D43A6"/>
    <w:rsid w:val="1DA90161"/>
    <w:rsid w:val="1DD2442A"/>
    <w:rsid w:val="1DD71A40"/>
    <w:rsid w:val="1DE877AA"/>
    <w:rsid w:val="1DEA1639"/>
    <w:rsid w:val="1DFE2F9E"/>
    <w:rsid w:val="1E0423C5"/>
    <w:rsid w:val="1E1D56A5"/>
    <w:rsid w:val="1E1E31CB"/>
    <w:rsid w:val="1E2702D2"/>
    <w:rsid w:val="1E2D1660"/>
    <w:rsid w:val="1E36769D"/>
    <w:rsid w:val="1E3824DF"/>
    <w:rsid w:val="1E51534F"/>
    <w:rsid w:val="1E592455"/>
    <w:rsid w:val="1E68518D"/>
    <w:rsid w:val="1E6A01BF"/>
    <w:rsid w:val="1E6B7C56"/>
    <w:rsid w:val="1E80073F"/>
    <w:rsid w:val="1E876FC3"/>
    <w:rsid w:val="1E892D3B"/>
    <w:rsid w:val="1E953136"/>
    <w:rsid w:val="1E960FB4"/>
    <w:rsid w:val="1EBA7398"/>
    <w:rsid w:val="1EC42C63"/>
    <w:rsid w:val="1ED237E1"/>
    <w:rsid w:val="1EDF6DFF"/>
    <w:rsid w:val="1EE937D9"/>
    <w:rsid w:val="1EEA3E98"/>
    <w:rsid w:val="1EF31DBD"/>
    <w:rsid w:val="1EF5217E"/>
    <w:rsid w:val="1F0335AF"/>
    <w:rsid w:val="1F101DC9"/>
    <w:rsid w:val="1F164D67"/>
    <w:rsid w:val="1F1F71FB"/>
    <w:rsid w:val="1F242A63"/>
    <w:rsid w:val="1F271F5F"/>
    <w:rsid w:val="1F282554"/>
    <w:rsid w:val="1F2E38E2"/>
    <w:rsid w:val="1F2F770D"/>
    <w:rsid w:val="1F334A54"/>
    <w:rsid w:val="1F4713AC"/>
    <w:rsid w:val="1F4A5D44"/>
    <w:rsid w:val="1F5E41C7"/>
    <w:rsid w:val="1F803199"/>
    <w:rsid w:val="1F947BE9"/>
    <w:rsid w:val="1F973235"/>
    <w:rsid w:val="1F9B4659"/>
    <w:rsid w:val="1F9E0D19"/>
    <w:rsid w:val="1FA31BDA"/>
    <w:rsid w:val="1FAF67D1"/>
    <w:rsid w:val="1FB262C1"/>
    <w:rsid w:val="1FB43DE7"/>
    <w:rsid w:val="1FB84506"/>
    <w:rsid w:val="1FCD4EA9"/>
    <w:rsid w:val="1FCF29CF"/>
    <w:rsid w:val="1FE0412E"/>
    <w:rsid w:val="1FE16BA6"/>
    <w:rsid w:val="1FF468DA"/>
    <w:rsid w:val="20000D15"/>
    <w:rsid w:val="2027280B"/>
    <w:rsid w:val="203E7B55"/>
    <w:rsid w:val="20436F19"/>
    <w:rsid w:val="204D003C"/>
    <w:rsid w:val="205253AE"/>
    <w:rsid w:val="20586E69"/>
    <w:rsid w:val="205D447F"/>
    <w:rsid w:val="205E2203"/>
    <w:rsid w:val="206375BB"/>
    <w:rsid w:val="206655AB"/>
    <w:rsid w:val="20665761"/>
    <w:rsid w:val="206C021E"/>
    <w:rsid w:val="20743577"/>
    <w:rsid w:val="20A57BD4"/>
    <w:rsid w:val="20A97527"/>
    <w:rsid w:val="20AC409B"/>
    <w:rsid w:val="20BE2A44"/>
    <w:rsid w:val="20DA787E"/>
    <w:rsid w:val="20E91634"/>
    <w:rsid w:val="20F14BC7"/>
    <w:rsid w:val="20FC3C98"/>
    <w:rsid w:val="21020FD1"/>
    <w:rsid w:val="21167C3D"/>
    <w:rsid w:val="2120407D"/>
    <w:rsid w:val="21537630"/>
    <w:rsid w:val="21615A83"/>
    <w:rsid w:val="216B6728"/>
    <w:rsid w:val="2173382E"/>
    <w:rsid w:val="217557F8"/>
    <w:rsid w:val="21795FCB"/>
    <w:rsid w:val="217D46AD"/>
    <w:rsid w:val="2185154A"/>
    <w:rsid w:val="219B279C"/>
    <w:rsid w:val="21A12149"/>
    <w:rsid w:val="21AC0CEE"/>
    <w:rsid w:val="21B07443"/>
    <w:rsid w:val="21D20555"/>
    <w:rsid w:val="22097CEF"/>
    <w:rsid w:val="22252D7A"/>
    <w:rsid w:val="22310700"/>
    <w:rsid w:val="2244367B"/>
    <w:rsid w:val="225B679C"/>
    <w:rsid w:val="225C42C2"/>
    <w:rsid w:val="22633765"/>
    <w:rsid w:val="227B20D8"/>
    <w:rsid w:val="228C5D59"/>
    <w:rsid w:val="22C93425"/>
    <w:rsid w:val="22FA4207"/>
    <w:rsid w:val="22FC052F"/>
    <w:rsid w:val="22FD23A2"/>
    <w:rsid w:val="230B6414"/>
    <w:rsid w:val="2311581E"/>
    <w:rsid w:val="231A77D5"/>
    <w:rsid w:val="231F5C99"/>
    <w:rsid w:val="23203542"/>
    <w:rsid w:val="23243032"/>
    <w:rsid w:val="23493CB7"/>
    <w:rsid w:val="23503E27"/>
    <w:rsid w:val="23541AF4"/>
    <w:rsid w:val="23867849"/>
    <w:rsid w:val="238B30B1"/>
    <w:rsid w:val="238E3603"/>
    <w:rsid w:val="239F6B5C"/>
    <w:rsid w:val="23A704DC"/>
    <w:rsid w:val="23A743C8"/>
    <w:rsid w:val="23A777BF"/>
    <w:rsid w:val="23A91789"/>
    <w:rsid w:val="23B27EF8"/>
    <w:rsid w:val="23B30909"/>
    <w:rsid w:val="23B87C1E"/>
    <w:rsid w:val="23E97DD8"/>
    <w:rsid w:val="23ED5B1A"/>
    <w:rsid w:val="23FC5D5D"/>
    <w:rsid w:val="23FF5C9E"/>
    <w:rsid w:val="24250489"/>
    <w:rsid w:val="243472A5"/>
    <w:rsid w:val="2443398C"/>
    <w:rsid w:val="244F23F2"/>
    <w:rsid w:val="24544EED"/>
    <w:rsid w:val="24574CF0"/>
    <w:rsid w:val="24725E59"/>
    <w:rsid w:val="24833D88"/>
    <w:rsid w:val="248916EC"/>
    <w:rsid w:val="24BE3012"/>
    <w:rsid w:val="24C22B02"/>
    <w:rsid w:val="24F42ED8"/>
    <w:rsid w:val="24F627AC"/>
    <w:rsid w:val="25103203"/>
    <w:rsid w:val="251C4037"/>
    <w:rsid w:val="25294EDE"/>
    <w:rsid w:val="252C0DB5"/>
    <w:rsid w:val="25333A00"/>
    <w:rsid w:val="25496D2F"/>
    <w:rsid w:val="254C4E12"/>
    <w:rsid w:val="25553977"/>
    <w:rsid w:val="255676EF"/>
    <w:rsid w:val="255C7F32"/>
    <w:rsid w:val="256B4528"/>
    <w:rsid w:val="257C53A7"/>
    <w:rsid w:val="25877B8E"/>
    <w:rsid w:val="258A1146"/>
    <w:rsid w:val="25987D07"/>
    <w:rsid w:val="25A160E0"/>
    <w:rsid w:val="25AB3597"/>
    <w:rsid w:val="25AE6883"/>
    <w:rsid w:val="25BF32B0"/>
    <w:rsid w:val="25E116AE"/>
    <w:rsid w:val="25E44CFA"/>
    <w:rsid w:val="25E940BF"/>
    <w:rsid w:val="25EB7E37"/>
    <w:rsid w:val="26325A66"/>
    <w:rsid w:val="263E265D"/>
    <w:rsid w:val="26485289"/>
    <w:rsid w:val="265A2A44"/>
    <w:rsid w:val="26616526"/>
    <w:rsid w:val="26672348"/>
    <w:rsid w:val="26A579B2"/>
    <w:rsid w:val="26B51509"/>
    <w:rsid w:val="26D20FF7"/>
    <w:rsid w:val="26DE0210"/>
    <w:rsid w:val="26DE6A53"/>
    <w:rsid w:val="26E1123A"/>
    <w:rsid w:val="26EF61A8"/>
    <w:rsid w:val="270B7A08"/>
    <w:rsid w:val="271C53E2"/>
    <w:rsid w:val="27280C17"/>
    <w:rsid w:val="272C1536"/>
    <w:rsid w:val="27360708"/>
    <w:rsid w:val="274243CE"/>
    <w:rsid w:val="2751786E"/>
    <w:rsid w:val="275D4D64"/>
    <w:rsid w:val="27764078"/>
    <w:rsid w:val="277D341D"/>
    <w:rsid w:val="27873B8F"/>
    <w:rsid w:val="27930786"/>
    <w:rsid w:val="27982240"/>
    <w:rsid w:val="279C55DC"/>
    <w:rsid w:val="279D1605"/>
    <w:rsid w:val="27BF5A1F"/>
    <w:rsid w:val="27C431AC"/>
    <w:rsid w:val="27CA298E"/>
    <w:rsid w:val="27F06DD1"/>
    <w:rsid w:val="27F76F67"/>
    <w:rsid w:val="280255D6"/>
    <w:rsid w:val="280F118F"/>
    <w:rsid w:val="281713B7"/>
    <w:rsid w:val="281C4C20"/>
    <w:rsid w:val="281C69CE"/>
    <w:rsid w:val="28201707"/>
    <w:rsid w:val="282E6701"/>
    <w:rsid w:val="28321D4D"/>
    <w:rsid w:val="28550131"/>
    <w:rsid w:val="285C6DCA"/>
    <w:rsid w:val="28691DDD"/>
    <w:rsid w:val="287336D1"/>
    <w:rsid w:val="287A36F4"/>
    <w:rsid w:val="28836A4D"/>
    <w:rsid w:val="289F3B91"/>
    <w:rsid w:val="28A44C56"/>
    <w:rsid w:val="28AD3ACA"/>
    <w:rsid w:val="28DE1ED5"/>
    <w:rsid w:val="28E90DB2"/>
    <w:rsid w:val="28EA2628"/>
    <w:rsid w:val="28ED0CB5"/>
    <w:rsid w:val="28F17E5A"/>
    <w:rsid w:val="28FB4835"/>
    <w:rsid w:val="29097BDD"/>
    <w:rsid w:val="291A25A0"/>
    <w:rsid w:val="2929358F"/>
    <w:rsid w:val="292D7A13"/>
    <w:rsid w:val="293E3BD9"/>
    <w:rsid w:val="296879F1"/>
    <w:rsid w:val="297E72AD"/>
    <w:rsid w:val="29830416"/>
    <w:rsid w:val="29886630"/>
    <w:rsid w:val="298962E5"/>
    <w:rsid w:val="29916F47"/>
    <w:rsid w:val="299E3E07"/>
    <w:rsid w:val="29B01516"/>
    <w:rsid w:val="29B570DA"/>
    <w:rsid w:val="29B844D4"/>
    <w:rsid w:val="29BD1AEA"/>
    <w:rsid w:val="29F5054B"/>
    <w:rsid w:val="29F64FFC"/>
    <w:rsid w:val="29F85218"/>
    <w:rsid w:val="2A007C29"/>
    <w:rsid w:val="2A0C569A"/>
    <w:rsid w:val="2A1A22D3"/>
    <w:rsid w:val="2A21651D"/>
    <w:rsid w:val="2A241B69"/>
    <w:rsid w:val="2A4635A4"/>
    <w:rsid w:val="2A481CFC"/>
    <w:rsid w:val="2A53244F"/>
    <w:rsid w:val="2A55059E"/>
    <w:rsid w:val="2A5C3821"/>
    <w:rsid w:val="2A5E32CD"/>
    <w:rsid w:val="2A6603D4"/>
    <w:rsid w:val="2A97233B"/>
    <w:rsid w:val="2AA371B6"/>
    <w:rsid w:val="2AAD7DB1"/>
    <w:rsid w:val="2AB7478C"/>
    <w:rsid w:val="2AB819E1"/>
    <w:rsid w:val="2ABC6246"/>
    <w:rsid w:val="2ABE3D6C"/>
    <w:rsid w:val="2ABF1108"/>
    <w:rsid w:val="2AC46EA9"/>
    <w:rsid w:val="2AC85940"/>
    <w:rsid w:val="2ACE39B1"/>
    <w:rsid w:val="2AD6555A"/>
    <w:rsid w:val="2AFF0573"/>
    <w:rsid w:val="2B004385"/>
    <w:rsid w:val="2B065713"/>
    <w:rsid w:val="2B193698"/>
    <w:rsid w:val="2B275ED7"/>
    <w:rsid w:val="2B3109E2"/>
    <w:rsid w:val="2B406E77"/>
    <w:rsid w:val="2B585288"/>
    <w:rsid w:val="2B585F6F"/>
    <w:rsid w:val="2B5E4C51"/>
    <w:rsid w:val="2B6E6A91"/>
    <w:rsid w:val="2B8D3768"/>
    <w:rsid w:val="2B91322F"/>
    <w:rsid w:val="2B986184"/>
    <w:rsid w:val="2B9B31ED"/>
    <w:rsid w:val="2BA70CA4"/>
    <w:rsid w:val="2BAD79E8"/>
    <w:rsid w:val="2BB67D92"/>
    <w:rsid w:val="2BBD04C8"/>
    <w:rsid w:val="2BBF4AF7"/>
    <w:rsid w:val="2BD61589"/>
    <w:rsid w:val="2BD665C4"/>
    <w:rsid w:val="2BDB36E6"/>
    <w:rsid w:val="2BDE3F9A"/>
    <w:rsid w:val="2BEC2B5B"/>
    <w:rsid w:val="2BF33EE9"/>
    <w:rsid w:val="2BF81500"/>
    <w:rsid w:val="2BFD6A63"/>
    <w:rsid w:val="2C154F49"/>
    <w:rsid w:val="2C2245A1"/>
    <w:rsid w:val="2C2B3683"/>
    <w:rsid w:val="2C387B4E"/>
    <w:rsid w:val="2C3C5FE8"/>
    <w:rsid w:val="2C536E94"/>
    <w:rsid w:val="2C544CEE"/>
    <w:rsid w:val="2C706CAB"/>
    <w:rsid w:val="2C7212B2"/>
    <w:rsid w:val="2C7A3CC3"/>
    <w:rsid w:val="2C7F31B6"/>
    <w:rsid w:val="2C8969D0"/>
    <w:rsid w:val="2CA23219"/>
    <w:rsid w:val="2CA64AB8"/>
    <w:rsid w:val="2CB847EB"/>
    <w:rsid w:val="2CC46733"/>
    <w:rsid w:val="2CC92682"/>
    <w:rsid w:val="2CCB6C14"/>
    <w:rsid w:val="2CD535EF"/>
    <w:rsid w:val="2CF27CFD"/>
    <w:rsid w:val="2D06092C"/>
    <w:rsid w:val="2D0637A8"/>
    <w:rsid w:val="2D1B36F8"/>
    <w:rsid w:val="2D240B15"/>
    <w:rsid w:val="2D376058"/>
    <w:rsid w:val="2D482013"/>
    <w:rsid w:val="2D5262DB"/>
    <w:rsid w:val="2D5664DE"/>
    <w:rsid w:val="2D654973"/>
    <w:rsid w:val="2D6E00E2"/>
    <w:rsid w:val="2D7E77E3"/>
    <w:rsid w:val="2D865C8A"/>
    <w:rsid w:val="2D88240F"/>
    <w:rsid w:val="2D914CD1"/>
    <w:rsid w:val="2D9C5EBB"/>
    <w:rsid w:val="2DA60AE7"/>
    <w:rsid w:val="2DB41EA2"/>
    <w:rsid w:val="2DBA6D5F"/>
    <w:rsid w:val="2DBF14F3"/>
    <w:rsid w:val="2DC47D44"/>
    <w:rsid w:val="2DE27967"/>
    <w:rsid w:val="2DFB3006"/>
    <w:rsid w:val="2E093550"/>
    <w:rsid w:val="2E0C3040"/>
    <w:rsid w:val="2E0C6D35"/>
    <w:rsid w:val="2E2048AE"/>
    <w:rsid w:val="2E2C723F"/>
    <w:rsid w:val="2E2E325E"/>
    <w:rsid w:val="2E397A7E"/>
    <w:rsid w:val="2E3B0734"/>
    <w:rsid w:val="2E441A23"/>
    <w:rsid w:val="2E453CFB"/>
    <w:rsid w:val="2E4C0066"/>
    <w:rsid w:val="2E505623"/>
    <w:rsid w:val="2E680871"/>
    <w:rsid w:val="2ED679F7"/>
    <w:rsid w:val="2ED83172"/>
    <w:rsid w:val="2EE93382"/>
    <w:rsid w:val="2EF04710"/>
    <w:rsid w:val="2EF36DE2"/>
    <w:rsid w:val="2F1F063C"/>
    <w:rsid w:val="2F3D40D2"/>
    <w:rsid w:val="2F570CF6"/>
    <w:rsid w:val="2F692B25"/>
    <w:rsid w:val="2F6F1AD9"/>
    <w:rsid w:val="2F701D0F"/>
    <w:rsid w:val="2F7F439D"/>
    <w:rsid w:val="2F837332"/>
    <w:rsid w:val="2F846413"/>
    <w:rsid w:val="2F8F5CD7"/>
    <w:rsid w:val="2F9D59C3"/>
    <w:rsid w:val="2F9E5130"/>
    <w:rsid w:val="2FAF35AF"/>
    <w:rsid w:val="2FCC6F2B"/>
    <w:rsid w:val="2FD73061"/>
    <w:rsid w:val="2FD935ED"/>
    <w:rsid w:val="2FDF5DE6"/>
    <w:rsid w:val="2FE275B8"/>
    <w:rsid w:val="2FE57FED"/>
    <w:rsid w:val="2FEA743E"/>
    <w:rsid w:val="300119D6"/>
    <w:rsid w:val="30274098"/>
    <w:rsid w:val="304055CA"/>
    <w:rsid w:val="30564D7C"/>
    <w:rsid w:val="30744ECD"/>
    <w:rsid w:val="307A0735"/>
    <w:rsid w:val="30840EBE"/>
    <w:rsid w:val="308B2942"/>
    <w:rsid w:val="30BA3228"/>
    <w:rsid w:val="30CB2D3F"/>
    <w:rsid w:val="30ED53AB"/>
    <w:rsid w:val="30FC739C"/>
    <w:rsid w:val="310D77FB"/>
    <w:rsid w:val="31271F3F"/>
    <w:rsid w:val="31384C99"/>
    <w:rsid w:val="314D19A6"/>
    <w:rsid w:val="31575186"/>
    <w:rsid w:val="316A0B26"/>
    <w:rsid w:val="31794E91"/>
    <w:rsid w:val="317C04DD"/>
    <w:rsid w:val="318444C8"/>
    <w:rsid w:val="31866D56"/>
    <w:rsid w:val="319B4E07"/>
    <w:rsid w:val="319C292D"/>
    <w:rsid w:val="31C61758"/>
    <w:rsid w:val="31D51AA0"/>
    <w:rsid w:val="31D976DD"/>
    <w:rsid w:val="31F11D9A"/>
    <w:rsid w:val="32036508"/>
    <w:rsid w:val="32041760"/>
    <w:rsid w:val="3208070E"/>
    <w:rsid w:val="3218633A"/>
    <w:rsid w:val="3227669B"/>
    <w:rsid w:val="322C43BA"/>
    <w:rsid w:val="322F72FD"/>
    <w:rsid w:val="32337F83"/>
    <w:rsid w:val="32363102"/>
    <w:rsid w:val="32402E2C"/>
    <w:rsid w:val="324A2389"/>
    <w:rsid w:val="32783755"/>
    <w:rsid w:val="32786EF6"/>
    <w:rsid w:val="32861A63"/>
    <w:rsid w:val="32A41A99"/>
    <w:rsid w:val="32AD6B6B"/>
    <w:rsid w:val="32B45E58"/>
    <w:rsid w:val="32DA195F"/>
    <w:rsid w:val="32DF6F75"/>
    <w:rsid w:val="32EF5B1D"/>
    <w:rsid w:val="330A4B1B"/>
    <w:rsid w:val="3317456E"/>
    <w:rsid w:val="332B21BB"/>
    <w:rsid w:val="33353039"/>
    <w:rsid w:val="33480EF5"/>
    <w:rsid w:val="33544C1D"/>
    <w:rsid w:val="33550FE6"/>
    <w:rsid w:val="335B1D53"/>
    <w:rsid w:val="338F44F8"/>
    <w:rsid w:val="339F751C"/>
    <w:rsid w:val="33B2468A"/>
    <w:rsid w:val="33C57F19"/>
    <w:rsid w:val="33E923D6"/>
    <w:rsid w:val="33EF6D1C"/>
    <w:rsid w:val="33F00D0E"/>
    <w:rsid w:val="33F07614"/>
    <w:rsid w:val="34032D75"/>
    <w:rsid w:val="34050C5E"/>
    <w:rsid w:val="340E556F"/>
    <w:rsid w:val="34254E5C"/>
    <w:rsid w:val="34360E17"/>
    <w:rsid w:val="343B642D"/>
    <w:rsid w:val="345C41E5"/>
    <w:rsid w:val="346534AA"/>
    <w:rsid w:val="346B1EE2"/>
    <w:rsid w:val="34727975"/>
    <w:rsid w:val="34757B91"/>
    <w:rsid w:val="348311E2"/>
    <w:rsid w:val="348A1163"/>
    <w:rsid w:val="348C4EDB"/>
    <w:rsid w:val="349F4AE6"/>
    <w:rsid w:val="34A000E8"/>
    <w:rsid w:val="34AE6BFF"/>
    <w:rsid w:val="34AF6DEE"/>
    <w:rsid w:val="34B54432"/>
    <w:rsid w:val="34B65AB4"/>
    <w:rsid w:val="34C40ED9"/>
    <w:rsid w:val="34D16D92"/>
    <w:rsid w:val="34EC3AE0"/>
    <w:rsid w:val="34EF058C"/>
    <w:rsid w:val="34F36D08"/>
    <w:rsid w:val="35073D9D"/>
    <w:rsid w:val="351E350F"/>
    <w:rsid w:val="35234C75"/>
    <w:rsid w:val="352A4B9E"/>
    <w:rsid w:val="352E7D40"/>
    <w:rsid w:val="35335357"/>
    <w:rsid w:val="35370480"/>
    <w:rsid w:val="353C06AF"/>
    <w:rsid w:val="353C625C"/>
    <w:rsid w:val="353C792F"/>
    <w:rsid w:val="354647FA"/>
    <w:rsid w:val="354B68BF"/>
    <w:rsid w:val="355E6877"/>
    <w:rsid w:val="356A793C"/>
    <w:rsid w:val="356D758B"/>
    <w:rsid w:val="35777939"/>
    <w:rsid w:val="357E0CC8"/>
    <w:rsid w:val="35843E04"/>
    <w:rsid w:val="35A16764"/>
    <w:rsid w:val="35A814F7"/>
    <w:rsid w:val="35B00755"/>
    <w:rsid w:val="35D00DF7"/>
    <w:rsid w:val="35D1438C"/>
    <w:rsid w:val="35D408E8"/>
    <w:rsid w:val="35D42696"/>
    <w:rsid w:val="35D46B3A"/>
    <w:rsid w:val="35D97CAC"/>
    <w:rsid w:val="35DC779C"/>
    <w:rsid w:val="35DE3514"/>
    <w:rsid w:val="35E43BC0"/>
    <w:rsid w:val="35F0147C"/>
    <w:rsid w:val="35F560E3"/>
    <w:rsid w:val="35FF0E84"/>
    <w:rsid w:val="36056CF3"/>
    <w:rsid w:val="360B0081"/>
    <w:rsid w:val="360F448A"/>
    <w:rsid w:val="361A45B2"/>
    <w:rsid w:val="361A5D07"/>
    <w:rsid w:val="364454C0"/>
    <w:rsid w:val="364E048D"/>
    <w:rsid w:val="36513E6E"/>
    <w:rsid w:val="36590DED"/>
    <w:rsid w:val="365D6B2F"/>
    <w:rsid w:val="36A47E30"/>
    <w:rsid w:val="36AC53C0"/>
    <w:rsid w:val="36CC7811"/>
    <w:rsid w:val="36D466C5"/>
    <w:rsid w:val="36D63E3F"/>
    <w:rsid w:val="36DD1A1E"/>
    <w:rsid w:val="36FA05C9"/>
    <w:rsid w:val="370B205A"/>
    <w:rsid w:val="37265173"/>
    <w:rsid w:val="3727713D"/>
    <w:rsid w:val="37307FF9"/>
    <w:rsid w:val="37335AE2"/>
    <w:rsid w:val="375021F0"/>
    <w:rsid w:val="376610BC"/>
    <w:rsid w:val="37774F24"/>
    <w:rsid w:val="37805E9B"/>
    <w:rsid w:val="3796253D"/>
    <w:rsid w:val="37C8622A"/>
    <w:rsid w:val="37E312B6"/>
    <w:rsid w:val="37E54F35"/>
    <w:rsid w:val="37E96EFA"/>
    <w:rsid w:val="37EF5EA7"/>
    <w:rsid w:val="381274A5"/>
    <w:rsid w:val="38500B74"/>
    <w:rsid w:val="38713DDA"/>
    <w:rsid w:val="38747024"/>
    <w:rsid w:val="387C01E2"/>
    <w:rsid w:val="387F34EE"/>
    <w:rsid w:val="388E7474"/>
    <w:rsid w:val="389425B0"/>
    <w:rsid w:val="389E6F8B"/>
    <w:rsid w:val="38AE11D6"/>
    <w:rsid w:val="38EB5776"/>
    <w:rsid w:val="38F10F58"/>
    <w:rsid w:val="38F27A29"/>
    <w:rsid w:val="38FB73DB"/>
    <w:rsid w:val="390C1514"/>
    <w:rsid w:val="3917018D"/>
    <w:rsid w:val="391D07F7"/>
    <w:rsid w:val="39261146"/>
    <w:rsid w:val="39333B77"/>
    <w:rsid w:val="393A1311"/>
    <w:rsid w:val="393D2C48"/>
    <w:rsid w:val="394B7113"/>
    <w:rsid w:val="39565AB7"/>
    <w:rsid w:val="39644BE0"/>
    <w:rsid w:val="39842625"/>
    <w:rsid w:val="399860D0"/>
    <w:rsid w:val="399902DF"/>
    <w:rsid w:val="39B822CE"/>
    <w:rsid w:val="39B9243C"/>
    <w:rsid w:val="39BC03B9"/>
    <w:rsid w:val="39BC3B6C"/>
    <w:rsid w:val="39C26CA9"/>
    <w:rsid w:val="39C46EC5"/>
    <w:rsid w:val="39CB2647"/>
    <w:rsid w:val="39D13637"/>
    <w:rsid w:val="39E13F73"/>
    <w:rsid w:val="39EA65E9"/>
    <w:rsid w:val="39F96589"/>
    <w:rsid w:val="39FE5A17"/>
    <w:rsid w:val="3A2350E9"/>
    <w:rsid w:val="3A250F6F"/>
    <w:rsid w:val="3A3D36E0"/>
    <w:rsid w:val="3A476400"/>
    <w:rsid w:val="3A4A73CA"/>
    <w:rsid w:val="3A4D6EBA"/>
    <w:rsid w:val="3A6C5593"/>
    <w:rsid w:val="3A804B9A"/>
    <w:rsid w:val="3A8F302F"/>
    <w:rsid w:val="3AAD7959"/>
    <w:rsid w:val="3AD13648"/>
    <w:rsid w:val="3AD76784"/>
    <w:rsid w:val="3AD969A0"/>
    <w:rsid w:val="3AE20145"/>
    <w:rsid w:val="3AE731AC"/>
    <w:rsid w:val="3AE96BE3"/>
    <w:rsid w:val="3B1F45EA"/>
    <w:rsid w:val="3B2C6AD0"/>
    <w:rsid w:val="3B3140E6"/>
    <w:rsid w:val="3B337E5E"/>
    <w:rsid w:val="3B353AFA"/>
    <w:rsid w:val="3B366E5F"/>
    <w:rsid w:val="3B3E6803"/>
    <w:rsid w:val="3B5322AF"/>
    <w:rsid w:val="3B5F641C"/>
    <w:rsid w:val="3B6B584A"/>
    <w:rsid w:val="3B7D37CF"/>
    <w:rsid w:val="3B903503"/>
    <w:rsid w:val="3B983D42"/>
    <w:rsid w:val="3B9B7493"/>
    <w:rsid w:val="3BA222CD"/>
    <w:rsid w:val="3BAE1BDB"/>
    <w:rsid w:val="3BBC60A6"/>
    <w:rsid w:val="3BDF1D94"/>
    <w:rsid w:val="3BEE1FD7"/>
    <w:rsid w:val="3C0E22CD"/>
    <w:rsid w:val="3C215F09"/>
    <w:rsid w:val="3C237ED3"/>
    <w:rsid w:val="3C3A6FCB"/>
    <w:rsid w:val="3C3C71E7"/>
    <w:rsid w:val="3C4B567C"/>
    <w:rsid w:val="3C511972"/>
    <w:rsid w:val="3C5502A8"/>
    <w:rsid w:val="3C5C4DA4"/>
    <w:rsid w:val="3C674EB4"/>
    <w:rsid w:val="3C7875EC"/>
    <w:rsid w:val="3C7921E9"/>
    <w:rsid w:val="3C7D70DA"/>
    <w:rsid w:val="3C7E29A7"/>
    <w:rsid w:val="3C905550"/>
    <w:rsid w:val="3CA628B2"/>
    <w:rsid w:val="3CAD3C40"/>
    <w:rsid w:val="3CB5259F"/>
    <w:rsid w:val="3CB649C8"/>
    <w:rsid w:val="3CBA5DA4"/>
    <w:rsid w:val="3CC80A7A"/>
    <w:rsid w:val="3CD46768"/>
    <w:rsid w:val="3CDD0A65"/>
    <w:rsid w:val="3CE21B3C"/>
    <w:rsid w:val="3CE37662"/>
    <w:rsid w:val="3CE814F5"/>
    <w:rsid w:val="3CF33D49"/>
    <w:rsid w:val="3CF71E19"/>
    <w:rsid w:val="3D0777F5"/>
    <w:rsid w:val="3D08531B"/>
    <w:rsid w:val="3D0A1614"/>
    <w:rsid w:val="3D0A6FFE"/>
    <w:rsid w:val="3D0D46DF"/>
    <w:rsid w:val="3D1C4922"/>
    <w:rsid w:val="3D1F4D9A"/>
    <w:rsid w:val="3D245F63"/>
    <w:rsid w:val="3D2D2942"/>
    <w:rsid w:val="3D3B749E"/>
    <w:rsid w:val="3D5818DD"/>
    <w:rsid w:val="3D60541C"/>
    <w:rsid w:val="3D89645B"/>
    <w:rsid w:val="3D9170BE"/>
    <w:rsid w:val="3D9178EC"/>
    <w:rsid w:val="3DA52B6A"/>
    <w:rsid w:val="3DA72F17"/>
    <w:rsid w:val="3DAE5EC2"/>
    <w:rsid w:val="3DBD4357"/>
    <w:rsid w:val="3DBD7EB3"/>
    <w:rsid w:val="3DCB0822"/>
    <w:rsid w:val="3DDB658B"/>
    <w:rsid w:val="3DDD0555"/>
    <w:rsid w:val="3DE83760"/>
    <w:rsid w:val="3DEF6B4B"/>
    <w:rsid w:val="3DF02037"/>
    <w:rsid w:val="3E03620E"/>
    <w:rsid w:val="3E125E28"/>
    <w:rsid w:val="3E1F291C"/>
    <w:rsid w:val="3E2C6DE7"/>
    <w:rsid w:val="3E610678"/>
    <w:rsid w:val="3E7964D0"/>
    <w:rsid w:val="3E7E2A01"/>
    <w:rsid w:val="3E864749"/>
    <w:rsid w:val="3EA75574"/>
    <w:rsid w:val="3EA82911"/>
    <w:rsid w:val="3EAF3CA0"/>
    <w:rsid w:val="3ED53B81"/>
    <w:rsid w:val="3EE4419B"/>
    <w:rsid w:val="3EE85404"/>
    <w:rsid w:val="3EF00B97"/>
    <w:rsid w:val="3EF117E3"/>
    <w:rsid w:val="3EF47905"/>
    <w:rsid w:val="3F012022"/>
    <w:rsid w:val="3F141D55"/>
    <w:rsid w:val="3F2319D0"/>
    <w:rsid w:val="3F2C5F6F"/>
    <w:rsid w:val="3F3101B5"/>
    <w:rsid w:val="3F42587F"/>
    <w:rsid w:val="3F4563B2"/>
    <w:rsid w:val="3F4A03B8"/>
    <w:rsid w:val="3F4E5B4C"/>
    <w:rsid w:val="3F5C1E50"/>
    <w:rsid w:val="3F823162"/>
    <w:rsid w:val="3F8778D8"/>
    <w:rsid w:val="3FAE03FB"/>
    <w:rsid w:val="3FC45529"/>
    <w:rsid w:val="3FCB79CF"/>
    <w:rsid w:val="3FD270BD"/>
    <w:rsid w:val="3FF016A6"/>
    <w:rsid w:val="3FF767A1"/>
    <w:rsid w:val="4001677D"/>
    <w:rsid w:val="402B1A4C"/>
    <w:rsid w:val="4045335C"/>
    <w:rsid w:val="40503261"/>
    <w:rsid w:val="405530BA"/>
    <w:rsid w:val="40553EE1"/>
    <w:rsid w:val="405C4FF7"/>
    <w:rsid w:val="406154FB"/>
    <w:rsid w:val="40662AE7"/>
    <w:rsid w:val="406D04B2"/>
    <w:rsid w:val="407418B3"/>
    <w:rsid w:val="407F661D"/>
    <w:rsid w:val="40A8309D"/>
    <w:rsid w:val="40AB1D25"/>
    <w:rsid w:val="40BF2194"/>
    <w:rsid w:val="40C32F96"/>
    <w:rsid w:val="40F57964"/>
    <w:rsid w:val="40F76862"/>
    <w:rsid w:val="410A318F"/>
    <w:rsid w:val="410F0A26"/>
    <w:rsid w:val="413761CE"/>
    <w:rsid w:val="413843FB"/>
    <w:rsid w:val="41395AA3"/>
    <w:rsid w:val="414C7ECC"/>
    <w:rsid w:val="414D688E"/>
    <w:rsid w:val="41636FC4"/>
    <w:rsid w:val="416C06CB"/>
    <w:rsid w:val="416C08AA"/>
    <w:rsid w:val="416D1BF0"/>
    <w:rsid w:val="41757067"/>
    <w:rsid w:val="41761A93"/>
    <w:rsid w:val="41916E02"/>
    <w:rsid w:val="41923405"/>
    <w:rsid w:val="419E624E"/>
    <w:rsid w:val="419E677A"/>
    <w:rsid w:val="41A37D2A"/>
    <w:rsid w:val="41B33139"/>
    <w:rsid w:val="41E165FD"/>
    <w:rsid w:val="41EB3208"/>
    <w:rsid w:val="41FA7928"/>
    <w:rsid w:val="42295B8D"/>
    <w:rsid w:val="42352655"/>
    <w:rsid w:val="42556937"/>
    <w:rsid w:val="425A2175"/>
    <w:rsid w:val="42666D6B"/>
    <w:rsid w:val="42750D5C"/>
    <w:rsid w:val="42786A9F"/>
    <w:rsid w:val="427D349E"/>
    <w:rsid w:val="42823479"/>
    <w:rsid w:val="428A56B4"/>
    <w:rsid w:val="4290203A"/>
    <w:rsid w:val="42A56A27"/>
    <w:rsid w:val="42B03E1D"/>
    <w:rsid w:val="42B555FD"/>
    <w:rsid w:val="42B57666"/>
    <w:rsid w:val="42BB3C20"/>
    <w:rsid w:val="42BF022A"/>
    <w:rsid w:val="42C10446"/>
    <w:rsid w:val="42DA32B5"/>
    <w:rsid w:val="42DD3A38"/>
    <w:rsid w:val="42ED4D97"/>
    <w:rsid w:val="4305305C"/>
    <w:rsid w:val="430D71E7"/>
    <w:rsid w:val="43517152"/>
    <w:rsid w:val="435C016E"/>
    <w:rsid w:val="43721740"/>
    <w:rsid w:val="43811983"/>
    <w:rsid w:val="43853221"/>
    <w:rsid w:val="43856F9F"/>
    <w:rsid w:val="4386281F"/>
    <w:rsid w:val="4387343D"/>
    <w:rsid w:val="438F2FEE"/>
    <w:rsid w:val="43AE1D59"/>
    <w:rsid w:val="43BE622F"/>
    <w:rsid w:val="43D674C5"/>
    <w:rsid w:val="43D877F5"/>
    <w:rsid w:val="43EB3AA1"/>
    <w:rsid w:val="43ED075C"/>
    <w:rsid w:val="43F14D5A"/>
    <w:rsid w:val="43F35AE4"/>
    <w:rsid w:val="43F91594"/>
    <w:rsid w:val="43FD53B3"/>
    <w:rsid w:val="43FF118F"/>
    <w:rsid w:val="43FF153D"/>
    <w:rsid w:val="4401529F"/>
    <w:rsid w:val="442450ED"/>
    <w:rsid w:val="442567B2"/>
    <w:rsid w:val="443F19E2"/>
    <w:rsid w:val="44436949"/>
    <w:rsid w:val="444F2CB8"/>
    <w:rsid w:val="446E1F07"/>
    <w:rsid w:val="44955D44"/>
    <w:rsid w:val="44B26298"/>
    <w:rsid w:val="44CC09F0"/>
    <w:rsid w:val="44E126D9"/>
    <w:rsid w:val="450E783A"/>
    <w:rsid w:val="451C67A8"/>
    <w:rsid w:val="45232CF2"/>
    <w:rsid w:val="4529315D"/>
    <w:rsid w:val="452D1DC2"/>
    <w:rsid w:val="453273D9"/>
    <w:rsid w:val="454B049A"/>
    <w:rsid w:val="45505AB1"/>
    <w:rsid w:val="455F7AA2"/>
    <w:rsid w:val="45637592"/>
    <w:rsid w:val="45723C79"/>
    <w:rsid w:val="45806396"/>
    <w:rsid w:val="458614D2"/>
    <w:rsid w:val="45950735"/>
    <w:rsid w:val="459613CA"/>
    <w:rsid w:val="45A73292"/>
    <w:rsid w:val="45A73923"/>
    <w:rsid w:val="45AD256B"/>
    <w:rsid w:val="45C5022B"/>
    <w:rsid w:val="45E05087"/>
    <w:rsid w:val="45E701C3"/>
    <w:rsid w:val="45EA700D"/>
    <w:rsid w:val="45F04F5B"/>
    <w:rsid w:val="45F975D5"/>
    <w:rsid w:val="46144D30"/>
    <w:rsid w:val="461D5993"/>
    <w:rsid w:val="461E795D"/>
    <w:rsid w:val="4629258A"/>
    <w:rsid w:val="46541B0B"/>
    <w:rsid w:val="46676CCD"/>
    <w:rsid w:val="466E2692"/>
    <w:rsid w:val="467F03FC"/>
    <w:rsid w:val="46841EB6"/>
    <w:rsid w:val="4698770F"/>
    <w:rsid w:val="46A53F63"/>
    <w:rsid w:val="46B03CA8"/>
    <w:rsid w:val="46C600A2"/>
    <w:rsid w:val="46CF2C6D"/>
    <w:rsid w:val="46FD1503"/>
    <w:rsid w:val="47024872"/>
    <w:rsid w:val="4719254A"/>
    <w:rsid w:val="47356AD1"/>
    <w:rsid w:val="47391241"/>
    <w:rsid w:val="4743164D"/>
    <w:rsid w:val="47507FEA"/>
    <w:rsid w:val="47590C4D"/>
    <w:rsid w:val="475A49C5"/>
    <w:rsid w:val="47615D53"/>
    <w:rsid w:val="476D294A"/>
    <w:rsid w:val="47724E15"/>
    <w:rsid w:val="47743CD8"/>
    <w:rsid w:val="47782E15"/>
    <w:rsid w:val="477912EF"/>
    <w:rsid w:val="477B2C8C"/>
    <w:rsid w:val="47835CCA"/>
    <w:rsid w:val="47841A42"/>
    <w:rsid w:val="47863A0C"/>
    <w:rsid w:val="4799572D"/>
    <w:rsid w:val="479F720D"/>
    <w:rsid w:val="47A10846"/>
    <w:rsid w:val="47BD6A22"/>
    <w:rsid w:val="47CF1229"/>
    <w:rsid w:val="47DE73A4"/>
    <w:rsid w:val="47E10C42"/>
    <w:rsid w:val="47EF74AA"/>
    <w:rsid w:val="47F26842"/>
    <w:rsid w:val="480D7C89"/>
    <w:rsid w:val="48117779"/>
    <w:rsid w:val="48186A9F"/>
    <w:rsid w:val="481A7519"/>
    <w:rsid w:val="48242B78"/>
    <w:rsid w:val="483B47F6"/>
    <w:rsid w:val="484D0E76"/>
    <w:rsid w:val="485D29BF"/>
    <w:rsid w:val="485E04E5"/>
    <w:rsid w:val="4873326A"/>
    <w:rsid w:val="48802C4C"/>
    <w:rsid w:val="488D5CEA"/>
    <w:rsid w:val="48A136C6"/>
    <w:rsid w:val="48A62240"/>
    <w:rsid w:val="48AB0FBE"/>
    <w:rsid w:val="48AF755B"/>
    <w:rsid w:val="48B819A3"/>
    <w:rsid w:val="48BC749A"/>
    <w:rsid w:val="48C61658"/>
    <w:rsid w:val="48DB684A"/>
    <w:rsid w:val="49107A31"/>
    <w:rsid w:val="491F07C3"/>
    <w:rsid w:val="4922204C"/>
    <w:rsid w:val="49261002"/>
    <w:rsid w:val="49403596"/>
    <w:rsid w:val="494D658F"/>
    <w:rsid w:val="4953345A"/>
    <w:rsid w:val="495A6EFE"/>
    <w:rsid w:val="496438D9"/>
    <w:rsid w:val="49667651"/>
    <w:rsid w:val="496B667B"/>
    <w:rsid w:val="4977185E"/>
    <w:rsid w:val="4977360C"/>
    <w:rsid w:val="497E15BE"/>
    <w:rsid w:val="49847CA8"/>
    <w:rsid w:val="49A01F26"/>
    <w:rsid w:val="49A06CF5"/>
    <w:rsid w:val="49B03A79"/>
    <w:rsid w:val="49C922FB"/>
    <w:rsid w:val="49CB7EAA"/>
    <w:rsid w:val="49D62A28"/>
    <w:rsid w:val="49FC1D63"/>
    <w:rsid w:val="4A1470AD"/>
    <w:rsid w:val="4A2C2648"/>
    <w:rsid w:val="4A3D5D7E"/>
    <w:rsid w:val="4A4060F4"/>
    <w:rsid w:val="4A6873F9"/>
    <w:rsid w:val="4A761C74"/>
    <w:rsid w:val="4A7D4C52"/>
    <w:rsid w:val="4A8D3982"/>
    <w:rsid w:val="4A981A8C"/>
    <w:rsid w:val="4A9E529C"/>
    <w:rsid w:val="4AA67BE3"/>
    <w:rsid w:val="4AAA4E4F"/>
    <w:rsid w:val="4AAD2B10"/>
    <w:rsid w:val="4AB17FA5"/>
    <w:rsid w:val="4AB34B18"/>
    <w:rsid w:val="4AB47327"/>
    <w:rsid w:val="4ACE27F7"/>
    <w:rsid w:val="4AE50A49"/>
    <w:rsid w:val="4AE80987"/>
    <w:rsid w:val="4B266B52"/>
    <w:rsid w:val="4B3321B9"/>
    <w:rsid w:val="4B4C0AC8"/>
    <w:rsid w:val="4B644064"/>
    <w:rsid w:val="4B72052F"/>
    <w:rsid w:val="4B9C37FE"/>
    <w:rsid w:val="4BA40904"/>
    <w:rsid w:val="4BBD5522"/>
    <w:rsid w:val="4BC27029"/>
    <w:rsid w:val="4BCA3A14"/>
    <w:rsid w:val="4BD2793A"/>
    <w:rsid w:val="4BD74836"/>
    <w:rsid w:val="4BE13907"/>
    <w:rsid w:val="4BFA282F"/>
    <w:rsid w:val="4C066EC9"/>
    <w:rsid w:val="4C3B4DC5"/>
    <w:rsid w:val="4C6360CA"/>
    <w:rsid w:val="4C7377BB"/>
    <w:rsid w:val="4C891CB4"/>
    <w:rsid w:val="4C8E75EA"/>
    <w:rsid w:val="4CA50490"/>
    <w:rsid w:val="4CA961D2"/>
    <w:rsid w:val="4CBF6B03"/>
    <w:rsid w:val="4CCA7EF7"/>
    <w:rsid w:val="4CD55219"/>
    <w:rsid w:val="4CF907DC"/>
    <w:rsid w:val="4CFB1062"/>
    <w:rsid w:val="4CFE4441"/>
    <w:rsid w:val="4CFF2296"/>
    <w:rsid w:val="4CFF4044"/>
    <w:rsid w:val="4D073AD4"/>
    <w:rsid w:val="4D0936F1"/>
    <w:rsid w:val="4D0C722A"/>
    <w:rsid w:val="4D0F1DAD"/>
    <w:rsid w:val="4D221454"/>
    <w:rsid w:val="4D3005D6"/>
    <w:rsid w:val="4D3027A7"/>
    <w:rsid w:val="4D3B28D9"/>
    <w:rsid w:val="4D564E3E"/>
    <w:rsid w:val="4D5B0EA9"/>
    <w:rsid w:val="4D5F0F87"/>
    <w:rsid w:val="4D7220BC"/>
    <w:rsid w:val="4D724878"/>
    <w:rsid w:val="4D751DA4"/>
    <w:rsid w:val="4D834219"/>
    <w:rsid w:val="4D8D78A2"/>
    <w:rsid w:val="4D986247"/>
    <w:rsid w:val="4DA30E74"/>
    <w:rsid w:val="4DA62712"/>
    <w:rsid w:val="4DD1775B"/>
    <w:rsid w:val="4DD4404A"/>
    <w:rsid w:val="4DE726A0"/>
    <w:rsid w:val="4DE82D2A"/>
    <w:rsid w:val="4DEB6377"/>
    <w:rsid w:val="4DF244E6"/>
    <w:rsid w:val="4DF33A40"/>
    <w:rsid w:val="4E0351F4"/>
    <w:rsid w:val="4E192A1D"/>
    <w:rsid w:val="4E2E00BC"/>
    <w:rsid w:val="4E305B24"/>
    <w:rsid w:val="4E3221F7"/>
    <w:rsid w:val="4E395334"/>
    <w:rsid w:val="4E4402CE"/>
    <w:rsid w:val="4E4C150B"/>
    <w:rsid w:val="4E5C7274"/>
    <w:rsid w:val="4E643A92"/>
    <w:rsid w:val="4E7520E4"/>
    <w:rsid w:val="4E760913"/>
    <w:rsid w:val="4E7740AE"/>
    <w:rsid w:val="4E8658E4"/>
    <w:rsid w:val="4E8A2033"/>
    <w:rsid w:val="4E905A91"/>
    <w:rsid w:val="4E957E81"/>
    <w:rsid w:val="4E9904C8"/>
    <w:rsid w:val="4EA64E5A"/>
    <w:rsid w:val="4EA824BA"/>
    <w:rsid w:val="4EAA7FE0"/>
    <w:rsid w:val="4EB86BA1"/>
    <w:rsid w:val="4EDE5EDB"/>
    <w:rsid w:val="4EFB41B1"/>
    <w:rsid w:val="4F10078B"/>
    <w:rsid w:val="4F14707F"/>
    <w:rsid w:val="4F251D5C"/>
    <w:rsid w:val="4F2A1121"/>
    <w:rsid w:val="4F386687"/>
    <w:rsid w:val="4F4B17C3"/>
    <w:rsid w:val="4F9F37C1"/>
    <w:rsid w:val="4FA0465B"/>
    <w:rsid w:val="4FA15887"/>
    <w:rsid w:val="4FA4272E"/>
    <w:rsid w:val="4FB37368"/>
    <w:rsid w:val="4FE44729"/>
    <w:rsid w:val="4FE45773"/>
    <w:rsid w:val="4FFC543E"/>
    <w:rsid w:val="4FFE6835"/>
    <w:rsid w:val="50011E81"/>
    <w:rsid w:val="500831FE"/>
    <w:rsid w:val="500A1AFB"/>
    <w:rsid w:val="50233072"/>
    <w:rsid w:val="503138A7"/>
    <w:rsid w:val="50326C26"/>
    <w:rsid w:val="504B75A0"/>
    <w:rsid w:val="50504FC2"/>
    <w:rsid w:val="50563380"/>
    <w:rsid w:val="50632B3C"/>
    <w:rsid w:val="507765E7"/>
    <w:rsid w:val="509A57A1"/>
    <w:rsid w:val="50B213CE"/>
    <w:rsid w:val="50C64E79"/>
    <w:rsid w:val="50D148C7"/>
    <w:rsid w:val="50D14BB5"/>
    <w:rsid w:val="50D2575A"/>
    <w:rsid w:val="50DC5C2D"/>
    <w:rsid w:val="50E53B70"/>
    <w:rsid w:val="5100482F"/>
    <w:rsid w:val="510559A1"/>
    <w:rsid w:val="51426BF5"/>
    <w:rsid w:val="515133BE"/>
    <w:rsid w:val="515661FD"/>
    <w:rsid w:val="51662D0D"/>
    <w:rsid w:val="51752B27"/>
    <w:rsid w:val="5176689F"/>
    <w:rsid w:val="518E2CCA"/>
    <w:rsid w:val="51976F41"/>
    <w:rsid w:val="51A477C2"/>
    <w:rsid w:val="51A6381D"/>
    <w:rsid w:val="51AB6549"/>
    <w:rsid w:val="51B01DB1"/>
    <w:rsid w:val="51B178D7"/>
    <w:rsid w:val="51B573C7"/>
    <w:rsid w:val="51B65B2B"/>
    <w:rsid w:val="51BC4AE0"/>
    <w:rsid w:val="51C969CF"/>
    <w:rsid w:val="51D72BBD"/>
    <w:rsid w:val="51DA5080"/>
    <w:rsid w:val="51E14F57"/>
    <w:rsid w:val="51E24BEC"/>
    <w:rsid w:val="51F45C15"/>
    <w:rsid w:val="51F577C4"/>
    <w:rsid w:val="51F83758"/>
    <w:rsid w:val="51FC4FF6"/>
    <w:rsid w:val="52026E95"/>
    <w:rsid w:val="52060490"/>
    <w:rsid w:val="52065E75"/>
    <w:rsid w:val="521368F9"/>
    <w:rsid w:val="521B3445"/>
    <w:rsid w:val="522D51B0"/>
    <w:rsid w:val="522E2CD6"/>
    <w:rsid w:val="52483D98"/>
    <w:rsid w:val="524D0C86"/>
    <w:rsid w:val="525A7982"/>
    <w:rsid w:val="525A7F6F"/>
    <w:rsid w:val="526A01B2"/>
    <w:rsid w:val="526D01DC"/>
    <w:rsid w:val="52727DC1"/>
    <w:rsid w:val="5276259E"/>
    <w:rsid w:val="528543B7"/>
    <w:rsid w:val="529C0587"/>
    <w:rsid w:val="529E3DA2"/>
    <w:rsid w:val="52A70657"/>
    <w:rsid w:val="52F757BE"/>
    <w:rsid w:val="530D6D8F"/>
    <w:rsid w:val="532D0FFE"/>
    <w:rsid w:val="53355DEE"/>
    <w:rsid w:val="53395DD6"/>
    <w:rsid w:val="533E33EC"/>
    <w:rsid w:val="534A3B3F"/>
    <w:rsid w:val="53542C10"/>
    <w:rsid w:val="535A2C04"/>
    <w:rsid w:val="535D1AC5"/>
    <w:rsid w:val="53654E1D"/>
    <w:rsid w:val="536F7A4A"/>
    <w:rsid w:val="53715570"/>
    <w:rsid w:val="53755060"/>
    <w:rsid w:val="53784B50"/>
    <w:rsid w:val="537E1A3B"/>
    <w:rsid w:val="537E762E"/>
    <w:rsid w:val="538B55F1"/>
    <w:rsid w:val="539162DA"/>
    <w:rsid w:val="539E42B0"/>
    <w:rsid w:val="53AE40CE"/>
    <w:rsid w:val="53B0084B"/>
    <w:rsid w:val="53D31D87"/>
    <w:rsid w:val="53D53D51"/>
    <w:rsid w:val="53DB6E8D"/>
    <w:rsid w:val="53E04E54"/>
    <w:rsid w:val="54014B46"/>
    <w:rsid w:val="54063F0A"/>
    <w:rsid w:val="54190ED8"/>
    <w:rsid w:val="541C372E"/>
    <w:rsid w:val="541C6976"/>
    <w:rsid w:val="54244390"/>
    <w:rsid w:val="543176F1"/>
    <w:rsid w:val="54443E9D"/>
    <w:rsid w:val="54492049"/>
    <w:rsid w:val="546B6463"/>
    <w:rsid w:val="546C08E9"/>
    <w:rsid w:val="54705828"/>
    <w:rsid w:val="547C41CC"/>
    <w:rsid w:val="548D2323"/>
    <w:rsid w:val="548D63DA"/>
    <w:rsid w:val="548E5CAE"/>
    <w:rsid w:val="54901A26"/>
    <w:rsid w:val="54A76E54"/>
    <w:rsid w:val="54A84FC1"/>
    <w:rsid w:val="54AD082A"/>
    <w:rsid w:val="54B17190"/>
    <w:rsid w:val="54B85DDB"/>
    <w:rsid w:val="54D04518"/>
    <w:rsid w:val="54D537A6"/>
    <w:rsid w:val="54D9161F"/>
    <w:rsid w:val="54E13EC1"/>
    <w:rsid w:val="54F9581D"/>
    <w:rsid w:val="550E6D25"/>
    <w:rsid w:val="550F5041"/>
    <w:rsid w:val="551D59AF"/>
    <w:rsid w:val="55416218"/>
    <w:rsid w:val="55432F3C"/>
    <w:rsid w:val="556C5FEF"/>
    <w:rsid w:val="55774994"/>
    <w:rsid w:val="55811A3A"/>
    <w:rsid w:val="5583158B"/>
    <w:rsid w:val="558C043F"/>
    <w:rsid w:val="558F315A"/>
    <w:rsid w:val="55990DAE"/>
    <w:rsid w:val="55A5175D"/>
    <w:rsid w:val="55B47996"/>
    <w:rsid w:val="55B94FAC"/>
    <w:rsid w:val="55BC7788"/>
    <w:rsid w:val="55CF47D0"/>
    <w:rsid w:val="55D34B6C"/>
    <w:rsid w:val="55DA564E"/>
    <w:rsid w:val="55DF4A13"/>
    <w:rsid w:val="55E02539"/>
    <w:rsid w:val="55E0536E"/>
    <w:rsid w:val="55E9434C"/>
    <w:rsid w:val="55EB0E02"/>
    <w:rsid w:val="55F70A09"/>
    <w:rsid w:val="55FA2E24"/>
    <w:rsid w:val="56051FA0"/>
    <w:rsid w:val="56222CEA"/>
    <w:rsid w:val="563263D1"/>
    <w:rsid w:val="56327239"/>
    <w:rsid w:val="5634526A"/>
    <w:rsid w:val="56837DBC"/>
    <w:rsid w:val="56856D59"/>
    <w:rsid w:val="56867584"/>
    <w:rsid w:val="56870E70"/>
    <w:rsid w:val="56AF0889"/>
    <w:rsid w:val="56BD6587"/>
    <w:rsid w:val="56CE31FA"/>
    <w:rsid w:val="56D91888"/>
    <w:rsid w:val="56E85B49"/>
    <w:rsid w:val="56EA7B13"/>
    <w:rsid w:val="56F8177A"/>
    <w:rsid w:val="573967DC"/>
    <w:rsid w:val="57526898"/>
    <w:rsid w:val="57557B9F"/>
    <w:rsid w:val="57811AFA"/>
    <w:rsid w:val="57875362"/>
    <w:rsid w:val="579B0E0D"/>
    <w:rsid w:val="57A726CA"/>
    <w:rsid w:val="57B91294"/>
    <w:rsid w:val="57BD6FD6"/>
    <w:rsid w:val="57C739B1"/>
    <w:rsid w:val="57C77E54"/>
    <w:rsid w:val="57C9715E"/>
    <w:rsid w:val="57D60097"/>
    <w:rsid w:val="57D63BF4"/>
    <w:rsid w:val="57DB0B51"/>
    <w:rsid w:val="57F347A6"/>
    <w:rsid w:val="57F8000E"/>
    <w:rsid w:val="580E502A"/>
    <w:rsid w:val="581F37ED"/>
    <w:rsid w:val="583F79EB"/>
    <w:rsid w:val="58507E4A"/>
    <w:rsid w:val="58666421"/>
    <w:rsid w:val="58746C22"/>
    <w:rsid w:val="58837FFD"/>
    <w:rsid w:val="589A60A7"/>
    <w:rsid w:val="58A3535A"/>
    <w:rsid w:val="58A95F55"/>
    <w:rsid w:val="58B71C77"/>
    <w:rsid w:val="58BC103B"/>
    <w:rsid w:val="58C83E84"/>
    <w:rsid w:val="58D52FBB"/>
    <w:rsid w:val="58DE5456"/>
    <w:rsid w:val="58E76D91"/>
    <w:rsid w:val="58E81E30"/>
    <w:rsid w:val="58ED38EB"/>
    <w:rsid w:val="58ED7447"/>
    <w:rsid w:val="59041801"/>
    <w:rsid w:val="5935645A"/>
    <w:rsid w:val="5936505F"/>
    <w:rsid w:val="593908DE"/>
    <w:rsid w:val="5955323E"/>
    <w:rsid w:val="596F471E"/>
    <w:rsid w:val="598E5452"/>
    <w:rsid w:val="59926240"/>
    <w:rsid w:val="59AF6DF2"/>
    <w:rsid w:val="59B95C32"/>
    <w:rsid w:val="59D86349"/>
    <w:rsid w:val="5A0709DC"/>
    <w:rsid w:val="5A0843E5"/>
    <w:rsid w:val="5A0C6818"/>
    <w:rsid w:val="5A0E1D6B"/>
    <w:rsid w:val="5A146C55"/>
    <w:rsid w:val="5A19111B"/>
    <w:rsid w:val="5A250E62"/>
    <w:rsid w:val="5A274BDA"/>
    <w:rsid w:val="5A27705D"/>
    <w:rsid w:val="5A2A35D9"/>
    <w:rsid w:val="5A471609"/>
    <w:rsid w:val="5A6A67C7"/>
    <w:rsid w:val="5A6F20DD"/>
    <w:rsid w:val="5A7E597B"/>
    <w:rsid w:val="5A8706FD"/>
    <w:rsid w:val="5A985AD8"/>
    <w:rsid w:val="5AB20948"/>
    <w:rsid w:val="5ACE0213"/>
    <w:rsid w:val="5AEB20AC"/>
    <w:rsid w:val="5AFC6067"/>
    <w:rsid w:val="5B0373F5"/>
    <w:rsid w:val="5B0F547B"/>
    <w:rsid w:val="5B21787C"/>
    <w:rsid w:val="5B305D11"/>
    <w:rsid w:val="5B307ABF"/>
    <w:rsid w:val="5B370E4D"/>
    <w:rsid w:val="5B3A0A62"/>
    <w:rsid w:val="5B516D9C"/>
    <w:rsid w:val="5B615D71"/>
    <w:rsid w:val="5B6519D7"/>
    <w:rsid w:val="5B885B4D"/>
    <w:rsid w:val="5B9A08D9"/>
    <w:rsid w:val="5B9E711E"/>
    <w:rsid w:val="5BBB6A24"/>
    <w:rsid w:val="5BC04E37"/>
    <w:rsid w:val="5BC16969"/>
    <w:rsid w:val="5BC66793"/>
    <w:rsid w:val="5BC70423"/>
    <w:rsid w:val="5BDD7C46"/>
    <w:rsid w:val="5BDE576D"/>
    <w:rsid w:val="5C0056E3"/>
    <w:rsid w:val="5C0A0310"/>
    <w:rsid w:val="5C1318BA"/>
    <w:rsid w:val="5C1A2433"/>
    <w:rsid w:val="5C1D0043"/>
    <w:rsid w:val="5C49708A"/>
    <w:rsid w:val="5C4C26D6"/>
    <w:rsid w:val="5C566C78"/>
    <w:rsid w:val="5C5E4709"/>
    <w:rsid w:val="5C6C4B26"/>
    <w:rsid w:val="5C71213D"/>
    <w:rsid w:val="5C735EB5"/>
    <w:rsid w:val="5C78626F"/>
    <w:rsid w:val="5C796815"/>
    <w:rsid w:val="5C7F0CFE"/>
    <w:rsid w:val="5C9C580A"/>
    <w:rsid w:val="5C9F1673"/>
    <w:rsid w:val="5CA04820"/>
    <w:rsid w:val="5CBC429F"/>
    <w:rsid w:val="5CCC1A69"/>
    <w:rsid w:val="5CCE1697"/>
    <w:rsid w:val="5CD32DF8"/>
    <w:rsid w:val="5CD8418D"/>
    <w:rsid w:val="5CEB1EEF"/>
    <w:rsid w:val="5D0A7175"/>
    <w:rsid w:val="5D1E796C"/>
    <w:rsid w:val="5D2D2508"/>
    <w:rsid w:val="5D3603BD"/>
    <w:rsid w:val="5D3B6F2A"/>
    <w:rsid w:val="5D4635C9"/>
    <w:rsid w:val="5D663C6C"/>
    <w:rsid w:val="5D694DC9"/>
    <w:rsid w:val="5D6E48CE"/>
    <w:rsid w:val="5D7A106F"/>
    <w:rsid w:val="5DB954F9"/>
    <w:rsid w:val="5DC310BE"/>
    <w:rsid w:val="5DC34C1A"/>
    <w:rsid w:val="5DDE5530"/>
    <w:rsid w:val="5DE22239"/>
    <w:rsid w:val="5DE2481A"/>
    <w:rsid w:val="5DE30E18"/>
    <w:rsid w:val="5E113BD7"/>
    <w:rsid w:val="5E127950"/>
    <w:rsid w:val="5E2B00B3"/>
    <w:rsid w:val="5E40270F"/>
    <w:rsid w:val="5E403F90"/>
    <w:rsid w:val="5E48511F"/>
    <w:rsid w:val="5E5341F0"/>
    <w:rsid w:val="5E5E5C71"/>
    <w:rsid w:val="5E6C52B2"/>
    <w:rsid w:val="5E714E68"/>
    <w:rsid w:val="5E772388"/>
    <w:rsid w:val="5E892293"/>
    <w:rsid w:val="5E971461"/>
    <w:rsid w:val="5E9A5FA3"/>
    <w:rsid w:val="5ED6245D"/>
    <w:rsid w:val="5EE44E48"/>
    <w:rsid w:val="5EE94B54"/>
    <w:rsid w:val="5EF9AFC6"/>
    <w:rsid w:val="5F0A3E4D"/>
    <w:rsid w:val="5F1020E1"/>
    <w:rsid w:val="5F1871E8"/>
    <w:rsid w:val="5F1D65AC"/>
    <w:rsid w:val="5F1F40D2"/>
    <w:rsid w:val="5F27742B"/>
    <w:rsid w:val="5F286AA2"/>
    <w:rsid w:val="5F3D09FC"/>
    <w:rsid w:val="5F404EAF"/>
    <w:rsid w:val="5F447FDD"/>
    <w:rsid w:val="5F475537"/>
    <w:rsid w:val="5F4B7D0C"/>
    <w:rsid w:val="5F4C5A56"/>
    <w:rsid w:val="5F4F0550"/>
    <w:rsid w:val="5F662BAB"/>
    <w:rsid w:val="5F767B79"/>
    <w:rsid w:val="5F887EC9"/>
    <w:rsid w:val="5F917A2A"/>
    <w:rsid w:val="5F9A7C8E"/>
    <w:rsid w:val="5FB43CD5"/>
    <w:rsid w:val="5FB567E4"/>
    <w:rsid w:val="5FBF7663"/>
    <w:rsid w:val="5FC133DB"/>
    <w:rsid w:val="5FC353A5"/>
    <w:rsid w:val="5FC44C79"/>
    <w:rsid w:val="5FD21144"/>
    <w:rsid w:val="5FF4555F"/>
    <w:rsid w:val="60067040"/>
    <w:rsid w:val="60251BBC"/>
    <w:rsid w:val="602D281F"/>
    <w:rsid w:val="603B318E"/>
    <w:rsid w:val="603C17DA"/>
    <w:rsid w:val="604925E3"/>
    <w:rsid w:val="60492E5C"/>
    <w:rsid w:val="6054424F"/>
    <w:rsid w:val="605C0804"/>
    <w:rsid w:val="605C4D38"/>
    <w:rsid w:val="60607BB3"/>
    <w:rsid w:val="607301CC"/>
    <w:rsid w:val="60790CD5"/>
    <w:rsid w:val="607D795A"/>
    <w:rsid w:val="608A5EC3"/>
    <w:rsid w:val="608C23F6"/>
    <w:rsid w:val="609F196E"/>
    <w:rsid w:val="60B90BF4"/>
    <w:rsid w:val="60CF1B28"/>
    <w:rsid w:val="60DB22E9"/>
    <w:rsid w:val="60DB671F"/>
    <w:rsid w:val="60E549EE"/>
    <w:rsid w:val="60EC1D05"/>
    <w:rsid w:val="60F313B0"/>
    <w:rsid w:val="60FA6BA5"/>
    <w:rsid w:val="61241E74"/>
    <w:rsid w:val="61265BEC"/>
    <w:rsid w:val="61374EBE"/>
    <w:rsid w:val="614E0C9F"/>
    <w:rsid w:val="616B17F2"/>
    <w:rsid w:val="616E7E24"/>
    <w:rsid w:val="61880850"/>
    <w:rsid w:val="618811F6"/>
    <w:rsid w:val="619031FE"/>
    <w:rsid w:val="619E191F"/>
    <w:rsid w:val="61A11716"/>
    <w:rsid w:val="61BF3EC7"/>
    <w:rsid w:val="61C41496"/>
    <w:rsid w:val="61C91EFF"/>
    <w:rsid w:val="61EF4230"/>
    <w:rsid w:val="61F23376"/>
    <w:rsid w:val="62035F2D"/>
    <w:rsid w:val="62060D16"/>
    <w:rsid w:val="62077D7F"/>
    <w:rsid w:val="623018DF"/>
    <w:rsid w:val="623F01CF"/>
    <w:rsid w:val="624B126E"/>
    <w:rsid w:val="625304A7"/>
    <w:rsid w:val="6275178F"/>
    <w:rsid w:val="627875F1"/>
    <w:rsid w:val="627D5CDF"/>
    <w:rsid w:val="629628FD"/>
    <w:rsid w:val="62AA45FB"/>
    <w:rsid w:val="62B13E15"/>
    <w:rsid w:val="62B92A90"/>
    <w:rsid w:val="62BA12A1"/>
    <w:rsid w:val="62BB2364"/>
    <w:rsid w:val="62BB6808"/>
    <w:rsid w:val="62C25F77"/>
    <w:rsid w:val="62D81168"/>
    <w:rsid w:val="62DB0C58"/>
    <w:rsid w:val="62E25B42"/>
    <w:rsid w:val="62EA0E9B"/>
    <w:rsid w:val="62FB6C04"/>
    <w:rsid w:val="62FF41CA"/>
    <w:rsid w:val="630E086F"/>
    <w:rsid w:val="630E2DDB"/>
    <w:rsid w:val="631321A0"/>
    <w:rsid w:val="63224191"/>
    <w:rsid w:val="632919C3"/>
    <w:rsid w:val="632B3441"/>
    <w:rsid w:val="63302D52"/>
    <w:rsid w:val="63381C06"/>
    <w:rsid w:val="633839B4"/>
    <w:rsid w:val="633F5597"/>
    <w:rsid w:val="636522D0"/>
    <w:rsid w:val="638B00E1"/>
    <w:rsid w:val="638C4CEB"/>
    <w:rsid w:val="639529C3"/>
    <w:rsid w:val="63995E6F"/>
    <w:rsid w:val="639D7038"/>
    <w:rsid w:val="63A23524"/>
    <w:rsid w:val="63A819E4"/>
    <w:rsid w:val="63BF6FD1"/>
    <w:rsid w:val="63C11BFC"/>
    <w:rsid w:val="63C92A42"/>
    <w:rsid w:val="63C94F54"/>
    <w:rsid w:val="63D556A7"/>
    <w:rsid w:val="63E32DD7"/>
    <w:rsid w:val="63E87188"/>
    <w:rsid w:val="63EC1709"/>
    <w:rsid w:val="63F20007"/>
    <w:rsid w:val="63FA510E"/>
    <w:rsid w:val="642D54E3"/>
    <w:rsid w:val="643B7C00"/>
    <w:rsid w:val="64432611"/>
    <w:rsid w:val="644C3BBB"/>
    <w:rsid w:val="645C7B76"/>
    <w:rsid w:val="648844C8"/>
    <w:rsid w:val="648D6D96"/>
    <w:rsid w:val="64AA07E9"/>
    <w:rsid w:val="64DD0462"/>
    <w:rsid w:val="64E21E2A"/>
    <w:rsid w:val="64EC45BF"/>
    <w:rsid w:val="64F12BD6"/>
    <w:rsid w:val="64F61D79"/>
    <w:rsid w:val="652341F0"/>
    <w:rsid w:val="653463FD"/>
    <w:rsid w:val="65393A14"/>
    <w:rsid w:val="653C09AB"/>
    <w:rsid w:val="654900FB"/>
    <w:rsid w:val="65586590"/>
    <w:rsid w:val="655B7E2E"/>
    <w:rsid w:val="656B5ACE"/>
    <w:rsid w:val="657F3B1C"/>
    <w:rsid w:val="65853440"/>
    <w:rsid w:val="65885DFF"/>
    <w:rsid w:val="658A4375"/>
    <w:rsid w:val="659613C4"/>
    <w:rsid w:val="65A45331"/>
    <w:rsid w:val="65C67F8E"/>
    <w:rsid w:val="65D025CA"/>
    <w:rsid w:val="65D8147F"/>
    <w:rsid w:val="65E06BF7"/>
    <w:rsid w:val="65E16585"/>
    <w:rsid w:val="66304E17"/>
    <w:rsid w:val="665723A3"/>
    <w:rsid w:val="668D2269"/>
    <w:rsid w:val="66A46EDA"/>
    <w:rsid w:val="66A83E99"/>
    <w:rsid w:val="66AA6108"/>
    <w:rsid w:val="66BE68C6"/>
    <w:rsid w:val="66C1019B"/>
    <w:rsid w:val="66C61D79"/>
    <w:rsid w:val="66EF56A6"/>
    <w:rsid w:val="66FF6F2F"/>
    <w:rsid w:val="670D6F06"/>
    <w:rsid w:val="671958AB"/>
    <w:rsid w:val="67303449"/>
    <w:rsid w:val="673B1CC5"/>
    <w:rsid w:val="673B6DCE"/>
    <w:rsid w:val="67404318"/>
    <w:rsid w:val="674D05B9"/>
    <w:rsid w:val="67530DBD"/>
    <w:rsid w:val="675E59B4"/>
    <w:rsid w:val="676409A8"/>
    <w:rsid w:val="67662772"/>
    <w:rsid w:val="677705DC"/>
    <w:rsid w:val="678075C9"/>
    <w:rsid w:val="67900263"/>
    <w:rsid w:val="679D472E"/>
    <w:rsid w:val="67A55390"/>
    <w:rsid w:val="67B11F87"/>
    <w:rsid w:val="67C24194"/>
    <w:rsid w:val="67C7594E"/>
    <w:rsid w:val="67CC4C70"/>
    <w:rsid w:val="67D363A2"/>
    <w:rsid w:val="67DB0DB2"/>
    <w:rsid w:val="67E4235D"/>
    <w:rsid w:val="67FD6F7B"/>
    <w:rsid w:val="680E2F36"/>
    <w:rsid w:val="68145F58"/>
    <w:rsid w:val="681D7BFC"/>
    <w:rsid w:val="68424C4D"/>
    <w:rsid w:val="68491692"/>
    <w:rsid w:val="684B6C4A"/>
    <w:rsid w:val="68541290"/>
    <w:rsid w:val="685B6B36"/>
    <w:rsid w:val="68660FC4"/>
    <w:rsid w:val="68810835"/>
    <w:rsid w:val="68A83A36"/>
    <w:rsid w:val="68B2022A"/>
    <w:rsid w:val="68B719CC"/>
    <w:rsid w:val="68C161FA"/>
    <w:rsid w:val="68CB1734"/>
    <w:rsid w:val="68EF4B15"/>
    <w:rsid w:val="69180510"/>
    <w:rsid w:val="69223398"/>
    <w:rsid w:val="692A30B4"/>
    <w:rsid w:val="6949654A"/>
    <w:rsid w:val="69557143"/>
    <w:rsid w:val="695928D6"/>
    <w:rsid w:val="695B7AA5"/>
    <w:rsid w:val="695F613F"/>
    <w:rsid w:val="6965711A"/>
    <w:rsid w:val="696F20FA"/>
    <w:rsid w:val="69731BEA"/>
    <w:rsid w:val="69790883"/>
    <w:rsid w:val="697C24CE"/>
    <w:rsid w:val="69913E1E"/>
    <w:rsid w:val="69934531"/>
    <w:rsid w:val="699D6C67"/>
    <w:rsid w:val="69A00505"/>
    <w:rsid w:val="69B0699A"/>
    <w:rsid w:val="69C04704"/>
    <w:rsid w:val="69CC2AF5"/>
    <w:rsid w:val="69DD62D2"/>
    <w:rsid w:val="69E421A0"/>
    <w:rsid w:val="69F06D97"/>
    <w:rsid w:val="69F60125"/>
    <w:rsid w:val="6A077302"/>
    <w:rsid w:val="6A0B1E23"/>
    <w:rsid w:val="6A0C186C"/>
    <w:rsid w:val="6A164324"/>
    <w:rsid w:val="6A1C5DDE"/>
    <w:rsid w:val="6A260A0B"/>
    <w:rsid w:val="6A3F387A"/>
    <w:rsid w:val="6A460CA7"/>
    <w:rsid w:val="6A4B26A9"/>
    <w:rsid w:val="6A5437CA"/>
    <w:rsid w:val="6A5E59A4"/>
    <w:rsid w:val="6A682DD1"/>
    <w:rsid w:val="6A6E6CFE"/>
    <w:rsid w:val="6A753B2B"/>
    <w:rsid w:val="6A7A07DA"/>
    <w:rsid w:val="6A9B5A2D"/>
    <w:rsid w:val="6AA10091"/>
    <w:rsid w:val="6AA301F3"/>
    <w:rsid w:val="6AAA2146"/>
    <w:rsid w:val="6AB778B5"/>
    <w:rsid w:val="6ABA4D28"/>
    <w:rsid w:val="6ABA73A5"/>
    <w:rsid w:val="6ABF6769"/>
    <w:rsid w:val="6AC024DD"/>
    <w:rsid w:val="6AC95471"/>
    <w:rsid w:val="6AD8049F"/>
    <w:rsid w:val="6AD95B90"/>
    <w:rsid w:val="6ADE0F1B"/>
    <w:rsid w:val="6AE425C4"/>
    <w:rsid w:val="6AF02DC7"/>
    <w:rsid w:val="6AF14574"/>
    <w:rsid w:val="6AF44665"/>
    <w:rsid w:val="6AF6662F"/>
    <w:rsid w:val="6B120965"/>
    <w:rsid w:val="6B18772C"/>
    <w:rsid w:val="6B250CC2"/>
    <w:rsid w:val="6B2A1E2D"/>
    <w:rsid w:val="6B2A606B"/>
    <w:rsid w:val="6B43739A"/>
    <w:rsid w:val="6B640DE7"/>
    <w:rsid w:val="6B7678FF"/>
    <w:rsid w:val="6B894DB5"/>
    <w:rsid w:val="6B8C7FF7"/>
    <w:rsid w:val="6B905A67"/>
    <w:rsid w:val="6BAA7419"/>
    <w:rsid w:val="6BBB5183"/>
    <w:rsid w:val="6BDA5F51"/>
    <w:rsid w:val="6BE566A3"/>
    <w:rsid w:val="6BE96194"/>
    <w:rsid w:val="6BED30BB"/>
    <w:rsid w:val="6C046B2A"/>
    <w:rsid w:val="6C163BC0"/>
    <w:rsid w:val="6C325740"/>
    <w:rsid w:val="6C460C65"/>
    <w:rsid w:val="6C660628"/>
    <w:rsid w:val="6C70052C"/>
    <w:rsid w:val="6C7C0DB6"/>
    <w:rsid w:val="6C7E15AE"/>
    <w:rsid w:val="6C80171F"/>
    <w:rsid w:val="6C832144"/>
    <w:rsid w:val="6C922387"/>
    <w:rsid w:val="6C9360FF"/>
    <w:rsid w:val="6CA200F0"/>
    <w:rsid w:val="6CA813D1"/>
    <w:rsid w:val="6CAF118B"/>
    <w:rsid w:val="6CBA7B30"/>
    <w:rsid w:val="6CBF3691"/>
    <w:rsid w:val="6CD9454E"/>
    <w:rsid w:val="6CE67ED1"/>
    <w:rsid w:val="6CE95D1F"/>
    <w:rsid w:val="6CFA2A62"/>
    <w:rsid w:val="6D296083"/>
    <w:rsid w:val="6D714693"/>
    <w:rsid w:val="6D745BF7"/>
    <w:rsid w:val="6D745F31"/>
    <w:rsid w:val="6D8048D6"/>
    <w:rsid w:val="6D9B526C"/>
    <w:rsid w:val="6DA305C4"/>
    <w:rsid w:val="6DB30807"/>
    <w:rsid w:val="6DB97DE8"/>
    <w:rsid w:val="6DBB590E"/>
    <w:rsid w:val="6DC522E8"/>
    <w:rsid w:val="6DC87723"/>
    <w:rsid w:val="6DCD73EF"/>
    <w:rsid w:val="6DF2264B"/>
    <w:rsid w:val="6DF24BE1"/>
    <w:rsid w:val="6DF36CBD"/>
    <w:rsid w:val="6E0C7F17"/>
    <w:rsid w:val="6E13574A"/>
    <w:rsid w:val="6E1731D8"/>
    <w:rsid w:val="6E1F7C4B"/>
    <w:rsid w:val="6E241705"/>
    <w:rsid w:val="6E2F04D1"/>
    <w:rsid w:val="6E315BD0"/>
    <w:rsid w:val="6E3D2E78"/>
    <w:rsid w:val="6E3E60DE"/>
    <w:rsid w:val="6E43286E"/>
    <w:rsid w:val="6E531FEA"/>
    <w:rsid w:val="6E5846EE"/>
    <w:rsid w:val="6E755ABD"/>
    <w:rsid w:val="6E8A26CE"/>
    <w:rsid w:val="6E930639"/>
    <w:rsid w:val="6EAC06D9"/>
    <w:rsid w:val="6EDD6A55"/>
    <w:rsid w:val="6EE77BC7"/>
    <w:rsid w:val="6EFA72E9"/>
    <w:rsid w:val="6EFC7F8C"/>
    <w:rsid w:val="6F06705D"/>
    <w:rsid w:val="6F08269A"/>
    <w:rsid w:val="6F086931"/>
    <w:rsid w:val="6F174DC6"/>
    <w:rsid w:val="6F282B2F"/>
    <w:rsid w:val="6F285225"/>
    <w:rsid w:val="6F2D283B"/>
    <w:rsid w:val="6F4D2110"/>
    <w:rsid w:val="6F4D6A39"/>
    <w:rsid w:val="6F582E56"/>
    <w:rsid w:val="6F71097A"/>
    <w:rsid w:val="6F773AB6"/>
    <w:rsid w:val="6F7B47D2"/>
    <w:rsid w:val="6F8B1310"/>
    <w:rsid w:val="6F8C7562"/>
    <w:rsid w:val="6F9957DB"/>
    <w:rsid w:val="6FA36659"/>
    <w:rsid w:val="6FA873CB"/>
    <w:rsid w:val="6FB63FF0"/>
    <w:rsid w:val="6FB7391E"/>
    <w:rsid w:val="6FC40E54"/>
    <w:rsid w:val="6FD42CB7"/>
    <w:rsid w:val="6FF66BCF"/>
    <w:rsid w:val="6FFB46E7"/>
    <w:rsid w:val="7007308C"/>
    <w:rsid w:val="701632CF"/>
    <w:rsid w:val="70292493"/>
    <w:rsid w:val="70333E81"/>
    <w:rsid w:val="70425E72"/>
    <w:rsid w:val="7059175E"/>
    <w:rsid w:val="706109EE"/>
    <w:rsid w:val="706511BE"/>
    <w:rsid w:val="7089584F"/>
    <w:rsid w:val="709D12FB"/>
    <w:rsid w:val="70D94A29"/>
    <w:rsid w:val="70DA254F"/>
    <w:rsid w:val="70E4517B"/>
    <w:rsid w:val="70EC2B65"/>
    <w:rsid w:val="71056B7D"/>
    <w:rsid w:val="710F044A"/>
    <w:rsid w:val="71235CA4"/>
    <w:rsid w:val="7137174F"/>
    <w:rsid w:val="71371BFD"/>
    <w:rsid w:val="71777D9E"/>
    <w:rsid w:val="71793333"/>
    <w:rsid w:val="717D7E75"/>
    <w:rsid w:val="7185070D"/>
    <w:rsid w:val="719E42EF"/>
    <w:rsid w:val="71A03995"/>
    <w:rsid w:val="71A212BE"/>
    <w:rsid w:val="71A87F57"/>
    <w:rsid w:val="71B903B6"/>
    <w:rsid w:val="71C22401"/>
    <w:rsid w:val="71D13952"/>
    <w:rsid w:val="71D84CE0"/>
    <w:rsid w:val="71E60A7F"/>
    <w:rsid w:val="71EA7B61"/>
    <w:rsid w:val="71ED21B3"/>
    <w:rsid w:val="720535FB"/>
    <w:rsid w:val="72141A90"/>
    <w:rsid w:val="72255CA8"/>
    <w:rsid w:val="72383AC7"/>
    <w:rsid w:val="724539F8"/>
    <w:rsid w:val="725C1B36"/>
    <w:rsid w:val="726F6CC7"/>
    <w:rsid w:val="72790C00"/>
    <w:rsid w:val="728C7879"/>
    <w:rsid w:val="729B64B6"/>
    <w:rsid w:val="72AA05BD"/>
    <w:rsid w:val="72AB6ED4"/>
    <w:rsid w:val="72B012AF"/>
    <w:rsid w:val="72B333C6"/>
    <w:rsid w:val="72BC20E7"/>
    <w:rsid w:val="72BC7EDB"/>
    <w:rsid w:val="72C65A98"/>
    <w:rsid w:val="72EC5A52"/>
    <w:rsid w:val="72F6109E"/>
    <w:rsid w:val="72FA2A34"/>
    <w:rsid w:val="72FB055A"/>
    <w:rsid w:val="73133AF6"/>
    <w:rsid w:val="731955B0"/>
    <w:rsid w:val="731C6E4F"/>
    <w:rsid w:val="732B0E40"/>
    <w:rsid w:val="732E26DE"/>
    <w:rsid w:val="73320420"/>
    <w:rsid w:val="733817AF"/>
    <w:rsid w:val="733F7261"/>
    <w:rsid w:val="735008A6"/>
    <w:rsid w:val="73555EBD"/>
    <w:rsid w:val="737154C7"/>
    <w:rsid w:val="73734595"/>
    <w:rsid w:val="738918DF"/>
    <w:rsid w:val="738E13CF"/>
    <w:rsid w:val="738F7621"/>
    <w:rsid w:val="739F4411"/>
    <w:rsid w:val="73A155A6"/>
    <w:rsid w:val="73AE4D05"/>
    <w:rsid w:val="73B06178"/>
    <w:rsid w:val="73BE47DE"/>
    <w:rsid w:val="73D35A4C"/>
    <w:rsid w:val="73E767FC"/>
    <w:rsid w:val="73EB1CD7"/>
    <w:rsid w:val="73F74F77"/>
    <w:rsid w:val="73F76F74"/>
    <w:rsid w:val="741713C4"/>
    <w:rsid w:val="7419338E"/>
    <w:rsid w:val="741B7106"/>
    <w:rsid w:val="741F6689"/>
    <w:rsid w:val="74217570"/>
    <w:rsid w:val="74235FBB"/>
    <w:rsid w:val="743E1A3F"/>
    <w:rsid w:val="744363D5"/>
    <w:rsid w:val="744A2D09"/>
    <w:rsid w:val="746C5BB4"/>
    <w:rsid w:val="746E2181"/>
    <w:rsid w:val="747B1953"/>
    <w:rsid w:val="74836A59"/>
    <w:rsid w:val="749018A2"/>
    <w:rsid w:val="749939A1"/>
    <w:rsid w:val="749F5033"/>
    <w:rsid w:val="74A27702"/>
    <w:rsid w:val="74A71897"/>
    <w:rsid w:val="74A76BEC"/>
    <w:rsid w:val="74B51D6A"/>
    <w:rsid w:val="74B84955"/>
    <w:rsid w:val="74B863E1"/>
    <w:rsid w:val="74E23786"/>
    <w:rsid w:val="74E33682"/>
    <w:rsid w:val="74F86AB9"/>
    <w:rsid w:val="750951B1"/>
    <w:rsid w:val="75175C9C"/>
    <w:rsid w:val="751C3136"/>
    <w:rsid w:val="75226272"/>
    <w:rsid w:val="752809DA"/>
    <w:rsid w:val="75321A29"/>
    <w:rsid w:val="754E7067"/>
    <w:rsid w:val="75625A1D"/>
    <w:rsid w:val="7577036C"/>
    <w:rsid w:val="75782924"/>
    <w:rsid w:val="75794C16"/>
    <w:rsid w:val="757A7A2A"/>
    <w:rsid w:val="75813C91"/>
    <w:rsid w:val="7584744A"/>
    <w:rsid w:val="75CB690A"/>
    <w:rsid w:val="75CE1F56"/>
    <w:rsid w:val="75E31EA6"/>
    <w:rsid w:val="76164029"/>
    <w:rsid w:val="761A519B"/>
    <w:rsid w:val="7621652A"/>
    <w:rsid w:val="7625601A"/>
    <w:rsid w:val="76312C11"/>
    <w:rsid w:val="763E7A74"/>
    <w:rsid w:val="764010A6"/>
    <w:rsid w:val="76472434"/>
    <w:rsid w:val="765468FF"/>
    <w:rsid w:val="7655567C"/>
    <w:rsid w:val="765D79FA"/>
    <w:rsid w:val="76681F4E"/>
    <w:rsid w:val="767945B8"/>
    <w:rsid w:val="767D58E9"/>
    <w:rsid w:val="768371E5"/>
    <w:rsid w:val="76944F4E"/>
    <w:rsid w:val="76960CC6"/>
    <w:rsid w:val="76AE24B4"/>
    <w:rsid w:val="76B178AE"/>
    <w:rsid w:val="76C80F10"/>
    <w:rsid w:val="76C94E50"/>
    <w:rsid w:val="76CA6BC2"/>
    <w:rsid w:val="76D000CB"/>
    <w:rsid w:val="76D87530"/>
    <w:rsid w:val="76DA32A9"/>
    <w:rsid w:val="76DC3431"/>
    <w:rsid w:val="76EE28B0"/>
    <w:rsid w:val="770B04D7"/>
    <w:rsid w:val="772B7660"/>
    <w:rsid w:val="772C64B4"/>
    <w:rsid w:val="774634C7"/>
    <w:rsid w:val="774C6F32"/>
    <w:rsid w:val="77522A29"/>
    <w:rsid w:val="776C7C79"/>
    <w:rsid w:val="77756B52"/>
    <w:rsid w:val="77814A03"/>
    <w:rsid w:val="778D031B"/>
    <w:rsid w:val="77C06E83"/>
    <w:rsid w:val="77C3247A"/>
    <w:rsid w:val="77CE4490"/>
    <w:rsid w:val="77E666E0"/>
    <w:rsid w:val="77F51A1C"/>
    <w:rsid w:val="781520BE"/>
    <w:rsid w:val="782B3690"/>
    <w:rsid w:val="783223F8"/>
    <w:rsid w:val="78507C2C"/>
    <w:rsid w:val="78564BB1"/>
    <w:rsid w:val="785C712B"/>
    <w:rsid w:val="787C3EEC"/>
    <w:rsid w:val="788C2381"/>
    <w:rsid w:val="78947487"/>
    <w:rsid w:val="7896539C"/>
    <w:rsid w:val="789A23C9"/>
    <w:rsid w:val="78A27DF6"/>
    <w:rsid w:val="78B47B29"/>
    <w:rsid w:val="78B9158B"/>
    <w:rsid w:val="78BE2756"/>
    <w:rsid w:val="78C425E4"/>
    <w:rsid w:val="78C80EDF"/>
    <w:rsid w:val="78CF04BF"/>
    <w:rsid w:val="78DB3308"/>
    <w:rsid w:val="78FA19E0"/>
    <w:rsid w:val="79050385"/>
    <w:rsid w:val="79164340"/>
    <w:rsid w:val="79336CA0"/>
    <w:rsid w:val="794762A8"/>
    <w:rsid w:val="794964C4"/>
    <w:rsid w:val="79584959"/>
    <w:rsid w:val="796432FD"/>
    <w:rsid w:val="7967694A"/>
    <w:rsid w:val="797023D5"/>
    <w:rsid w:val="79797CB5"/>
    <w:rsid w:val="797F1EE5"/>
    <w:rsid w:val="799004E1"/>
    <w:rsid w:val="799A0ACD"/>
    <w:rsid w:val="79A54A63"/>
    <w:rsid w:val="79C20F5D"/>
    <w:rsid w:val="79CA04E2"/>
    <w:rsid w:val="79D42231"/>
    <w:rsid w:val="79DE3012"/>
    <w:rsid w:val="79DF583F"/>
    <w:rsid w:val="79E01647"/>
    <w:rsid w:val="79E47F9A"/>
    <w:rsid w:val="79FC1788"/>
    <w:rsid w:val="7A0B19CB"/>
    <w:rsid w:val="7A0E5113"/>
    <w:rsid w:val="7A124B07"/>
    <w:rsid w:val="7A1A3B88"/>
    <w:rsid w:val="7A1F7224"/>
    <w:rsid w:val="7A29688D"/>
    <w:rsid w:val="7A2D5075"/>
    <w:rsid w:val="7A307B89"/>
    <w:rsid w:val="7A321B24"/>
    <w:rsid w:val="7A3251AA"/>
    <w:rsid w:val="7A37631C"/>
    <w:rsid w:val="7A594AB6"/>
    <w:rsid w:val="7A61631D"/>
    <w:rsid w:val="7A647B4D"/>
    <w:rsid w:val="7A794B87"/>
    <w:rsid w:val="7A813A3B"/>
    <w:rsid w:val="7A8D3362"/>
    <w:rsid w:val="7A8F3EAF"/>
    <w:rsid w:val="7ACC7D9A"/>
    <w:rsid w:val="7ACD2BC2"/>
    <w:rsid w:val="7AD31266"/>
    <w:rsid w:val="7AD92E9E"/>
    <w:rsid w:val="7ADB6F19"/>
    <w:rsid w:val="7AFF2394"/>
    <w:rsid w:val="7B18614D"/>
    <w:rsid w:val="7B3B38A1"/>
    <w:rsid w:val="7B3D5BB4"/>
    <w:rsid w:val="7B430B41"/>
    <w:rsid w:val="7B4B6285"/>
    <w:rsid w:val="7B597AC5"/>
    <w:rsid w:val="7B5D3CC6"/>
    <w:rsid w:val="7B931C78"/>
    <w:rsid w:val="7BA92D95"/>
    <w:rsid w:val="7BC97448"/>
    <w:rsid w:val="7BDC565E"/>
    <w:rsid w:val="7BE51058"/>
    <w:rsid w:val="7BEB5610"/>
    <w:rsid w:val="7BEF3DD1"/>
    <w:rsid w:val="7C13744A"/>
    <w:rsid w:val="7C18217D"/>
    <w:rsid w:val="7C26489A"/>
    <w:rsid w:val="7C3C2310"/>
    <w:rsid w:val="7C3F4F46"/>
    <w:rsid w:val="7C492337"/>
    <w:rsid w:val="7C4D0079"/>
    <w:rsid w:val="7C5C02BC"/>
    <w:rsid w:val="7C5C5963"/>
    <w:rsid w:val="7C7E6484"/>
    <w:rsid w:val="7C9061B7"/>
    <w:rsid w:val="7C941BCA"/>
    <w:rsid w:val="7C956C40"/>
    <w:rsid w:val="7CB969EA"/>
    <w:rsid w:val="7CC85951"/>
    <w:rsid w:val="7CCC5441"/>
    <w:rsid w:val="7CD504FE"/>
    <w:rsid w:val="7CD75B94"/>
    <w:rsid w:val="7CF13117"/>
    <w:rsid w:val="7D0C3A90"/>
    <w:rsid w:val="7D1142C2"/>
    <w:rsid w:val="7D124E1E"/>
    <w:rsid w:val="7D150954"/>
    <w:rsid w:val="7D1F7C67"/>
    <w:rsid w:val="7D226E2B"/>
    <w:rsid w:val="7D236905"/>
    <w:rsid w:val="7D4B416A"/>
    <w:rsid w:val="7D52346D"/>
    <w:rsid w:val="7D584CFF"/>
    <w:rsid w:val="7D673CFA"/>
    <w:rsid w:val="7D711B45"/>
    <w:rsid w:val="7D712180"/>
    <w:rsid w:val="7D743F62"/>
    <w:rsid w:val="7D775ED7"/>
    <w:rsid w:val="7D787377"/>
    <w:rsid w:val="7D7D04EA"/>
    <w:rsid w:val="7D7F7C95"/>
    <w:rsid w:val="7D826DB8"/>
    <w:rsid w:val="7D8636B9"/>
    <w:rsid w:val="7D8D57FE"/>
    <w:rsid w:val="7D9B0B8D"/>
    <w:rsid w:val="7DA41F1A"/>
    <w:rsid w:val="7DA97531"/>
    <w:rsid w:val="7DB46496"/>
    <w:rsid w:val="7DBC1B68"/>
    <w:rsid w:val="7DC474A6"/>
    <w:rsid w:val="7DCE296B"/>
    <w:rsid w:val="7DCE579C"/>
    <w:rsid w:val="7DD345AE"/>
    <w:rsid w:val="7DDA593C"/>
    <w:rsid w:val="7E1536A4"/>
    <w:rsid w:val="7E1C5F55"/>
    <w:rsid w:val="7E1E7F1F"/>
    <w:rsid w:val="7E1F5A45"/>
    <w:rsid w:val="7E33504C"/>
    <w:rsid w:val="7E38629C"/>
    <w:rsid w:val="7E396CD6"/>
    <w:rsid w:val="7E494870"/>
    <w:rsid w:val="7E5D031B"/>
    <w:rsid w:val="7E5F3D88"/>
    <w:rsid w:val="7E653D41"/>
    <w:rsid w:val="7E74227D"/>
    <w:rsid w:val="7E7F0A31"/>
    <w:rsid w:val="7E9F4A45"/>
    <w:rsid w:val="7EAB72D9"/>
    <w:rsid w:val="7EAF501B"/>
    <w:rsid w:val="7EE30820"/>
    <w:rsid w:val="7F08472B"/>
    <w:rsid w:val="7F176321"/>
    <w:rsid w:val="7F19526E"/>
    <w:rsid w:val="7F307A4D"/>
    <w:rsid w:val="7F323556"/>
    <w:rsid w:val="7F3C6183"/>
    <w:rsid w:val="7F511282"/>
    <w:rsid w:val="7F5A6C58"/>
    <w:rsid w:val="7F674754"/>
    <w:rsid w:val="7F7504E7"/>
    <w:rsid w:val="7F7737E9"/>
    <w:rsid w:val="7F7B6CAB"/>
    <w:rsid w:val="7F8E2E82"/>
    <w:rsid w:val="7F8E7385"/>
    <w:rsid w:val="7F97338B"/>
    <w:rsid w:val="7F9A44A5"/>
    <w:rsid w:val="7FA2034B"/>
    <w:rsid w:val="7FB66702"/>
    <w:rsid w:val="7FD2308D"/>
    <w:rsid w:val="7FE231CE"/>
    <w:rsid w:val="7FE40CF4"/>
    <w:rsid w:val="7FE5020D"/>
    <w:rsid w:val="7FE66176"/>
    <w:rsid w:val="D5DF08A0"/>
    <w:rsid w:val="E3FB06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line="480" w:lineRule="auto"/>
      <w:jc w:val="center"/>
      <w:outlineLvl w:val="0"/>
    </w:pPr>
    <w:rPr>
      <w:b/>
      <w:bCs/>
      <w:kern w:val="44"/>
      <w:sz w:val="30"/>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2" w:lineRule="auto"/>
      <w:jc w:val="center"/>
      <w:outlineLvl w:val="2"/>
    </w:pPr>
    <w:rPr>
      <w:rFonts w:ascii="Calibri" w:hAnsi="Calibri"/>
      <w:b/>
      <w:bCs/>
      <w:sz w:val="28"/>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800"/>
      </w:tabs>
      <w:spacing w:before="280" w:after="290" w:line="372" w:lineRule="auto"/>
      <w:ind w:left="1800" w:hanging="1800"/>
      <w:outlineLvl w:val="4"/>
    </w:pPr>
    <w:rPr>
      <w:b/>
      <w:bCs/>
      <w:sz w:val="28"/>
      <w:szCs w:val="28"/>
    </w:rPr>
  </w:style>
  <w:style w:type="paragraph" w:styleId="8">
    <w:name w:val="heading 6"/>
    <w:basedOn w:val="1"/>
    <w:next w:val="1"/>
    <w:qFormat/>
    <w:uiPriority w:val="0"/>
    <w:pPr>
      <w:keepNext/>
      <w:keepLines/>
      <w:adjustRightInd w:val="0"/>
      <w:spacing w:before="240" w:after="64" w:line="316" w:lineRule="auto"/>
      <w:textAlignment w:val="baseline"/>
      <w:outlineLvl w:val="5"/>
    </w:pPr>
    <w:rPr>
      <w:rFonts w:ascii="Arial" w:hAnsi="Arial" w:eastAsia="黑体"/>
      <w:b/>
      <w:szCs w:val="20"/>
    </w:rPr>
  </w:style>
  <w:style w:type="paragraph" w:styleId="9">
    <w:name w:val="heading 7"/>
    <w:basedOn w:val="1"/>
    <w:next w:val="1"/>
    <w:qFormat/>
    <w:uiPriority w:val="0"/>
    <w:pPr>
      <w:keepNext/>
      <w:keepLines/>
      <w:adjustRightInd w:val="0"/>
      <w:spacing w:before="240" w:after="64" w:line="316" w:lineRule="auto"/>
      <w:textAlignment w:val="baseline"/>
      <w:outlineLvl w:val="6"/>
    </w:pPr>
    <w:rPr>
      <w:b/>
      <w:szCs w:val="20"/>
    </w:rPr>
  </w:style>
  <w:style w:type="paragraph" w:styleId="10">
    <w:name w:val="heading 8"/>
    <w:basedOn w:val="1"/>
    <w:next w:val="1"/>
    <w:qFormat/>
    <w:uiPriority w:val="0"/>
    <w:pPr>
      <w:keepNext/>
      <w:keepLines/>
      <w:adjustRightInd w:val="0"/>
      <w:spacing w:before="240" w:after="64" w:line="316" w:lineRule="auto"/>
      <w:textAlignment w:val="baseline"/>
      <w:outlineLvl w:val="7"/>
    </w:pPr>
    <w:rPr>
      <w:rFonts w:ascii="Arial" w:hAnsi="Arial" w:eastAsia="黑体"/>
      <w:szCs w:val="20"/>
    </w:rPr>
  </w:style>
  <w:style w:type="paragraph" w:styleId="11">
    <w:name w:val="heading 9"/>
    <w:basedOn w:val="1"/>
    <w:next w:val="1"/>
    <w:qFormat/>
    <w:uiPriority w:val="0"/>
    <w:pPr>
      <w:keepNext/>
      <w:keepLines/>
      <w:adjustRightInd w:val="0"/>
      <w:spacing w:before="240" w:after="64" w:line="316" w:lineRule="auto"/>
      <w:textAlignment w:val="baseline"/>
      <w:outlineLvl w:val="8"/>
    </w:pPr>
    <w:rPr>
      <w:rFonts w:ascii="Arial" w:hAnsi="Arial" w:eastAsia="黑体"/>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71"/>
    <w:qFormat/>
    <w:uiPriority w:val="0"/>
  </w:style>
  <w:style w:type="paragraph" w:styleId="18">
    <w:name w:val="Body Text 3"/>
    <w:basedOn w:val="1"/>
    <w:qFormat/>
    <w:uiPriority w:val="0"/>
    <w:pPr>
      <w:snapToGrid w:val="0"/>
      <w:spacing w:before="50" w:after="50"/>
    </w:pPr>
    <w:rPr>
      <w:rFonts w:eastAsia="仿宋_GB2312"/>
      <w:b/>
      <w:bCs/>
      <w:sz w:val="24"/>
      <w:szCs w:val="20"/>
    </w:rPr>
  </w:style>
  <w:style w:type="paragraph" w:styleId="19">
    <w:name w:val="Body Text Indent"/>
    <w:basedOn w:val="1"/>
    <w:next w:val="1"/>
    <w:qFormat/>
    <w:uiPriority w:val="0"/>
    <w:pPr>
      <w:spacing w:line="200" w:lineRule="exact"/>
      <w:ind w:firstLine="301"/>
    </w:pPr>
    <w:rPr>
      <w:rFonts w:ascii="宋体"/>
      <w:spacing w:val="-4"/>
      <w:sz w:val="18"/>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400" w:leftChars="200" w:hanging="200" w:hangingChars="200"/>
    </w:pPr>
    <w:rPr>
      <w:sz w:val="28"/>
    </w:rPr>
  </w:style>
  <w:style w:type="paragraph" w:styleId="22">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39"/>
    <w:pPr>
      <w:ind w:left="400" w:leftChars="400"/>
    </w:pPr>
  </w:style>
  <w:style w:type="paragraph" w:styleId="25">
    <w:name w:val="Plain Text"/>
    <w:basedOn w:val="1"/>
    <w:link w:val="72"/>
    <w:qFormat/>
    <w:uiPriority w:val="0"/>
    <w:pPr>
      <w:spacing w:beforeLines="50" w:afterLines="50" w:line="400" w:lineRule="exact"/>
    </w:pPr>
    <w:rPr>
      <w:rFonts w:ascii="宋体"/>
      <w:sz w:val="24"/>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32">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3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pPr>
      <w:spacing w:before="600" w:after="600"/>
    </w:pPr>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footnote text"/>
    <w:basedOn w:val="1"/>
    <w:qFormat/>
    <w:uiPriority w:val="0"/>
    <w:pPr>
      <w:snapToGrid w:val="0"/>
      <w:jc w:val="left"/>
    </w:pPr>
    <w:rPr>
      <w:sz w:val="18"/>
      <w:szCs w:val="18"/>
    </w:rPr>
  </w:style>
  <w:style w:type="paragraph" w:styleId="39">
    <w:name w:val="toc 6"/>
    <w:basedOn w:val="1"/>
    <w:next w:val="1"/>
    <w:qFormat/>
    <w:uiPriority w:val="0"/>
    <w:pPr>
      <w:ind w:left="1050"/>
      <w:jc w:val="left"/>
    </w:pPr>
    <w:rPr>
      <w:rFonts w:ascii="Calibri" w:hAnsi="Calibri" w:cs="Calibri"/>
      <w:sz w:val="18"/>
      <w:szCs w:val="18"/>
    </w:rPr>
  </w:style>
  <w:style w:type="paragraph" w:styleId="40">
    <w:name w:val="Body Text Indent 3"/>
    <w:basedOn w:val="1"/>
    <w:qFormat/>
    <w:uiPriority w:val="0"/>
    <w:pPr>
      <w:snapToGrid w:val="0"/>
      <w:ind w:firstLine="200" w:firstLineChars="200"/>
      <w:jc w:val="left"/>
    </w:pPr>
    <w:rPr>
      <w:rFonts w:ascii="仿宋_GB2312" w:eastAsia="仿宋_GB2312"/>
      <w:color w:val="000000"/>
      <w:sz w:val="24"/>
    </w:rPr>
  </w:style>
  <w:style w:type="paragraph" w:styleId="41">
    <w:name w:val="toc 2"/>
    <w:basedOn w:val="1"/>
    <w:next w:val="1"/>
    <w:qFormat/>
    <w:uiPriority w:val="39"/>
    <w:pPr>
      <w:ind w:left="200" w:leftChars="200"/>
    </w:pPr>
  </w:style>
  <w:style w:type="paragraph" w:styleId="42">
    <w:name w:val="toc 9"/>
    <w:basedOn w:val="1"/>
    <w:next w:val="1"/>
    <w:qFormat/>
    <w:uiPriority w:val="0"/>
    <w:pPr>
      <w:ind w:left="1680"/>
      <w:jc w:val="left"/>
    </w:pPr>
    <w:rPr>
      <w:rFonts w:ascii="Calibri" w:hAnsi="Calibri" w:cs="Calibri"/>
      <w:sz w:val="18"/>
      <w:szCs w:val="18"/>
    </w:rPr>
  </w:style>
  <w:style w:type="paragraph" w:styleId="43">
    <w:name w:val="Body Text 2"/>
    <w:basedOn w:val="1"/>
    <w:qFormat/>
    <w:uiPriority w:val="0"/>
    <w:pPr>
      <w:widowControl/>
      <w:snapToGrid w:val="0"/>
      <w:spacing w:before="50" w:afterLines="50" w:line="400" w:lineRule="exact"/>
      <w:jc w:val="left"/>
    </w:pPr>
    <w:rPr>
      <w:rFonts w:ascii="宋体"/>
      <w:color w:val="000000"/>
      <w:sz w:val="24"/>
    </w:rPr>
  </w:style>
  <w:style w:type="paragraph" w:styleId="44">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hint="eastAsia" w:ascii="黑体" w:hAnsi="Courier New" w:eastAsia="黑体" w:cs="Courier New"/>
      <w:kern w:val="0"/>
      <w:sz w:val="20"/>
      <w:szCs w:val="20"/>
    </w:rPr>
  </w:style>
  <w:style w:type="paragraph" w:styleId="45">
    <w:name w:val="Normal (Web)"/>
    <w:basedOn w:val="1"/>
    <w:qFormat/>
    <w:uiPriority w:val="0"/>
    <w:pPr>
      <w:widowControl/>
      <w:spacing w:before="100" w:beforeAutospacing="1" w:after="100" w:afterAutospacing="1"/>
      <w:jc w:val="left"/>
    </w:pPr>
    <w:rPr>
      <w:kern w:val="0"/>
      <w:sz w:val="24"/>
    </w:rPr>
  </w:style>
  <w:style w:type="paragraph" w:styleId="46">
    <w:name w:val="annotation subject"/>
    <w:basedOn w:val="17"/>
    <w:next w:val="17"/>
    <w:qFormat/>
    <w:uiPriority w:val="0"/>
  </w:style>
  <w:style w:type="paragraph" w:styleId="47">
    <w:name w:val="Body Text First Indent"/>
    <w:basedOn w:val="2"/>
    <w:next w:val="1"/>
    <w:qFormat/>
    <w:uiPriority w:val="0"/>
    <w:pPr>
      <w:ind w:firstLine="420" w:firstLineChars="100"/>
    </w:pPr>
  </w:style>
  <w:style w:type="paragraph" w:styleId="48">
    <w:name w:val="Body Text First Indent 2"/>
    <w:basedOn w:val="19"/>
    <w:next w:val="1"/>
    <w:qFormat/>
    <w:uiPriority w:val="0"/>
    <w:pPr>
      <w:ind w:firstLine="420" w:firstLineChars="200"/>
    </w:pPr>
    <w:rPr>
      <w:rFonts w:ascii="Times New Roman"/>
      <w:lang w:val="zh-CN"/>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3F88BF"/>
      <w:u w:val="none"/>
    </w:rPr>
  </w:style>
  <w:style w:type="character" w:styleId="55">
    <w:name w:val="Emphasis"/>
    <w:qFormat/>
    <w:uiPriority w:val="20"/>
  </w:style>
  <w:style w:type="character" w:styleId="56">
    <w:name w:val="HTML Definition"/>
    <w:unhideWhenUsed/>
    <w:qFormat/>
    <w:uiPriority w:val="99"/>
  </w:style>
  <w:style w:type="character" w:styleId="57">
    <w:name w:val="HTML Variable"/>
    <w:unhideWhenUsed/>
    <w:qFormat/>
    <w:uiPriority w:val="99"/>
  </w:style>
  <w:style w:type="character" w:styleId="58">
    <w:name w:val="Hyperlink"/>
    <w:qFormat/>
    <w:uiPriority w:val="99"/>
    <w:rPr>
      <w:color w:val="3F88BF"/>
      <w:u w:val="none"/>
    </w:rPr>
  </w:style>
  <w:style w:type="character" w:styleId="59">
    <w:name w:val="HTML Code"/>
    <w:unhideWhenUsed/>
    <w:qFormat/>
    <w:uiPriority w:val="99"/>
    <w:rPr>
      <w:rFonts w:hint="eastAsia" w:ascii="微软雅黑" w:hAnsi="微软雅黑" w:eastAsia="微软雅黑" w:cs="微软雅黑"/>
      <w:sz w:val="20"/>
    </w:rPr>
  </w:style>
  <w:style w:type="character" w:styleId="60">
    <w:name w:val="annotation reference"/>
    <w:qFormat/>
    <w:uiPriority w:val="0"/>
    <w:rPr>
      <w:sz w:val="21"/>
      <w:szCs w:val="21"/>
    </w:rPr>
  </w:style>
  <w:style w:type="character" w:styleId="61">
    <w:name w:val="HTML Cite"/>
    <w:unhideWhenUsed/>
    <w:qFormat/>
    <w:uiPriority w:val="99"/>
  </w:style>
  <w:style w:type="character" w:styleId="62">
    <w:name w:val="HTML Keyboard"/>
    <w:unhideWhenUsed/>
    <w:qFormat/>
    <w:uiPriority w:val="99"/>
    <w:rPr>
      <w:rFonts w:hint="eastAsia" w:ascii="微软雅黑" w:hAnsi="微软雅黑" w:eastAsia="微软雅黑" w:cs="微软雅黑"/>
      <w:sz w:val="20"/>
    </w:rPr>
  </w:style>
  <w:style w:type="character" w:styleId="63">
    <w:name w:val="HTML Sample"/>
    <w:unhideWhenUsed/>
    <w:qFormat/>
    <w:uiPriority w:val="99"/>
    <w:rPr>
      <w:rFonts w:hint="eastAsia" w:ascii="微软雅黑" w:hAnsi="微软雅黑" w:eastAsia="微软雅黑" w:cs="微软雅黑"/>
    </w:rPr>
  </w:style>
  <w:style w:type="paragraph" w:customStyle="1" w:styleId="64">
    <w:name w:val="段落文字"/>
    <w:basedOn w:val="1"/>
    <w:autoRedefine/>
    <w:qFormat/>
    <w:uiPriority w:val="0"/>
    <w:pPr>
      <w:spacing w:line="360" w:lineRule="auto"/>
      <w:ind w:firstLine="200" w:firstLineChars="200"/>
    </w:pPr>
    <w:rPr>
      <w:sz w:val="24"/>
    </w:rPr>
  </w:style>
  <w:style w:type="paragraph" w:customStyle="1" w:styleId="65">
    <w:name w:val="列出段落1"/>
    <w:basedOn w:val="1"/>
    <w:qFormat/>
    <w:uiPriority w:val="0"/>
    <w:pPr>
      <w:ind w:firstLine="200" w:firstLineChars="200"/>
    </w:pPr>
    <w:rPr>
      <w:rFonts w:ascii="Calibri" w:hAnsi="Calibri"/>
      <w:szCs w:val="22"/>
    </w:rPr>
  </w:style>
  <w:style w:type="paragraph" w:customStyle="1" w:styleId="66">
    <w:name w:val="首行缩进"/>
    <w:basedOn w:val="1"/>
    <w:qFormat/>
    <w:uiPriority w:val="0"/>
    <w:pPr>
      <w:spacing w:line="360" w:lineRule="auto"/>
      <w:ind w:firstLine="480" w:firstLineChars="200"/>
      <w:jc w:val="left"/>
    </w:pPr>
    <w:rPr>
      <w:rFonts w:ascii="宋体" w:hAnsi="宋体"/>
      <w:sz w:val="24"/>
    </w:rPr>
  </w:style>
  <w:style w:type="paragraph" w:customStyle="1" w:styleId="6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8">
    <w:name w:val="List Paragraph"/>
    <w:basedOn w:val="1"/>
    <w:qFormat/>
    <w:uiPriority w:val="0"/>
    <w:pPr>
      <w:ind w:firstLine="420" w:firstLineChars="200"/>
    </w:pPr>
    <w:rPr>
      <w:rFonts w:ascii="Calibri" w:hAnsi="Calibri"/>
    </w:rPr>
  </w:style>
  <w:style w:type="paragraph" w:customStyle="1" w:styleId="69">
    <w:name w:val="正文1"/>
    <w:basedOn w:val="1"/>
    <w:qFormat/>
    <w:uiPriority w:val="0"/>
    <w:pPr>
      <w:adjustRightInd w:val="0"/>
      <w:spacing w:line="318" w:lineRule="atLeast"/>
      <w:ind w:left="369" w:firstLine="369"/>
      <w:textAlignment w:val="baseline"/>
    </w:pPr>
    <w:rPr>
      <w:rFonts w:ascii="宋体"/>
      <w:szCs w:val="20"/>
    </w:rPr>
  </w:style>
  <w:style w:type="paragraph" w:customStyle="1" w:styleId="70">
    <w:name w:val="Body Text First Indent1"/>
    <w:basedOn w:val="2"/>
    <w:next w:val="33"/>
    <w:qFormat/>
    <w:uiPriority w:val="99"/>
    <w:pPr>
      <w:ind w:firstLine="420" w:firstLineChars="100"/>
    </w:pPr>
  </w:style>
  <w:style w:type="character" w:customStyle="1" w:styleId="71">
    <w:name w:val="批注文字 Char"/>
    <w:link w:val="17"/>
    <w:qFormat/>
    <w:uiPriority w:val="0"/>
    <w:rPr>
      <w:kern w:val="2"/>
      <w:sz w:val="21"/>
      <w:lang w:val="en-US" w:eastAsia="zh-CN" w:bidi="ar-SA"/>
    </w:rPr>
  </w:style>
  <w:style w:type="character" w:customStyle="1" w:styleId="72">
    <w:name w:val="纯文本 Char"/>
    <w:link w:val="25"/>
    <w:qFormat/>
    <w:uiPriority w:val="0"/>
    <w:rPr>
      <w:rFonts w:ascii="宋体" w:eastAsia="宋体"/>
      <w:kern w:val="2"/>
      <w:sz w:val="24"/>
      <w:szCs w:val="24"/>
      <w:lang w:val="en-US" w:eastAsia="zh-CN" w:bidi="ar-SA"/>
    </w:rPr>
  </w:style>
  <w:style w:type="character" w:customStyle="1" w:styleId="73">
    <w:name w:val="Char Char"/>
    <w:qFormat/>
    <w:uiPriority w:val="0"/>
    <w:rPr>
      <w:rFonts w:ascii="宋体" w:eastAsia="宋体"/>
      <w:b/>
      <w:bCs/>
      <w:kern w:val="2"/>
      <w:sz w:val="21"/>
      <w:lang w:val="en-US" w:eastAsia="zh-CN" w:bidi="ar-SA"/>
    </w:rPr>
  </w:style>
  <w:style w:type="character" w:customStyle="1" w:styleId="74">
    <w:name w:val="text1"/>
    <w:qFormat/>
    <w:uiPriority w:val="0"/>
    <w:rPr>
      <w:rFonts w:cs="Times New Roman"/>
      <w:color w:val="000000"/>
      <w:sz w:val="24"/>
      <w:szCs w:val="24"/>
      <w:lang w:bidi="ar-SA"/>
    </w:rPr>
  </w:style>
  <w:style w:type="character" w:customStyle="1" w:styleId="75">
    <w:name w:val="m_01"/>
    <w:qFormat/>
    <w:uiPriority w:val="0"/>
  </w:style>
  <w:style w:type="character" w:customStyle="1" w:styleId="76">
    <w:name w:val="font14zd"/>
    <w:basedOn w:val="51"/>
    <w:qFormat/>
    <w:uiPriority w:val="0"/>
  </w:style>
  <w:style w:type="character" w:customStyle="1" w:styleId="77">
    <w:name w:val="m_391"/>
    <w:qFormat/>
    <w:uiPriority w:val="0"/>
  </w:style>
  <w:style w:type="character" w:customStyle="1" w:styleId="78">
    <w:name w:val="标题 41"/>
    <w:qFormat/>
    <w:uiPriority w:val="0"/>
  </w:style>
  <w:style w:type="character" w:customStyle="1" w:styleId="79">
    <w:name w:val="apple-style-span"/>
    <w:qFormat/>
    <w:uiPriority w:val="0"/>
    <w:rPr>
      <w:rFonts w:cs="Times New Roman"/>
      <w:lang w:bidi="ar-SA"/>
    </w:rPr>
  </w:style>
  <w:style w:type="character" w:customStyle="1" w:styleId="80">
    <w:name w:val="en"/>
    <w:qFormat/>
    <w:uiPriority w:val="0"/>
    <w:rPr>
      <w:rFonts w:cs="Times New Roman"/>
      <w:lang w:bidi="ar-SA"/>
    </w:rPr>
  </w:style>
  <w:style w:type="character" w:customStyle="1" w:styleId="81">
    <w:name w:val="Char Char10"/>
    <w:qFormat/>
    <w:uiPriority w:val="0"/>
    <w:rPr>
      <w:rFonts w:eastAsia="宋体"/>
      <w:b/>
      <w:kern w:val="2"/>
      <w:sz w:val="24"/>
      <w:lang w:val="en-US" w:eastAsia="zh-CN" w:bidi="ar-SA"/>
    </w:rPr>
  </w:style>
  <w:style w:type="character" w:customStyle="1" w:styleId="82">
    <w:name w:val="z21"/>
    <w:qFormat/>
    <w:uiPriority w:val="0"/>
    <w:rPr>
      <w:rFonts w:cs="Times New Roman"/>
      <w:color w:val="000000"/>
      <w:spacing w:val="340"/>
      <w:sz w:val="18"/>
      <w:szCs w:val="18"/>
      <w:lang w:bidi="ar-SA"/>
    </w:rPr>
  </w:style>
  <w:style w:type="character" w:customStyle="1" w:styleId="83">
    <w:name w:val="Char Char8"/>
    <w:qFormat/>
    <w:uiPriority w:val="0"/>
    <w:rPr>
      <w:rFonts w:ascii="Arial" w:hAnsi="Arial" w:eastAsia="黑体"/>
      <w:kern w:val="2"/>
      <w:sz w:val="21"/>
      <w:lang w:val="en-US" w:eastAsia="zh-CN" w:bidi="ar-SA"/>
    </w:rPr>
  </w:style>
  <w:style w:type="character" w:customStyle="1" w:styleId="84">
    <w:name w:val="a41"/>
    <w:qFormat/>
    <w:uiPriority w:val="0"/>
    <w:rPr>
      <w:rFonts w:cs="Times New Roman"/>
      <w:color w:val="666666"/>
      <w:sz w:val="26"/>
      <w:szCs w:val="26"/>
      <w:lang w:bidi="ar-SA"/>
    </w:rPr>
  </w:style>
  <w:style w:type="character" w:customStyle="1" w:styleId="85">
    <w:name w:val="Char Char11"/>
    <w:qFormat/>
    <w:uiPriority w:val="0"/>
    <w:rPr>
      <w:rFonts w:eastAsia="宋体"/>
      <w:b/>
      <w:kern w:val="2"/>
      <w:sz w:val="28"/>
      <w:lang w:val="en-US" w:eastAsia="zh-CN" w:bidi="ar-SA"/>
    </w:rPr>
  </w:style>
  <w:style w:type="character" w:customStyle="1" w:styleId="86">
    <w:name w:val="apple-converted-space"/>
    <w:basedOn w:val="51"/>
    <w:qFormat/>
    <w:uiPriority w:val="0"/>
  </w:style>
  <w:style w:type="character" w:customStyle="1" w:styleId="87">
    <w:name w:val="网格型浅色1"/>
    <w:qFormat/>
    <w:uiPriority w:val="0"/>
    <w:rPr>
      <w:rFonts w:cs="Times New Roman"/>
      <w:b/>
      <w:bCs/>
      <w:smallCaps/>
      <w:color w:val="C0504D"/>
      <w:spacing w:val="5"/>
      <w:u w:val="single"/>
      <w:lang w:bidi="ar-SA"/>
    </w:rPr>
  </w:style>
  <w:style w:type="character" w:customStyle="1" w:styleId="88">
    <w:name w:val="fontstrikethrough"/>
    <w:qFormat/>
    <w:uiPriority w:val="0"/>
    <w:rPr>
      <w:strike/>
    </w:rPr>
  </w:style>
  <w:style w:type="character" w:customStyle="1" w:styleId="89">
    <w:name w:val="textfont1"/>
    <w:qFormat/>
    <w:uiPriority w:val="0"/>
    <w:rPr>
      <w:sz w:val="22"/>
      <w:szCs w:val="22"/>
    </w:rPr>
  </w:style>
  <w:style w:type="character" w:customStyle="1" w:styleId="90">
    <w:name w:val="Char Char7"/>
    <w:qFormat/>
    <w:uiPriority w:val="0"/>
    <w:rPr>
      <w:rFonts w:ascii="楷体_GB2312" w:eastAsia="楷体_GB2312"/>
      <w:kern w:val="2"/>
      <w:sz w:val="32"/>
      <w:lang w:val="en-US" w:eastAsia="zh-CN" w:bidi="ar-SA"/>
    </w:rPr>
  </w:style>
  <w:style w:type="character" w:customStyle="1" w:styleId="91">
    <w:name w:val="chs1"/>
    <w:qFormat/>
    <w:uiPriority w:val="0"/>
    <w:rPr>
      <w:sz w:val="18"/>
      <w:szCs w:val="18"/>
    </w:rPr>
  </w:style>
  <w:style w:type="character" w:customStyle="1" w:styleId="92">
    <w:name w:val="font01"/>
    <w:basedOn w:val="51"/>
    <w:qFormat/>
    <w:uiPriority w:val="0"/>
    <w:rPr>
      <w:rFonts w:ascii="宋体" w:eastAsia="宋体" w:cs="宋体"/>
      <w:color w:val="000000"/>
      <w:sz w:val="24"/>
      <w:szCs w:val="24"/>
      <w:u w:val="none"/>
      <w:vertAlign w:val="superscript"/>
      <w:lang w:bidi="ar-SA"/>
    </w:rPr>
  </w:style>
  <w:style w:type="character" w:customStyle="1" w:styleId="93">
    <w:name w:val="Table Text Char Char Char"/>
    <w:qFormat/>
    <w:uiPriority w:val="0"/>
    <w:rPr>
      <w:rFonts w:ascii="Arial" w:hAnsi="Arial" w:eastAsia="宋体" w:cs="Arial"/>
      <w:kern w:val="2"/>
      <w:sz w:val="18"/>
      <w:szCs w:val="18"/>
      <w:lang w:val="en-US" w:eastAsia="zh-CN" w:bidi="ar-SA"/>
    </w:rPr>
  </w:style>
  <w:style w:type="character" w:customStyle="1" w:styleId="94">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95">
    <w:name w:val="标题 1 Char Char"/>
    <w:basedOn w:val="51"/>
    <w:qFormat/>
    <w:uiPriority w:val="0"/>
    <w:rPr>
      <w:rFonts w:eastAsia="宋体"/>
      <w:b/>
      <w:spacing w:val="-2"/>
      <w:sz w:val="24"/>
      <w:lang w:val="en-US" w:eastAsia="zh-CN" w:bidi="ar-SA"/>
    </w:rPr>
  </w:style>
  <w:style w:type="character" w:customStyle="1" w:styleId="96">
    <w:name w:val="纯文本 Char1"/>
    <w:qFormat/>
    <w:uiPriority w:val="0"/>
    <w:rPr>
      <w:rFonts w:ascii="宋体" w:eastAsia="宋体"/>
      <w:kern w:val="2"/>
      <w:sz w:val="24"/>
      <w:szCs w:val="24"/>
      <w:lang w:val="en-US" w:eastAsia="zh-CN" w:bidi="ar-SA"/>
    </w:rPr>
  </w:style>
  <w:style w:type="character" w:customStyle="1" w:styleId="97">
    <w:name w:val="Char Char2"/>
    <w:qFormat/>
    <w:uiPriority w:val="0"/>
    <w:rPr>
      <w:rFonts w:ascii="宋体" w:eastAsia="宋体"/>
      <w:kern w:val="2"/>
      <w:sz w:val="18"/>
      <w:szCs w:val="18"/>
      <w:lang w:val="en-US" w:eastAsia="zh-CN" w:bidi="ar-SA"/>
    </w:rPr>
  </w:style>
  <w:style w:type="character" w:customStyle="1" w:styleId="98">
    <w:name w:val="fontborder"/>
    <w:qFormat/>
    <w:uiPriority w:val="0"/>
    <w:rPr>
      <w:bdr w:val="single" w:color="000000" w:sz="4" w:space="0"/>
    </w:rPr>
  </w:style>
  <w:style w:type="character" w:customStyle="1" w:styleId="99">
    <w:name w:val="aa1"/>
    <w:qFormat/>
    <w:uiPriority w:val="0"/>
    <w:rPr>
      <w:rFonts w:cs="Times New Roman"/>
      <w:spacing w:val="300"/>
      <w:lang w:bidi="ar-SA"/>
    </w:rPr>
  </w:style>
  <w:style w:type="character" w:customStyle="1" w:styleId="100">
    <w:name w:val="Char Char9"/>
    <w:qFormat/>
    <w:uiPriority w:val="0"/>
    <w:rPr>
      <w:rFonts w:ascii="Arial" w:hAnsi="Arial" w:eastAsia="黑体"/>
      <w:kern w:val="2"/>
      <w:sz w:val="24"/>
      <w:lang w:val="en-US" w:eastAsia="zh-CN" w:bidi="ar-SA"/>
    </w:rPr>
  </w:style>
  <w:style w:type="character" w:customStyle="1" w:styleId="101">
    <w:name w:val="font11"/>
    <w:basedOn w:val="51"/>
    <w:qFormat/>
    <w:uiPriority w:val="0"/>
    <w:rPr>
      <w:rFonts w:ascii="宋体" w:eastAsia="宋体" w:cs="宋体"/>
      <w:color w:val="000000"/>
      <w:sz w:val="24"/>
      <w:szCs w:val="24"/>
      <w:u w:val="none"/>
      <w:lang w:bidi="ar-SA"/>
    </w:rPr>
  </w:style>
  <w:style w:type="character" w:customStyle="1" w:styleId="102">
    <w:name w:val="Char Char1"/>
    <w:qFormat/>
    <w:uiPriority w:val="0"/>
    <w:rPr>
      <w:rFonts w:ascii="宋体" w:eastAsia="宋体"/>
      <w:kern w:val="2"/>
      <w:sz w:val="21"/>
      <w:lang w:val="en-US" w:eastAsia="zh-CN" w:bidi="ar-SA"/>
    </w:rPr>
  </w:style>
  <w:style w:type="character" w:customStyle="1" w:styleId="103">
    <w:name w:val="m_171"/>
    <w:qFormat/>
    <w:uiPriority w:val="0"/>
  </w:style>
  <w:style w:type="character" w:customStyle="1" w:styleId="104">
    <w:name w:val="m_51"/>
    <w:qFormat/>
    <w:uiPriority w:val="0"/>
  </w:style>
  <w:style w:type="character" w:customStyle="1" w:styleId="105">
    <w:name w:val="m_461"/>
    <w:qFormat/>
    <w:uiPriority w:val="0"/>
  </w:style>
  <w:style w:type="character" w:customStyle="1" w:styleId="106">
    <w:name w:val="Char Char5"/>
    <w:qFormat/>
    <w:uiPriority w:val="0"/>
    <w:rPr>
      <w:rFonts w:ascii="仿宋_GB2312" w:eastAsia="仿宋_GB2312"/>
      <w:color w:val="000000"/>
      <w:kern w:val="2"/>
      <w:sz w:val="24"/>
      <w:szCs w:val="24"/>
      <w:lang w:val="en-US" w:eastAsia="zh-CN" w:bidi="ar-SA"/>
    </w:rPr>
  </w:style>
  <w:style w:type="character" w:customStyle="1" w:styleId="107">
    <w:name w:val="Char Char4"/>
    <w:qFormat/>
    <w:uiPriority w:val="0"/>
    <w:rPr>
      <w:rFonts w:ascii="宋体" w:eastAsia="宋体"/>
      <w:kern w:val="2"/>
      <w:sz w:val="24"/>
      <w:szCs w:val="24"/>
      <w:lang w:val="en-US" w:eastAsia="zh-CN" w:bidi="ar-SA"/>
    </w:rPr>
  </w:style>
  <w:style w:type="character" w:customStyle="1" w:styleId="108">
    <w:name w:val="answer-title"/>
    <w:basedOn w:val="51"/>
    <w:qFormat/>
    <w:uiPriority w:val="0"/>
  </w:style>
  <w:style w:type="character" w:customStyle="1" w:styleId="109">
    <w:name w:val="m_491"/>
    <w:qFormat/>
    <w:uiPriority w:val="0"/>
  </w:style>
  <w:style w:type="character" w:customStyle="1" w:styleId="110">
    <w:name w:val="lemmawgt-lemmatitle-title1"/>
    <w:basedOn w:val="51"/>
    <w:qFormat/>
    <w:uiPriority w:val="0"/>
  </w:style>
  <w:style w:type="paragraph" w:customStyle="1" w:styleId="11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112">
    <w:name w:val="默认段落字体 Para Char Char Char Char Char Char Char"/>
    <w:basedOn w:val="16"/>
    <w:qFormat/>
    <w:uiPriority w:val="0"/>
    <w:rPr>
      <w:szCs w:val="20"/>
    </w:rPr>
  </w:style>
  <w:style w:type="paragraph" w:customStyle="1" w:styleId="113">
    <w:name w:val="big"/>
    <w:basedOn w:val="1"/>
    <w:qFormat/>
    <w:uiPriority w:val="0"/>
    <w:pPr>
      <w:widowControl/>
      <w:spacing w:before="100" w:beforeAutospacing="1" w:after="100" w:afterAutospacing="1"/>
      <w:jc w:val="left"/>
    </w:pPr>
    <w:rPr>
      <w:rFonts w:ascii="宋体"/>
      <w:kern w:val="0"/>
      <w:sz w:val="24"/>
    </w:rPr>
  </w:style>
  <w:style w:type="paragraph" w:customStyle="1" w:styleId="114">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样式 标题 3 +1"/>
    <w:basedOn w:val="5"/>
    <w:qFormat/>
    <w:uiPriority w:val="0"/>
    <w:rPr>
      <w:kern w:val="0"/>
    </w:rPr>
  </w:style>
  <w:style w:type="paragraph" w:customStyle="1" w:styleId="116">
    <w:name w:val="标准正文"/>
    <w:basedOn w:val="1"/>
    <w:qFormat/>
    <w:uiPriority w:val="0"/>
    <w:pPr>
      <w:spacing w:line="240" w:lineRule="atLeast"/>
      <w:ind w:firstLine="200" w:firstLineChars="200"/>
    </w:pPr>
    <w:rPr>
      <w:szCs w:val="21"/>
    </w:rPr>
  </w:style>
  <w:style w:type="paragraph" w:customStyle="1" w:styleId="117">
    <w:name w:val="Char1 Char Char Char"/>
    <w:basedOn w:val="1"/>
    <w:qFormat/>
    <w:uiPriority w:val="0"/>
    <w:pPr>
      <w:snapToGrid w:val="0"/>
      <w:spacing w:line="360" w:lineRule="auto"/>
      <w:ind w:firstLine="200" w:firstLineChars="200"/>
    </w:pPr>
  </w:style>
  <w:style w:type="paragraph" w:customStyle="1" w:styleId="118">
    <w:name w:val="font12"/>
    <w:basedOn w:val="1"/>
    <w:qFormat/>
    <w:uiPriority w:val="0"/>
    <w:pPr>
      <w:widowControl/>
      <w:spacing w:before="100" w:beforeAutospacing="1" w:after="100" w:afterAutospacing="1"/>
      <w:jc w:val="left"/>
    </w:pPr>
    <w:rPr>
      <w:rFonts w:ascii="宋体" w:cs="Arial Unicode MS"/>
      <w:kern w:val="0"/>
      <w:sz w:val="24"/>
    </w:rPr>
  </w:style>
  <w:style w:type="paragraph" w:customStyle="1" w:styleId="11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20">
    <w:name w:val="xl34"/>
    <w:basedOn w:val="1"/>
    <w:qFormat/>
    <w:uiPriority w:val="0"/>
    <w:pPr>
      <w:widowControl/>
      <w:spacing w:before="100" w:beforeAutospacing="1" w:after="100" w:afterAutospacing="1"/>
      <w:jc w:val="center"/>
    </w:pPr>
    <w:rPr>
      <w:rFonts w:ascii="Arial Unicode MS" w:eastAsia="Arial Unicode MS" w:cs="Arial Unicode MS"/>
      <w:kern w:val="0"/>
      <w:sz w:val="24"/>
    </w:rPr>
  </w:style>
  <w:style w:type="paragraph" w:customStyle="1" w:styleId="121">
    <w:name w:val="xl53"/>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22">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color w:val="000000"/>
      <w:kern w:val="0"/>
      <w:sz w:val="24"/>
    </w:rPr>
  </w:style>
  <w:style w:type="paragraph" w:customStyle="1" w:styleId="12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Char Char Char Char Char Char Char Char Char Char Char Char1 Char"/>
    <w:basedOn w:val="16"/>
    <w:qFormat/>
    <w:uiPriority w:val="0"/>
    <w:rPr>
      <w:rFonts w:ascii="Tahoma" w:hAnsi="Tahoma"/>
      <w:sz w:val="24"/>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12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eastAsia="Arial Unicode MS" w:cs="Arial Unicode MS"/>
      <w:kern w:val="0"/>
      <w:sz w:val="24"/>
    </w:rPr>
  </w:style>
  <w:style w:type="paragraph" w:customStyle="1" w:styleId="129">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eastAsia="Arial Unicode MS" w:cs="Arial Unicode MS"/>
      <w:kern w:val="0"/>
      <w:sz w:val="24"/>
    </w:rPr>
  </w:style>
  <w:style w:type="paragraph" w:customStyle="1" w:styleId="130">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xl7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3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3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font6"/>
    <w:basedOn w:val="1"/>
    <w:qFormat/>
    <w:uiPriority w:val="0"/>
    <w:pPr>
      <w:widowControl/>
      <w:spacing w:before="100" w:beforeAutospacing="1" w:after="100" w:afterAutospacing="1"/>
      <w:jc w:val="left"/>
    </w:pPr>
    <w:rPr>
      <w:rFonts w:ascii="宋体" w:cs="Arial Unicode MS"/>
      <w:kern w:val="0"/>
      <w:sz w:val="18"/>
      <w:szCs w:val="18"/>
    </w:rPr>
  </w:style>
  <w:style w:type="paragraph" w:customStyle="1" w:styleId="13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13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138">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139">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40">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样式 标题 1合同标题卷标题H1h1Level 1 Topic HeadingH11H12H111H13H1..."/>
    <w:qFormat/>
    <w:uiPriority w:val="0"/>
    <w:rPr>
      <w:rFonts w:ascii="宋体" w:hAnsi="Times New Roman" w:eastAsia="宋体" w:cs="Times New Roman"/>
      <w:b/>
      <w:bCs/>
      <w:kern w:val="44"/>
      <w:sz w:val="24"/>
      <w:szCs w:val="44"/>
      <w:lang w:val="en-US" w:eastAsia="zh-CN" w:bidi="ar-SA"/>
    </w:rPr>
  </w:style>
  <w:style w:type="paragraph" w:customStyle="1" w:styleId="1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eastAsia="Arial Unicode MS" w:cs="Arial Unicode MS"/>
      <w:kern w:val="0"/>
      <w:sz w:val="24"/>
    </w:rPr>
  </w:style>
  <w:style w:type="paragraph" w:customStyle="1" w:styleId="143">
    <w:name w:val="Char2"/>
    <w:basedOn w:val="1"/>
    <w:qFormat/>
    <w:uiPriority w:val="0"/>
    <w:rPr>
      <w:rFonts w:ascii="仿宋_GB2312" w:eastAsia="仿宋_GB2312"/>
      <w:b/>
      <w:sz w:val="32"/>
      <w:szCs w:val="32"/>
    </w:rPr>
  </w:style>
  <w:style w:type="paragraph" w:customStyle="1" w:styleId="144">
    <w:name w:val="样式 标题 3 +"/>
    <w:basedOn w:val="5"/>
    <w:qFormat/>
    <w:uiPriority w:val="0"/>
    <w:rPr>
      <w:kern w:val="0"/>
    </w:rPr>
  </w:style>
  <w:style w:type="paragraph" w:customStyle="1" w:styleId="14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46">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xl71"/>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148">
    <w:name w:val="网格表 3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9">
    <w:name w:val="5"/>
    <w:basedOn w:val="1"/>
    <w:qFormat/>
    <w:uiPriority w:val="0"/>
  </w:style>
  <w:style w:type="paragraph" w:customStyle="1" w:styleId="150">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152">
    <w:name w:val="彩色列表 - 着色 11"/>
    <w:basedOn w:val="1"/>
    <w:qFormat/>
    <w:uiPriority w:val="0"/>
    <w:pPr>
      <w:ind w:firstLine="200" w:firstLineChars="200"/>
    </w:pPr>
    <w:rPr>
      <w:rFonts w:ascii="Calibri" w:hAnsi="Calibri"/>
      <w:szCs w:val="22"/>
    </w:rPr>
  </w:style>
  <w:style w:type="paragraph" w:customStyle="1" w:styleId="153">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154">
    <w:name w:val="xl9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eastAsia="Arial Unicode MS" w:cs="Arial Unicode MS"/>
      <w:kern w:val="0"/>
      <w:sz w:val="24"/>
    </w:rPr>
  </w:style>
  <w:style w:type="paragraph" w:customStyle="1" w:styleId="155">
    <w:name w:val="二级条标题"/>
    <w:basedOn w:val="156"/>
    <w:next w:val="1"/>
    <w:qFormat/>
    <w:uiPriority w:val="0"/>
    <w:pPr>
      <w:spacing w:beforeLines="0" w:afterLines="0"/>
      <w:outlineLvl w:val="3"/>
    </w:pPr>
  </w:style>
  <w:style w:type="paragraph" w:customStyle="1" w:styleId="156">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57">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5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159">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61">
    <w:name w:val="样式 标题 3 + 左侧:  0 厘米 首行缩进:  0 厘米"/>
    <w:basedOn w:val="5"/>
    <w:qFormat/>
    <w:uiPriority w:val="0"/>
    <w:pPr>
      <w:tabs>
        <w:tab w:val="left" w:pos="720"/>
      </w:tabs>
      <w:spacing w:before="240" w:after="120" w:line="520" w:lineRule="atLeast"/>
      <w:ind w:left="324" w:leftChars="267" w:hanging="57" w:hangingChars="57"/>
      <w:jc w:val="both"/>
    </w:pPr>
    <w:rPr>
      <w:rFonts w:ascii="Times New Roman" w:hAnsi="Times New Roman"/>
      <w:kern w:val="24"/>
      <w:szCs w:val="20"/>
    </w:rPr>
  </w:style>
  <w:style w:type="paragraph" w:customStyle="1" w:styleId="162">
    <w:name w:val="Char4"/>
    <w:basedOn w:val="1"/>
    <w:qFormat/>
    <w:uiPriority w:val="0"/>
    <w:rPr>
      <w:rFonts w:ascii="仿宋_GB2312" w:eastAsia="仿宋_GB2312"/>
      <w:b/>
      <w:sz w:val="32"/>
      <w:szCs w:val="32"/>
    </w:rPr>
  </w:style>
  <w:style w:type="paragraph" w:customStyle="1" w:styleId="163">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xl5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165">
    <w:name w:val="列出段落2"/>
    <w:basedOn w:val="1"/>
    <w:qFormat/>
    <w:uiPriority w:val="0"/>
    <w:pPr>
      <w:ind w:firstLine="200" w:firstLineChars="200"/>
    </w:pPr>
    <w:rPr>
      <w:rFonts w:ascii="Calibri" w:hAnsi="Calibri" w:cs="Calibri"/>
    </w:rPr>
  </w:style>
  <w:style w:type="paragraph" w:customStyle="1" w:styleId="166">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eastAsia="Arial Unicode MS" w:cs="Arial Unicode MS"/>
      <w:kern w:val="0"/>
      <w:sz w:val="24"/>
    </w:rPr>
  </w:style>
  <w:style w:type="paragraph" w:customStyle="1" w:styleId="168">
    <w:name w:val="xl5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69">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2">
    <w:name w:val="二级无"/>
    <w:basedOn w:val="155"/>
    <w:qFormat/>
    <w:uiPriority w:val="0"/>
    <w:rPr>
      <w:rFonts w:ascii="宋体" w:eastAsia="宋体"/>
    </w:rPr>
  </w:style>
  <w:style w:type="paragraph" w:customStyle="1" w:styleId="173">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175">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76">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8">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80">
    <w:name w:val="font7"/>
    <w:basedOn w:val="1"/>
    <w:qFormat/>
    <w:uiPriority w:val="0"/>
    <w:pPr>
      <w:widowControl/>
      <w:spacing w:before="100" w:beforeAutospacing="1" w:after="100" w:afterAutospacing="1"/>
      <w:jc w:val="left"/>
    </w:pPr>
    <w:rPr>
      <w:rFonts w:ascii="宋体" w:cs="Arial Unicode MS"/>
      <w:b/>
      <w:bCs/>
      <w:kern w:val="0"/>
      <w:sz w:val="24"/>
    </w:rPr>
  </w:style>
  <w:style w:type="paragraph" w:customStyle="1" w:styleId="181">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83">
    <w:name w:val="Char11"/>
    <w:basedOn w:val="1"/>
    <w:qFormat/>
    <w:uiPriority w:val="0"/>
    <w:rPr>
      <w:rFonts w:ascii="Tahoma" w:hAnsi="Tahoma"/>
      <w:sz w:val="24"/>
      <w:szCs w:val="20"/>
    </w:rPr>
  </w:style>
  <w:style w:type="paragraph" w:customStyle="1" w:styleId="18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8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8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eastAsia="Arial Unicode MS" w:cs="Arial Unicode MS"/>
      <w:kern w:val="0"/>
      <w:sz w:val="24"/>
    </w:rPr>
  </w:style>
  <w:style w:type="paragraph" w:customStyle="1" w:styleId="187">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189">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eastAsia="Arial Unicode MS" w:cs="Arial Unicode MS"/>
      <w:kern w:val="0"/>
      <w:sz w:val="24"/>
    </w:rPr>
  </w:style>
  <w:style w:type="paragraph" w:customStyle="1" w:styleId="191">
    <w:name w:val="xl84"/>
    <w:basedOn w:val="1"/>
    <w:qFormat/>
    <w:uiPriority w:val="0"/>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192">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eastAsia="Arial Unicode MS" w:cs="Arial Unicode MS"/>
      <w:kern w:val="0"/>
      <w:sz w:val="24"/>
    </w:rPr>
  </w:style>
  <w:style w:type="paragraph" w:customStyle="1" w:styleId="193">
    <w:name w:val="xl6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194">
    <w:name w:val="样式 标题 1 + 两端对齐"/>
    <w:basedOn w:val="4"/>
    <w:next w:val="4"/>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195">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96">
    <w:name w:val="font0"/>
    <w:basedOn w:val="1"/>
    <w:qFormat/>
    <w:uiPriority w:val="0"/>
    <w:pPr>
      <w:widowControl/>
      <w:spacing w:before="100" w:beforeAutospacing="1" w:after="100" w:afterAutospacing="1"/>
      <w:jc w:val="left"/>
    </w:pPr>
    <w:rPr>
      <w:rFonts w:ascii="宋体" w:cs="Arial Unicode MS"/>
      <w:kern w:val="0"/>
      <w:sz w:val="24"/>
    </w:rPr>
  </w:style>
  <w:style w:type="paragraph" w:customStyle="1" w:styleId="197">
    <w:name w:val="自由格式 A"/>
    <w:qFormat/>
    <w:uiPriority w:val="0"/>
    <w:rPr>
      <w:rFonts w:ascii="Helvetica" w:hAnsi="Helvetica" w:eastAsia="ヒラギノ角ゴ Pro W3" w:cs="Times New Roman"/>
      <w:color w:val="000000"/>
      <w:sz w:val="24"/>
      <w:lang w:val="en-US" w:eastAsia="zh-CN" w:bidi="ar-SA"/>
    </w:rPr>
  </w:style>
  <w:style w:type="paragraph" w:customStyle="1" w:styleId="198">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证文"/>
    <w:basedOn w:val="1"/>
    <w:qFormat/>
    <w:uiPriority w:val="0"/>
    <w:pPr>
      <w:spacing w:line="360" w:lineRule="auto"/>
    </w:pPr>
    <w:rPr>
      <w:sz w:val="24"/>
      <w:szCs w:val="20"/>
    </w:rPr>
  </w:style>
  <w:style w:type="paragraph" w:customStyle="1" w:styleId="200">
    <w:name w:val="正文段"/>
    <w:basedOn w:val="1"/>
    <w:qFormat/>
    <w:uiPriority w:val="0"/>
    <w:pPr>
      <w:widowControl/>
      <w:snapToGrid w:val="0"/>
      <w:spacing w:afterLines="50"/>
      <w:ind w:firstLine="200" w:firstLineChars="200"/>
    </w:pPr>
    <w:rPr>
      <w:kern w:val="0"/>
      <w:sz w:val="24"/>
      <w:szCs w:val="20"/>
    </w:rPr>
  </w:style>
  <w:style w:type="paragraph" w:customStyle="1" w:styleId="2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204">
    <w:name w:val="Char Char Char Char Char Char Char1"/>
    <w:basedOn w:val="1"/>
    <w:qFormat/>
    <w:uiPriority w:val="0"/>
    <w:rPr>
      <w:rFonts w:ascii="仿宋_GB2312" w:eastAsia="仿宋_GB2312"/>
      <w:b/>
      <w:sz w:val="32"/>
      <w:szCs w:val="32"/>
    </w:rPr>
  </w:style>
  <w:style w:type="paragraph" w:customStyle="1" w:styleId="205">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eastAsia="Arial Unicode MS" w:cs="Arial Unicode MS"/>
      <w:kern w:val="0"/>
      <w:sz w:val="24"/>
    </w:rPr>
  </w:style>
  <w:style w:type="paragraph" w:customStyle="1" w:styleId="206">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样式1"/>
    <w:basedOn w:val="6"/>
    <w:qFormat/>
    <w:uiPriority w:val="0"/>
  </w:style>
  <w:style w:type="paragraph" w:customStyle="1" w:styleId="208">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209">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Char Char Char Char Char Char"/>
    <w:basedOn w:val="1"/>
    <w:qFormat/>
    <w:uiPriority w:val="0"/>
    <w:pPr>
      <w:ind w:firstLine="200" w:firstLineChars="200"/>
    </w:pPr>
    <w:rPr>
      <w:rFonts w:ascii="Tahoma" w:hAnsi="Tahoma"/>
      <w:sz w:val="24"/>
      <w:szCs w:val="20"/>
    </w:rPr>
  </w:style>
  <w:style w:type="paragraph" w:customStyle="1" w:styleId="212">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213">
    <w:name w:val="xl7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14">
    <w:name w:val="Char Char Char Char Char Char3"/>
    <w:basedOn w:val="1"/>
    <w:qFormat/>
    <w:uiPriority w:val="0"/>
    <w:pPr>
      <w:ind w:firstLine="200" w:firstLineChars="200"/>
    </w:pPr>
    <w:rPr>
      <w:rFonts w:ascii="Tahoma" w:hAnsi="Tahoma"/>
      <w:sz w:val="24"/>
      <w:szCs w:val="20"/>
    </w:rPr>
  </w:style>
  <w:style w:type="paragraph" w:customStyle="1" w:styleId="215">
    <w:name w:val="font8"/>
    <w:basedOn w:val="1"/>
    <w:qFormat/>
    <w:uiPriority w:val="0"/>
    <w:pPr>
      <w:widowControl/>
      <w:spacing w:before="100" w:beforeAutospacing="1" w:after="100" w:afterAutospacing="1"/>
      <w:jc w:val="left"/>
    </w:pPr>
    <w:rPr>
      <w:rFonts w:ascii="宋体" w:cs="Arial Unicode MS"/>
      <w:kern w:val="0"/>
      <w:sz w:val="24"/>
    </w:rPr>
  </w:style>
  <w:style w:type="paragraph" w:customStyle="1" w:styleId="216">
    <w:name w:val="Char Char Char Char1 Char Char Char Char"/>
    <w:basedOn w:val="1"/>
    <w:qFormat/>
    <w:uiPriority w:val="0"/>
    <w:pPr>
      <w:widowControl/>
      <w:spacing w:after="160" w:line="240" w:lineRule="exact"/>
      <w:jc w:val="left"/>
    </w:pPr>
  </w:style>
  <w:style w:type="paragraph" w:customStyle="1" w:styleId="217">
    <w:name w:val="xl61"/>
    <w:basedOn w:val="1"/>
    <w:qFormat/>
    <w:uiPriority w:val="0"/>
    <w:pPr>
      <w:widowControl/>
      <w:shd w:val="clear" w:color="auto" w:fill="FFFFFF"/>
      <w:spacing w:before="100" w:beforeAutospacing="1" w:after="100" w:afterAutospacing="1"/>
      <w:jc w:val="center"/>
      <w:textAlignment w:val="center"/>
    </w:pPr>
    <w:rPr>
      <w:rFonts w:ascii="Arial Unicode MS" w:eastAsia="Arial Unicode MS" w:cs="Arial Unicode MS"/>
      <w:b/>
      <w:bCs/>
      <w:kern w:val="0"/>
      <w:sz w:val="36"/>
      <w:szCs w:val="36"/>
    </w:rPr>
  </w:style>
  <w:style w:type="paragraph" w:customStyle="1" w:styleId="218">
    <w:name w:val="font10"/>
    <w:basedOn w:val="1"/>
    <w:qFormat/>
    <w:uiPriority w:val="0"/>
    <w:pPr>
      <w:widowControl/>
      <w:spacing w:before="100" w:beforeAutospacing="1" w:after="100" w:afterAutospacing="1"/>
      <w:jc w:val="left"/>
    </w:pPr>
    <w:rPr>
      <w:rFonts w:ascii="宋体" w:cs="Arial Unicode MS"/>
      <w:kern w:val="0"/>
      <w:sz w:val="24"/>
    </w:rPr>
  </w:style>
  <w:style w:type="paragraph" w:customStyle="1" w:styleId="219">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22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eastAsia="Arial Unicode MS" w:cs="Arial Unicode MS"/>
      <w:kern w:val="0"/>
      <w:sz w:val="24"/>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222">
    <w:name w:val="文字"/>
    <w:basedOn w:val="1"/>
    <w:qFormat/>
    <w:uiPriority w:val="0"/>
    <w:pPr>
      <w:tabs>
        <w:tab w:val="left" w:pos="8520"/>
      </w:tabs>
      <w:spacing w:line="312" w:lineRule="auto"/>
      <w:ind w:right="-210" w:firstLine="556"/>
    </w:pPr>
    <w:rPr>
      <w:rFonts w:ascii="宋体"/>
      <w:sz w:val="28"/>
      <w:szCs w:val="20"/>
    </w:rPr>
  </w:style>
  <w:style w:type="paragraph" w:customStyle="1" w:styleId="223">
    <w:name w:val="Char3"/>
    <w:basedOn w:val="1"/>
    <w:qFormat/>
    <w:uiPriority w:val="0"/>
    <w:rPr>
      <w:szCs w:val="20"/>
    </w:rPr>
  </w:style>
  <w:style w:type="paragraph" w:customStyle="1" w:styleId="224">
    <w:name w:val="Char Char Char Char Char Char Char2"/>
    <w:basedOn w:val="1"/>
    <w:qFormat/>
    <w:uiPriority w:val="0"/>
    <w:rPr>
      <w:rFonts w:ascii="仿宋_GB2312" w:eastAsia="仿宋_GB2312"/>
      <w:b/>
      <w:sz w:val="32"/>
      <w:szCs w:val="32"/>
    </w:rPr>
  </w:style>
  <w:style w:type="paragraph" w:customStyle="1" w:styleId="225">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26">
    <w:name w:val="xl91"/>
    <w:basedOn w:val="1"/>
    <w:qFormat/>
    <w:uiPriority w:val="0"/>
    <w:pPr>
      <w:widowControl/>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27">
    <w:name w:val="浅色底纹 - 着色 21"/>
    <w:basedOn w:val="1"/>
    <w:next w:val="1"/>
    <w:qFormat/>
    <w:uiPriority w:val="0"/>
    <w:pPr>
      <w:pBdr>
        <w:bottom w:val="single" w:color="4F81BD" w:sz="4" w:space="4"/>
      </w:pBdr>
      <w:spacing w:before="200" w:after="280"/>
      <w:ind w:left="936" w:right="936"/>
    </w:pPr>
    <w:rPr>
      <w:b/>
      <w:bCs/>
      <w:i/>
      <w:iCs/>
      <w:color w:val="4F81BD"/>
      <w:szCs w:val="20"/>
    </w:rPr>
  </w:style>
  <w:style w:type="paragraph" w:customStyle="1" w:styleId="228">
    <w:name w:val="xl62"/>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229">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xl6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eastAsia="Arial Unicode MS" w:cs="Arial Unicode MS"/>
      <w:b/>
      <w:bCs/>
      <w:kern w:val="0"/>
      <w:sz w:val="24"/>
    </w:rPr>
  </w:style>
  <w:style w:type="paragraph" w:customStyle="1" w:styleId="231">
    <w:name w:val="Char Char Char Char Char Char1"/>
    <w:basedOn w:val="1"/>
    <w:next w:val="3"/>
    <w:qFormat/>
    <w:uiPriority w:val="0"/>
    <w:pPr>
      <w:widowControl/>
      <w:spacing w:before="100" w:beforeAutospacing="1" w:after="100" w:afterAutospacing="1" w:line="420" w:lineRule="auto"/>
      <w:jc w:val="left"/>
      <w:textAlignment w:val="top"/>
    </w:pPr>
    <w:rPr>
      <w:szCs w:val="20"/>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33">
    <w:name w:val="此正文"/>
    <w:basedOn w:val="1"/>
    <w:qFormat/>
    <w:uiPriority w:val="0"/>
    <w:pPr>
      <w:spacing w:line="360" w:lineRule="auto"/>
      <w:ind w:firstLine="200" w:firstLineChars="200"/>
    </w:pPr>
    <w:rPr>
      <w:sz w:val="24"/>
    </w:rPr>
  </w:style>
  <w:style w:type="paragraph" w:customStyle="1" w:styleId="234">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标准小三"/>
    <w:basedOn w:val="1"/>
    <w:qFormat/>
    <w:uiPriority w:val="0"/>
    <w:pPr>
      <w:spacing w:line="700" w:lineRule="exact"/>
      <w:ind w:firstLine="200" w:firstLineChars="200"/>
    </w:pPr>
    <w:rPr>
      <w:rFonts w:ascii="宋体" w:hAnsi="宋体" w:eastAsia="仿宋_GB2312"/>
      <w:kern w:val="0"/>
      <w:sz w:val="30"/>
      <w:szCs w:val="32"/>
    </w:rPr>
  </w:style>
  <w:style w:type="paragraph" w:customStyle="1" w:styleId="236">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lemmawgt-lemmatitle-title"/>
    <w:basedOn w:val="1"/>
    <w:qFormat/>
    <w:uiPriority w:val="0"/>
    <w:pPr>
      <w:spacing w:after="60"/>
      <w:jc w:val="left"/>
    </w:pPr>
    <w:rPr>
      <w:kern w:val="0"/>
    </w:rPr>
  </w:style>
  <w:style w:type="paragraph" w:customStyle="1" w:styleId="239">
    <w:name w:val="xl25"/>
    <w:basedOn w:val="1"/>
    <w:qFormat/>
    <w:uiPriority w:val="0"/>
    <w:pPr>
      <w:widowControl/>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240">
    <w:name w:val="xl7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41">
    <w:name w:val="xl5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kern w:val="0"/>
      <w:sz w:val="24"/>
    </w:rPr>
  </w:style>
  <w:style w:type="paragraph" w:customStyle="1" w:styleId="242">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43">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color w:val="000000"/>
      <w:kern w:val="0"/>
      <w:sz w:val="24"/>
    </w:rPr>
  </w:style>
  <w:style w:type="paragraph" w:customStyle="1" w:styleId="244">
    <w:name w:val="xl29"/>
    <w:basedOn w:val="1"/>
    <w:qFormat/>
    <w:uiPriority w:val="0"/>
    <w:pPr>
      <w:widowControl/>
      <w:spacing w:before="100" w:beforeAutospacing="1" w:after="100" w:afterAutospacing="1"/>
      <w:jc w:val="center"/>
    </w:pPr>
    <w:rPr>
      <w:rFonts w:ascii="Arial Unicode MS" w:eastAsia="Arial Unicode MS"/>
      <w:kern w:val="0"/>
      <w:sz w:val="24"/>
    </w:rPr>
  </w:style>
  <w:style w:type="paragraph" w:customStyle="1" w:styleId="245">
    <w:name w:val="Char"/>
    <w:basedOn w:val="1"/>
    <w:qFormat/>
    <w:uiPriority w:val="0"/>
    <w:pPr>
      <w:widowControl/>
      <w:spacing w:after="160" w:line="240" w:lineRule="exact"/>
      <w:jc w:val="left"/>
    </w:pPr>
    <w:rPr>
      <w:szCs w:val="20"/>
    </w:rPr>
  </w:style>
  <w:style w:type="paragraph" w:customStyle="1" w:styleId="246">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color w:val="000000"/>
      <w:kern w:val="0"/>
      <w:sz w:val="24"/>
    </w:rPr>
  </w:style>
  <w:style w:type="paragraph" w:customStyle="1" w:styleId="248">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5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2">
    <w:name w:val="标准小四"/>
    <w:basedOn w:val="1"/>
    <w:qFormat/>
    <w:uiPriority w:val="0"/>
    <w:pPr>
      <w:spacing w:line="360" w:lineRule="auto"/>
      <w:ind w:firstLine="200" w:firstLineChars="200"/>
    </w:pPr>
    <w:rPr>
      <w:rFonts w:ascii="Arial" w:hAnsi="Arial"/>
      <w:sz w:val="24"/>
      <w:szCs w:val="21"/>
    </w:rPr>
  </w:style>
  <w:style w:type="paragraph" w:customStyle="1" w:styleId="253">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254">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地址内"/>
    <w:basedOn w:val="1"/>
    <w:qFormat/>
    <w:uiPriority w:val="0"/>
    <w:rPr>
      <w:szCs w:val="20"/>
    </w:rPr>
  </w:style>
  <w:style w:type="paragraph" w:customStyle="1" w:styleId="257">
    <w:name w:val="font5"/>
    <w:basedOn w:val="1"/>
    <w:qFormat/>
    <w:uiPriority w:val="0"/>
    <w:pPr>
      <w:widowControl/>
      <w:spacing w:before="100" w:beforeAutospacing="1" w:after="100" w:afterAutospacing="1"/>
      <w:jc w:val="left"/>
    </w:pPr>
    <w:rPr>
      <w:rFonts w:ascii="宋体" w:cs="Arial Unicode MS"/>
      <w:kern w:val="0"/>
      <w:sz w:val="24"/>
    </w:rPr>
  </w:style>
  <w:style w:type="paragraph" w:customStyle="1" w:styleId="258">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59">
    <w:name w:val="Char1"/>
    <w:basedOn w:val="1"/>
    <w:qFormat/>
    <w:uiPriority w:val="0"/>
    <w:rPr>
      <w:rFonts w:ascii="Tahoma" w:hAnsi="Tahoma"/>
      <w:sz w:val="24"/>
      <w:szCs w:val="20"/>
    </w:rPr>
  </w:style>
  <w:style w:type="paragraph" w:customStyle="1" w:styleId="260">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26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6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4">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eastAsia="Arial Unicode MS" w:cs="Arial Unicode MS"/>
      <w:kern w:val="0"/>
      <w:sz w:val="24"/>
    </w:rPr>
  </w:style>
  <w:style w:type="paragraph" w:customStyle="1" w:styleId="265">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26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267">
    <w:name w:val="Item List in Table"/>
    <w:qFormat/>
    <w:uiPriority w:val="0"/>
    <w:pPr>
      <w:tabs>
        <w:tab w:val="left" w:pos="1260"/>
      </w:tabs>
      <w:spacing w:before="40" w:after="40"/>
      <w:ind w:left="1260" w:hanging="360"/>
      <w:jc w:val="both"/>
    </w:pPr>
    <w:rPr>
      <w:rFonts w:ascii="Arial" w:hAnsi="Arial" w:eastAsia="宋体" w:cs="Arial"/>
      <w:sz w:val="18"/>
      <w:szCs w:val="18"/>
      <w:lang w:val="en-US" w:eastAsia="zh-CN" w:bidi="ar-SA"/>
    </w:rPr>
  </w:style>
  <w:style w:type="paragraph" w:customStyle="1" w:styleId="268">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color w:val="000000"/>
      <w:kern w:val="0"/>
      <w:sz w:val="24"/>
    </w:rPr>
  </w:style>
  <w:style w:type="paragraph" w:customStyle="1" w:styleId="26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eastAsia="Arial Unicode MS" w:cs="Arial Unicode MS"/>
      <w:b/>
      <w:bCs/>
      <w:kern w:val="0"/>
      <w:sz w:val="24"/>
    </w:rPr>
  </w:style>
  <w:style w:type="paragraph" w:customStyle="1" w:styleId="270">
    <w:name w:val="font13"/>
    <w:basedOn w:val="1"/>
    <w:qFormat/>
    <w:uiPriority w:val="0"/>
    <w:pPr>
      <w:widowControl/>
      <w:spacing w:before="100" w:beforeAutospacing="1" w:after="100" w:afterAutospacing="1"/>
      <w:jc w:val="left"/>
    </w:pPr>
    <w:rPr>
      <w:rFonts w:eastAsia="Arial Unicode MS"/>
      <w:b/>
      <w:bCs/>
      <w:kern w:val="0"/>
      <w:sz w:val="24"/>
    </w:rPr>
  </w:style>
  <w:style w:type="paragraph" w:customStyle="1" w:styleId="271">
    <w:name w:val="xl6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Arial Unicode MS" w:eastAsia="Arial Unicode MS" w:cs="Arial Unicode MS"/>
      <w:b/>
      <w:bCs/>
      <w:kern w:val="0"/>
      <w:sz w:val="24"/>
    </w:rPr>
  </w:style>
  <w:style w:type="paragraph" w:customStyle="1" w:styleId="272">
    <w:name w:val="font9"/>
    <w:basedOn w:val="1"/>
    <w:qFormat/>
    <w:uiPriority w:val="0"/>
    <w:pPr>
      <w:widowControl/>
      <w:spacing w:before="100" w:beforeAutospacing="1" w:after="100" w:afterAutospacing="1"/>
      <w:jc w:val="left"/>
    </w:pPr>
    <w:rPr>
      <w:rFonts w:ascii="宋体" w:cs="Arial Unicode MS"/>
      <w:color w:val="000000"/>
      <w:kern w:val="0"/>
      <w:sz w:val="24"/>
    </w:rPr>
  </w:style>
  <w:style w:type="paragraph" w:customStyle="1" w:styleId="273">
    <w:name w:val="xl63"/>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eastAsia="Arial Unicode MS" w:cs="Arial Unicode MS"/>
      <w:b/>
      <w:bCs/>
      <w:kern w:val="0"/>
      <w:sz w:val="24"/>
    </w:rPr>
  </w:style>
  <w:style w:type="paragraph" w:customStyle="1" w:styleId="274">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275">
    <w:name w:val="默认段落字体 Para Char Char Char Char Char Char Char Char Char1 Char Char Char Char"/>
    <w:basedOn w:val="1"/>
    <w:qFormat/>
    <w:uiPriority w:val="0"/>
    <w:rPr>
      <w:rFonts w:ascii="Tahoma" w:hAnsi="Tahoma"/>
      <w:sz w:val="24"/>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78">
    <w:name w:val="H2"/>
    <w:qFormat/>
    <w:uiPriority w:val="0"/>
    <w:pPr>
      <w:widowControl w:val="0"/>
      <w:adjustRightInd w:val="0"/>
      <w:spacing w:after="240" w:line="240" w:lineRule="atLeast"/>
      <w:textAlignment w:val="baseline"/>
    </w:pPr>
    <w:rPr>
      <w:rFonts w:ascii="Times New Roman" w:hAnsi="Times New Roman" w:eastAsia="全真中明體" w:cs="Times New Roman"/>
      <w:b/>
      <w:spacing w:val="20"/>
      <w:sz w:val="24"/>
      <w:lang w:val="en-GB" w:eastAsia="zh-TW" w:bidi="ar-SA"/>
    </w:rPr>
  </w:style>
  <w:style w:type="paragraph" w:customStyle="1" w:styleId="279">
    <w:name w:val="P1"/>
    <w:qFormat/>
    <w:uiPriority w:val="0"/>
    <w:pPr>
      <w:widowControl w:val="0"/>
      <w:adjustRightInd w:val="0"/>
      <w:spacing w:after="240" w:line="240" w:lineRule="atLeast"/>
      <w:ind w:left="2303"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28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82">
    <w:name w:val="xl5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28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85">
    <w:name w:val="font31"/>
    <w:basedOn w:val="51"/>
    <w:qFormat/>
    <w:uiPriority w:val="0"/>
    <w:rPr>
      <w:rFonts w:hint="eastAsia" w:ascii="宋体" w:hAnsi="宋体" w:eastAsia="宋体" w:cs="宋体"/>
      <w:color w:val="000000"/>
      <w:sz w:val="18"/>
      <w:szCs w:val="18"/>
      <w:u w:val="none"/>
    </w:rPr>
  </w:style>
  <w:style w:type="character" w:customStyle="1" w:styleId="286">
    <w:name w:val="font21"/>
    <w:basedOn w:val="51"/>
    <w:qFormat/>
    <w:uiPriority w:val="0"/>
    <w:rPr>
      <w:rFonts w:hint="eastAsia" w:ascii="宋体" w:hAnsi="宋体" w:eastAsia="宋体" w:cs="宋体"/>
      <w:b/>
      <w:bCs/>
      <w:color w:val="000000"/>
      <w:sz w:val="18"/>
      <w:szCs w:val="18"/>
      <w:u w:val="none"/>
    </w:rPr>
  </w:style>
  <w:style w:type="character" w:customStyle="1" w:styleId="287">
    <w:name w:val="font41"/>
    <w:basedOn w:val="51"/>
    <w:qFormat/>
    <w:uiPriority w:val="0"/>
    <w:rPr>
      <w:rFonts w:hint="eastAsia" w:ascii="宋体" w:hAnsi="宋体" w:eastAsia="宋体" w:cs="宋体"/>
      <w:color w:val="000000"/>
      <w:sz w:val="21"/>
      <w:szCs w:val="21"/>
      <w:u w:val="none"/>
    </w:rPr>
  </w:style>
  <w:style w:type="character" w:customStyle="1" w:styleId="288">
    <w:name w:val="font51"/>
    <w:basedOn w:val="51"/>
    <w:qFormat/>
    <w:uiPriority w:val="0"/>
    <w:rPr>
      <w:rFonts w:hint="eastAsia" w:ascii="宋体" w:hAnsi="宋体" w:eastAsia="宋体" w:cs="宋体"/>
      <w:b/>
      <w:bCs/>
      <w:color w:val="000000"/>
      <w:sz w:val="21"/>
      <w:szCs w:val="21"/>
      <w:u w:val="none"/>
    </w:rPr>
  </w:style>
  <w:style w:type="paragraph" w:styleId="28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91">
    <w:name w:val="bookmark-item"/>
    <w:qFormat/>
    <w:uiPriority w:val="0"/>
  </w:style>
  <w:style w:type="paragraph" w:customStyle="1" w:styleId="292">
    <w:name w:val="正文样式"/>
    <w:basedOn w:val="1"/>
    <w:qFormat/>
    <w:uiPriority w:val="0"/>
    <w:pPr>
      <w:tabs>
        <w:tab w:val="left" w:pos="1620"/>
      </w:tabs>
      <w:spacing w:line="360" w:lineRule="auto"/>
      <w:ind w:firstLine="480" w:firstLineChars="200"/>
    </w:pPr>
    <w:rPr>
      <w:sz w:val="28"/>
    </w:rPr>
  </w:style>
  <w:style w:type="paragraph" w:customStyle="1" w:styleId="293">
    <w:name w:val="封面1"/>
    <w:basedOn w:val="1"/>
    <w:qFormat/>
    <w:uiPriority w:val="0"/>
    <w:pPr>
      <w:jc w:val="center"/>
    </w:pPr>
    <w:rPr>
      <w:rFonts w:ascii="华文中宋" w:hAnsi="华文中宋" w:eastAsia="华文中宋"/>
      <w:b/>
      <w:sz w:val="44"/>
    </w:rPr>
  </w:style>
  <w:style w:type="paragraph" w:customStyle="1" w:styleId="294">
    <w:name w:val="表格用"/>
    <w:basedOn w:val="1"/>
    <w:qFormat/>
    <w:uiPriority w:val="0"/>
    <w:rPr>
      <w:kern w:val="0"/>
    </w:rPr>
  </w:style>
  <w:style w:type="paragraph" w:customStyle="1" w:styleId="295">
    <w:name w:val="正文缩进1"/>
    <w:basedOn w:val="1"/>
    <w:qFormat/>
    <w:uiPriority w:val="0"/>
    <w:pPr>
      <w:spacing w:beforeLines="50" w:afterLines="50" w:line="300" w:lineRule="auto"/>
      <w:ind w:firstLine="480"/>
    </w:pPr>
    <w:rPr>
      <w:kern w:val="0"/>
      <w:lang w:val="zh-CN"/>
    </w:rPr>
  </w:style>
  <w:style w:type="paragraph" w:customStyle="1" w:styleId="296">
    <w:name w:val="标书正文格式"/>
    <w:qFormat/>
    <w:uiPriority w:val="0"/>
    <w:pPr>
      <w:spacing w:line="360" w:lineRule="auto"/>
      <w:ind w:firstLine="425" w:firstLineChars="177"/>
    </w:pPr>
    <w:rPr>
      <w:rFonts w:ascii="Times New Roman" w:hAnsi="Times New Roman" w:eastAsia="宋体" w:cs="Times New Roman"/>
      <w:kern w:val="2"/>
      <w:sz w:val="24"/>
      <w:szCs w:val="24"/>
      <w:lang w:val="en-US" w:eastAsia="zh-CN" w:bidi="ar-SA"/>
    </w:rPr>
  </w:style>
  <w:style w:type="character" w:customStyle="1" w:styleId="297">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81</Pages>
  <Words>54372</Words>
  <Characters>62035</Characters>
  <Lines>338</Lines>
  <Paragraphs>95</Paragraphs>
  <TotalTime>26</TotalTime>
  <ScaleCrop>false</ScaleCrop>
  <LinksUpToDate>false</LinksUpToDate>
  <CharactersWithSpaces>65690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2022-02-26T11:42:00Z</dcterms:created>
  <dc:creator>黄旭明</dc:creator>
  <cp:lastModifiedBy>清茶人生</cp:lastModifiedBy>
  <cp:lastPrinted>2023-06-21T00:15:00Z</cp:lastPrinted>
  <dcterms:modified xsi:type="dcterms:W3CDTF">2024-09-30T00:00:33Z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9C7EBC9B56184D85BE645FFF060A3938_13</vt:lpwstr>
  </property>
</Properties>
</file>