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0BB95">
      <w:pPr>
        <w:spacing w:line="600" w:lineRule="exact"/>
        <w:jc w:val="center"/>
        <w:rPr>
          <w:color w:val="auto"/>
          <w:sz w:val="22"/>
          <w:szCs w:val="22"/>
          <w:highlight w:val="none"/>
        </w:rPr>
      </w:pPr>
    </w:p>
    <w:p w14:paraId="0EF04ADC">
      <w:pPr>
        <w:spacing w:line="600" w:lineRule="exact"/>
        <w:jc w:val="center"/>
        <w:rPr>
          <w:color w:val="auto"/>
          <w:sz w:val="32"/>
          <w:szCs w:val="32"/>
          <w:highlight w:val="none"/>
        </w:rPr>
      </w:pPr>
    </w:p>
    <w:p w14:paraId="192385F2">
      <w:pPr>
        <w:spacing w:line="600" w:lineRule="exact"/>
        <w:jc w:val="center"/>
        <w:rPr>
          <w:color w:val="auto"/>
          <w:sz w:val="32"/>
          <w:szCs w:val="32"/>
          <w:highlight w:val="none"/>
        </w:rPr>
      </w:pPr>
    </w:p>
    <w:p w14:paraId="7ECDE531">
      <w:pPr>
        <w:spacing w:line="600" w:lineRule="exact"/>
        <w:jc w:val="center"/>
        <w:rPr>
          <w:color w:val="auto"/>
          <w:sz w:val="32"/>
          <w:szCs w:val="32"/>
          <w:highlight w:val="none"/>
        </w:rPr>
      </w:pPr>
    </w:p>
    <w:p w14:paraId="447116A5">
      <w:pPr>
        <w:spacing w:before="120" w:beforeLines="50"/>
        <w:jc w:val="center"/>
        <w:rPr>
          <w:b/>
          <w:color w:val="auto"/>
          <w:sz w:val="72"/>
          <w:szCs w:val="72"/>
          <w:highlight w:val="none"/>
        </w:rPr>
      </w:pPr>
      <w:r>
        <w:rPr>
          <w:b/>
          <w:color w:val="auto"/>
          <w:sz w:val="72"/>
          <w:szCs w:val="72"/>
          <w:highlight w:val="none"/>
        </w:rPr>
        <w:t>公开招标采购文件</w:t>
      </w:r>
    </w:p>
    <w:p w14:paraId="1DA52179">
      <w:pPr>
        <w:snapToGrid w:val="0"/>
        <w:spacing w:before="120" w:beforeLines="50" w:line="360" w:lineRule="auto"/>
        <w:rPr>
          <w:color w:val="auto"/>
          <w:sz w:val="30"/>
          <w:szCs w:val="72"/>
          <w:highlight w:val="none"/>
        </w:rPr>
      </w:pPr>
    </w:p>
    <w:p w14:paraId="31FE6125">
      <w:pPr>
        <w:snapToGrid w:val="0"/>
        <w:spacing w:before="120" w:beforeLines="50" w:line="360" w:lineRule="auto"/>
        <w:rPr>
          <w:color w:val="auto"/>
          <w:sz w:val="30"/>
          <w:szCs w:val="72"/>
          <w:highlight w:val="none"/>
        </w:rPr>
      </w:pPr>
    </w:p>
    <w:p w14:paraId="4FC2E5CF">
      <w:pPr>
        <w:snapToGrid w:val="0"/>
        <w:spacing w:before="120" w:beforeLines="50" w:line="360" w:lineRule="auto"/>
        <w:rPr>
          <w:color w:val="auto"/>
          <w:sz w:val="30"/>
          <w:szCs w:val="72"/>
          <w:highlight w:val="none"/>
        </w:rPr>
      </w:pPr>
    </w:p>
    <w:p w14:paraId="3DF6FC70">
      <w:pPr>
        <w:snapToGrid w:val="0"/>
        <w:spacing w:before="120" w:beforeLines="50" w:line="360" w:lineRule="auto"/>
        <w:rPr>
          <w:color w:val="auto"/>
          <w:sz w:val="30"/>
          <w:szCs w:val="72"/>
          <w:highlight w:val="none"/>
        </w:rPr>
      </w:pPr>
    </w:p>
    <w:tbl>
      <w:tblPr>
        <w:tblStyle w:val="36"/>
        <w:tblW w:w="0" w:type="auto"/>
        <w:tblInd w:w="0" w:type="dxa"/>
        <w:tblLayout w:type="fixed"/>
        <w:tblCellMar>
          <w:top w:w="0" w:type="dxa"/>
          <w:left w:w="108" w:type="dxa"/>
          <w:bottom w:w="0" w:type="dxa"/>
          <w:right w:w="108" w:type="dxa"/>
        </w:tblCellMar>
      </w:tblPr>
      <w:tblGrid>
        <w:gridCol w:w="2134"/>
        <w:gridCol w:w="7097"/>
      </w:tblGrid>
      <w:tr w14:paraId="19FC7146">
        <w:tblPrEx>
          <w:tblCellMar>
            <w:top w:w="0" w:type="dxa"/>
            <w:left w:w="108" w:type="dxa"/>
            <w:bottom w:w="0" w:type="dxa"/>
            <w:right w:w="108" w:type="dxa"/>
          </w:tblCellMar>
        </w:tblPrEx>
        <w:trPr>
          <w:trHeight w:val="810" w:hRule="atLeast"/>
        </w:trPr>
        <w:tc>
          <w:tcPr>
            <w:tcW w:w="2134" w:type="dxa"/>
            <w:tcBorders>
              <w:top w:val="nil"/>
              <w:left w:val="nil"/>
              <w:bottom w:val="nil"/>
              <w:right w:val="nil"/>
            </w:tcBorders>
            <w:vAlign w:val="center"/>
          </w:tcPr>
          <w:p w14:paraId="02AE6C95">
            <w:pPr>
              <w:snapToGrid w:val="0"/>
              <w:jc w:val="center"/>
              <w:rPr>
                <w:b/>
                <w:color w:val="auto"/>
                <w:sz w:val="34"/>
                <w:szCs w:val="32"/>
                <w:highlight w:val="none"/>
              </w:rPr>
            </w:pPr>
            <w:r>
              <w:rPr>
                <w:b/>
                <w:color w:val="auto"/>
                <w:sz w:val="34"/>
                <w:szCs w:val="32"/>
                <w:highlight w:val="none"/>
              </w:rPr>
              <w:t>项目编号：</w:t>
            </w:r>
          </w:p>
        </w:tc>
        <w:tc>
          <w:tcPr>
            <w:tcW w:w="7097" w:type="dxa"/>
            <w:tcBorders>
              <w:top w:val="nil"/>
              <w:left w:val="nil"/>
              <w:bottom w:val="nil"/>
              <w:right w:val="nil"/>
            </w:tcBorders>
            <w:vAlign w:val="center"/>
          </w:tcPr>
          <w:p w14:paraId="19EF4BD0">
            <w:pPr>
              <w:pStyle w:val="19"/>
              <w:snapToGrid w:val="0"/>
              <w:spacing w:beforeLines="0" w:afterLines="0" w:line="240" w:lineRule="auto"/>
              <w:rPr>
                <w:rFonts w:ascii="Times New Roman"/>
                <w:b/>
                <w:color w:val="auto"/>
                <w:kern w:val="2"/>
                <w:sz w:val="34"/>
                <w:szCs w:val="32"/>
                <w:highlight w:val="none"/>
                <w:u w:val="single"/>
              </w:rPr>
            </w:pPr>
            <w:r>
              <w:rPr>
                <w:rFonts w:ascii="Times New Roman"/>
                <w:b/>
                <w:color w:val="auto"/>
                <w:sz w:val="34"/>
                <w:szCs w:val="32"/>
                <w:highlight w:val="none"/>
                <w:u w:val="single"/>
              </w:rPr>
              <w:t>ZJZC-241231</w:t>
            </w:r>
          </w:p>
        </w:tc>
      </w:tr>
      <w:tr w14:paraId="4C041EFE">
        <w:tblPrEx>
          <w:tblCellMar>
            <w:top w:w="0" w:type="dxa"/>
            <w:left w:w="108" w:type="dxa"/>
            <w:bottom w:w="0" w:type="dxa"/>
            <w:right w:w="108" w:type="dxa"/>
          </w:tblCellMar>
        </w:tblPrEx>
        <w:trPr>
          <w:trHeight w:val="1781" w:hRule="atLeast"/>
        </w:trPr>
        <w:tc>
          <w:tcPr>
            <w:tcW w:w="2134" w:type="dxa"/>
            <w:tcBorders>
              <w:top w:val="nil"/>
              <w:left w:val="nil"/>
              <w:bottom w:val="nil"/>
              <w:right w:val="nil"/>
            </w:tcBorders>
            <w:vAlign w:val="center"/>
          </w:tcPr>
          <w:p w14:paraId="4C32BBAE">
            <w:pPr>
              <w:snapToGrid w:val="0"/>
              <w:jc w:val="center"/>
              <w:rPr>
                <w:b/>
                <w:color w:val="auto"/>
                <w:sz w:val="34"/>
                <w:szCs w:val="32"/>
                <w:highlight w:val="none"/>
              </w:rPr>
            </w:pPr>
            <w:r>
              <w:rPr>
                <w:b/>
                <w:color w:val="auto"/>
                <w:sz w:val="34"/>
                <w:szCs w:val="32"/>
                <w:highlight w:val="none"/>
              </w:rPr>
              <w:t>项目名称：</w:t>
            </w:r>
          </w:p>
        </w:tc>
        <w:tc>
          <w:tcPr>
            <w:tcW w:w="7097" w:type="dxa"/>
            <w:tcBorders>
              <w:top w:val="nil"/>
              <w:left w:val="nil"/>
              <w:bottom w:val="nil"/>
              <w:right w:val="nil"/>
            </w:tcBorders>
            <w:vAlign w:val="center"/>
          </w:tcPr>
          <w:p w14:paraId="702CF1CF">
            <w:pPr>
              <w:spacing w:line="400" w:lineRule="exact"/>
              <w:jc w:val="left"/>
              <w:rPr>
                <w:b/>
                <w:color w:val="auto"/>
                <w:kern w:val="0"/>
                <w:sz w:val="34"/>
                <w:szCs w:val="32"/>
                <w:highlight w:val="none"/>
                <w:u w:val="single"/>
              </w:rPr>
            </w:pPr>
            <w:r>
              <w:rPr>
                <w:b/>
                <w:color w:val="auto"/>
                <w:kern w:val="0"/>
                <w:sz w:val="34"/>
                <w:szCs w:val="32"/>
                <w:highlight w:val="none"/>
                <w:u w:val="single"/>
              </w:rPr>
              <w:t>宁波大学科学技术学院智慧文旅实训室建设项目</w:t>
            </w:r>
          </w:p>
        </w:tc>
      </w:tr>
    </w:tbl>
    <w:p w14:paraId="6AA73CF5">
      <w:pPr>
        <w:spacing w:before="120" w:beforeLines="50"/>
        <w:rPr>
          <w:b/>
          <w:color w:val="auto"/>
          <w:sz w:val="30"/>
          <w:szCs w:val="72"/>
          <w:highlight w:val="none"/>
        </w:rPr>
      </w:pPr>
    </w:p>
    <w:p w14:paraId="560A186F">
      <w:pPr>
        <w:pStyle w:val="19"/>
        <w:snapToGrid w:val="0"/>
        <w:spacing w:beforeLines="0" w:afterLines="0" w:line="360" w:lineRule="auto"/>
        <w:rPr>
          <w:rFonts w:ascii="Times New Roman"/>
          <w:b/>
          <w:bCs/>
          <w:color w:val="auto"/>
          <w:sz w:val="30"/>
          <w:szCs w:val="30"/>
          <w:highlight w:val="none"/>
        </w:rPr>
      </w:pPr>
    </w:p>
    <w:p w14:paraId="7A7C8479">
      <w:pPr>
        <w:pStyle w:val="19"/>
        <w:snapToGrid w:val="0"/>
        <w:spacing w:beforeLines="0" w:afterLines="0" w:line="360" w:lineRule="auto"/>
        <w:rPr>
          <w:rFonts w:ascii="Times New Roman"/>
          <w:b/>
          <w:color w:val="auto"/>
          <w:sz w:val="30"/>
          <w:szCs w:val="72"/>
          <w:highlight w:val="none"/>
        </w:rPr>
      </w:pPr>
    </w:p>
    <w:p w14:paraId="4B67A9BA">
      <w:pPr>
        <w:pStyle w:val="19"/>
        <w:snapToGrid w:val="0"/>
        <w:spacing w:beforeLines="0" w:afterLines="0" w:line="360" w:lineRule="auto"/>
        <w:rPr>
          <w:rFonts w:ascii="Times New Roman"/>
          <w:b/>
          <w:color w:val="auto"/>
          <w:sz w:val="30"/>
          <w:szCs w:val="72"/>
          <w:highlight w:val="none"/>
        </w:rPr>
      </w:pPr>
    </w:p>
    <w:p w14:paraId="256D058E">
      <w:pPr>
        <w:pStyle w:val="19"/>
        <w:snapToGrid w:val="0"/>
        <w:spacing w:beforeLines="0" w:afterLines="0" w:line="360" w:lineRule="auto"/>
        <w:rPr>
          <w:rFonts w:ascii="Times New Roman"/>
          <w:b/>
          <w:color w:val="auto"/>
          <w:sz w:val="30"/>
          <w:szCs w:val="72"/>
          <w:highlight w:val="none"/>
        </w:rPr>
      </w:pPr>
      <w:r>
        <w:rPr>
          <w:rFonts w:ascii="Times New Roman"/>
          <w:b/>
          <w:bCs/>
          <w:color w:val="auto"/>
          <w:sz w:val="30"/>
          <w:szCs w:val="30"/>
          <w:highlight w:val="none"/>
        </w:rPr>
        <w:drawing>
          <wp:anchor distT="0" distB="0" distL="114300" distR="114300" simplePos="0" relativeHeight="251659264" behindDoc="0" locked="0" layoutInCell="1" allowOverlap="1">
            <wp:simplePos x="0" y="0"/>
            <wp:positionH relativeFrom="column">
              <wp:align>center</wp:align>
            </wp:positionH>
            <wp:positionV relativeFrom="paragraph">
              <wp:posOffset>274955</wp:posOffset>
            </wp:positionV>
            <wp:extent cx="900430" cy="788035"/>
            <wp:effectExtent l="0" t="0" r="13970" b="12065"/>
            <wp:wrapNone/>
            <wp:docPr id="1" name="图片 2" descr="中创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创LOGO_1"/>
                    <pic:cNvPicPr>
                      <a:picLocks noChangeAspect="1"/>
                    </pic:cNvPicPr>
                  </pic:nvPicPr>
                  <pic:blipFill>
                    <a:blip r:embed="rId12"/>
                    <a:stretch>
                      <a:fillRect/>
                    </a:stretch>
                  </pic:blipFill>
                  <pic:spPr>
                    <a:xfrm>
                      <a:off x="0" y="0"/>
                      <a:ext cx="900430" cy="788035"/>
                    </a:xfrm>
                    <a:prstGeom prst="rect">
                      <a:avLst/>
                    </a:prstGeom>
                    <a:noFill/>
                    <a:ln>
                      <a:noFill/>
                    </a:ln>
                  </pic:spPr>
                </pic:pic>
              </a:graphicData>
            </a:graphic>
          </wp:anchor>
        </w:drawing>
      </w:r>
    </w:p>
    <w:p w14:paraId="70933C66">
      <w:pPr>
        <w:snapToGrid w:val="0"/>
        <w:spacing w:before="120" w:beforeLines="50" w:line="360" w:lineRule="auto"/>
        <w:jc w:val="center"/>
        <w:rPr>
          <w:b/>
          <w:bCs/>
          <w:color w:val="auto"/>
          <w:sz w:val="30"/>
          <w:szCs w:val="30"/>
          <w:highlight w:val="none"/>
        </w:rPr>
      </w:pPr>
    </w:p>
    <w:p w14:paraId="334CF34E">
      <w:pPr>
        <w:snapToGrid w:val="0"/>
        <w:spacing w:before="120" w:beforeLines="50" w:line="360" w:lineRule="auto"/>
        <w:jc w:val="center"/>
        <w:rPr>
          <w:b/>
          <w:bCs/>
          <w:color w:val="auto"/>
          <w:sz w:val="30"/>
          <w:szCs w:val="30"/>
          <w:highlight w:val="none"/>
        </w:rPr>
      </w:pPr>
    </w:p>
    <w:p w14:paraId="702CC03A">
      <w:pPr>
        <w:snapToGrid w:val="0"/>
        <w:spacing w:before="120" w:beforeLines="50" w:line="360" w:lineRule="auto"/>
        <w:jc w:val="center"/>
        <w:rPr>
          <w:b/>
          <w:color w:val="auto"/>
          <w:sz w:val="36"/>
          <w:szCs w:val="36"/>
          <w:highlight w:val="none"/>
        </w:rPr>
      </w:pPr>
      <w:r>
        <w:rPr>
          <w:b/>
          <w:color w:val="auto"/>
          <w:sz w:val="36"/>
          <w:szCs w:val="36"/>
          <w:highlight w:val="none"/>
        </w:rPr>
        <w:t>浙江中创招投标有限公司</w:t>
      </w:r>
    </w:p>
    <w:p w14:paraId="2F506571">
      <w:pPr>
        <w:snapToGrid w:val="0"/>
        <w:spacing w:before="120" w:beforeLines="50" w:line="360" w:lineRule="auto"/>
        <w:jc w:val="center"/>
        <w:rPr>
          <w:b/>
          <w:bCs/>
          <w:color w:val="auto"/>
          <w:sz w:val="30"/>
          <w:szCs w:val="30"/>
          <w:highlight w:val="none"/>
        </w:rPr>
        <w:sectPr>
          <w:footerReference r:id="rId5" w:type="first"/>
          <w:headerReference r:id="rId3" w:type="default"/>
          <w:footerReference r:id="rId4" w:type="default"/>
          <w:pgSz w:w="11907" w:h="16840"/>
          <w:pgMar w:top="1276" w:right="1474" w:bottom="1242" w:left="1474" w:header="720" w:footer="720" w:gutter="0"/>
          <w:cols w:space="720" w:num="1"/>
          <w:docGrid w:linePitch="285" w:charSpace="0"/>
        </w:sectPr>
      </w:pPr>
      <w:r>
        <w:rPr>
          <w:b/>
          <w:bCs/>
          <w:color w:val="auto"/>
          <w:sz w:val="30"/>
          <w:szCs w:val="30"/>
          <w:highlight w:val="none"/>
        </w:rPr>
        <w:t>二〇二四年</w:t>
      </w:r>
      <w:r>
        <w:rPr>
          <w:rFonts w:hint="eastAsia"/>
          <w:b/>
          <w:bCs/>
          <w:color w:val="auto"/>
          <w:sz w:val="30"/>
          <w:szCs w:val="30"/>
          <w:highlight w:val="none"/>
        </w:rPr>
        <w:t>十</w:t>
      </w:r>
      <w:r>
        <w:rPr>
          <w:b/>
          <w:bCs/>
          <w:color w:val="auto"/>
          <w:sz w:val="30"/>
          <w:szCs w:val="30"/>
          <w:highlight w:val="none"/>
        </w:rPr>
        <w:t>月</w:t>
      </w:r>
    </w:p>
    <w:p w14:paraId="70B62935">
      <w:pPr>
        <w:snapToGrid w:val="0"/>
        <w:spacing w:before="120" w:beforeLines="50" w:line="360" w:lineRule="auto"/>
        <w:jc w:val="center"/>
        <w:rPr>
          <w:color w:val="auto"/>
          <w:highlight w:val="none"/>
        </w:rPr>
      </w:pPr>
    </w:p>
    <w:p w14:paraId="7A30DAED">
      <w:pPr>
        <w:jc w:val="center"/>
        <w:rPr>
          <w:color w:val="auto"/>
          <w:sz w:val="40"/>
          <w:szCs w:val="40"/>
          <w:highlight w:val="none"/>
        </w:rPr>
      </w:pPr>
      <w:r>
        <w:rPr>
          <w:color w:val="auto"/>
          <w:sz w:val="40"/>
          <w:szCs w:val="40"/>
          <w:highlight w:val="none"/>
        </w:rPr>
        <w:t>目  录</w:t>
      </w:r>
    </w:p>
    <w:p w14:paraId="0E3441DD">
      <w:pPr>
        <w:pStyle w:val="26"/>
        <w:tabs>
          <w:tab w:val="right" w:leader="dot" w:pos="8949"/>
        </w:tabs>
        <w:rPr>
          <w:rFonts w:eastAsia="等线"/>
          <w:color w:val="auto"/>
          <w:szCs w:val="22"/>
          <w:highlight w:val="none"/>
        </w:rPr>
      </w:pPr>
      <w:r>
        <w:rPr>
          <w:color w:val="auto"/>
          <w:sz w:val="30"/>
          <w:szCs w:val="30"/>
          <w:highlight w:val="none"/>
        </w:rPr>
        <w:fldChar w:fldCharType="begin"/>
      </w:r>
      <w:r>
        <w:rPr>
          <w:color w:val="auto"/>
          <w:sz w:val="30"/>
          <w:szCs w:val="30"/>
          <w:highlight w:val="none"/>
        </w:rPr>
        <w:instrText xml:space="preserve"> TOC \o "1-3" \h \z \u </w:instrText>
      </w:r>
      <w:r>
        <w:rPr>
          <w:color w:val="auto"/>
          <w:sz w:val="30"/>
          <w:szCs w:val="30"/>
          <w:highlight w:val="none"/>
        </w:rPr>
        <w:fldChar w:fldCharType="separate"/>
      </w:r>
      <w:r>
        <w:rPr>
          <w:color w:val="auto"/>
          <w:highlight w:val="none"/>
        </w:rPr>
        <w:fldChar w:fldCharType="begin"/>
      </w:r>
      <w:r>
        <w:rPr>
          <w:color w:val="auto"/>
          <w:highlight w:val="none"/>
        </w:rPr>
        <w:instrText xml:space="preserve"> HYPERLINK \l "_Toc100932104" </w:instrText>
      </w:r>
      <w:r>
        <w:rPr>
          <w:color w:val="auto"/>
          <w:highlight w:val="none"/>
        </w:rPr>
        <w:fldChar w:fldCharType="separate"/>
      </w:r>
      <w:r>
        <w:rPr>
          <w:rStyle w:val="44"/>
          <w:color w:val="auto"/>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_Toc100932104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A8ADC84">
      <w:pPr>
        <w:pStyle w:val="26"/>
        <w:tabs>
          <w:tab w:val="right" w:leader="dot" w:pos="8949"/>
        </w:tabs>
        <w:rPr>
          <w:rFonts w:eastAsia="等线"/>
          <w:color w:val="auto"/>
          <w:szCs w:val="22"/>
          <w:highlight w:val="none"/>
        </w:rPr>
      </w:pPr>
      <w:r>
        <w:rPr>
          <w:color w:val="auto"/>
          <w:highlight w:val="none"/>
        </w:rPr>
        <w:fldChar w:fldCharType="begin"/>
      </w:r>
      <w:r>
        <w:rPr>
          <w:color w:val="auto"/>
          <w:highlight w:val="none"/>
        </w:rPr>
        <w:instrText xml:space="preserve"> HYPERLINK \l "_Toc100932105" </w:instrText>
      </w:r>
      <w:r>
        <w:rPr>
          <w:color w:val="auto"/>
          <w:highlight w:val="none"/>
        </w:rPr>
        <w:fldChar w:fldCharType="separate"/>
      </w:r>
      <w:r>
        <w:rPr>
          <w:rStyle w:val="44"/>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_Toc100932105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ABDF616">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"_Toc100932106" </w:instrText>
      </w:r>
      <w:r>
        <w:rPr>
          <w:color w:val="auto"/>
          <w:highlight w:val="none"/>
        </w:rPr>
        <w:fldChar w:fldCharType="separate"/>
      </w:r>
      <w:r>
        <w:rPr>
          <w:rStyle w:val="44"/>
          <w:color w:val="auto"/>
          <w:highlight w:val="none"/>
        </w:rPr>
        <w:t>前附表</w:t>
      </w:r>
      <w:r>
        <w:rPr>
          <w:color w:val="auto"/>
          <w:highlight w:val="none"/>
        </w:rPr>
        <w:tab/>
      </w:r>
      <w:r>
        <w:rPr>
          <w:color w:val="auto"/>
          <w:highlight w:val="none"/>
        </w:rPr>
        <w:fldChar w:fldCharType="begin"/>
      </w:r>
      <w:r>
        <w:rPr>
          <w:color w:val="auto"/>
          <w:highlight w:val="none"/>
        </w:rPr>
        <w:instrText xml:space="preserve"> PAGEREF _Toc100932106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C70426F">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"_Toc100932107" </w:instrText>
      </w:r>
      <w:r>
        <w:rPr>
          <w:color w:val="auto"/>
          <w:highlight w:val="none"/>
        </w:rPr>
        <w:fldChar w:fldCharType="separate"/>
      </w:r>
      <w:r>
        <w:rPr>
          <w:rStyle w:val="44"/>
          <w:color w:val="auto"/>
          <w:highlight w:val="none"/>
        </w:rPr>
        <w:t>一、商务需求</w:t>
      </w:r>
      <w:r>
        <w:rPr>
          <w:color w:val="auto"/>
          <w:highlight w:val="none"/>
        </w:rPr>
        <w:tab/>
      </w:r>
      <w:r>
        <w:rPr>
          <w:color w:val="auto"/>
          <w:highlight w:val="none"/>
        </w:rPr>
        <w:fldChar w:fldCharType="begin"/>
      </w:r>
      <w:r>
        <w:rPr>
          <w:color w:val="auto"/>
          <w:highlight w:val="none"/>
        </w:rPr>
        <w:instrText xml:space="preserve"> PAGEREF _Toc100932107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5FCE1BF">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"_Toc100932108" </w:instrText>
      </w:r>
      <w:r>
        <w:rPr>
          <w:color w:val="auto"/>
          <w:highlight w:val="none"/>
        </w:rPr>
        <w:fldChar w:fldCharType="separate"/>
      </w:r>
      <w:r>
        <w:rPr>
          <w:rStyle w:val="44"/>
          <w:color w:val="auto"/>
          <w:highlight w:val="none"/>
        </w:rPr>
        <w:t>二、技术需求</w:t>
      </w:r>
      <w:r>
        <w:rPr>
          <w:color w:val="auto"/>
          <w:highlight w:val="none"/>
        </w:rPr>
        <w:tab/>
      </w:r>
      <w:r>
        <w:rPr>
          <w:color w:val="auto"/>
          <w:highlight w:val="none"/>
        </w:rPr>
        <w:fldChar w:fldCharType="begin"/>
      </w:r>
      <w:r>
        <w:rPr>
          <w:color w:val="auto"/>
          <w:highlight w:val="none"/>
        </w:rPr>
        <w:instrText xml:space="preserve"> PAGEREF _Toc100932108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EA20D88">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"_Toc100932109" </w:instrText>
      </w:r>
      <w:r>
        <w:rPr>
          <w:color w:val="auto"/>
          <w:highlight w:val="none"/>
        </w:rPr>
        <w:fldChar w:fldCharType="separate"/>
      </w:r>
      <w:r>
        <w:rPr>
          <w:rStyle w:val="44"/>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_Toc100932109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8FBE44B">
      <w:pPr>
        <w:pStyle w:val="26"/>
        <w:tabs>
          <w:tab w:val="right" w:leader="dot" w:pos="8949"/>
        </w:tabs>
        <w:rPr>
          <w:rFonts w:eastAsia="等线"/>
          <w:color w:val="auto"/>
          <w:szCs w:val="22"/>
          <w:highlight w:val="none"/>
        </w:rPr>
      </w:pPr>
      <w:r>
        <w:rPr>
          <w:color w:val="auto"/>
          <w:highlight w:val="none"/>
        </w:rPr>
        <w:fldChar w:fldCharType="begin"/>
      </w:r>
      <w:r>
        <w:rPr>
          <w:color w:val="auto"/>
          <w:highlight w:val="none"/>
        </w:rPr>
        <w:instrText xml:space="preserve"> HYPERLINK \l "_Toc100932110" </w:instrText>
      </w:r>
      <w:r>
        <w:rPr>
          <w:color w:val="auto"/>
          <w:highlight w:val="none"/>
        </w:rPr>
        <w:fldChar w:fldCharType="separate"/>
      </w:r>
      <w:r>
        <w:rPr>
          <w:rStyle w:val="44"/>
          <w:color w:val="auto"/>
          <w:highlight w:val="none"/>
        </w:rPr>
        <w:t>一、 总  则</w:t>
      </w:r>
      <w:r>
        <w:rPr>
          <w:color w:val="auto"/>
          <w:highlight w:val="none"/>
        </w:rPr>
        <w:tab/>
      </w:r>
      <w:r>
        <w:rPr>
          <w:color w:val="auto"/>
          <w:highlight w:val="none"/>
        </w:rPr>
        <w:fldChar w:fldCharType="begin"/>
      </w:r>
      <w:r>
        <w:rPr>
          <w:color w:val="auto"/>
          <w:highlight w:val="none"/>
        </w:rPr>
        <w:instrText xml:space="preserve"> PAGEREF _Toc100932110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27E518E">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"_Toc100932111" </w:instrText>
      </w:r>
      <w:r>
        <w:rPr>
          <w:color w:val="auto"/>
          <w:highlight w:val="none"/>
        </w:rPr>
        <w:fldChar w:fldCharType="separate"/>
      </w:r>
      <w:r>
        <w:rPr>
          <w:rStyle w:val="44"/>
          <w:color w:val="auto"/>
          <w:highlight w:val="none"/>
        </w:rPr>
        <w:t>（一）适用范围</w:t>
      </w:r>
      <w:r>
        <w:rPr>
          <w:color w:val="auto"/>
          <w:highlight w:val="none"/>
        </w:rPr>
        <w:tab/>
      </w:r>
      <w:r>
        <w:rPr>
          <w:color w:val="auto"/>
          <w:highlight w:val="none"/>
        </w:rPr>
        <w:fldChar w:fldCharType="begin"/>
      </w:r>
      <w:r>
        <w:rPr>
          <w:color w:val="auto"/>
          <w:highlight w:val="none"/>
        </w:rPr>
        <w:instrText xml:space="preserve"> PAGEREF _Toc100932111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BF2FA10">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"_Toc100932112" </w:instrText>
      </w:r>
      <w:r>
        <w:rPr>
          <w:color w:val="auto"/>
          <w:highlight w:val="none"/>
        </w:rPr>
        <w:fldChar w:fldCharType="separate"/>
      </w:r>
      <w:r>
        <w:rPr>
          <w:rStyle w:val="44"/>
          <w:color w:val="auto"/>
          <w:highlight w:val="none"/>
        </w:rPr>
        <w:t>（二）定义</w:t>
      </w:r>
      <w:r>
        <w:rPr>
          <w:color w:val="auto"/>
          <w:highlight w:val="none"/>
        </w:rPr>
        <w:tab/>
      </w:r>
      <w:r>
        <w:rPr>
          <w:color w:val="auto"/>
          <w:highlight w:val="none"/>
        </w:rPr>
        <w:fldChar w:fldCharType="begin"/>
      </w:r>
      <w:r>
        <w:rPr>
          <w:color w:val="auto"/>
          <w:highlight w:val="none"/>
        </w:rPr>
        <w:instrText xml:space="preserve"> PAGEREF _Toc100932112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36A94E1">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"_Toc100932113" </w:instrText>
      </w:r>
      <w:r>
        <w:rPr>
          <w:color w:val="auto"/>
          <w:highlight w:val="none"/>
        </w:rPr>
        <w:fldChar w:fldCharType="separate"/>
      </w:r>
      <w:r>
        <w:rPr>
          <w:rStyle w:val="44"/>
          <w:color w:val="auto"/>
          <w:highlight w:val="none"/>
        </w:rPr>
        <w:t>（三）采购方式</w:t>
      </w:r>
      <w:r>
        <w:rPr>
          <w:color w:val="auto"/>
          <w:highlight w:val="none"/>
        </w:rPr>
        <w:tab/>
      </w:r>
      <w:r>
        <w:rPr>
          <w:color w:val="auto"/>
          <w:highlight w:val="none"/>
        </w:rPr>
        <w:fldChar w:fldCharType="begin"/>
      </w:r>
      <w:r>
        <w:rPr>
          <w:color w:val="auto"/>
          <w:highlight w:val="none"/>
        </w:rPr>
        <w:instrText xml:space="preserve"> PAGEREF _Toc100932113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2A7111A">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"_Toc100932114" </w:instrText>
      </w:r>
      <w:r>
        <w:rPr>
          <w:color w:val="auto"/>
          <w:highlight w:val="none"/>
        </w:rPr>
        <w:fldChar w:fldCharType="separate"/>
      </w:r>
      <w:r>
        <w:rPr>
          <w:rStyle w:val="44"/>
          <w:color w:val="auto"/>
          <w:highlight w:val="none"/>
        </w:rPr>
        <w:t>（四）投标委托</w:t>
      </w:r>
      <w:r>
        <w:rPr>
          <w:color w:val="auto"/>
          <w:highlight w:val="none"/>
        </w:rPr>
        <w:tab/>
      </w:r>
      <w:r>
        <w:rPr>
          <w:color w:val="auto"/>
          <w:highlight w:val="none"/>
        </w:rPr>
        <w:fldChar w:fldCharType="begin"/>
      </w:r>
      <w:r>
        <w:rPr>
          <w:color w:val="auto"/>
          <w:highlight w:val="none"/>
        </w:rPr>
        <w:instrText xml:space="preserve"> PAGEREF _Toc100932114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8C59F04">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"_Toc100932115" </w:instrText>
      </w:r>
      <w:r>
        <w:rPr>
          <w:color w:val="auto"/>
          <w:highlight w:val="none"/>
        </w:rPr>
        <w:fldChar w:fldCharType="separate"/>
      </w:r>
      <w:r>
        <w:rPr>
          <w:rStyle w:val="44"/>
          <w:color w:val="auto"/>
          <w:highlight w:val="none"/>
        </w:rPr>
        <w:t>（五）投标费用</w:t>
      </w:r>
      <w:r>
        <w:rPr>
          <w:color w:val="auto"/>
          <w:highlight w:val="none"/>
        </w:rPr>
        <w:tab/>
      </w:r>
      <w:r>
        <w:rPr>
          <w:color w:val="auto"/>
          <w:highlight w:val="none"/>
        </w:rPr>
        <w:fldChar w:fldCharType="begin"/>
      </w:r>
      <w:r>
        <w:rPr>
          <w:color w:val="auto"/>
          <w:highlight w:val="none"/>
        </w:rPr>
        <w:instrText xml:space="preserve"> PAGEREF _Toc100932115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621BA6D">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"_Toc100932116" </w:instrText>
      </w:r>
      <w:r>
        <w:rPr>
          <w:color w:val="auto"/>
          <w:highlight w:val="none"/>
        </w:rPr>
        <w:fldChar w:fldCharType="separate"/>
      </w:r>
      <w:r>
        <w:rPr>
          <w:rStyle w:val="44"/>
          <w:color w:val="auto"/>
          <w:highlight w:val="none"/>
        </w:rPr>
        <w:t>（六）联合体投标</w:t>
      </w:r>
      <w:r>
        <w:rPr>
          <w:color w:val="auto"/>
          <w:highlight w:val="none"/>
        </w:rPr>
        <w:tab/>
      </w:r>
      <w:r>
        <w:rPr>
          <w:color w:val="auto"/>
          <w:highlight w:val="none"/>
        </w:rPr>
        <w:fldChar w:fldCharType="begin"/>
      </w:r>
      <w:r>
        <w:rPr>
          <w:color w:val="auto"/>
          <w:highlight w:val="none"/>
        </w:rPr>
        <w:instrText xml:space="preserve"> PAGEREF _Toc100932116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4C4EAD77">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"_Toc100932117" </w:instrText>
      </w:r>
      <w:r>
        <w:rPr>
          <w:color w:val="auto"/>
          <w:highlight w:val="none"/>
        </w:rPr>
        <w:fldChar w:fldCharType="separate"/>
      </w:r>
      <w:r>
        <w:rPr>
          <w:rStyle w:val="44"/>
          <w:color w:val="auto"/>
          <w:highlight w:val="none"/>
        </w:rPr>
        <w:t>（七）转包与分包</w:t>
      </w:r>
      <w:r>
        <w:rPr>
          <w:color w:val="auto"/>
          <w:highlight w:val="none"/>
        </w:rPr>
        <w:tab/>
      </w:r>
      <w:r>
        <w:rPr>
          <w:color w:val="auto"/>
          <w:highlight w:val="none"/>
        </w:rPr>
        <w:fldChar w:fldCharType="begin"/>
      </w:r>
      <w:r>
        <w:rPr>
          <w:color w:val="auto"/>
          <w:highlight w:val="none"/>
        </w:rPr>
        <w:instrText xml:space="preserve"> PAGEREF _Toc100932117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9E6DD60">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"_Toc100932118" </w:instrText>
      </w:r>
      <w:r>
        <w:rPr>
          <w:color w:val="auto"/>
          <w:highlight w:val="none"/>
        </w:rPr>
        <w:fldChar w:fldCharType="separate"/>
      </w:r>
      <w:r>
        <w:rPr>
          <w:rStyle w:val="44"/>
          <w:color w:val="auto"/>
          <w:highlight w:val="none"/>
        </w:rPr>
        <w:t>（八）特别说明</w:t>
      </w:r>
      <w:r>
        <w:rPr>
          <w:color w:val="auto"/>
          <w:highlight w:val="none"/>
        </w:rPr>
        <w:tab/>
      </w:r>
      <w:r>
        <w:rPr>
          <w:color w:val="auto"/>
          <w:highlight w:val="none"/>
        </w:rPr>
        <w:fldChar w:fldCharType="begin"/>
      </w:r>
      <w:r>
        <w:rPr>
          <w:color w:val="auto"/>
          <w:highlight w:val="none"/>
        </w:rPr>
        <w:instrText xml:space="preserve"> PAGEREF _Toc100932118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41FF72C6">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"_Toc100932119" </w:instrText>
      </w:r>
      <w:r>
        <w:rPr>
          <w:color w:val="auto"/>
          <w:highlight w:val="none"/>
        </w:rPr>
        <w:fldChar w:fldCharType="separate"/>
      </w:r>
      <w:r>
        <w:rPr>
          <w:rStyle w:val="44"/>
          <w:color w:val="auto"/>
          <w:highlight w:val="none"/>
        </w:rPr>
        <w:t>（九）关于分公司投标</w:t>
      </w:r>
      <w:r>
        <w:rPr>
          <w:color w:val="auto"/>
          <w:highlight w:val="none"/>
        </w:rPr>
        <w:tab/>
      </w:r>
      <w:r>
        <w:rPr>
          <w:color w:val="auto"/>
          <w:highlight w:val="none"/>
        </w:rPr>
        <w:fldChar w:fldCharType="begin"/>
      </w:r>
      <w:r>
        <w:rPr>
          <w:color w:val="auto"/>
          <w:highlight w:val="none"/>
        </w:rPr>
        <w:instrText xml:space="preserve"> PAGEREF _Toc100932119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5FE30E3">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"_Toc100932120" </w:instrText>
      </w:r>
      <w:r>
        <w:rPr>
          <w:color w:val="auto"/>
          <w:highlight w:val="none"/>
        </w:rPr>
        <w:fldChar w:fldCharType="separate"/>
      </w:r>
      <w:r>
        <w:rPr>
          <w:rStyle w:val="44"/>
          <w:color w:val="auto"/>
          <w:highlight w:val="none"/>
        </w:rPr>
        <w:t>（十）关于知识产权</w:t>
      </w:r>
      <w:r>
        <w:rPr>
          <w:color w:val="auto"/>
          <w:highlight w:val="none"/>
        </w:rPr>
        <w:tab/>
      </w:r>
      <w:r>
        <w:rPr>
          <w:color w:val="auto"/>
          <w:highlight w:val="none"/>
        </w:rPr>
        <w:fldChar w:fldCharType="begin"/>
      </w:r>
      <w:r>
        <w:rPr>
          <w:color w:val="auto"/>
          <w:highlight w:val="none"/>
        </w:rPr>
        <w:instrText xml:space="preserve"> PAGEREF _Toc100932120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583F518">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"_Toc100932121" </w:instrText>
      </w:r>
      <w:r>
        <w:rPr>
          <w:color w:val="auto"/>
          <w:highlight w:val="none"/>
        </w:rPr>
        <w:fldChar w:fldCharType="separate"/>
      </w:r>
      <w:r>
        <w:rPr>
          <w:rStyle w:val="44"/>
          <w:color w:val="auto"/>
          <w:highlight w:val="none"/>
        </w:rPr>
        <w:t>（十一）质疑和投诉</w:t>
      </w:r>
      <w:r>
        <w:rPr>
          <w:color w:val="auto"/>
          <w:highlight w:val="none"/>
        </w:rPr>
        <w:tab/>
      </w:r>
      <w:r>
        <w:rPr>
          <w:color w:val="auto"/>
          <w:highlight w:val="none"/>
        </w:rPr>
        <w:fldChar w:fldCharType="begin"/>
      </w:r>
      <w:r>
        <w:rPr>
          <w:color w:val="auto"/>
          <w:highlight w:val="none"/>
        </w:rPr>
        <w:instrText xml:space="preserve"> PAGEREF _Toc100932121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79D873F">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"_Toc100932122" </w:instrText>
      </w:r>
      <w:r>
        <w:rPr>
          <w:color w:val="auto"/>
          <w:highlight w:val="none"/>
        </w:rPr>
        <w:fldChar w:fldCharType="separate"/>
      </w:r>
      <w:r>
        <w:rPr>
          <w:rStyle w:val="44"/>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_Toc100932122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2256FF8">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"_Toc100932123" </w:instrText>
      </w:r>
      <w:r>
        <w:rPr>
          <w:color w:val="auto"/>
          <w:highlight w:val="none"/>
        </w:rPr>
        <w:fldChar w:fldCharType="separate"/>
      </w:r>
      <w:r>
        <w:rPr>
          <w:rStyle w:val="44"/>
          <w:color w:val="auto"/>
          <w:highlight w:val="none"/>
        </w:rPr>
        <w:t>（一）采购文件的构成。</w:t>
      </w:r>
      <w:r>
        <w:rPr>
          <w:color w:val="auto"/>
          <w:highlight w:val="none"/>
        </w:rPr>
        <w:tab/>
      </w:r>
      <w:r>
        <w:rPr>
          <w:color w:val="auto"/>
          <w:highlight w:val="none"/>
        </w:rPr>
        <w:fldChar w:fldCharType="begin"/>
      </w:r>
      <w:r>
        <w:rPr>
          <w:color w:val="auto"/>
          <w:highlight w:val="none"/>
        </w:rPr>
        <w:instrText xml:space="preserve"> PAGEREF _Toc100932123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4BB692B">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"_Toc100932124" </w:instrText>
      </w:r>
      <w:r>
        <w:rPr>
          <w:color w:val="auto"/>
          <w:highlight w:val="none"/>
        </w:rPr>
        <w:fldChar w:fldCharType="separate"/>
      </w:r>
      <w:r>
        <w:rPr>
          <w:rStyle w:val="44"/>
          <w:color w:val="auto"/>
          <w:highlight w:val="none"/>
        </w:rPr>
        <w:t>（二）投标人的风险</w:t>
      </w:r>
      <w:r>
        <w:rPr>
          <w:color w:val="auto"/>
          <w:highlight w:val="none"/>
        </w:rPr>
        <w:tab/>
      </w:r>
      <w:r>
        <w:rPr>
          <w:color w:val="auto"/>
          <w:highlight w:val="none"/>
        </w:rPr>
        <w:fldChar w:fldCharType="begin"/>
      </w:r>
      <w:r>
        <w:rPr>
          <w:color w:val="auto"/>
          <w:highlight w:val="none"/>
        </w:rPr>
        <w:instrText xml:space="preserve"> PAGEREF _Toc100932124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8EE942F">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"_Toc100932125" </w:instrText>
      </w:r>
      <w:r>
        <w:rPr>
          <w:color w:val="auto"/>
          <w:highlight w:val="none"/>
        </w:rPr>
        <w:fldChar w:fldCharType="separate"/>
      </w:r>
      <w:r>
        <w:rPr>
          <w:rStyle w:val="44"/>
          <w:color w:val="auto"/>
          <w:highlight w:val="none"/>
        </w:rPr>
        <w:t>（三）采购文件的澄清与修改</w:t>
      </w:r>
      <w:r>
        <w:rPr>
          <w:color w:val="auto"/>
          <w:highlight w:val="none"/>
        </w:rPr>
        <w:tab/>
      </w:r>
      <w:r>
        <w:rPr>
          <w:color w:val="auto"/>
          <w:highlight w:val="none"/>
        </w:rPr>
        <w:fldChar w:fldCharType="begin"/>
      </w:r>
      <w:r>
        <w:rPr>
          <w:color w:val="auto"/>
          <w:highlight w:val="none"/>
        </w:rPr>
        <w:instrText xml:space="preserve"> PAGEREF _Toc100932125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77F15DE6">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"_Toc100932126" </w:instrText>
      </w:r>
      <w:r>
        <w:rPr>
          <w:color w:val="auto"/>
          <w:highlight w:val="none"/>
        </w:rPr>
        <w:fldChar w:fldCharType="separate"/>
      </w:r>
      <w:r>
        <w:rPr>
          <w:rStyle w:val="44"/>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_Toc100932126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2BB4B23">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"_Toc100932127" </w:instrText>
      </w:r>
      <w:r>
        <w:rPr>
          <w:color w:val="auto"/>
          <w:highlight w:val="none"/>
        </w:rPr>
        <w:fldChar w:fldCharType="separate"/>
      </w:r>
      <w:r>
        <w:rPr>
          <w:rStyle w:val="44"/>
          <w:color w:val="auto"/>
          <w:highlight w:val="none"/>
        </w:rPr>
        <w:t>（一）投标文件的组成</w:t>
      </w:r>
      <w:r>
        <w:rPr>
          <w:color w:val="auto"/>
          <w:highlight w:val="none"/>
        </w:rPr>
        <w:tab/>
      </w:r>
      <w:r>
        <w:rPr>
          <w:color w:val="auto"/>
          <w:highlight w:val="none"/>
        </w:rPr>
        <w:fldChar w:fldCharType="begin"/>
      </w:r>
      <w:r>
        <w:rPr>
          <w:color w:val="auto"/>
          <w:highlight w:val="none"/>
        </w:rPr>
        <w:instrText xml:space="preserve"> PAGEREF _Toc100932127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FFCB1B2">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"_Toc100932128" </w:instrText>
      </w:r>
      <w:r>
        <w:rPr>
          <w:color w:val="auto"/>
          <w:highlight w:val="none"/>
        </w:rPr>
        <w:fldChar w:fldCharType="separate"/>
      </w:r>
      <w:r>
        <w:rPr>
          <w:rStyle w:val="44"/>
          <w:color w:val="auto"/>
          <w:highlight w:val="none"/>
        </w:rPr>
        <w:t>（二）投标文件的语言及计量</w:t>
      </w:r>
      <w:r>
        <w:rPr>
          <w:color w:val="auto"/>
          <w:highlight w:val="none"/>
        </w:rPr>
        <w:tab/>
      </w:r>
      <w:r>
        <w:rPr>
          <w:color w:val="auto"/>
          <w:highlight w:val="none"/>
        </w:rPr>
        <w:fldChar w:fldCharType="begin"/>
      </w:r>
      <w:r>
        <w:rPr>
          <w:color w:val="auto"/>
          <w:highlight w:val="none"/>
        </w:rPr>
        <w:instrText xml:space="preserve"> PAGEREF _Toc100932128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1B4C2BD">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"_Toc100932129" </w:instrText>
      </w:r>
      <w:r>
        <w:rPr>
          <w:color w:val="auto"/>
          <w:highlight w:val="none"/>
        </w:rPr>
        <w:fldChar w:fldCharType="separate"/>
      </w:r>
      <w:r>
        <w:rPr>
          <w:rStyle w:val="44"/>
          <w:color w:val="auto"/>
          <w:highlight w:val="none"/>
        </w:rPr>
        <w:t>（三）投标报价</w:t>
      </w:r>
      <w:r>
        <w:rPr>
          <w:color w:val="auto"/>
          <w:highlight w:val="none"/>
        </w:rPr>
        <w:tab/>
      </w:r>
      <w:r>
        <w:rPr>
          <w:color w:val="auto"/>
          <w:highlight w:val="none"/>
        </w:rPr>
        <w:fldChar w:fldCharType="begin"/>
      </w:r>
      <w:r>
        <w:rPr>
          <w:color w:val="auto"/>
          <w:highlight w:val="none"/>
        </w:rPr>
        <w:instrText xml:space="preserve"> PAGEREF _Toc100932129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4ECC8A35">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"_Toc100932130" </w:instrText>
      </w:r>
      <w:r>
        <w:rPr>
          <w:color w:val="auto"/>
          <w:highlight w:val="none"/>
        </w:rPr>
        <w:fldChar w:fldCharType="separate"/>
      </w:r>
      <w:r>
        <w:rPr>
          <w:rStyle w:val="44"/>
          <w:color w:val="auto"/>
          <w:highlight w:val="none"/>
        </w:rPr>
        <w:t>（四）投标文件的有效期</w:t>
      </w:r>
      <w:r>
        <w:rPr>
          <w:color w:val="auto"/>
          <w:highlight w:val="none"/>
        </w:rPr>
        <w:tab/>
      </w:r>
      <w:r>
        <w:rPr>
          <w:color w:val="auto"/>
          <w:highlight w:val="none"/>
        </w:rPr>
        <w:fldChar w:fldCharType="begin"/>
      </w:r>
      <w:r>
        <w:rPr>
          <w:color w:val="auto"/>
          <w:highlight w:val="none"/>
        </w:rPr>
        <w:instrText xml:space="preserve"> PAGEREF _Toc100932130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09AA7FF3">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"_Toc100932131" </w:instrText>
      </w:r>
      <w:r>
        <w:rPr>
          <w:color w:val="auto"/>
          <w:highlight w:val="none"/>
        </w:rPr>
        <w:fldChar w:fldCharType="separate"/>
      </w:r>
      <w:r>
        <w:rPr>
          <w:rStyle w:val="44"/>
          <w:color w:val="auto"/>
          <w:highlight w:val="none"/>
        </w:rPr>
        <w:t>（五）投标文件的盖章、签署、份数、要求及效力</w:t>
      </w:r>
      <w:r>
        <w:rPr>
          <w:color w:val="auto"/>
          <w:highlight w:val="none"/>
        </w:rPr>
        <w:tab/>
      </w:r>
      <w:r>
        <w:rPr>
          <w:color w:val="auto"/>
          <w:highlight w:val="none"/>
        </w:rPr>
        <w:fldChar w:fldCharType="begin"/>
      </w:r>
      <w:r>
        <w:rPr>
          <w:color w:val="auto"/>
          <w:highlight w:val="none"/>
        </w:rPr>
        <w:instrText xml:space="preserve"> PAGEREF _Toc100932131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4AB8533C">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"_Toc100932132" </w:instrText>
      </w:r>
      <w:r>
        <w:rPr>
          <w:color w:val="auto"/>
          <w:highlight w:val="none"/>
        </w:rPr>
        <w:fldChar w:fldCharType="separate"/>
      </w:r>
      <w:r>
        <w:rPr>
          <w:rStyle w:val="44"/>
          <w:color w:val="auto"/>
          <w:highlight w:val="none"/>
        </w:rPr>
        <w:t>（六）投标文件的包装、递交、修改和撤回</w:t>
      </w:r>
      <w:r>
        <w:rPr>
          <w:color w:val="auto"/>
          <w:highlight w:val="none"/>
        </w:rPr>
        <w:tab/>
      </w:r>
      <w:r>
        <w:rPr>
          <w:color w:val="auto"/>
          <w:highlight w:val="none"/>
        </w:rPr>
        <w:fldChar w:fldCharType="begin"/>
      </w:r>
      <w:r>
        <w:rPr>
          <w:color w:val="auto"/>
          <w:highlight w:val="none"/>
        </w:rPr>
        <w:instrText xml:space="preserve"> PAGEREF _Toc100932132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672930D3">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"_Toc100932133" </w:instrText>
      </w:r>
      <w:r>
        <w:rPr>
          <w:color w:val="auto"/>
          <w:highlight w:val="none"/>
        </w:rPr>
        <w:fldChar w:fldCharType="separate"/>
      </w:r>
      <w:r>
        <w:rPr>
          <w:rStyle w:val="44"/>
          <w:color w:val="auto"/>
          <w:highlight w:val="none"/>
        </w:rPr>
        <w:t>（七）投标无效的情形</w:t>
      </w:r>
      <w:r>
        <w:rPr>
          <w:color w:val="auto"/>
          <w:highlight w:val="none"/>
        </w:rPr>
        <w:tab/>
      </w:r>
      <w:r>
        <w:rPr>
          <w:color w:val="auto"/>
          <w:highlight w:val="none"/>
        </w:rPr>
        <w:fldChar w:fldCharType="begin"/>
      </w:r>
      <w:r>
        <w:rPr>
          <w:color w:val="auto"/>
          <w:highlight w:val="none"/>
        </w:rPr>
        <w:instrText xml:space="preserve"> PAGEREF _Toc100932133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9357155">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"_Toc100932134" </w:instrText>
      </w:r>
      <w:r>
        <w:rPr>
          <w:color w:val="auto"/>
          <w:highlight w:val="none"/>
        </w:rPr>
        <w:fldChar w:fldCharType="separate"/>
      </w:r>
      <w:r>
        <w:rPr>
          <w:rStyle w:val="44"/>
          <w:color w:val="auto"/>
          <w:highlight w:val="none"/>
        </w:rPr>
        <w:t>四、开标</w:t>
      </w:r>
      <w:r>
        <w:rPr>
          <w:color w:val="auto"/>
          <w:highlight w:val="none"/>
        </w:rPr>
        <w:tab/>
      </w:r>
      <w:r>
        <w:rPr>
          <w:color w:val="auto"/>
          <w:highlight w:val="none"/>
        </w:rPr>
        <w:fldChar w:fldCharType="begin"/>
      </w:r>
      <w:r>
        <w:rPr>
          <w:color w:val="auto"/>
          <w:highlight w:val="none"/>
        </w:rPr>
        <w:instrText xml:space="preserve"> PAGEREF _Toc100932134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B29021E">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"_Toc100932135" </w:instrText>
      </w:r>
      <w:r>
        <w:rPr>
          <w:color w:val="auto"/>
          <w:highlight w:val="none"/>
        </w:rPr>
        <w:fldChar w:fldCharType="separate"/>
      </w:r>
      <w:r>
        <w:rPr>
          <w:rStyle w:val="44"/>
          <w:color w:val="auto"/>
          <w:highlight w:val="none"/>
        </w:rPr>
        <w:t>五、评标</w:t>
      </w:r>
      <w:r>
        <w:rPr>
          <w:color w:val="auto"/>
          <w:highlight w:val="none"/>
        </w:rPr>
        <w:tab/>
      </w:r>
      <w:r>
        <w:rPr>
          <w:color w:val="auto"/>
          <w:highlight w:val="none"/>
        </w:rPr>
        <w:fldChar w:fldCharType="begin"/>
      </w:r>
      <w:r>
        <w:rPr>
          <w:color w:val="auto"/>
          <w:highlight w:val="none"/>
        </w:rPr>
        <w:instrText xml:space="preserve"> PAGEREF _Toc100932135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3D015EC0">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"_Toc100932136" </w:instrText>
      </w:r>
      <w:r>
        <w:rPr>
          <w:color w:val="auto"/>
          <w:highlight w:val="none"/>
        </w:rPr>
        <w:fldChar w:fldCharType="separate"/>
      </w:r>
      <w:r>
        <w:rPr>
          <w:rStyle w:val="44"/>
          <w:color w:val="auto"/>
          <w:highlight w:val="none"/>
        </w:rPr>
        <w:t>（一）组建评标委员会</w:t>
      </w:r>
      <w:r>
        <w:rPr>
          <w:color w:val="auto"/>
          <w:highlight w:val="none"/>
        </w:rPr>
        <w:tab/>
      </w:r>
      <w:r>
        <w:rPr>
          <w:color w:val="auto"/>
          <w:highlight w:val="none"/>
        </w:rPr>
        <w:fldChar w:fldCharType="begin"/>
      </w:r>
      <w:r>
        <w:rPr>
          <w:color w:val="auto"/>
          <w:highlight w:val="none"/>
        </w:rPr>
        <w:instrText xml:space="preserve"> PAGEREF _Toc100932136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2C8536CB">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"_Toc100932137" </w:instrText>
      </w:r>
      <w:r>
        <w:rPr>
          <w:color w:val="auto"/>
          <w:highlight w:val="none"/>
        </w:rPr>
        <w:fldChar w:fldCharType="separate"/>
      </w:r>
      <w:r>
        <w:rPr>
          <w:rStyle w:val="44"/>
          <w:color w:val="auto"/>
          <w:highlight w:val="none"/>
        </w:rPr>
        <w:t>（二）评标方法</w:t>
      </w:r>
      <w:r>
        <w:rPr>
          <w:color w:val="auto"/>
          <w:highlight w:val="none"/>
        </w:rPr>
        <w:tab/>
      </w:r>
      <w:r>
        <w:rPr>
          <w:color w:val="auto"/>
          <w:highlight w:val="none"/>
        </w:rPr>
        <w:fldChar w:fldCharType="begin"/>
      </w:r>
      <w:r>
        <w:rPr>
          <w:color w:val="auto"/>
          <w:highlight w:val="none"/>
        </w:rPr>
        <w:instrText xml:space="preserve"> PAGEREF _Toc100932137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6EFCB6F5">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"_Toc100932138" </w:instrText>
      </w:r>
      <w:r>
        <w:rPr>
          <w:color w:val="auto"/>
          <w:highlight w:val="none"/>
        </w:rPr>
        <w:fldChar w:fldCharType="separate"/>
      </w:r>
      <w:r>
        <w:rPr>
          <w:rStyle w:val="44"/>
          <w:color w:val="auto"/>
          <w:highlight w:val="none"/>
        </w:rPr>
        <w:t>（三）评标程序</w:t>
      </w:r>
      <w:r>
        <w:rPr>
          <w:color w:val="auto"/>
          <w:highlight w:val="none"/>
        </w:rPr>
        <w:tab/>
      </w:r>
      <w:r>
        <w:rPr>
          <w:color w:val="auto"/>
          <w:highlight w:val="none"/>
        </w:rPr>
        <w:fldChar w:fldCharType="begin"/>
      </w:r>
      <w:r>
        <w:rPr>
          <w:color w:val="auto"/>
          <w:highlight w:val="none"/>
        </w:rPr>
        <w:instrText xml:space="preserve"> PAGEREF _Toc100932138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15871E0">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"_Toc100932139" </w:instrText>
      </w:r>
      <w:r>
        <w:rPr>
          <w:color w:val="auto"/>
          <w:highlight w:val="none"/>
        </w:rPr>
        <w:fldChar w:fldCharType="separate"/>
      </w:r>
      <w:r>
        <w:rPr>
          <w:rStyle w:val="44"/>
          <w:color w:val="auto"/>
          <w:highlight w:val="none"/>
        </w:rPr>
        <w:t>（四）评标过程保密</w:t>
      </w:r>
      <w:r>
        <w:rPr>
          <w:color w:val="auto"/>
          <w:highlight w:val="none"/>
        </w:rPr>
        <w:tab/>
      </w:r>
      <w:r>
        <w:rPr>
          <w:color w:val="auto"/>
          <w:highlight w:val="none"/>
        </w:rPr>
        <w:fldChar w:fldCharType="begin"/>
      </w:r>
      <w:r>
        <w:rPr>
          <w:color w:val="auto"/>
          <w:highlight w:val="none"/>
        </w:rPr>
        <w:instrText xml:space="preserve"> PAGEREF _Toc100932139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B6DB07E">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"_Toc100932140" </w:instrText>
      </w:r>
      <w:r>
        <w:rPr>
          <w:color w:val="auto"/>
          <w:highlight w:val="none"/>
        </w:rPr>
        <w:fldChar w:fldCharType="separate"/>
      </w:r>
      <w:r>
        <w:rPr>
          <w:rStyle w:val="44"/>
          <w:color w:val="auto"/>
          <w:highlight w:val="none"/>
        </w:rPr>
        <w:t>六、定标</w:t>
      </w:r>
      <w:r>
        <w:rPr>
          <w:color w:val="auto"/>
          <w:highlight w:val="none"/>
        </w:rPr>
        <w:tab/>
      </w:r>
      <w:r>
        <w:rPr>
          <w:color w:val="auto"/>
          <w:highlight w:val="none"/>
        </w:rPr>
        <w:fldChar w:fldCharType="begin"/>
      </w:r>
      <w:r>
        <w:rPr>
          <w:color w:val="auto"/>
          <w:highlight w:val="none"/>
        </w:rPr>
        <w:instrText xml:space="preserve"> PAGEREF _Toc100932140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66FF0CA8">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"_Toc100932141" </w:instrText>
      </w:r>
      <w:r>
        <w:rPr>
          <w:color w:val="auto"/>
          <w:highlight w:val="none"/>
        </w:rPr>
        <w:fldChar w:fldCharType="separate"/>
      </w:r>
      <w:r>
        <w:rPr>
          <w:rStyle w:val="44"/>
          <w:color w:val="auto"/>
          <w:highlight w:val="none"/>
        </w:rPr>
        <w:t>（一）确定中标人</w:t>
      </w:r>
      <w:r>
        <w:rPr>
          <w:color w:val="auto"/>
          <w:highlight w:val="none"/>
        </w:rPr>
        <w:tab/>
      </w:r>
      <w:r>
        <w:rPr>
          <w:color w:val="auto"/>
          <w:highlight w:val="none"/>
        </w:rPr>
        <w:fldChar w:fldCharType="begin"/>
      </w:r>
      <w:r>
        <w:rPr>
          <w:color w:val="auto"/>
          <w:highlight w:val="none"/>
        </w:rPr>
        <w:instrText xml:space="preserve"> PAGEREF _Toc100932141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D489626">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"_Toc100932142" </w:instrText>
      </w:r>
      <w:r>
        <w:rPr>
          <w:color w:val="auto"/>
          <w:highlight w:val="none"/>
        </w:rPr>
        <w:fldChar w:fldCharType="separate"/>
      </w:r>
      <w:r>
        <w:rPr>
          <w:rStyle w:val="44"/>
          <w:color w:val="auto"/>
          <w:highlight w:val="none"/>
        </w:rPr>
        <w:t>七、评标过程的监控</w:t>
      </w:r>
      <w:r>
        <w:rPr>
          <w:color w:val="auto"/>
          <w:highlight w:val="none"/>
        </w:rPr>
        <w:tab/>
      </w:r>
      <w:r>
        <w:rPr>
          <w:color w:val="auto"/>
          <w:highlight w:val="none"/>
        </w:rPr>
        <w:fldChar w:fldCharType="begin"/>
      </w:r>
      <w:r>
        <w:rPr>
          <w:color w:val="auto"/>
          <w:highlight w:val="none"/>
        </w:rPr>
        <w:instrText xml:space="preserve"> PAGEREF _Toc100932142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ECF6112">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"_Toc100932143" </w:instrText>
      </w:r>
      <w:r>
        <w:rPr>
          <w:color w:val="auto"/>
          <w:highlight w:val="none"/>
        </w:rPr>
        <w:fldChar w:fldCharType="separate"/>
      </w:r>
      <w:r>
        <w:rPr>
          <w:rStyle w:val="44"/>
          <w:color w:val="auto"/>
          <w:highlight w:val="none"/>
        </w:rPr>
        <w:t>八、合同授予</w:t>
      </w:r>
      <w:r>
        <w:rPr>
          <w:color w:val="auto"/>
          <w:highlight w:val="none"/>
        </w:rPr>
        <w:tab/>
      </w:r>
      <w:r>
        <w:rPr>
          <w:color w:val="auto"/>
          <w:highlight w:val="none"/>
        </w:rPr>
        <w:fldChar w:fldCharType="begin"/>
      </w:r>
      <w:r>
        <w:rPr>
          <w:color w:val="auto"/>
          <w:highlight w:val="none"/>
        </w:rPr>
        <w:instrText xml:space="preserve"> PAGEREF _Toc100932143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E1B8BF6">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"_Toc100932144" </w:instrText>
      </w:r>
      <w:r>
        <w:rPr>
          <w:color w:val="auto"/>
          <w:highlight w:val="none"/>
        </w:rPr>
        <w:fldChar w:fldCharType="separate"/>
      </w:r>
      <w:r>
        <w:rPr>
          <w:rStyle w:val="44"/>
          <w:color w:val="auto"/>
          <w:highlight w:val="none"/>
        </w:rPr>
        <w:t>（一）签订合同</w:t>
      </w:r>
      <w:r>
        <w:rPr>
          <w:color w:val="auto"/>
          <w:highlight w:val="none"/>
        </w:rPr>
        <w:tab/>
      </w:r>
      <w:r>
        <w:rPr>
          <w:color w:val="auto"/>
          <w:highlight w:val="none"/>
        </w:rPr>
        <w:fldChar w:fldCharType="begin"/>
      </w:r>
      <w:r>
        <w:rPr>
          <w:color w:val="auto"/>
          <w:highlight w:val="none"/>
        </w:rPr>
        <w:instrText xml:space="preserve"> PAGEREF _Toc100932144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721DCDD9">
      <w:pPr>
        <w:pStyle w:val="18"/>
        <w:tabs>
          <w:tab w:val="right" w:leader="dot" w:pos="8949"/>
        </w:tabs>
        <w:ind w:left="840"/>
        <w:rPr>
          <w:rFonts w:eastAsia="等线"/>
          <w:color w:val="auto"/>
          <w:szCs w:val="22"/>
          <w:highlight w:val="none"/>
        </w:rPr>
      </w:pPr>
      <w:r>
        <w:rPr>
          <w:color w:val="auto"/>
          <w:highlight w:val="none"/>
        </w:rPr>
        <w:fldChar w:fldCharType="begin"/>
      </w:r>
      <w:r>
        <w:rPr>
          <w:color w:val="auto"/>
          <w:highlight w:val="none"/>
        </w:rPr>
        <w:instrText xml:space="preserve"> HYPERLINK \l "_Toc100932145" </w:instrText>
      </w:r>
      <w:r>
        <w:rPr>
          <w:color w:val="auto"/>
          <w:highlight w:val="none"/>
        </w:rPr>
        <w:fldChar w:fldCharType="separate"/>
      </w:r>
      <w:r>
        <w:rPr>
          <w:rStyle w:val="44"/>
          <w:color w:val="auto"/>
          <w:highlight w:val="none"/>
        </w:rPr>
        <w:t>（二）履约保证金（如有）</w:t>
      </w:r>
      <w:r>
        <w:rPr>
          <w:color w:val="auto"/>
          <w:highlight w:val="none"/>
        </w:rPr>
        <w:tab/>
      </w:r>
      <w:r>
        <w:rPr>
          <w:color w:val="auto"/>
          <w:highlight w:val="none"/>
        </w:rPr>
        <w:fldChar w:fldCharType="begin"/>
      </w:r>
      <w:r>
        <w:rPr>
          <w:color w:val="auto"/>
          <w:highlight w:val="none"/>
        </w:rPr>
        <w:instrText xml:space="preserve"> PAGEREF _Toc100932145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1C3C1B50">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"_Toc100932146" </w:instrText>
      </w:r>
      <w:r>
        <w:rPr>
          <w:color w:val="auto"/>
          <w:highlight w:val="none"/>
        </w:rPr>
        <w:fldChar w:fldCharType="separate"/>
      </w:r>
      <w:r>
        <w:rPr>
          <w:rStyle w:val="44"/>
          <w:color w:val="auto"/>
          <w:highlight w:val="none"/>
        </w:rPr>
        <w:t>九、特别说明</w:t>
      </w:r>
      <w:r>
        <w:rPr>
          <w:color w:val="auto"/>
          <w:highlight w:val="none"/>
        </w:rPr>
        <w:tab/>
      </w:r>
      <w:r>
        <w:rPr>
          <w:color w:val="auto"/>
          <w:highlight w:val="none"/>
        </w:rPr>
        <w:fldChar w:fldCharType="begin"/>
      </w:r>
      <w:r>
        <w:rPr>
          <w:color w:val="auto"/>
          <w:highlight w:val="none"/>
        </w:rPr>
        <w:instrText xml:space="preserve"> PAGEREF _Toc100932146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2E9C56D8">
      <w:pPr>
        <w:pStyle w:val="26"/>
        <w:tabs>
          <w:tab w:val="right" w:leader="dot" w:pos="8949"/>
        </w:tabs>
        <w:rPr>
          <w:rFonts w:eastAsia="等线"/>
          <w:color w:val="auto"/>
          <w:szCs w:val="22"/>
          <w:highlight w:val="none"/>
        </w:rPr>
      </w:pPr>
      <w:r>
        <w:rPr>
          <w:color w:val="auto"/>
          <w:highlight w:val="none"/>
        </w:rPr>
        <w:fldChar w:fldCharType="begin"/>
      </w:r>
      <w:r>
        <w:rPr>
          <w:color w:val="auto"/>
          <w:highlight w:val="none"/>
        </w:rPr>
        <w:instrText xml:space="preserve"> HYPERLINK \l "_Toc100932147" </w:instrText>
      </w:r>
      <w:r>
        <w:rPr>
          <w:color w:val="auto"/>
          <w:highlight w:val="none"/>
        </w:rPr>
        <w:fldChar w:fldCharType="separate"/>
      </w:r>
      <w:r>
        <w:rPr>
          <w:rStyle w:val="44"/>
          <w:color w:val="auto"/>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_Toc100932147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393B5B35">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"_Toc100932148" </w:instrText>
      </w:r>
      <w:r>
        <w:rPr>
          <w:color w:val="auto"/>
          <w:highlight w:val="none"/>
        </w:rPr>
        <w:fldChar w:fldCharType="separate"/>
      </w:r>
      <w:r>
        <w:rPr>
          <w:rStyle w:val="44"/>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_Toc100932148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1FAAA88C">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"_Toc100932149" </w:instrText>
      </w:r>
      <w:r>
        <w:rPr>
          <w:color w:val="auto"/>
          <w:highlight w:val="none"/>
        </w:rPr>
        <w:fldChar w:fldCharType="separate"/>
      </w:r>
      <w:r>
        <w:rPr>
          <w:rStyle w:val="44"/>
          <w:color w:val="auto"/>
          <w:highlight w:val="none"/>
        </w:rPr>
        <w:t>二、评标委员会</w:t>
      </w:r>
      <w:r>
        <w:rPr>
          <w:color w:val="auto"/>
          <w:highlight w:val="none"/>
        </w:rPr>
        <w:tab/>
      </w:r>
      <w:r>
        <w:rPr>
          <w:color w:val="auto"/>
          <w:highlight w:val="none"/>
        </w:rPr>
        <w:fldChar w:fldCharType="begin"/>
      </w:r>
      <w:r>
        <w:rPr>
          <w:color w:val="auto"/>
          <w:highlight w:val="none"/>
        </w:rPr>
        <w:instrText xml:space="preserve"> PAGEREF _Toc100932149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094443CE">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"_Toc100932150" </w:instrText>
      </w:r>
      <w:r>
        <w:rPr>
          <w:color w:val="auto"/>
          <w:highlight w:val="none"/>
        </w:rPr>
        <w:fldChar w:fldCharType="separate"/>
      </w:r>
      <w:r>
        <w:rPr>
          <w:rStyle w:val="44"/>
          <w:color w:val="auto"/>
          <w:highlight w:val="none"/>
        </w:rPr>
        <w:t>三、评标方法</w:t>
      </w:r>
      <w:r>
        <w:rPr>
          <w:color w:val="auto"/>
          <w:highlight w:val="none"/>
        </w:rPr>
        <w:tab/>
      </w:r>
      <w:r>
        <w:rPr>
          <w:color w:val="auto"/>
          <w:highlight w:val="none"/>
        </w:rPr>
        <w:fldChar w:fldCharType="begin"/>
      </w:r>
      <w:r>
        <w:rPr>
          <w:color w:val="auto"/>
          <w:highlight w:val="none"/>
        </w:rPr>
        <w:instrText xml:space="preserve"> PAGEREF _Toc100932150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860EDA6">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"_Toc100932151" </w:instrText>
      </w:r>
      <w:r>
        <w:rPr>
          <w:color w:val="auto"/>
          <w:highlight w:val="none"/>
        </w:rPr>
        <w:fldChar w:fldCharType="separate"/>
      </w:r>
      <w:r>
        <w:rPr>
          <w:rStyle w:val="44"/>
          <w:color w:val="auto"/>
          <w:highlight w:val="none"/>
        </w:rPr>
        <w:t>四、评标过程</w:t>
      </w:r>
      <w:r>
        <w:rPr>
          <w:color w:val="auto"/>
          <w:highlight w:val="none"/>
        </w:rPr>
        <w:tab/>
      </w:r>
      <w:r>
        <w:rPr>
          <w:color w:val="auto"/>
          <w:highlight w:val="none"/>
        </w:rPr>
        <w:fldChar w:fldCharType="begin"/>
      </w:r>
      <w:r>
        <w:rPr>
          <w:color w:val="auto"/>
          <w:highlight w:val="none"/>
        </w:rPr>
        <w:instrText xml:space="preserve"> PAGEREF _Toc100932151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7F996770">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"_Toc100932152" </w:instrText>
      </w:r>
      <w:r>
        <w:rPr>
          <w:color w:val="auto"/>
          <w:highlight w:val="none"/>
        </w:rPr>
        <w:fldChar w:fldCharType="separate"/>
      </w:r>
      <w:r>
        <w:rPr>
          <w:rStyle w:val="44"/>
          <w:color w:val="auto"/>
          <w:highlight w:val="none"/>
        </w:rPr>
        <w:t>五、资格条件审查</w:t>
      </w:r>
      <w:r>
        <w:rPr>
          <w:color w:val="auto"/>
          <w:highlight w:val="none"/>
        </w:rPr>
        <w:tab/>
      </w:r>
      <w:r>
        <w:rPr>
          <w:color w:val="auto"/>
          <w:highlight w:val="none"/>
        </w:rPr>
        <w:fldChar w:fldCharType="begin"/>
      </w:r>
      <w:r>
        <w:rPr>
          <w:color w:val="auto"/>
          <w:highlight w:val="none"/>
        </w:rPr>
        <w:instrText xml:space="preserve"> PAGEREF _Toc100932152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5514FEC3">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"_Toc100932153" </w:instrText>
      </w:r>
      <w:r>
        <w:rPr>
          <w:color w:val="auto"/>
          <w:highlight w:val="none"/>
        </w:rPr>
        <w:fldChar w:fldCharType="separate"/>
      </w:r>
      <w:r>
        <w:rPr>
          <w:rStyle w:val="44"/>
          <w:color w:val="auto"/>
          <w:highlight w:val="none"/>
        </w:rPr>
        <w:t>六、符合性审查</w:t>
      </w:r>
      <w:r>
        <w:rPr>
          <w:color w:val="auto"/>
          <w:highlight w:val="none"/>
        </w:rPr>
        <w:tab/>
      </w:r>
      <w:r>
        <w:rPr>
          <w:color w:val="auto"/>
          <w:highlight w:val="none"/>
        </w:rPr>
        <w:fldChar w:fldCharType="begin"/>
      </w:r>
      <w:r>
        <w:rPr>
          <w:color w:val="auto"/>
          <w:highlight w:val="none"/>
        </w:rPr>
        <w:instrText xml:space="preserve"> PAGEREF _Toc100932153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6A0498E3">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"_Toc100932154" </w:instrText>
      </w:r>
      <w:r>
        <w:rPr>
          <w:color w:val="auto"/>
          <w:highlight w:val="none"/>
        </w:rPr>
        <w:fldChar w:fldCharType="separate"/>
      </w:r>
      <w:r>
        <w:rPr>
          <w:rStyle w:val="44"/>
          <w:color w:val="auto"/>
          <w:highlight w:val="none"/>
        </w:rPr>
        <w:t>七、投标无效的情形</w:t>
      </w:r>
      <w:r>
        <w:rPr>
          <w:color w:val="auto"/>
          <w:highlight w:val="none"/>
        </w:rPr>
        <w:tab/>
      </w:r>
      <w:r>
        <w:rPr>
          <w:color w:val="auto"/>
          <w:highlight w:val="none"/>
        </w:rPr>
        <w:fldChar w:fldCharType="begin"/>
      </w:r>
      <w:r>
        <w:rPr>
          <w:color w:val="auto"/>
          <w:highlight w:val="none"/>
        </w:rPr>
        <w:instrText xml:space="preserve"> PAGEREF _Toc100932154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7222CCAB">
      <w:pPr>
        <w:pStyle w:val="30"/>
        <w:tabs>
          <w:tab w:val="right" w:leader="dot" w:pos="8949"/>
        </w:tabs>
        <w:ind w:left="420"/>
        <w:rPr>
          <w:rFonts w:eastAsia="等线"/>
          <w:color w:val="auto"/>
          <w:szCs w:val="22"/>
          <w:highlight w:val="none"/>
        </w:rPr>
      </w:pPr>
      <w:r>
        <w:rPr>
          <w:color w:val="auto"/>
          <w:highlight w:val="none"/>
        </w:rPr>
        <w:fldChar w:fldCharType="begin"/>
      </w:r>
      <w:r>
        <w:rPr>
          <w:color w:val="auto"/>
          <w:highlight w:val="none"/>
        </w:rPr>
        <w:instrText xml:space="preserve"> HYPERLINK \l "_Toc100932155" </w:instrText>
      </w:r>
      <w:r>
        <w:rPr>
          <w:color w:val="auto"/>
          <w:highlight w:val="none"/>
        </w:rPr>
        <w:fldChar w:fldCharType="separate"/>
      </w:r>
      <w:r>
        <w:rPr>
          <w:rStyle w:val="44"/>
          <w:color w:val="auto"/>
          <w:highlight w:val="none"/>
        </w:rPr>
        <w:t>八、评分标准表</w:t>
      </w:r>
      <w:r>
        <w:rPr>
          <w:color w:val="auto"/>
          <w:highlight w:val="none"/>
        </w:rPr>
        <w:tab/>
      </w:r>
      <w:r>
        <w:rPr>
          <w:color w:val="auto"/>
          <w:highlight w:val="none"/>
        </w:rPr>
        <w:fldChar w:fldCharType="begin"/>
      </w:r>
      <w:r>
        <w:rPr>
          <w:color w:val="auto"/>
          <w:highlight w:val="none"/>
        </w:rPr>
        <w:instrText xml:space="preserve"> PAGEREF _Toc100932155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090D3753">
      <w:pPr>
        <w:pStyle w:val="26"/>
        <w:tabs>
          <w:tab w:val="right" w:leader="dot" w:pos="8949"/>
        </w:tabs>
        <w:rPr>
          <w:rFonts w:eastAsia="等线"/>
          <w:color w:val="auto"/>
          <w:szCs w:val="22"/>
          <w:highlight w:val="none"/>
        </w:rPr>
      </w:pPr>
      <w:r>
        <w:rPr>
          <w:color w:val="auto"/>
          <w:highlight w:val="none"/>
        </w:rPr>
        <w:fldChar w:fldCharType="begin"/>
      </w:r>
      <w:r>
        <w:rPr>
          <w:color w:val="auto"/>
          <w:highlight w:val="none"/>
        </w:rPr>
        <w:instrText xml:space="preserve"> HYPERLINK \l "_Toc100932156" </w:instrText>
      </w:r>
      <w:r>
        <w:rPr>
          <w:color w:val="auto"/>
          <w:highlight w:val="none"/>
        </w:rPr>
        <w:fldChar w:fldCharType="separate"/>
      </w:r>
      <w:r>
        <w:rPr>
          <w:rStyle w:val="44"/>
          <w:color w:val="auto"/>
          <w:highlight w:val="none"/>
        </w:rPr>
        <w:t>第五章  政府采购合同主要条款</w:t>
      </w:r>
      <w:r>
        <w:rPr>
          <w:color w:val="auto"/>
          <w:highlight w:val="none"/>
        </w:rPr>
        <w:tab/>
      </w:r>
      <w:r>
        <w:rPr>
          <w:color w:val="auto"/>
          <w:highlight w:val="none"/>
        </w:rPr>
        <w:fldChar w:fldCharType="begin"/>
      </w:r>
      <w:r>
        <w:rPr>
          <w:color w:val="auto"/>
          <w:highlight w:val="none"/>
        </w:rPr>
        <w:instrText xml:space="preserve"> PAGEREF _Toc100932156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E257A9B">
      <w:pPr>
        <w:pStyle w:val="26"/>
        <w:tabs>
          <w:tab w:val="right" w:leader="dot" w:pos="8949"/>
        </w:tabs>
        <w:rPr>
          <w:rFonts w:eastAsia="等线"/>
          <w:color w:val="auto"/>
          <w:szCs w:val="22"/>
          <w:highlight w:val="none"/>
        </w:rPr>
      </w:pPr>
      <w:r>
        <w:rPr>
          <w:color w:val="auto"/>
          <w:highlight w:val="none"/>
        </w:rPr>
        <w:fldChar w:fldCharType="begin"/>
      </w:r>
      <w:r>
        <w:rPr>
          <w:color w:val="auto"/>
          <w:highlight w:val="none"/>
        </w:rPr>
        <w:instrText xml:space="preserve"> HYPERLINK \l "_Toc100932157" </w:instrText>
      </w:r>
      <w:r>
        <w:rPr>
          <w:color w:val="auto"/>
          <w:highlight w:val="none"/>
        </w:rPr>
        <w:fldChar w:fldCharType="separate"/>
      </w:r>
      <w:r>
        <w:rPr>
          <w:rStyle w:val="44"/>
          <w:color w:val="auto"/>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_Toc100932157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3D0DBA9A">
      <w:pPr>
        <w:pStyle w:val="26"/>
        <w:tabs>
          <w:tab w:val="right" w:leader="dot" w:pos="8311"/>
        </w:tabs>
        <w:spacing w:line="240" w:lineRule="exact"/>
        <w:rPr>
          <w:b/>
          <w:color w:val="auto"/>
          <w:szCs w:val="21"/>
          <w:highlight w:val="none"/>
        </w:rPr>
      </w:pPr>
      <w:r>
        <w:rPr>
          <w:color w:val="auto"/>
          <w:sz w:val="30"/>
          <w:szCs w:val="30"/>
          <w:highlight w:val="none"/>
        </w:rPr>
        <w:fldChar w:fldCharType="end"/>
      </w:r>
    </w:p>
    <w:p w14:paraId="64563C4E">
      <w:pPr>
        <w:pStyle w:val="4"/>
        <w:spacing w:before="0" w:after="0" w:line="360" w:lineRule="auto"/>
        <w:jc w:val="center"/>
        <w:rPr>
          <w:color w:val="auto"/>
          <w:sz w:val="30"/>
          <w:highlight w:val="none"/>
        </w:rPr>
      </w:pPr>
      <w:r>
        <w:rPr>
          <w:b w:val="0"/>
          <w:bCs w:val="0"/>
          <w:color w:val="auto"/>
          <w:sz w:val="28"/>
          <w:highlight w:val="none"/>
        </w:rPr>
        <w:br w:type="page"/>
      </w:r>
      <w:bookmarkStart w:id="0" w:name="_Toc100932104"/>
      <w:bookmarkStart w:id="1" w:name="_Toc460857890"/>
      <w:r>
        <w:rPr>
          <w:color w:val="auto"/>
          <w:sz w:val="30"/>
          <w:highlight w:val="none"/>
        </w:rPr>
        <w:t>第一章  公开招标采购公告</w:t>
      </w:r>
      <w:bookmarkEnd w:id="0"/>
    </w:p>
    <w:bookmarkEnd w:id="1"/>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2020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Pr>
          <w:p w14:paraId="45AC661C">
            <w:pPr>
              <w:widowControl/>
              <w:spacing w:line="400" w:lineRule="exact"/>
              <w:ind w:firstLine="315" w:firstLineChars="150"/>
              <w:rPr>
                <w:color w:val="auto"/>
                <w:szCs w:val="21"/>
                <w:highlight w:val="none"/>
              </w:rPr>
            </w:pPr>
            <w:r>
              <w:rPr>
                <w:color w:val="auto"/>
                <w:szCs w:val="21"/>
                <w:highlight w:val="none"/>
              </w:rPr>
              <w:t>项目概况</w:t>
            </w:r>
          </w:p>
          <w:p w14:paraId="4055E085">
            <w:pPr>
              <w:widowControl/>
              <w:spacing w:line="400" w:lineRule="exact"/>
              <w:ind w:firstLine="315" w:firstLineChars="150"/>
              <w:rPr>
                <w:color w:val="auto"/>
                <w:szCs w:val="21"/>
                <w:highlight w:val="none"/>
              </w:rPr>
            </w:pPr>
            <w:r>
              <w:rPr>
                <w:bCs/>
                <w:color w:val="auto"/>
                <w:szCs w:val="21"/>
                <w:highlight w:val="none"/>
              </w:rPr>
              <w:t>宁波大学科学技术学院智慧文旅实训室建设项目的潜在投标人应在政府采购云平台（www.zcygov.cn）获取（下载）招标文件，并于 2024年</w:t>
            </w:r>
            <w:r>
              <w:rPr>
                <w:rFonts w:hint="eastAsia"/>
                <w:bCs/>
                <w:color w:val="auto"/>
                <w:szCs w:val="21"/>
                <w:highlight w:val="none"/>
                <w:lang w:val="en-US" w:eastAsia="zh-CN"/>
              </w:rPr>
              <w:t>11</w:t>
            </w:r>
            <w:r>
              <w:rPr>
                <w:bCs/>
                <w:color w:val="auto"/>
                <w:szCs w:val="21"/>
                <w:highlight w:val="none"/>
              </w:rPr>
              <w:t>月</w:t>
            </w:r>
            <w:r>
              <w:rPr>
                <w:rFonts w:hint="eastAsia"/>
                <w:bCs/>
                <w:color w:val="auto"/>
                <w:szCs w:val="21"/>
                <w:highlight w:val="none"/>
                <w:lang w:val="en-US" w:eastAsia="zh-CN"/>
              </w:rPr>
              <w:t>22</w:t>
            </w:r>
            <w:r>
              <w:rPr>
                <w:bCs/>
                <w:color w:val="auto"/>
                <w:szCs w:val="21"/>
                <w:highlight w:val="none"/>
              </w:rPr>
              <w:t>日</w:t>
            </w:r>
            <w:r>
              <w:rPr>
                <w:rFonts w:hint="eastAsia"/>
                <w:bCs/>
                <w:color w:val="auto"/>
                <w:szCs w:val="21"/>
                <w:highlight w:val="none"/>
                <w:lang w:val="en-US" w:eastAsia="zh-CN"/>
              </w:rPr>
              <w:t>14</w:t>
            </w:r>
            <w:r>
              <w:rPr>
                <w:bCs/>
                <w:color w:val="auto"/>
                <w:szCs w:val="21"/>
                <w:highlight w:val="none"/>
              </w:rPr>
              <w:t>:</w:t>
            </w:r>
            <w:r>
              <w:rPr>
                <w:rFonts w:hint="eastAsia"/>
                <w:bCs/>
                <w:color w:val="auto"/>
                <w:szCs w:val="21"/>
                <w:highlight w:val="none"/>
                <w:lang w:val="en-US" w:eastAsia="zh-CN"/>
              </w:rPr>
              <w:t>0</w:t>
            </w:r>
            <w:r>
              <w:rPr>
                <w:bCs/>
                <w:color w:val="auto"/>
                <w:szCs w:val="21"/>
                <w:highlight w:val="none"/>
              </w:rPr>
              <w:t>0（北京时间）前递交（上传）投标文件</w:t>
            </w:r>
            <w:r>
              <w:rPr>
                <w:color w:val="auto"/>
                <w:szCs w:val="21"/>
                <w:highlight w:val="none"/>
              </w:rPr>
              <w:t>。</w:t>
            </w:r>
          </w:p>
        </w:tc>
      </w:tr>
    </w:tbl>
    <w:p w14:paraId="449CEFAE">
      <w:pPr>
        <w:widowControl/>
        <w:spacing w:line="400" w:lineRule="exact"/>
        <w:ind w:firstLine="316" w:firstLineChars="150"/>
        <w:rPr>
          <w:bCs/>
          <w:color w:val="auto"/>
          <w:szCs w:val="21"/>
          <w:highlight w:val="none"/>
        </w:rPr>
      </w:pPr>
      <w:r>
        <w:rPr>
          <w:b/>
          <w:bCs/>
          <w:color w:val="auto"/>
          <w:szCs w:val="21"/>
          <w:highlight w:val="none"/>
        </w:rPr>
        <w:t>一、项目基本情况</w:t>
      </w:r>
    </w:p>
    <w:p w14:paraId="7EB38DB5">
      <w:pPr>
        <w:widowControl/>
        <w:spacing w:line="400" w:lineRule="exact"/>
        <w:ind w:firstLine="315" w:firstLineChars="150"/>
        <w:rPr>
          <w:bCs/>
          <w:color w:val="auto"/>
          <w:szCs w:val="21"/>
          <w:highlight w:val="none"/>
        </w:rPr>
      </w:pPr>
      <w:r>
        <w:rPr>
          <w:bCs/>
          <w:color w:val="auto"/>
          <w:szCs w:val="21"/>
          <w:highlight w:val="none"/>
        </w:rPr>
        <w:t>    项目编号：ZJZC-241231</w:t>
      </w:r>
    </w:p>
    <w:p w14:paraId="6696C76D">
      <w:pPr>
        <w:widowControl/>
        <w:spacing w:line="400" w:lineRule="exact"/>
        <w:ind w:firstLine="315" w:firstLineChars="150"/>
        <w:rPr>
          <w:bCs/>
          <w:color w:val="auto"/>
          <w:szCs w:val="21"/>
          <w:highlight w:val="none"/>
        </w:rPr>
      </w:pPr>
      <w:r>
        <w:rPr>
          <w:bCs/>
          <w:color w:val="auto"/>
          <w:szCs w:val="21"/>
          <w:highlight w:val="none"/>
        </w:rPr>
        <w:t>    项目名称：宁波大学科学技术学院智慧文旅实训室建设项目</w:t>
      </w:r>
    </w:p>
    <w:p w14:paraId="01835828">
      <w:pPr>
        <w:widowControl/>
        <w:spacing w:line="400" w:lineRule="exact"/>
        <w:ind w:firstLine="315" w:firstLineChars="150"/>
        <w:rPr>
          <w:rFonts w:hint="eastAsia" w:eastAsia="宋体"/>
          <w:bCs/>
          <w:color w:val="auto"/>
          <w:szCs w:val="21"/>
          <w:highlight w:val="none"/>
          <w:lang w:eastAsia="zh-CN"/>
        </w:rPr>
      </w:pPr>
      <w:r>
        <w:rPr>
          <w:bCs/>
          <w:color w:val="auto"/>
          <w:szCs w:val="21"/>
          <w:highlight w:val="none"/>
        </w:rPr>
        <w:t>    预算金额（元）：</w:t>
      </w:r>
      <w:r>
        <w:rPr>
          <w:rFonts w:hint="eastAsia"/>
          <w:bCs/>
          <w:color w:val="auto"/>
          <w:szCs w:val="21"/>
          <w:highlight w:val="none"/>
          <w:lang w:eastAsia="zh-CN"/>
        </w:rPr>
        <w:t>1040000.00</w:t>
      </w:r>
    </w:p>
    <w:p w14:paraId="01463C49">
      <w:pPr>
        <w:widowControl/>
        <w:spacing w:line="400" w:lineRule="exact"/>
        <w:ind w:firstLine="315" w:firstLineChars="150"/>
        <w:rPr>
          <w:rFonts w:hint="eastAsia" w:eastAsia="宋体"/>
          <w:bCs/>
          <w:color w:val="auto"/>
          <w:szCs w:val="21"/>
          <w:highlight w:val="none"/>
          <w:lang w:eastAsia="zh-CN"/>
        </w:rPr>
      </w:pPr>
      <w:r>
        <w:rPr>
          <w:bCs/>
          <w:color w:val="auto"/>
          <w:szCs w:val="21"/>
          <w:highlight w:val="none"/>
        </w:rPr>
        <w:t>    最高限价（元）：</w:t>
      </w:r>
      <w:r>
        <w:rPr>
          <w:rFonts w:hint="eastAsia"/>
          <w:bCs/>
          <w:color w:val="auto"/>
          <w:szCs w:val="21"/>
          <w:highlight w:val="none"/>
          <w:lang w:eastAsia="zh-CN"/>
        </w:rPr>
        <w:t>1040000.00</w:t>
      </w:r>
    </w:p>
    <w:p w14:paraId="308A292A">
      <w:pPr>
        <w:widowControl/>
        <w:spacing w:line="400" w:lineRule="exact"/>
        <w:ind w:firstLine="315" w:firstLineChars="150"/>
        <w:rPr>
          <w:bCs/>
          <w:color w:val="auto"/>
          <w:szCs w:val="21"/>
          <w:highlight w:val="none"/>
        </w:rPr>
      </w:pPr>
      <w:r>
        <w:rPr>
          <w:bCs/>
          <w:color w:val="auto"/>
          <w:szCs w:val="21"/>
          <w:highlight w:val="none"/>
        </w:rPr>
        <w:t>    采购需求：</w:t>
      </w:r>
    </w:p>
    <w:p w14:paraId="2FC76856">
      <w:pPr>
        <w:widowControl/>
        <w:spacing w:line="400" w:lineRule="exact"/>
        <w:ind w:firstLine="630" w:firstLineChars="300"/>
        <w:rPr>
          <w:bCs/>
          <w:color w:val="auto"/>
          <w:szCs w:val="21"/>
          <w:highlight w:val="none"/>
        </w:rPr>
      </w:pPr>
      <w:r>
        <w:rPr>
          <w:bCs/>
          <w:color w:val="auto"/>
          <w:szCs w:val="21"/>
          <w:highlight w:val="none"/>
        </w:rPr>
        <w:t>标项名称：宁波大学科学技术学院智慧文旅实训室建设项目</w:t>
      </w:r>
    </w:p>
    <w:p w14:paraId="73332E8C">
      <w:pPr>
        <w:widowControl/>
        <w:spacing w:line="400" w:lineRule="exact"/>
        <w:ind w:firstLine="630" w:firstLineChars="300"/>
        <w:rPr>
          <w:bCs/>
          <w:color w:val="auto"/>
          <w:szCs w:val="21"/>
          <w:highlight w:val="none"/>
        </w:rPr>
      </w:pPr>
      <w:r>
        <w:rPr>
          <w:bCs/>
          <w:color w:val="auto"/>
          <w:szCs w:val="21"/>
          <w:highlight w:val="none"/>
        </w:rPr>
        <w:t>数量：1项</w:t>
      </w:r>
    </w:p>
    <w:p w14:paraId="48DE8935">
      <w:pPr>
        <w:widowControl/>
        <w:spacing w:line="400" w:lineRule="exact"/>
        <w:ind w:firstLine="630" w:firstLineChars="300"/>
        <w:rPr>
          <w:rFonts w:hint="eastAsia" w:eastAsia="宋体"/>
          <w:bCs/>
          <w:color w:val="auto"/>
          <w:szCs w:val="21"/>
          <w:highlight w:val="none"/>
          <w:lang w:eastAsia="zh-CN"/>
        </w:rPr>
      </w:pPr>
      <w:r>
        <w:rPr>
          <w:bCs/>
          <w:color w:val="auto"/>
          <w:szCs w:val="21"/>
          <w:highlight w:val="none"/>
        </w:rPr>
        <w:t>预算金额（元）：</w:t>
      </w:r>
      <w:r>
        <w:rPr>
          <w:rFonts w:hint="eastAsia"/>
          <w:bCs/>
          <w:color w:val="auto"/>
          <w:szCs w:val="21"/>
          <w:highlight w:val="none"/>
          <w:lang w:eastAsia="zh-CN"/>
        </w:rPr>
        <w:t>1040000.00</w:t>
      </w:r>
    </w:p>
    <w:p w14:paraId="6A694A20">
      <w:pPr>
        <w:widowControl/>
        <w:spacing w:line="400" w:lineRule="exact"/>
        <w:ind w:left="210" w:leftChars="100" w:firstLine="105" w:firstLineChars="50"/>
        <w:rPr>
          <w:bCs/>
          <w:color w:val="auto"/>
          <w:szCs w:val="21"/>
          <w:highlight w:val="none"/>
        </w:rPr>
      </w:pPr>
      <w:r>
        <w:rPr>
          <w:bCs/>
          <w:color w:val="auto"/>
          <w:szCs w:val="21"/>
          <w:highlight w:val="none"/>
        </w:rPr>
        <w:t>      简要规格描述或项目基本概况介绍、用途：宁波大学科学技术学院智慧文旅实训室建设项目，具体内容见采购文件招标需求 </w:t>
      </w:r>
      <w:r>
        <w:rPr>
          <w:bCs/>
          <w:color w:val="auto"/>
          <w:szCs w:val="21"/>
          <w:highlight w:val="none"/>
        </w:rPr>
        <w:br w:type="textWrapping"/>
      </w:r>
      <w:r>
        <w:rPr>
          <w:bCs/>
          <w:color w:val="auto"/>
          <w:szCs w:val="21"/>
          <w:highlight w:val="none"/>
        </w:rPr>
        <w:t>    备注： </w:t>
      </w:r>
    </w:p>
    <w:p w14:paraId="2BEB0588">
      <w:pPr>
        <w:widowControl/>
        <w:spacing w:line="400" w:lineRule="exact"/>
        <w:ind w:firstLine="315" w:firstLineChars="150"/>
        <w:rPr>
          <w:bCs/>
          <w:color w:val="auto"/>
          <w:szCs w:val="21"/>
          <w:highlight w:val="none"/>
        </w:rPr>
      </w:pPr>
      <w:r>
        <w:rPr>
          <w:bCs/>
          <w:color w:val="auto"/>
          <w:szCs w:val="21"/>
          <w:highlight w:val="none"/>
        </w:rPr>
        <w:t>    合同履约期限：标项1，自合同生效之日起至合同全部权利义务履行完毕之日止</w:t>
      </w:r>
    </w:p>
    <w:p w14:paraId="1AC452AE">
      <w:pPr>
        <w:widowControl/>
        <w:spacing w:line="400" w:lineRule="exact"/>
        <w:ind w:firstLine="315" w:firstLineChars="150"/>
        <w:rPr>
          <w:bCs/>
          <w:color w:val="auto"/>
          <w:szCs w:val="21"/>
          <w:highlight w:val="none"/>
        </w:rPr>
      </w:pPr>
      <w:r>
        <w:rPr>
          <w:bCs/>
          <w:color w:val="auto"/>
          <w:szCs w:val="21"/>
          <w:highlight w:val="none"/>
        </w:rPr>
        <w:t>    本项目（否）接受联合体投标。</w:t>
      </w:r>
    </w:p>
    <w:p w14:paraId="50932B9A">
      <w:pPr>
        <w:widowControl/>
        <w:spacing w:line="400" w:lineRule="exact"/>
        <w:ind w:firstLine="316" w:firstLineChars="150"/>
        <w:rPr>
          <w:bCs/>
          <w:color w:val="auto"/>
          <w:szCs w:val="21"/>
          <w:highlight w:val="none"/>
        </w:rPr>
      </w:pPr>
      <w:r>
        <w:rPr>
          <w:b/>
          <w:bCs/>
          <w:color w:val="auto"/>
          <w:szCs w:val="21"/>
          <w:highlight w:val="none"/>
        </w:rPr>
        <w:t>二、申请人的资格要求：</w:t>
      </w:r>
    </w:p>
    <w:p w14:paraId="3B966F69">
      <w:pPr>
        <w:widowControl/>
        <w:spacing w:line="400" w:lineRule="exact"/>
        <w:ind w:firstLine="315" w:firstLineChars="150"/>
        <w:rPr>
          <w:bCs/>
          <w:color w:val="auto"/>
          <w:szCs w:val="21"/>
          <w:highlight w:val="none"/>
        </w:rPr>
      </w:pPr>
      <w:r>
        <w:rPr>
          <w:bCs/>
          <w:color w:val="auto"/>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034A7A3B">
      <w:pPr>
        <w:widowControl/>
        <w:spacing w:line="400" w:lineRule="exact"/>
        <w:ind w:firstLine="315" w:firstLineChars="150"/>
        <w:rPr>
          <w:bCs/>
          <w:color w:val="auto"/>
          <w:szCs w:val="21"/>
          <w:highlight w:val="none"/>
        </w:rPr>
      </w:pPr>
      <w:r>
        <w:rPr>
          <w:bCs/>
          <w:color w:val="auto"/>
          <w:szCs w:val="21"/>
          <w:highlight w:val="none"/>
        </w:rPr>
        <w:t>    2.落实政府采购政策需满足的资格要求：</w:t>
      </w:r>
      <w:r>
        <w:rPr>
          <w:color w:val="auto"/>
          <w:szCs w:val="21"/>
          <w:highlight w:val="none"/>
        </w:rPr>
        <w:t>无</w:t>
      </w:r>
      <w:r>
        <w:rPr>
          <w:color w:val="auto"/>
          <w:highlight w:val="none"/>
        </w:rPr>
        <w:t>。</w:t>
      </w:r>
    </w:p>
    <w:p w14:paraId="10561EAB">
      <w:pPr>
        <w:widowControl/>
        <w:spacing w:line="400" w:lineRule="exact"/>
        <w:ind w:firstLine="315" w:firstLineChars="150"/>
        <w:rPr>
          <w:bCs/>
          <w:color w:val="auto"/>
          <w:szCs w:val="21"/>
          <w:highlight w:val="none"/>
        </w:rPr>
      </w:pPr>
      <w:r>
        <w:rPr>
          <w:bCs/>
          <w:color w:val="auto"/>
          <w:szCs w:val="21"/>
          <w:highlight w:val="none"/>
        </w:rPr>
        <w:t>    3.本项目的特定资格要求：无 </w:t>
      </w:r>
    </w:p>
    <w:p w14:paraId="0C1F0F9F">
      <w:pPr>
        <w:widowControl/>
        <w:spacing w:line="400" w:lineRule="exact"/>
        <w:ind w:firstLine="316" w:firstLineChars="150"/>
        <w:rPr>
          <w:bCs/>
          <w:color w:val="auto"/>
          <w:szCs w:val="21"/>
          <w:highlight w:val="none"/>
        </w:rPr>
      </w:pPr>
      <w:r>
        <w:rPr>
          <w:b/>
          <w:bCs/>
          <w:color w:val="auto"/>
          <w:szCs w:val="21"/>
          <w:highlight w:val="none"/>
        </w:rPr>
        <w:t>三、获取招标文件</w:t>
      </w:r>
      <w:r>
        <w:rPr>
          <w:bCs/>
          <w:color w:val="auto"/>
          <w:szCs w:val="21"/>
          <w:highlight w:val="none"/>
        </w:rPr>
        <w:t> </w:t>
      </w:r>
    </w:p>
    <w:p w14:paraId="59AA578B">
      <w:pPr>
        <w:widowControl/>
        <w:spacing w:line="400" w:lineRule="exact"/>
        <w:ind w:firstLine="315" w:firstLineChars="150"/>
        <w:rPr>
          <w:bCs/>
          <w:color w:val="auto"/>
          <w:szCs w:val="21"/>
          <w:highlight w:val="none"/>
        </w:rPr>
      </w:pPr>
      <w:r>
        <w:rPr>
          <w:bCs/>
          <w:color w:val="auto"/>
          <w:szCs w:val="21"/>
          <w:highlight w:val="none"/>
        </w:rPr>
        <w:t>    时间： 2024年</w:t>
      </w:r>
      <w:r>
        <w:rPr>
          <w:rFonts w:hint="eastAsia"/>
          <w:bCs/>
          <w:color w:val="auto"/>
          <w:szCs w:val="21"/>
          <w:highlight w:val="none"/>
          <w:lang w:val="en-US" w:eastAsia="zh-CN"/>
        </w:rPr>
        <w:t>11</w:t>
      </w:r>
      <w:r>
        <w:rPr>
          <w:bCs/>
          <w:color w:val="auto"/>
          <w:szCs w:val="21"/>
          <w:highlight w:val="none"/>
        </w:rPr>
        <w:t>月</w:t>
      </w:r>
      <w:r>
        <w:rPr>
          <w:rFonts w:hint="eastAsia"/>
          <w:bCs/>
          <w:color w:val="auto"/>
          <w:szCs w:val="21"/>
          <w:highlight w:val="none"/>
          <w:lang w:val="en-US" w:eastAsia="zh-CN"/>
        </w:rPr>
        <w:t>1</w:t>
      </w:r>
      <w:r>
        <w:rPr>
          <w:bCs/>
          <w:color w:val="auto"/>
          <w:szCs w:val="21"/>
          <w:highlight w:val="none"/>
        </w:rPr>
        <w:t>日</w:t>
      </w:r>
      <w:r>
        <w:rPr>
          <w:color w:val="auto"/>
          <w:highlight w:val="none"/>
        </w:rPr>
        <w:t>至</w:t>
      </w:r>
      <w:r>
        <w:rPr>
          <w:bCs/>
          <w:color w:val="auto"/>
          <w:szCs w:val="21"/>
          <w:highlight w:val="none"/>
        </w:rPr>
        <w:t> 2024年</w:t>
      </w:r>
      <w:r>
        <w:rPr>
          <w:rFonts w:hint="eastAsia"/>
          <w:bCs/>
          <w:color w:val="auto"/>
          <w:szCs w:val="21"/>
          <w:highlight w:val="none"/>
          <w:lang w:val="en-US" w:eastAsia="zh-CN"/>
        </w:rPr>
        <w:t>11</w:t>
      </w:r>
      <w:r>
        <w:rPr>
          <w:bCs/>
          <w:color w:val="auto"/>
          <w:szCs w:val="21"/>
          <w:highlight w:val="none"/>
        </w:rPr>
        <w:t>月</w:t>
      </w:r>
      <w:r>
        <w:rPr>
          <w:rFonts w:hint="eastAsia"/>
          <w:bCs/>
          <w:color w:val="auto"/>
          <w:szCs w:val="21"/>
          <w:highlight w:val="none"/>
          <w:lang w:val="en-US" w:eastAsia="zh-CN"/>
        </w:rPr>
        <w:t>8</w:t>
      </w:r>
      <w:r>
        <w:rPr>
          <w:bCs/>
          <w:color w:val="auto"/>
          <w:szCs w:val="21"/>
          <w:highlight w:val="none"/>
        </w:rPr>
        <w:t>日，每天上午00:00至12:00 ，下午12:00至23:59（北京时间，线上获取法定节假日均可，线下获取文件法定节假日除外）</w:t>
      </w:r>
    </w:p>
    <w:p w14:paraId="40512045">
      <w:pPr>
        <w:widowControl/>
        <w:spacing w:line="400" w:lineRule="exact"/>
        <w:ind w:firstLine="315" w:firstLineChars="150"/>
        <w:rPr>
          <w:bCs/>
          <w:color w:val="auto"/>
          <w:szCs w:val="21"/>
          <w:highlight w:val="none"/>
        </w:rPr>
      </w:pPr>
      <w:r>
        <w:rPr>
          <w:bCs/>
          <w:color w:val="auto"/>
          <w:szCs w:val="21"/>
          <w:highlight w:val="none"/>
        </w:rPr>
        <w:t>    地点（网址）：政府采购云平台（www.zcygov.cn） </w:t>
      </w:r>
    </w:p>
    <w:p w14:paraId="4F591EFD">
      <w:pPr>
        <w:widowControl/>
        <w:spacing w:line="400" w:lineRule="exact"/>
        <w:ind w:firstLine="315" w:firstLineChars="150"/>
        <w:rPr>
          <w:bCs/>
          <w:color w:val="auto"/>
          <w:szCs w:val="21"/>
          <w:highlight w:val="none"/>
        </w:rPr>
      </w:pPr>
      <w:r>
        <w:rPr>
          <w:bCs/>
          <w:color w:val="auto"/>
          <w:szCs w:val="21"/>
          <w:highlight w:val="none"/>
        </w:rPr>
        <w:t>    方式：1.本项目招标文件实行“政府采购云平台”在线获取，不提供招标文件纸质版。供应商获取招标文件前应先完成“政府采购云平台”的账号注册；2.潜在供应商登陆政采云平台，在线申请获取招标文件（进入“项目采购”应用，在获取招标文件菜单中选择项目，申请获取招标文件；仅需浏览招标文件的供应商可点击“游客，浏览招标文件”直接下载招标文件浏览）；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注：请投标人按上述要求获取招标文件，如未在“政采云”系统内完成相关流程，引起的投标无效责任自负。</w:t>
      </w:r>
    </w:p>
    <w:p w14:paraId="1CA049FF">
      <w:pPr>
        <w:widowControl/>
        <w:spacing w:line="400" w:lineRule="exact"/>
        <w:ind w:firstLine="315" w:firstLineChars="150"/>
        <w:rPr>
          <w:bCs/>
          <w:color w:val="auto"/>
          <w:szCs w:val="21"/>
          <w:highlight w:val="none"/>
        </w:rPr>
      </w:pPr>
      <w:r>
        <w:rPr>
          <w:bCs/>
          <w:color w:val="auto"/>
          <w:szCs w:val="21"/>
          <w:highlight w:val="none"/>
        </w:rPr>
        <w:t>    售价（元）：0 </w:t>
      </w:r>
    </w:p>
    <w:p w14:paraId="507F2DAA">
      <w:pPr>
        <w:widowControl/>
        <w:spacing w:line="400" w:lineRule="exact"/>
        <w:ind w:firstLine="316" w:firstLineChars="150"/>
        <w:rPr>
          <w:bCs/>
          <w:color w:val="auto"/>
          <w:szCs w:val="21"/>
          <w:highlight w:val="none"/>
        </w:rPr>
      </w:pPr>
      <w:r>
        <w:rPr>
          <w:b/>
          <w:bCs/>
          <w:color w:val="auto"/>
          <w:szCs w:val="21"/>
          <w:highlight w:val="none"/>
        </w:rPr>
        <w:t>四、提交投标文件截止时间、开标时间和地点</w:t>
      </w:r>
    </w:p>
    <w:p w14:paraId="27CFBF1A">
      <w:pPr>
        <w:widowControl/>
        <w:spacing w:line="400" w:lineRule="exact"/>
        <w:ind w:firstLine="315" w:firstLineChars="150"/>
        <w:rPr>
          <w:bCs/>
          <w:color w:val="auto"/>
          <w:szCs w:val="21"/>
          <w:highlight w:val="none"/>
        </w:rPr>
      </w:pPr>
      <w:r>
        <w:rPr>
          <w:bCs/>
          <w:color w:val="auto"/>
          <w:szCs w:val="21"/>
          <w:highlight w:val="none"/>
        </w:rPr>
        <w:t>    提交投标文件截止时间：  2024年</w:t>
      </w:r>
      <w:r>
        <w:rPr>
          <w:rFonts w:hint="eastAsia"/>
          <w:bCs/>
          <w:color w:val="auto"/>
          <w:szCs w:val="21"/>
          <w:highlight w:val="none"/>
          <w:lang w:val="en-US" w:eastAsia="zh-CN"/>
        </w:rPr>
        <w:t>11</w:t>
      </w:r>
      <w:r>
        <w:rPr>
          <w:bCs/>
          <w:color w:val="auto"/>
          <w:szCs w:val="21"/>
          <w:highlight w:val="none"/>
        </w:rPr>
        <w:t>月</w:t>
      </w:r>
      <w:r>
        <w:rPr>
          <w:rFonts w:hint="eastAsia"/>
          <w:bCs/>
          <w:color w:val="auto"/>
          <w:szCs w:val="21"/>
          <w:highlight w:val="none"/>
          <w:lang w:val="en-US" w:eastAsia="zh-CN"/>
        </w:rPr>
        <w:t>22</w:t>
      </w:r>
      <w:r>
        <w:rPr>
          <w:bCs/>
          <w:color w:val="auto"/>
          <w:szCs w:val="21"/>
          <w:highlight w:val="none"/>
        </w:rPr>
        <w:t>日</w:t>
      </w:r>
      <w:r>
        <w:rPr>
          <w:rFonts w:hint="eastAsia"/>
          <w:bCs/>
          <w:color w:val="auto"/>
          <w:szCs w:val="21"/>
          <w:highlight w:val="none"/>
          <w:lang w:val="en-US" w:eastAsia="zh-CN"/>
        </w:rPr>
        <w:t>14</w:t>
      </w:r>
      <w:r>
        <w:rPr>
          <w:bCs/>
          <w:color w:val="auto"/>
          <w:szCs w:val="21"/>
          <w:highlight w:val="none"/>
        </w:rPr>
        <w:t>:</w:t>
      </w:r>
      <w:r>
        <w:rPr>
          <w:rFonts w:hint="eastAsia"/>
          <w:bCs/>
          <w:color w:val="auto"/>
          <w:szCs w:val="21"/>
          <w:highlight w:val="none"/>
          <w:lang w:val="en-US" w:eastAsia="zh-CN"/>
        </w:rPr>
        <w:t>0</w:t>
      </w:r>
      <w:r>
        <w:rPr>
          <w:bCs/>
          <w:color w:val="auto"/>
          <w:szCs w:val="21"/>
          <w:highlight w:val="none"/>
        </w:rPr>
        <w:t>0（北京时间）</w:t>
      </w:r>
    </w:p>
    <w:p w14:paraId="222842A6">
      <w:pPr>
        <w:widowControl/>
        <w:spacing w:line="400" w:lineRule="exact"/>
        <w:ind w:firstLine="315" w:firstLineChars="150"/>
        <w:rPr>
          <w:bCs/>
          <w:color w:val="auto"/>
          <w:szCs w:val="21"/>
          <w:highlight w:val="none"/>
        </w:rPr>
      </w:pPr>
      <w:r>
        <w:rPr>
          <w:bCs/>
          <w:color w:val="auto"/>
          <w:szCs w:val="21"/>
          <w:highlight w:val="none"/>
        </w:rPr>
        <w:t>    投标地点（网址）：</w:t>
      </w:r>
      <w:r>
        <w:rPr>
          <w:color w:val="auto"/>
          <w:kern w:val="0"/>
          <w:szCs w:val="21"/>
          <w:highlight w:val="none"/>
        </w:rPr>
        <w:t>供应商应于提交投标文件截止时间前将电子投标文件上传到政府采购云平台。</w:t>
      </w:r>
      <w:r>
        <w:rPr>
          <w:bCs/>
          <w:color w:val="auto"/>
          <w:szCs w:val="21"/>
          <w:highlight w:val="none"/>
        </w:rPr>
        <w:t>（www.zcygov.cn） </w:t>
      </w:r>
    </w:p>
    <w:p w14:paraId="6E1FA3D5">
      <w:pPr>
        <w:widowControl/>
        <w:spacing w:line="400" w:lineRule="exact"/>
        <w:ind w:firstLine="315" w:firstLineChars="150"/>
        <w:rPr>
          <w:bCs/>
          <w:color w:val="auto"/>
          <w:szCs w:val="21"/>
          <w:highlight w:val="none"/>
        </w:rPr>
      </w:pPr>
      <w:r>
        <w:rPr>
          <w:bCs/>
          <w:color w:val="auto"/>
          <w:szCs w:val="21"/>
          <w:highlight w:val="none"/>
        </w:rPr>
        <w:t>    开标时间： 2024年</w:t>
      </w:r>
      <w:r>
        <w:rPr>
          <w:rFonts w:hint="eastAsia"/>
          <w:bCs/>
          <w:color w:val="auto"/>
          <w:szCs w:val="21"/>
          <w:highlight w:val="none"/>
          <w:lang w:val="en-US" w:eastAsia="zh-CN"/>
        </w:rPr>
        <w:t>11</w:t>
      </w:r>
      <w:r>
        <w:rPr>
          <w:bCs/>
          <w:color w:val="auto"/>
          <w:szCs w:val="21"/>
          <w:highlight w:val="none"/>
        </w:rPr>
        <w:t>月</w:t>
      </w:r>
      <w:r>
        <w:rPr>
          <w:rFonts w:hint="eastAsia"/>
          <w:bCs/>
          <w:color w:val="auto"/>
          <w:szCs w:val="21"/>
          <w:highlight w:val="none"/>
          <w:lang w:val="en-US" w:eastAsia="zh-CN"/>
        </w:rPr>
        <w:t>22</w:t>
      </w:r>
      <w:r>
        <w:rPr>
          <w:bCs/>
          <w:color w:val="auto"/>
          <w:szCs w:val="21"/>
          <w:highlight w:val="none"/>
        </w:rPr>
        <w:t>日</w:t>
      </w:r>
      <w:r>
        <w:rPr>
          <w:rFonts w:hint="eastAsia"/>
          <w:bCs/>
          <w:color w:val="auto"/>
          <w:szCs w:val="21"/>
          <w:highlight w:val="none"/>
          <w:lang w:val="en-US" w:eastAsia="zh-CN"/>
        </w:rPr>
        <w:t>14</w:t>
      </w:r>
      <w:r>
        <w:rPr>
          <w:bCs/>
          <w:color w:val="auto"/>
          <w:szCs w:val="21"/>
          <w:highlight w:val="none"/>
        </w:rPr>
        <w:t>:</w:t>
      </w:r>
      <w:r>
        <w:rPr>
          <w:rFonts w:hint="eastAsia"/>
          <w:bCs/>
          <w:color w:val="auto"/>
          <w:szCs w:val="21"/>
          <w:highlight w:val="none"/>
          <w:lang w:val="en-US" w:eastAsia="zh-CN"/>
        </w:rPr>
        <w:t>0</w:t>
      </w:r>
      <w:r>
        <w:rPr>
          <w:bCs/>
          <w:color w:val="auto"/>
          <w:szCs w:val="21"/>
          <w:highlight w:val="none"/>
        </w:rPr>
        <w:t>0</w:t>
      </w:r>
    </w:p>
    <w:p w14:paraId="19A9C4FD">
      <w:pPr>
        <w:widowControl/>
        <w:spacing w:line="400" w:lineRule="exact"/>
        <w:ind w:firstLine="315" w:firstLineChars="150"/>
        <w:rPr>
          <w:bCs/>
          <w:color w:val="auto"/>
          <w:szCs w:val="21"/>
          <w:highlight w:val="none"/>
        </w:rPr>
      </w:pPr>
      <w:r>
        <w:rPr>
          <w:bCs/>
          <w:color w:val="auto"/>
          <w:szCs w:val="21"/>
          <w:highlight w:val="none"/>
        </w:rPr>
        <w:t>    开标地点（网址）：政府采购云平台（www.zcygov.cn） </w:t>
      </w:r>
    </w:p>
    <w:p w14:paraId="6D9A9945">
      <w:pPr>
        <w:widowControl/>
        <w:spacing w:line="400" w:lineRule="exact"/>
        <w:ind w:firstLine="316" w:firstLineChars="150"/>
        <w:rPr>
          <w:bCs/>
          <w:color w:val="auto"/>
          <w:szCs w:val="21"/>
          <w:highlight w:val="none"/>
        </w:rPr>
      </w:pPr>
      <w:r>
        <w:rPr>
          <w:b/>
          <w:bCs/>
          <w:color w:val="auto"/>
          <w:szCs w:val="21"/>
          <w:highlight w:val="none"/>
        </w:rPr>
        <w:t>五、公告期限</w:t>
      </w:r>
      <w:r>
        <w:rPr>
          <w:bCs/>
          <w:color w:val="auto"/>
          <w:szCs w:val="21"/>
          <w:highlight w:val="none"/>
        </w:rPr>
        <w:t> </w:t>
      </w:r>
    </w:p>
    <w:p w14:paraId="3431C59A">
      <w:pPr>
        <w:widowControl/>
        <w:spacing w:line="400" w:lineRule="exact"/>
        <w:ind w:firstLine="315" w:firstLineChars="150"/>
        <w:rPr>
          <w:bCs/>
          <w:color w:val="auto"/>
          <w:szCs w:val="21"/>
          <w:highlight w:val="none"/>
        </w:rPr>
      </w:pPr>
      <w:r>
        <w:rPr>
          <w:bCs/>
          <w:color w:val="auto"/>
          <w:szCs w:val="21"/>
          <w:highlight w:val="none"/>
        </w:rPr>
        <w:t>    自本公告发布之日起5个工作日。</w:t>
      </w:r>
    </w:p>
    <w:p w14:paraId="3F0BACB7">
      <w:pPr>
        <w:widowControl/>
        <w:spacing w:line="400" w:lineRule="exact"/>
        <w:ind w:firstLine="316" w:firstLineChars="150"/>
        <w:rPr>
          <w:bCs/>
          <w:color w:val="auto"/>
          <w:szCs w:val="21"/>
          <w:highlight w:val="none"/>
        </w:rPr>
      </w:pPr>
      <w:r>
        <w:rPr>
          <w:b/>
          <w:bCs/>
          <w:color w:val="auto"/>
          <w:szCs w:val="21"/>
          <w:highlight w:val="none"/>
        </w:rPr>
        <w:t>六、其他补充事宜</w:t>
      </w:r>
    </w:p>
    <w:p w14:paraId="208AED9E">
      <w:pPr>
        <w:widowControl/>
        <w:spacing w:line="400" w:lineRule="exact"/>
        <w:ind w:firstLine="315" w:firstLineChars="150"/>
        <w:rPr>
          <w:bCs/>
          <w:color w:val="auto"/>
          <w:szCs w:val="21"/>
          <w:highlight w:val="none"/>
        </w:rPr>
      </w:pPr>
      <w:r>
        <w:rPr>
          <w:bCs/>
          <w:color w:val="auto"/>
          <w:szCs w:val="21"/>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bCs/>
          <w:color w:val="auto"/>
          <w:szCs w:val="21"/>
          <w:highlight w:val="none"/>
        </w:rPr>
        <w:br w:type="textWrapping"/>
      </w:r>
      <w:r>
        <w:rPr>
          <w:bCs/>
          <w:color w:val="auto"/>
          <w:szCs w:val="21"/>
          <w:highlight w:val="none"/>
        </w:rPr>
        <w:t>    2.其他事项：（1）参加投标的投标人应于投标前到“浙江政府采购网（http://zfcg.czt.zj.gov.cn/）”上进行投标人注册申请，并通过财政部门的终审后登记加入到“浙江省政府采购投标人库”。 中标或成交投标人必须注册并登记加入“浙江省政府采购投标人库”。具体要求及注册申请流程详见《浙江省政府采购投标人注册及诚信管理暂行办法》（浙财采监字{2009}28号）和浙江政府采购网“网上办事指南”的“投标人注册申请”。（2）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3）本次政府采购活动有关信息在“浙江政府采购网”、“宁波市政府采购网”、“浙江中创招投标有限公司”网站上公布，公布信息视同送达所有潜在投标人。（4）单位负责人为同一人或者存在直接控股、管理关系的不同投标人，不得参加同一品目的政府采购活动。为本项目提供整体设计、规范编制或者项目管理、监理、检测等服务的投标人，不得再参加本项目的投标。</w:t>
      </w:r>
      <w:r>
        <w:rPr>
          <w:bCs/>
          <w:color w:val="auto"/>
          <w:szCs w:val="21"/>
          <w:highlight w:val="none"/>
        </w:rPr>
        <w:br w:type="textWrapping"/>
      </w:r>
      <w:r>
        <w:rPr>
          <w:bCs/>
          <w:color w:val="auto"/>
          <w:szCs w:val="21"/>
          <w:highlight w:val="none"/>
        </w:rPr>
        <w:t>3.供应商应于提交投标文件截止时间前将电子投标文件上传到政府采购云平台（www.zcygov.cn），未上传电子加密投标文件，视为供应商放弃投标。</w:t>
      </w:r>
      <w:r>
        <w:rPr>
          <w:bCs/>
          <w:color w:val="auto"/>
          <w:szCs w:val="21"/>
          <w:highlight w:val="none"/>
        </w:rPr>
        <w:br w:type="textWrapping"/>
      </w:r>
      <w:r>
        <w:rPr>
          <w:bCs/>
          <w:color w:val="auto"/>
          <w:szCs w:val="21"/>
          <w:highlight w:val="none"/>
        </w:rPr>
        <w:t>4. 开标时间后半小时内供应商可以登录政府采购云平台（www.zcygov.cn），用“项目采购-开标评标”功能进行解密投标文件。</w:t>
      </w:r>
      <w:r>
        <w:rPr>
          <w:bCs/>
          <w:color w:val="auto"/>
          <w:szCs w:val="21"/>
          <w:highlight w:val="none"/>
        </w:rPr>
        <w:br w:type="textWrapping"/>
      </w:r>
      <w:r>
        <w:rPr>
          <w:bCs/>
          <w:color w:val="auto"/>
          <w:szCs w:val="21"/>
          <w:highlight w:val="none"/>
        </w:rPr>
        <w:t>5.本项目实行网上投标，采用电子投标文件。若供应商参与投标，自行承担投标一切费用。</w:t>
      </w:r>
      <w:r>
        <w:rPr>
          <w:bCs/>
          <w:color w:val="auto"/>
          <w:szCs w:val="21"/>
          <w:highlight w:val="none"/>
        </w:rPr>
        <w:br w:type="textWrapping"/>
      </w:r>
      <w:r>
        <w:rPr>
          <w:bCs/>
          <w:color w:val="auto"/>
          <w:szCs w:val="21"/>
          <w:highlight w:val="none"/>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r>
        <w:rPr>
          <w:bCs/>
          <w:color w:val="auto"/>
          <w:szCs w:val="21"/>
          <w:highlight w:val="none"/>
        </w:rPr>
        <w:br w:type="textWrapping"/>
      </w:r>
      <w:r>
        <w:rPr>
          <w:bCs/>
          <w:color w:val="auto"/>
          <w:szCs w:val="21"/>
          <w:highlight w:val="none"/>
        </w:rPr>
        <w:t>7.投标文件制作：（1）应按照本项目采购文件和政府采购云平台的要求编制、加密并递交投标文件。供应商在使用系统进行投标的过程中遇到涉及平台使用的任何问题，可致电政府采购云平台技术支持热线咨询，联系方式：95763。（2）供应商通过政府采购云平台电子投标工具制作投标文件。电子投标工具请供应商自行前往浙江政府采购网下载并安装（zfcg.czt.zj.gov.cn/bidClientTemplate/2019-05-27/12946.html）。供应商投标文件制作及电子交易操作指南详见：</w:t>
      </w:r>
      <w:r>
        <w:rPr>
          <w:rFonts w:hint="eastAsia" w:ascii="宋体" w:hAnsi="宋体" w:cs="宋体"/>
          <w:bCs/>
          <w:color w:val="auto"/>
          <w:szCs w:val="21"/>
          <w:highlight w:val="none"/>
        </w:rPr>
        <w:t>①</w:t>
      </w:r>
      <w:r>
        <w:rPr>
          <w:bCs/>
          <w:color w:val="auto"/>
          <w:szCs w:val="21"/>
          <w:highlight w:val="none"/>
        </w:rPr>
        <w:t>政府采购项目电子交易管理操作指南（视频）：service.zcygov.cn/#/knowledges/CW1EtGwBFdiHxlNd6I3m/7GyLXW0BXgMSmLUuYuPM（电脑登录账号观看）；</w:t>
      </w:r>
      <w:r>
        <w:rPr>
          <w:rFonts w:hint="eastAsia" w:ascii="宋体" w:hAnsi="宋体" w:cs="宋体"/>
          <w:bCs/>
          <w:color w:val="auto"/>
          <w:szCs w:val="21"/>
          <w:highlight w:val="none"/>
        </w:rPr>
        <w:t>②</w:t>
      </w:r>
      <w:r>
        <w:rPr>
          <w:bCs/>
          <w:color w:val="auto"/>
          <w:szCs w:val="21"/>
          <w:highlight w:val="none"/>
        </w:rPr>
        <w:t>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w:t>
      </w:r>
      <w:r>
        <w:rPr>
          <w:bCs/>
          <w:color w:val="auto"/>
          <w:szCs w:val="21"/>
          <w:highlight w:val="none"/>
        </w:rPr>
        <w:br w:type="textWrapping"/>
      </w:r>
      <w:r>
        <w:rPr>
          <w:bCs/>
          <w:color w:val="auto"/>
          <w:szCs w:val="21"/>
          <w:highlight w:val="none"/>
        </w:rPr>
        <w:t>  </w:t>
      </w:r>
    </w:p>
    <w:p w14:paraId="29C2836E">
      <w:pPr>
        <w:widowControl/>
        <w:spacing w:line="400" w:lineRule="exact"/>
        <w:ind w:firstLine="316" w:firstLineChars="150"/>
        <w:rPr>
          <w:bCs/>
          <w:color w:val="auto"/>
          <w:szCs w:val="21"/>
          <w:highlight w:val="none"/>
        </w:rPr>
      </w:pPr>
      <w:r>
        <w:rPr>
          <w:b/>
          <w:bCs/>
          <w:color w:val="auto"/>
          <w:szCs w:val="21"/>
          <w:highlight w:val="none"/>
        </w:rPr>
        <w:t>七、对本次采购提出询问、质疑、投诉，请按以下方式联系</w:t>
      </w:r>
    </w:p>
    <w:p w14:paraId="7016DCED">
      <w:pPr>
        <w:widowControl/>
        <w:spacing w:line="400" w:lineRule="exact"/>
        <w:ind w:firstLine="707" w:firstLineChars="337"/>
        <w:rPr>
          <w:bCs/>
          <w:color w:val="auto"/>
          <w:szCs w:val="21"/>
          <w:highlight w:val="none"/>
        </w:rPr>
      </w:pPr>
      <w:r>
        <w:rPr>
          <w:bCs/>
          <w:color w:val="auto"/>
          <w:szCs w:val="21"/>
          <w:highlight w:val="none"/>
        </w:rPr>
        <w:t>1.采购人信息</w:t>
      </w:r>
    </w:p>
    <w:p w14:paraId="1918F1D7">
      <w:pPr>
        <w:widowControl/>
        <w:spacing w:line="400" w:lineRule="exact"/>
        <w:ind w:firstLine="707" w:firstLineChars="337"/>
        <w:rPr>
          <w:color w:val="auto"/>
          <w:highlight w:val="none"/>
        </w:rPr>
      </w:pPr>
      <w:r>
        <w:rPr>
          <w:color w:val="auto"/>
          <w:highlight w:val="none"/>
        </w:rPr>
        <w:t>名称：</w:t>
      </w:r>
      <w:r>
        <w:rPr>
          <w:color w:val="auto"/>
          <w:szCs w:val="21"/>
          <w:highlight w:val="none"/>
        </w:rPr>
        <w:t>宁波大学</w:t>
      </w:r>
      <w:r>
        <w:rPr>
          <w:bCs/>
          <w:color w:val="auto"/>
          <w:szCs w:val="21"/>
          <w:highlight w:val="none"/>
        </w:rPr>
        <w:t>科学技术</w:t>
      </w:r>
      <w:r>
        <w:rPr>
          <w:color w:val="auto"/>
          <w:szCs w:val="21"/>
          <w:highlight w:val="none"/>
        </w:rPr>
        <w:t>学院</w:t>
      </w:r>
    </w:p>
    <w:p w14:paraId="6780124D">
      <w:pPr>
        <w:widowControl/>
        <w:spacing w:line="400" w:lineRule="exact"/>
        <w:ind w:firstLine="707" w:firstLineChars="337"/>
        <w:rPr>
          <w:color w:val="auto"/>
          <w:szCs w:val="21"/>
          <w:highlight w:val="none"/>
        </w:rPr>
      </w:pPr>
      <w:r>
        <w:rPr>
          <w:color w:val="auto"/>
          <w:highlight w:val="none"/>
        </w:rPr>
        <w:t>地址：</w:t>
      </w:r>
      <w:r>
        <w:rPr>
          <w:color w:val="auto"/>
          <w:szCs w:val="21"/>
          <w:highlight w:val="none"/>
        </w:rPr>
        <w:t>浙江省慈溪市白沙路街道文蔚路521号</w:t>
      </w:r>
    </w:p>
    <w:p w14:paraId="6EDFF476">
      <w:pPr>
        <w:widowControl/>
        <w:spacing w:line="400" w:lineRule="exact"/>
        <w:ind w:firstLine="707" w:firstLineChars="337"/>
        <w:rPr>
          <w:color w:val="auto"/>
          <w:highlight w:val="none"/>
        </w:rPr>
      </w:pPr>
      <w:r>
        <w:rPr>
          <w:color w:val="auto"/>
          <w:highlight w:val="none"/>
        </w:rPr>
        <w:t>传真：/</w:t>
      </w:r>
    </w:p>
    <w:p w14:paraId="2589A6EC">
      <w:pPr>
        <w:widowControl/>
        <w:spacing w:line="400" w:lineRule="exact"/>
        <w:ind w:firstLine="707" w:firstLineChars="337"/>
        <w:rPr>
          <w:color w:val="auto"/>
          <w:highlight w:val="none"/>
        </w:rPr>
      </w:pPr>
      <w:r>
        <w:rPr>
          <w:color w:val="auto"/>
          <w:highlight w:val="none"/>
        </w:rPr>
        <w:t>项目</w:t>
      </w:r>
      <w:r>
        <w:rPr>
          <w:bCs/>
          <w:color w:val="auto"/>
          <w:szCs w:val="21"/>
          <w:highlight w:val="none"/>
        </w:rPr>
        <w:t>联系人</w:t>
      </w:r>
      <w:r>
        <w:rPr>
          <w:color w:val="auto"/>
          <w:highlight w:val="none"/>
        </w:rPr>
        <w:t>（询问）：章老师</w:t>
      </w:r>
    </w:p>
    <w:p w14:paraId="0A067594">
      <w:pPr>
        <w:widowControl/>
        <w:spacing w:line="400" w:lineRule="exact"/>
        <w:ind w:firstLine="707" w:firstLineChars="337"/>
        <w:rPr>
          <w:color w:val="auto"/>
          <w:highlight w:val="none"/>
        </w:rPr>
      </w:pPr>
      <w:r>
        <w:rPr>
          <w:color w:val="auto"/>
          <w:highlight w:val="none"/>
        </w:rPr>
        <w:t>项目联系</w:t>
      </w:r>
      <w:r>
        <w:rPr>
          <w:bCs/>
          <w:color w:val="auto"/>
          <w:szCs w:val="21"/>
          <w:highlight w:val="none"/>
        </w:rPr>
        <w:t>方式</w:t>
      </w:r>
      <w:r>
        <w:rPr>
          <w:color w:val="auto"/>
          <w:highlight w:val="none"/>
        </w:rPr>
        <w:t>（询问）：</w:t>
      </w:r>
      <w:r>
        <w:rPr>
          <w:color w:val="auto"/>
          <w:szCs w:val="21"/>
          <w:highlight w:val="none"/>
        </w:rPr>
        <w:t>0574-87609626</w:t>
      </w:r>
    </w:p>
    <w:p w14:paraId="7B797BFD">
      <w:pPr>
        <w:widowControl/>
        <w:spacing w:line="400" w:lineRule="exact"/>
        <w:ind w:firstLine="707" w:firstLineChars="337"/>
        <w:rPr>
          <w:color w:val="auto"/>
          <w:highlight w:val="none"/>
        </w:rPr>
      </w:pPr>
      <w:r>
        <w:rPr>
          <w:color w:val="auto"/>
          <w:highlight w:val="none"/>
        </w:rPr>
        <w:t>质疑</w:t>
      </w:r>
      <w:r>
        <w:rPr>
          <w:bCs/>
          <w:color w:val="auto"/>
          <w:szCs w:val="21"/>
          <w:highlight w:val="none"/>
        </w:rPr>
        <w:t>联系人</w:t>
      </w:r>
      <w:r>
        <w:rPr>
          <w:color w:val="auto"/>
          <w:highlight w:val="none"/>
        </w:rPr>
        <w:t>：陈老师</w:t>
      </w:r>
    </w:p>
    <w:p w14:paraId="58E466F8">
      <w:pPr>
        <w:widowControl/>
        <w:spacing w:line="400" w:lineRule="exact"/>
        <w:ind w:firstLine="707" w:firstLineChars="337"/>
        <w:rPr>
          <w:color w:val="auto"/>
          <w:highlight w:val="none"/>
        </w:rPr>
      </w:pPr>
      <w:r>
        <w:rPr>
          <w:color w:val="auto"/>
          <w:highlight w:val="none"/>
        </w:rPr>
        <w:t>质疑联系方式：</w:t>
      </w:r>
      <w:r>
        <w:rPr>
          <w:color w:val="auto"/>
          <w:szCs w:val="21"/>
          <w:highlight w:val="none"/>
        </w:rPr>
        <w:t>0574-87609630</w:t>
      </w:r>
    </w:p>
    <w:p w14:paraId="52CF6A82">
      <w:pPr>
        <w:widowControl/>
        <w:spacing w:line="400" w:lineRule="exact"/>
        <w:ind w:firstLine="707" w:firstLineChars="337"/>
        <w:rPr>
          <w:color w:val="auto"/>
          <w:highlight w:val="none"/>
        </w:rPr>
      </w:pPr>
      <w:r>
        <w:rPr>
          <w:color w:val="auto"/>
          <w:highlight w:val="none"/>
        </w:rPr>
        <w:t>2、采购</w:t>
      </w:r>
      <w:r>
        <w:rPr>
          <w:bCs/>
          <w:color w:val="auto"/>
          <w:szCs w:val="21"/>
          <w:highlight w:val="none"/>
        </w:rPr>
        <w:t>代理</w:t>
      </w:r>
      <w:r>
        <w:rPr>
          <w:color w:val="auto"/>
          <w:highlight w:val="none"/>
        </w:rPr>
        <w:t>机构信息</w:t>
      </w:r>
    </w:p>
    <w:p w14:paraId="0D86F9C8">
      <w:pPr>
        <w:widowControl/>
        <w:spacing w:line="400" w:lineRule="exact"/>
        <w:ind w:firstLine="707" w:firstLineChars="337"/>
        <w:rPr>
          <w:color w:val="auto"/>
          <w:highlight w:val="none"/>
        </w:rPr>
      </w:pPr>
      <w:r>
        <w:rPr>
          <w:color w:val="auto"/>
          <w:highlight w:val="none"/>
        </w:rPr>
        <w:t>名称：浙江中创招投标有限公司</w:t>
      </w:r>
    </w:p>
    <w:p w14:paraId="130AE718">
      <w:pPr>
        <w:widowControl/>
        <w:spacing w:line="400" w:lineRule="exact"/>
        <w:ind w:firstLine="707" w:firstLineChars="337"/>
        <w:rPr>
          <w:color w:val="auto"/>
          <w:highlight w:val="none"/>
        </w:rPr>
      </w:pPr>
      <w:r>
        <w:rPr>
          <w:color w:val="auto"/>
          <w:highlight w:val="none"/>
        </w:rPr>
        <w:t>地址：宁波市海曙区环城西路北段225号真如中心15楼</w:t>
      </w:r>
    </w:p>
    <w:p w14:paraId="7D4921ED">
      <w:pPr>
        <w:widowControl/>
        <w:spacing w:line="400" w:lineRule="exact"/>
        <w:ind w:firstLine="707" w:firstLineChars="337"/>
        <w:rPr>
          <w:color w:val="auto"/>
          <w:highlight w:val="none"/>
        </w:rPr>
      </w:pPr>
      <w:r>
        <w:rPr>
          <w:color w:val="auto"/>
          <w:highlight w:val="none"/>
        </w:rPr>
        <w:t>传真：</w:t>
      </w:r>
      <w:r>
        <w:rPr>
          <w:bCs/>
          <w:color w:val="auto"/>
          <w:szCs w:val="21"/>
          <w:highlight w:val="none"/>
        </w:rPr>
        <w:t>0574</w:t>
      </w:r>
      <w:r>
        <w:rPr>
          <w:color w:val="auto"/>
          <w:highlight w:val="none"/>
        </w:rPr>
        <w:t>-87179089</w:t>
      </w:r>
    </w:p>
    <w:p w14:paraId="2FEE61CD">
      <w:pPr>
        <w:widowControl/>
        <w:spacing w:line="400" w:lineRule="exact"/>
        <w:ind w:firstLine="707" w:firstLineChars="337"/>
        <w:rPr>
          <w:color w:val="auto"/>
          <w:highlight w:val="none"/>
        </w:rPr>
      </w:pPr>
      <w:r>
        <w:rPr>
          <w:color w:val="auto"/>
          <w:highlight w:val="none"/>
        </w:rPr>
        <w:t>项目联系人（询问）：蒋敏敏、叶子恒、王明、林叶</w:t>
      </w:r>
      <w:r>
        <w:rPr>
          <w:color w:val="auto"/>
          <w:szCs w:val="21"/>
          <w:highlight w:val="none"/>
        </w:rPr>
        <w:t>、</w:t>
      </w:r>
      <w:r>
        <w:rPr>
          <w:color w:val="auto"/>
          <w:highlight w:val="none"/>
        </w:rPr>
        <w:t>李晶</w:t>
      </w:r>
    </w:p>
    <w:p w14:paraId="77EED9AC">
      <w:pPr>
        <w:widowControl/>
        <w:spacing w:line="400" w:lineRule="exact"/>
        <w:ind w:firstLine="707" w:firstLineChars="337"/>
        <w:rPr>
          <w:color w:val="auto"/>
          <w:highlight w:val="none"/>
        </w:rPr>
      </w:pPr>
      <w:r>
        <w:rPr>
          <w:color w:val="auto"/>
          <w:highlight w:val="none"/>
        </w:rPr>
        <w:t>项目联系方式（询问）：0574-87179081</w:t>
      </w:r>
    </w:p>
    <w:p w14:paraId="3AD4F9B5">
      <w:pPr>
        <w:widowControl/>
        <w:spacing w:line="400" w:lineRule="exact"/>
        <w:ind w:firstLine="707" w:firstLineChars="337"/>
        <w:rPr>
          <w:color w:val="auto"/>
          <w:highlight w:val="none"/>
        </w:rPr>
      </w:pPr>
      <w:r>
        <w:rPr>
          <w:color w:val="auto"/>
          <w:highlight w:val="none"/>
        </w:rPr>
        <w:t>质疑联系人：张百军</w:t>
      </w:r>
    </w:p>
    <w:p w14:paraId="6795BDB2">
      <w:pPr>
        <w:widowControl/>
        <w:spacing w:line="400" w:lineRule="exact"/>
        <w:ind w:firstLine="707" w:firstLineChars="337"/>
        <w:rPr>
          <w:color w:val="auto"/>
          <w:highlight w:val="none"/>
        </w:rPr>
      </w:pPr>
      <w:r>
        <w:rPr>
          <w:color w:val="auto"/>
          <w:highlight w:val="none"/>
        </w:rPr>
        <w:t>质疑联系方式：</w:t>
      </w:r>
      <w:r>
        <w:rPr>
          <w:bCs/>
          <w:color w:val="auto"/>
          <w:szCs w:val="21"/>
          <w:highlight w:val="none"/>
        </w:rPr>
        <w:t>0574</w:t>
      </w:r>
      <w:r>
        <w:rPr>
          <w:color w:val="auto"/>
          <w:highlight w:val="none"/>
        </w:rPr>
        <w:t>-87179082</w:t>
      </w:r>
    </w:p>
    <w:p w14:paraId="74610ECB">
      <w:pPr>
        <w:widowControl/>
        <w:spacing w:line="400" w:lineRule="exact"/>
        <w:ind w:firstLine="707" w:firstLineChars="337"/>
        <w:rPr>
          <w:color w:val="auto"/>
          <w:highlight w:val="none"/>
        </w:rPr>
      </w:pPr>
      <w:r>
        <w:rPr>
          <w:color w:val="auto"/>
          <w:highlight w:val="none"/>
        </w:rPr>
        <w:t>3、同级政府采购监督管理部门：</w:t>
      </w:r>
    </w:p>
    <w:p w14:paraId="41A8A067">
      <w:pPr>
        <w:widowControl/>
        <w:spacing w:line="400" w:lineRule="exact"/>
        <w:ind w:firstLine="707" w:firstLineChars="337"/>
        <w:rPr>
          <w:color w:val="auto"/>
          <w:highlight w:val="none"/>
        </w:rPr>
      </w:pPr>
      <w:r>
        <w:rPr>
          <w:color w:val="auto"/>
          <w:highlight w:val="none"/>
        </w:rPr>
        <w:t>名称：宁波市财政局政府采购监管处</w:t>
      </w:r>
    </w:p>
    <w:p w14:paraId="16AE64B9">
      <w:pPr>
        <w:widowControl/>
        <w:spacing w:line="400" w:lineRule="exact"/>
        <w:ind w:firstLine="707" w:firstLineChars="337"/>
        <w:rPr>
          <w:color w:val="auto"/>
          <w:highlight w:val="none"/>
        </w:rPr>
      </w:pPr>
      <w:r>
        <w:rPr>
          <w:color w:val="auto"/>
          <w:highlight w:val="none"/>
        </w:rPr>
        <w:t>地址：/</w:t>
      </w:r>
    </w:p>
    <w:p w14:paraId="0FE7C762">
      <w:pPr>
        <w:widowControl/>
        <w:spacing w:line="400" w:lineRule="exact"/>
        <w:ind w:firstLine="707" w:firstLineChars="337"/>
        <w:rPr>
          <w:color w:val="auto"/>
          <w:highlight w:val="none"/>
        </w:rPr>
      </w:pPr>
      <w:r>
        <w:rPr>
          <w:color w:val="auto"/>
          <w:highlight w:val="none"/>
        </w:rPr>
        <w:t>传真：/</w:t>
      </w:r>
    </w:p>
    <w:p w14:paraId="0268F075">
      <w:pPr>
        <w:widowControl/>
        <w:spacing w:line="400" w:lineRule="exact"/>
        <w:ind w:firstLine="707" w:firstLineChars="337"/>
        <w:rPr>
          <w:color w:val="auto"/>
          <w:highlight w:val="none"/>
        </w:rPr>
      </w:pPr>
      <w:r>
        <w:rPr>
          <w:bCs/>
          <w:color w:val="auto"/>
          <w:szCs w:val="21"/>
          <w:highlight w:val="none"/>
        </w:rPr>
        <w:t>联系人</w:t>
      </w:r>
      <w:r>
        <w:rPr>
          <w:color w:val="auto"/>
          <w:highlight w:val="none"/>
        </w:rPr>
        <w:t>：李老师</w:t>
      </w:r>
    </w:p>
    <w:p w14:paraId="42415ACB">
      <w:pPr>
        <w:widowControl/>
        <w:spacing w:line="400" w:lineRule="exact"/>
        <w:ind w:firstLine="707" w:firstLineChars="337"/>
        <w:rPr>
          <w:bCs/>
          <w:color w:val="auto"/>
          <w:szCs w:val="21"/>
          <w:highlight w:val="none"/>
        </w:rPr>
      </w:pPr>
      <w:r>
        <w:rPr>
          <w:bCs/>
          <w:color w:val="auto"/>
          <w:szCs w:val="21"/>
          <w:highlight w:val="none"/>
        </w:rPr>
        <w:t>监督投诉电话：0574-89388042</w:t>
      </w:r>
    </w:p>
    <w:p w14:paraId="32D5384C">
      <w:pPr>
        <w:widowControl/>
        <w:spacing w:line="400" w:lineRule="exact"/>
        <w:ind w:left="283" w:leftChars="135" w:firstLine="424" w:firstLineChars="202"/>
        <w:rPr>
          <w:bCs/>
          <w:color w:val="auto"/>
          <w:szCs w:val="21"/>
          <w:highlight w:val="none"/>
        </w:rPr>
      </w:pPr>
    </w:p>
    <w:p w14:paraId="1393740A">
      <w:pPr>
        <w:widowControl/>
        <w:spacing w:line="400" w:lineRule="exact"/>
        <w:ind w:left="283" w:leftChars="135" w:firstLine="424" w:firstLineChars="202"/>
        <w:rPr>
          <w:bCs/>
          <w:color w:val="auto"/>
          <w:szCs w:val="21"/>
          <w:highlight w:val="none"/>
        </w:rPr>
      </w:pPr>
      <w:r>
        <w:rPr>
          <w:bCs/>
          <w:color w:val="auto"/>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7D6B178E">
      <w:pPr>
        <w:widowControl/>
        <w:spacing w:line="440" w:lineRule="exact"/>
        <w:ind w:firstLine="283" w:firstLineChars="135"/>
        <w:jc w:val="left"/>
        <w:rPr>
          <w:bCs/>
          <w:color w:val="auto"/>
          <w:szCs w:val="21"/>
          <w:highlight w:val="none"/>
        </w:rPr>
      </w:pPr>
      <w:r>
        <w:rPr>
          <w:bCs/>
          <w:color w:val="auto"/>
          <w:szCs w:val="21"/>
          <w:highlight w:val="none"/>
        </w:rPr>
        <w:t>CA问题联系电话（人工）：汇信CA 400-888-4636；天谷CA 400-087-8198。</w:t>
      </w:r>
    </w:p>
    <w:p w14:paraId="16ADE62D">
      <w:pPr>
        <w:widowControl/>
        <w:spacing w:line="440" w:lineRule="exact"/>
        <w:jc w:val="left"/>
        <w:rPr>
          <w:bCs/>
          <w:color w:val="auto"/>
          <w:szCs w:val="21"/>
          <w:highlight w:val="none"/>
        </w:rPr>
      </w:pPr>
    </w:p>
    <w:p w14:paraId="64019DFA">
      <w:pPr>
        <w:widowControl/>
        <w:spacing w:line="400" w:lineRule="exact"/>
        <w:ind w:firstLine="315" w:firstLineChars="150"/>
        <w:rPr>
          <w:bCs/>
          <w:color w:val="auto"/>
          <w:szCs w:val="21"/>
          <w:highlight w:val="none"/>
        </w:rPr>
      </w:pPr>
    </w:p>
    <w:p w14:paraId="445979B2">
      <w:pPr>
        <w:widowControl/>
        <w:spacing w:line="400" w:lineRule="exact"/>
        <w:ind w:firstLine="316" w:firstLineChars="150"/>
        <w:rPr>
          <w:b/>
          <w:bCs/>
          <w:color w:val="auto"/>
          <w:szCs w:val="21"/>
          <w:highlight w:val="none"/>
        </w:rPr>
      </w:pPr>
    </w:p>
    <w:p w14:paraId="51C184B4">
      <w:pPr>
        <w:widowControl/>
        <w:spacing w:line="400" w:lineRule="exact"/>
        <w:ind w:firstLine="315" w:firstLineChars="150"/>
        <w:rPr>
          <w:bCs/>
          <w:color w:val="auto"/>
          <w:szCs w:val="21"/>
          <w:highlight w:val="none"/>
        </w:rPr>
      </w:pPr>
    </w:p>
    <w:p w14:paraId="03CB15A1">
      <w:pPr>
        <w:widowControl/>
        <w:spacing w:line="400" w:lineRule="exact"/>
        <w:ind w:firstLine="315" w:firstLineChars="150"/>
        <w:rPr>
          <w:bCs/>
          <w:color w:val="auto"/>
          <w:kern w:val="0"/>
          <w:szCs w:val="21"/>
          <w:highlight w:val="none"/>
        </w:rPr>
      </w:pPr>
    </w:p>
    <w:p w14:paraId="4AEE531D">
      <w:pPr>
        <w:widowControl/>
        <w:spacing w:line="400" w:lineRule="exact"/>
        <w:ind w:firstLine="316" w:firstLineChars="150"/>
        <w:rPr>
          <w:b/>
          <w:bCs/>
          <w:color w:val="auto"/>
          <w:kern w:val="0"/>
          <w:szCs w:val="21"/>
          <w:highlight w:val="none"/>
        </w:rPr>
      </w:pPr>
    </w:p>
    <w:p w14:paraId="276CD6CB">
      <w:pPr>
        <w:pStyle w:val="4"/>
        <w:spacing w:before="0" w:after="0" w:line="360" w:lineRule="auto"/>
        <w:jc w:val="center"/>
        <w:rPr>
          <w:color w:val="auto"/>
          <w:sz w:val="30"/>
          <w:highlight w:val="none"/>
        </w:rPr>
      </w:pPr>
      <w:r>
        <w:rPr>
          <w:b w:val="0"/>
          <w:bCs w:val="0"/>
          <w:color w:val="auto"/>
          <w:kern w:val="2"/>
          <w:sz w:val="21"/>
          <w:szCs w:val="24"/>
          <w:highlight w:val="none"/>
        </w:rPr>
        <w:br w:type="page"/>
      </w:r>
      <w:bookmarkStart w:id="2" w:name="_Toc460857891"/>
      <w:bookmarkStart w:id="3" w:name="_Toc100932105"/>
      <w:bookmarkStart w:id="4" w:name="_Toc460416585"/>
      <w:r>
        <w:rPr>
          <w:color w:val="auto"/>
          <w:sz w:val="30"/>
          <w:highlight w:val="none"/>
        </w:rPr>
        <w:t>第二章  采购需求</w:t>
      </w:r>
      <w:bookmarkEnd w:id="2"/>
      <w:bookmarkEnd w:id="3"/>
      <w:bookmarkEnd w:id="4"/>
    </w:p>
    <w:p w14:paraId="025B05AB">
      <w:pPr>
        <w:pStyle w:val="5"/>
        <w:numPr>
          <w:ilvl w:val="0"/>
          <w:numId w:val="0"/>
        </w:numPr>
        <w:tabs>
          <w:tab w:val="clear" w:pos="576"/>
        </w:tabs>
        <w:spacing w:before="0" w:after="0" w:line="360" w:lineRule="auto"/>
        <w:jc w:val="center"/>
        <w:rPr>
          <w:rFonts w:ascii="Times New Roman" w:hAnsi="Times New Roman" w:eastAsia="宋体"/>
          <w:color w:val="auto"/>
          <w:sz w:val="21"/>
          <w:szCs w:val="21"/>
          <w:highlight w:val="none"/>
        </w:rPr>
      </w:pPr>
      <w:bookmarkStart w:id="5" w:name="_Toc100932106"/>
      <w:bookmarkStart w:id="6" w:name="_Toc460416586"/>
      <w:bookmarkStart w:id="7" w:name="_Toc304292160"/>
      <w:bookmarkStart w:id="8" w:name="_Toc317685546"/>
      <w:bookmarkStart w:id="9" w:name="_Toc460857892"/>
      <w:bookmarkStart w:id="10" w:name="_Toc460416635"/>
      <w:bookmarkStart w:id="11" w:name="_Toc460416331"/>
      <w:r>
        <w:rPr>
          <w:rFonts w:ascii="Times New Roman" w:hAnsi="Times New Roman" w:eastAsia="宋体"/>
          <w:color w:val="auto"/>
          <w:sz w:val="21"/>
          <w:szCs w:val="21"/>
          <w:highlight w:val="none"/>
        </w:rPr>
        <w:t>前附表</w:t>
      </w:r>
      <w:bookmarkEnd w:id="5"/>
    </w:p>
    <w:tbl>
      <w:tblPr>
        <w:tblStyle w:val="3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5"/>
        <w:gridCol w:w="3495"/>
        <w:gridCol w:w="4095"/>
      </w:tblGrid>
      <w:tr w14:paraId="4ACFD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5" w:type="dxa"/>
            <w:vAlign w:val="center"/>
          </w:tcPr>
          <w:p w14:paraId="2686B7E8">
            <w:pPr>
              <w:spacing w:line="320" w:lineRule="exact"/>
              <w:jc w:val="center"/>
              <w:rPr>
                <w:b/>
                <w:color w:val="auto"/>
                <w:szCs w:val="21"/>
                <w:highlight w:val="none"/>
              </w:rPr>
            </w:pPr>
            <w:r>
              <w:rPr>
                <w:b/>
                <w:color w:val="auto"/>
                <w:szCs w:val="21"/>
                <w:highlight w:val="none"/>
              </w:rPr>
              <w:t>序号</w:t>
            </w:r>
          </w:p>
        </w:tc>
        <w:tc>
          <w:tcPr>
            <w:tcW w:w="3495" w:type="dxa"/>
          </w:tcPr>
          <w:p w14:paraId="2825D029">
            <w:pPr>
              <w:spacing w:line="320" w:lineRule="exact"/>
              <w:jc w:val="center"/>
              <w:rPr>
                <w:b/>
                <w:color w:val="auto"/>
                <w:szCs w:val="21"/>
                <w:highlight w:val="none"/>
              </w:rPr>
            </w:pPr>
            <w:r>
              <w:rPr>
                <w:b/>
                <w:color w:val="auto"/>
                <w:szCs w:val="21"/>
                <w:highlight w:val="none"/>
              </w:rPr>
              <w:t>子项</w:t>
            </w:r>
          </w:p>
        </w:tc>
        <w:tc>
          <w:tcPr>
            <w:tcW w:w="4095" w:type="dxa"/>
          </w:tcPr>
          <w:p w14:paraId="01CF360E">
            <w:pPr>
              <w:spacing w:line="320" w:lineRule="exact"/>
              <w:jc w:val="center"/>
              <w:rPr>
                <w:b/>
                <w:color w:val="auto"/>
                <w:szCs w:val="21"/>
                <w:highlight w:val="none"/>
              </w:rPr>
            </w:pPr>
            <w:r>
              <w:rPr>
                <w:b/>
                <w:color w:val="auto"/>
                <w:szCs w:val="21"/>
                <w:highlight w:val="none"/>
              </w:rPr>
              <w:t>招标需求</w:t>
            </w:r>
          </w:p>
        </w:tc>
      </w:tr>
      <w:tr w14:paraId="0DC87B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3" w:hRule="atLeast"/>
          <w:jc w:val="center"/>
        </w:trPr>
        <w:tc>
          <w:tcPr>
            <w:tcW w:w="705" w:type="dxa"/>
            <w:vAlign w:val="center"/>
          </w:tcPr>
          <w:p w14:paraId="1EB021F0">
            <w:pPr>
              <w:spacing w:line="320" w:lineRule="exact"/>
              <w:jc w:val="center"/>
              <w:rPr>
                <w:b/>
                <w:color w:val="auto"/>
                <w:szCs w:val="21"/>
                <w:highlight w:val="none"/>
              </w:rPr>
            </w:pPr>
            <w:r>
              <w:rPr>
                <w:b/>
                <w:color w:val="auto"/>
                <w:szCs w:val="21"/>
                <w:highlight w:val="none"/>
              </w:rPr>
              <w:t>一</w:t>
            </w:r>
          </w:p>
        </w:tc>
        <w:tc>
          <w:tcPr>
            <w:tcW w:w="3495" w:type="dxa"/>
            <w:vAlign w:val="center"/>
          </w:tcPr>
          <w:p w14:paraId="018F57F4">
            <w:pPr>
              <w:spacing w:line="320" w:lineRule="exact"/>
              <w:rPr>
                <w:bCs/>
                <w:color w:val="auto"/>
                <w:szCs w:val="21"/>
                <w:highlight w:val="none"/>
              </w:rPr>
            </w:pPr>
            <w:r>
              <w:rPr>
                <w:bCs/>
                <w:color w:val="auto"/>
                <w:szCs w:val="21"/>
                <w:highlight w:val="none"/>
              </w:rPr>
              <w:t>采购标的需实现的功能或者目标，为落实政府采购需满足的要求</w:t>
            </w:r>
          </w:p>
        </w:tc>
        <w:tc>
          <w:tcPr>
            <w:tcW w:w="4095" w:type="dxa"/>
            <w:vAlign w:val="center"/>
          </w:tcPr>
          <w:p w14:paraId="14861C46">
            <w:pPr>
              <w:spacing w:line="320" w:lineRule="exact"/>
              <w:rPr>
                <w:b/>
                <w:color w:val="auto"/>
                <w:szCs w:val="21"/>
                <w:highlight w:val="none"/>
              </w:rPr>
            </w:pPr>
            <w:r>
              <w:rPr>
                <w:color w:val="auto"/>
                <w:szCs w:val="21"/>
                <w:highlight w:val="none"/>
              </w:rPr>
              <w:t>为了满足宁波大学科学技术学院智慧文旅实训室建设的需求，进行本次采购。</w:t>
            </w:r>
          </w:p>
        </w:tc>
      </w:tr>
      <w:tr w14:paraId="5E8B7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5" w:type="dxa"/>
            <w:vAlign w:val="center"/>
          </w:tcPr>
          <w:p w14:paraId="6B2B56DE">
            <w:pPr>
              <w:spacing w:line="320" w:lineRule="exact"/>
              <w:jc w:val="center"/>
              <w:rPr>
                <w:b/>
                <w:color w:val="auto"/>
                <w:szCs w:val="21"/>
                <w:highlight w:val="none"/>
              </w:rPr>
            </w:pPr>
            <w:r>
              <w:rPr>
                <w:b/>
                <w:color w:val="auto"/>
                <w:szCs w:val="21"/>
                <w:highlight w:val="none"/>
              </w:rPr>
              <w:t>二</w:t>
            </w:r>
          </w:p>
        </w:tc>
        <w:tc>
          <w:tcPr>
            <w:tcW w:w="3495" w:type="dxa"/>
            <w:vAlign w:val="center"/>
          </w:tcPr>
          <w:p w14:paraId="28530BF6">
            <w:pPr>
              <w:spacing w:line="320" w:lineRule="exact"/>
              <w:rPr>
                <w:bCs/>
                <w:color w:val="auto"/>
                <w:szCs w:val="21"/>
                <w:highlight w:val="none"/>
              </w:rPr>
            </w:pPr>
            <w:r>
              <w:rPr>
                <w:bCs/>
                <w:color w:val="auto"/>
                <w:szCs w:val="21"/>
                <w:highlight w:val="none"/>
              </w:rPr>
              <w:t>采购标的需执行的国家相关标准、行业标准、地方标准或者其他标准规范</w:t>
            </w:r>
          </w:p>
        </w:tc>
        <w:tc>
          <w:tcPr>
            <w:tcW w:w="4095" w:type="dxa"/>
            <w:vAlign w:val="center"/>
          </w:tcPr>
          <w:p w14:paraId="483F45CA">
            <w:pPr>
              <w:spacing w:line="320" w:lineRule="exact"/>
              <w:rPr>
                <w:color w:val="auto"/>
                <w:szCs w:val="21"/>
                <w:highlight w:val="none"/>
              </w:rPr>
            </w:pPr>
            <w:r>
              <w:rPr>
                <w:color w:val="auto"/>
                <w:szCs w:val="21"/>
                <w:highlight w:val="none"/>
              </w:rPr>
              <w:t>由投标人提供的所有产品和服务必须符合下列规范、条例及标准，并不限于下列规范、条例及标准：</w:t>
            </w:r>
          </w:p>
          <w:p w14:paraId="0892901B">
            <w:pPr>
              <w:spacing w:line="320" w:lineRule="exact"/>
              <w:rPr>
                <w:color w:val="auto"/>
                <w:szCs w:val="21"/>
                <w:highlight w:val="none"/>
              </w:rPr>
            </w:pPr>
            <w:r>
              <w:rPr>
                <w:color w:val="auto"/>
                <w:szCs w:val="21"/>
                <w:highlight w:val="none"/>
              </w:rPr>
              <w:t>由招标人认可的有关国家权威标准。</w:t>
            </w:r>
          </w:p>
          <w:p w14:paraId="30495AB7">
            <w:pPr>
              <w:spacing w:line="320" w:lineRule="exact"/>
              <w:rPr>
                <w:b/>
                <w:color w:val="auto"/>
                <w:szCs w:val="21"/>
                <w:highlight w:val="none"/>
              </w:rPr>
            </w:pPr>
            <w:r>
              <w:rPr>
                <w:color w:val="auto"/>
                <w:szCs w:val="21"/>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p>
        </w:tc>
      </w:tr>
      <w:tr w14:paraId="3AA1FB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5" w:type="dxa"/>
            <w:vAlign w:val="center"/>
          </w:tcPr>
          <w:p w14:paraId="3B9E3C8D">
            <w:pPr>
              <w:spacing w:line="320" w:lineRule="exact"/>
              <w:jc w:val="center"/>
              <w:rPr>
                <w:b/>
                <w:color w:val="auto"/>
                <w:szCs w:val="21"/>
                <w:highlight w:val="none"/>
              </w:rPr>
            </w:pPr>
            <w:r>
              <w:rPr>
                <w:b/>
                <w:color w:val="auto"/>
                <w:szCs w:val="21"/>
                <w:highlight w:val="none"/>
              </w:rPr>
              <w:t>三</w:t>
            </w:r>
          </w:p>
        </w:tc>
        <w:tc>
          <w:tcPr>
            <w:tcW w:w="3495" w:type="dxa"/>
            <w:vAlign w:val="center"/>
          </w:tcPr>
          <w:p w14:paraId="424CCC33">
            <w:pPr>
              <w:spacing w:line="320" w:lineRule="exact"/>
              <w:rPr>
                <w:bCs/>
                <w:color w:val="auto"/>
                <w:szCs w:val="21"/>
                <w:highlight w:val="none"/>
              </w:rPr>
            </w:pPr>
            <w:r>
              <w:rPr>
                <w:bCs/>
                <w:color w:val="auto"/>
                <w:szCs w:val="21"/>
                <w:highlight w:val="none"/>
              </w:rPr>
              <w:t>采购标的需满足的质量、安全、技术规格、物理特性等要求</w:t>
            </w:r>
          </w:p>
        </w:tc>
        <w:tc>
          <w:tcPr>
            <w:tcW w:w="4095" w:type="dxa"/>
            <w:vAlign w:val="center"/>
          </w:tcPr>
          <w:p w14:paraId="7CF6921A">
            <w:pPr>
              <w:spacing w:line="320" w:lineRule="exact"/>
              <w:rPr>
                <w:b/>
                <w:color w:val="auto"/>
                <w:szCs w:val="21"/>
                <w:highlight w:val="none"/>
              </w:rPr>
            </w:pPr>
            <w:r>
              <w:rPr>
                <w:color w:val="auto"/>
                <w:szCs w:val="21"/>
                <w:highlight w:val="none"/>
              </w:rPr>
              <w:t>详见</w:t>
            </w:r>
            <w:r>
              <w:rPr>
                <w:bCs/>
                <w:color w:val="auto"/>
                <w:szCs w:val="21"/>
                <w:highlight w:val="none"/>
              </w:rPr>
              <w:t>技术需求</w:t>
            </w:r>
          </w:p>
        </w:tc>
      </w:tr>
      <w:tr w14:paraId="7580C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5" w:type="dxa"/>
            <w:vAlign w:val="center"/>
          </w:tcPr>
          <w:p w14:paraId="7482ECE3">
            <w:pPr>
              <w:spacing w:line="320" w:lineRule="exact"/>
              <w:jc w:val="center"/>
              <w:rPr>
                <w:bCs/>
                <w:color w:val="auto"/>
                <w:szCs w:val="21"/>
                <w:highlight w:val="none"/>
              </w:rPr>
            </w:pPr>
            <w:r>
              <w:rPr>
                <w:bCs/>
                <w:color w:val="auto"/>
                <w:szCs w:val="21"/>
                <w:highlight w:val="none"/>
              </w:rPr>
              <w:t>四</w:t>
            </w:r>
          </w:p>
        </w:tc>
        <w:tc>
          <w:tcPr>
            <w:tcW w:w="3495" w:type="dxa"/>
            <w:vAlign w:val="center"/>
          </w:tcPr>
          <w:p w14:paraId="457C72BD">
            <w:pPr>
              <w:spacing w:line="320" w:lineRule="exact"/>
              <w:rPr>
                <w:bCs/>
                <w:color w:val="auto"/>
                <w:szCs w:val="21"/>
                <w:highlight w:val="none"/>
              </w:rPr>
            </w:pPr>
            <w:r>
              <w:rPr>
                <w:bCs/>
                <w:color w:val="auto"/>
                <w:szCs w:val="21"/>
                <w:highlight w:val="none"/>
              </w:rPr>
              <w:t>采购标的的数量、采购项目交付或者实施的时间和地点</w:t>
            </w:r>
          </w:p>
        </w:tc>
        <w:tc>
          <w:tcPr>
            <w:tcW w:w="4095" w:type="dxa"/>
            <w:vAlign w:val="center"/>
          </w:tcPr>
          <w:p w14:paraId="591F0227">
            <w:pPr>
              <w:spacing w:line="320" w:lineRule="exact"/>
              <w:rPr>
                <w:b/>
                <w:color w:val="auto"/>
                <w:szCs w:val="21"/>
                <w:highlight w:val="none"/>
              </w:rPr>
            </w:pPr>
            <w:r>
              <w:rPr>
                <w:color w:val="auto"/>
                <w:szCs w:val="21"/>
                <w:highlight w:val="none"/>
              </w:rPr>
              <w:t>详见</w:t>
            </w:r>
            <w:r>
              <w:rPr>
                <w:bCs/>
                <w:color w:val="auto"/>
                <w:szCs w:val="21"/>
                <w:highlight w:val="none"/>
              </w:rPr>
              <w:t>商务需求</w:t>
            </w:r>
          </w:p>
        </w:tc>
      </w:tr>
      <w:tr w14:paraId="12539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5" w:type="dxa"/>
            <w:vAlign w:val="center"/>
          </w:tcPr>
          <w:p w14:paraId="0F1AF39F">
            <w:pPr>
              <w:spacing w:line="320" w:lineRule="exact"/>
              <w:jc w:val="center"/>
              <w:rPr>
                <w:bCs/>
                <w:color w:val="auto"/>
                <w:szCs w:val="21"/>
                <w:highlight w:val="none"/>
              </w:rPr>
            </w:pPr>
            <w:r>
              <w:rPr>
                <w:bCs/>
                <w:color w:val="auto"/>
                <w:szCs w:val="21"/>
                <w:highlight w:val="none"/>
              </w:rPr>
              <w:t>五</w:t>
            </w:r>
          </w:p>
        </w:tc>
        <w:tc>
          <w:tcPr>
            <w:tcW w:w="3495" w:type="dxa"/>
            <w:vAlign w:val="center"/>
          </w:tcPr>
          <w:p w14:paraId="70BB43F7">
            <w:pPr>
              <w:spacing w:line="320" w:lineRule="exact"/>
              <w:rPr>
                <w:bCs/>
                <w:color w:val="auto"/>
                <w:szCs w:val="21"/>
                <w:highlight w:val="none"/>
              </w:rPr>
            </w:pPr>
            <w:r>
              <w:rPr>
                <w:bCs/>
                <w:color w:val="auto"/>
                <w:szCs w:val="21"/>
                <w:highlight w:val="none"/>
              </w:rPr>
              <w:t>采购标的需满足的服务标准、期限、效率等要求</w:t>
            </w:r>
          </w:p>
        </w:tc>
        <w:tc>
          <w:tcPr>
            <w:tcW w:w="4095" w:type="dxa"/>
            <w:vAlign w:val="center"/>
          </w:tcPr>
          <w:p w14:paraId="288F8761">
            <w:pPr>
              <w:spacing w:line="320" w:lineRule="exact"/>
              <w:rPr>
                <w:b/>
                <w:color w:val="auto"/>
                <w:szCs w:val="21"/>
                <w:highlight w:val="none"/>
              </w:rPr>
            </w:pPr>
            <w:r>
              <w:rPr>
                <w:color w:val="auto"/>
                <w:szCs w:val="21"/>
                <w:highlight w:val="none"/>
              </w:rPr>
              <w:t>详见</w:t>
            </w:r>
            <w:r>
              <w:rPr>
                <w:bCs/>
                <w:color w:val="auto"/>
                <w:szCs w:val="21"/>
                <w:highlight w:val="none"/>
              </w:rPr>
              <w:t>商务需求</w:t>
            </w:r>
          </w:p>
        </w:tc>
      </w:tr>
      <w:tr w14:paraId="69CF23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5" w:type="dxa"/>
            <w:vAlign w:val="center"/>
          </w:tcPr>
          <w:p w14:paraId="787043F1">
            <w:pPr>
              <w:spacing w:line="320" w:lineRule="exact"/>
              <w:jc w:val="center"/>
              <w:rPr>
                <w:bCs/>
                <w:color w:val="auto"/>
                <w:szCs w:val="21"/>
                <w:highlight w:val="none"/>
              </w:rPr>
            </w:pPr>
            <w:r>
              <w:rPr>
                <w:bCs/>
                <w:color w:val="auto"/>
                <w:szCs w:val="21"/>
                <w:highlight w:val="none"/>
              </w:rPr>
              <w:t>六</w:t>
            </w:r>
          </w:p>
        </w:tc>
        <w:tc>
          <w:tcPr>
            <w:tcW w:w="3495" w:type="dxa"/>
            <w:vAlign w:val="center"/>
          </w:tcPr>
          <w:p w14:paraId="135260D4">
            <w:pPr>
              <w:spacing w:line="320" w:lineRule="exact"/>
              <w:rPr>
                <w:bCs/>
                <w:color w:val="auto"/>
                <w:szCs w:val="21"/>
                <w:highlight w:val="none"/>
              </w:rPr>
            </w:pPr>
            <w:r>
              <w:rPr>
                <w:bCs/>
                <w:color w:val="auto"/>
                <w:szCs w:val="21"/>
                <w:highlight w:val="none"/>
              </w:rPr>
              <w:t>采购标的的验收标准</w:t>
            </w:r>
          </w:p>
        </w:tc>
        <w:tc>
          <w:tcPr>
            <w:tcW w:w="4095" w:type="dxa"/>
            <w:vAlign w:val="center"/>
          </w:tcPr>
          <w:p w14:paraId="153B34A8">
            <w:pPr>
              <w:spacing w:line="320" w:lineRule="exact"/>
              <w:rPr>
                <w:bCs/>
                <w:color w:val="auto"/>
                <w:szCs w:val="21"/>
                <w:highlight w:val="none"/>
              </w:rPr>
            </w:pPr>
            <w:r>
              <w:rPr>
                <w:color w:val="auto"/>
                <w:szCs w:val="21"/>
                <w:highlight w:val="none"/>
              </w:rPr>
              <w:t>详见</w:t>
            </w:r>
            <w:r>
              <w:rPr>
                <w:bCs/>
                <w:color w:val="auto"/>
                <w:szCs w:val="21"/>
                <w:highlight w:val="none"/>
              </w:rPr>
              <w:t>技术需求</w:t>
            </w:r>
          </w:p>
        </w:tc>
      </w:tr>
      <w:tr w14:paraId="1F43B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5" w:type="dxa"/>
            <w:vAlign w:val="center"/>
          </w:tcPr>
          <w:p w14:paraId="7EAD6593">
            <w:pPr>
              <w:spacing w:line="320" w:lineRule="exact"/>
              <w:jc w:val="center"/>
              <w:rPr>
                <w:bCs/>
                <w:color w:val="auto"/>
                <w:szCs w:val="21"/>
                <w:highlight w:val="none"/>
              </w:rPr>
            </w:pPr>
            <w:r>
              <w:rPr>
                <w:bCs/>
                <w:color w:val="auto"/>
                <w:szCs w:val="21"/>
                <w:highlight w:val="none"/>
              </w:rPr>
              <w:t>七</w:t>
            </w:r>
          </w:p>
        </w:tc>
        <w:tc>
          <w:tcPr>
            <w:tcW w:w="3495" w:type="dxa"/>
            <w:vAlign w:val="center"/>
          </w:tcPr>
          <w:p w14:paraId="5C4EEF52">
            <w:pPr>
              <w:spacing w:line="320" w:lineRule="exact"/>
              <w:rPr>
                <w:bCs/>
                <w:color w:val="auto"/>
                <w:szCs w:val="21"/>
                <w:highlight w:val="none"/>
              </w:rPr>
            </w:pPr>
            <w:r>
              <w:rPr>
                <w:bCs/>
                <w:color w:val="auto"/>
                <w:szCs w:val="21"/>
                <w:highlight w:val="none"/>
              </w:rPr>
              <w:t>采购标的的其他技术、服务等要求</w:t>
            </w:r>
          </w:p>
        </w:tc>
        <w:tc>
          <w:tcPr>
            <w:tcW w:w="4095" w:type="dxa"/>
            <w:vAlign w:val="center"/>
          </w:tcPr>
          <w:p w14:paraId="40527A6B">
            <w:pPr>
              <w:spacing w:line="320" w:lineRule="exact"/>
              <w:rPr>
                <w:bCs/>
                <w:color w:val="auto"/>
                <w:szCs w:val="21"/>
                <w:highlight w:val="none"/>
              </w:rPr>
            </w:pPr>
            <w:r>
              <w:rPr>
                <w:color w:val="auto"/>
                <w:szCs w:val="21"/>
                <w:highlight w:val="none"/>
              </w:rPr>
              <w:t>详见</w:t>
            </w:r>
            <w:r>
              <w:rPr>
                <w:bCs/>
                <w:color w:val="auto"/>
                <w:szCs w:val="21"/>
                <w:highlight w:val="none"/>
              </w:rPr>
              <w:t>技术需求</w:t>
            </w:r>
          </w:p>
        </w:tc>
      </w:tr>
      <w:tr w14:paraId="0AF96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705" w:type="dxa"/>
            <w:vAlign w:val="center"/>
          </w:tcPr>
          <w:p w14:paraId="6A3BE69D">
            <w:pPr>
              <w:spacing w:line="320" w:lineRule="exact"/>
              <w:jc w:val="center"/>
              <w:rPr>
                <w:bCs/>
                <w:color w:val="auto"/>
                <w:szCs w:val="21"/>
                <w:highlight w:val="none"/>
              </w:rPr>
            </w:pPr>
            <w:r>
              <w:rPr>
                <w:bCs/>
                <w:color w:val="auto"/>
                <w:szCs w:val="21"/>
                <w:highlight w:val="none"/>
              </w:rPr>
              <w:t>八</w:t>
            </w:r>
          </w:p>
        </w:tc>
        <w:tc>
          <w:tcPr>
            <w:tcW w:w="3495" w:type="dxa"/>
            <w:vAlign w:val="center"/>
          </w:tcPr>
          <w:p w14:paraId="60C3E7C5">
            <w:pPr>
              <w:spacing w:line="320" w:lineRule="exact"/>
              <w:rPr>
                <w:bCs/>
                <w:color w:val="auto"/>
                <w:szCs w:val="21"/>
                <w:highlight w:val="none"/>
              </w:rPr>
            </w:pPr>
            <w:r>
              <w:rPr>
                <w:bCs/>
                <w:color w:val="auto"/>
                <w:szCs w:val="21"/>
                <w:highlight w:val="none"/>
              </w:rPr>
              <w:t>核心产品</w:t>
            </w:r>
          </w:p>
        </w:tc>
        <w:tc>
          <w:tcPr>
            <w:tcW w:w="4095" w:type="dxa"/>
            <w:vAlign w:val="center"/>
          </w:tcPr>
          <w:p w14:paraId="14F865B2">
            <w:pPr>
              <w:spacing w:line="320" w:lineRule="exact"/>
              <w:rPr>
                <w:bCs/>
                <w:color w:val="auto"/>
                <w:szCs w:val="21"/>
                <w:highlight w:val="none"/>
              </w:rPr>
            </w:pPr>
            <w:r>
              <w:rPr>
                <w:rFonts w:hint="eastAsia"/>
                <w:color w:val="auto"/>
                <w:szCs w:val="21"/>
                <w:highlight w:val="none"/>
              </w:rPr>
              <w:t>党建VR学习机</w:t>
            </w:r>
          </w:p>
        </w:tc>
      </w:tr>
      <w:tr w14:paraId="3ECA38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05" w:type="dxa"/>
            <w:vAlign w:val="center"/>
          </w:tcPr>
          <w:p w14:paraId="449CCD22">
            <w:pPr>
              <w:spacing w:line="320" w:lineRule="exact"/>
              <w:jc w:val="center"/>
              <w:rPr>
                <w:bCs/>
                <w:color w:val="auto"/>
                <w:szCs w:val="21"/>
                <w:highlight w:val="none"/>
              </w:rPr>
            </w:pPr>
            <w:r>
              <w:rPr>
                <w:bCs/>
                <w:color w:val="auto"/>
                <w:szCs w:val="21"/>
                <w:highlight w:val="none"/>
              </w:rPr>
              <w:t>九</w:t>
            </w:r>
          </w:p>
        </w:tc>
        <w:tc>
          <w:tcPr>
            <w:tcW w:w="3495" w:type="dxa"/>
            <w:vAlign w:val="center"/>
          </w:tcPr>
          <w:p w14:paraId="37B46AF1">
            <w:pPr>
              <w:spacing w:line="320" w:lineRule="exact"/>
              <w:rPr>
                <w:bCs/>
                <w:color w:val="auto"/>
                <w:szCs w:val="21"/>
                <w:highlight w:val="none"/>
              </w:rPr>
            </w:pPr>
            <w:r>
              <w:rPr>
                <w:color w:val="auto"/>
                <w:szCs w:val="21"/>
                <w:highlight w:val="none"/>
              </w:rPr>
              <w:t>现场踏勘</w:t>
            </w:r>
          </w:p>
        </w:tc>
        <w:tc>
          <w:tcPr>
            <w:tcW w:w="4095" w:type="dxa"/>
            <w:vAlign w:val="center"/>
          </w:tcPr>
          <w:p w14:paraId="6807EE7C">
            <w:pPr>
              <w:spacing w:line="320" w:lineRule="exact"/>
              <w:rPr>
                <w:color w:val="auto"/>
                <w:szCs w:val="21"/>
                <w:highlight w:val="none"/>
              </w:rPr>
            </w:pPr>
            <w:r>
              <w:rPr>
                <w:color w:val="auto"/>
                <w:szCs w:val="21"/>
                <w:highlight w:val="none"/>
              </w:rPr>
              <w:sym w:font="Wingdings" w:char="00FE"/>
            </w:r>
            <w:r>
              <w:rPr>
                <w:color w:val="auto"/>
                <w:szCs w:val="21"/>
                <w:highlight w:val="none"/>
              </w:rPr>
              <w:t>不组织，自行前往踏勘项目现场，风险自担；</w:t>
            </w:r>
          </w:p>
          <w:p w14:paraId="77725E41">
            <w:pPr>
              <w:spacing w:line="320" w:lineRule="exact"/>
              <w:rPr>
                <w:color w:val="auto"/>
                <w:szCs w:val="21"/>
                <w:highlight w:val="none"/>
              </w:rPr>
            </w:pPr>
            <w:r>
              <w:rPr>
                <w:color w:val="auto"/>
                <w:szCs w:val="21"/>
                <w:highlight w:val="none"/>
              </w:rPr>
              <w:sym w:font="Wingdings" w:char="00A8"/>
            </w:r>
            <w:r>
              <w:rPr>
                <w:color w:val="auto"/>
                <w:szCs w:val="21"/>
                <w:highlight w:val="none"/>
              </w:rPr>
              <w:t>组织，踏勘时间：2024年   月   日09:30(北京时间)；踏勘集中地点：</w:t>
            </w:r>
          </w:p>
        </w:tc>
      </w:tr>
      <w:tr w14:paraId="1C9D9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705" w:type="dxa"/>
            <w:vAlign w:val="center"/>
          </w:tcPr>
          <w:p w14:paraId="0284DAB6">
            <w:pPr>
              <w:spacing w:line="320" w:lineRule="exact"/>
              <w:jc w:val="center"/>
              <w:rPr>
                <w:bCs/>
                <w:color w:val="auto"/>
                <w:szCs w:val="21"/>
                <w:highlight w:val="none"/>
              </w:rPr>
            </w:pPr>
            <w:r>
              <w:rPr>
                <w:bCs/>
                <w:color w:val="auto"/>
                <w:szCs w:val="21"/>
                <w:highlight w:val="none"/>
              </w:rPr>
              <w:t>十</w:t>
            </w:r>
          </w:p>
        </w:tc>
        <w:tc>
          <w:tcPr>
            <w:tcW w:w="3495" w:type="dxa"/>
            <w:vAlign w:val="center"/>
          </w:tcPr>
          <w:p w14:paraId="2C306616">
            <w:pPr>
              <w:spacing w:line="320" w:lineRule="exact"/>
              <w:rPr>
                <w:color w:val="auto"/>
                <w:szCs w:val="21"/>
                <w:highlight w:val="none"/>
              </w:rPr>
            </w:pPr>
            <w:r>
              <w:rPr>
                <w:color w:val="auto"/>
                <w:szCs w:val="21"/>
                <w:highlight w:val="none"/>
              </w:rPr>
              <w:t>样品要求</w:t>
            </w:r>
          </w:p>
        </w:tc>
        <w:tc>
          <w:tcPr>
            <w:tcW w:w="4095" w:type="dxa"/>
            <w:vAlign w:val="center"/>
          </w:tcPr>
          <w:p w14:paraId="2259E59B">
            <w:pPr>
              <w:spacing w:line="320" w:lineRule="exact"/>
              <w:rPr>
                <w:bCs/>
                <w:color w:val="auto"/>
                <w:szCs w:val="21"/>
                <w:highlight w:val="none"/>
              </w:rPr>
            </w:pPr>
            <w:r>
              <w:rPr>
                <w:bCs/>
                <w:color w:val="auto"/>
                <w:szCs w:val="21"/>
                <w:highlight w:val="none"/>
              </w:rPr>
              <w:t>无</w:t>
            </w:r>
          </w:p>
        </w:tc>
      </w:tr>
      <w:tr w14:paraId="1DC4A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705" w:type="dxa"/>
            <w:vAlign w:val="center"/>
          </w:tcPr>
          <w:p w14:paraId="72692F5C">
            <w:pPr>
              <w:spacing w:line="320" w:lineRule="exact"/>
              <w:jc w:val="center"/>
              <w:rPr>
                <w:bCs/>
                <w:color w:val="auto"/>
                <w:szCs w:val="21"/>
                <w:highlight w:val="none"/>
              </w:rPr>
            </w:pPr>
            <w:r>
              <w:rPr>
                <w:bCs/>
                <w:color w:val="auto"/>
                <w:szCs w:val="21"/>
                <w:highlight w:val="none"/>
              </w:rPr>
              <w:t>十一</w:t>
            </w:r>
          </w:p>
        </w:tc>
        <w:tc>
          <w:tcPr>
            <w:tcW w:w="3495" w:type="dxa"/>
            <w:vAlign w:val="center"/>
          </w:tcPr>
          <w:p w14:paraId="5FBEAFD5">
            <w:pPr>
              <w:spacing w:line="320" w:lineRule="exact"/>
              <w:rPr>
                <w:color w:val="auto"/>
                <w:szCs w:val="21"/>
                <w:highlight w:val="none"/>
              </w:rPr>
            </w:pPr>
            <w:r>
              <w:rPr>
                <w:color w:val="auto"/>
                <w:highlight w:val="none"/>
              </w:rPr>
              <w:t>现场演示要求</w:t>
            </w:r>
          </w:p>
        </w:tc>
        <w:tc>
          <w:tcPr>
            <w:tcW w:w="4095" w:type="dxa"/>
            <w:vAlign w:val="center"/>
          </w:tcPr>
          <w:p w14:paraId="3F434F00">
            <w:pPr>
              <w:spacing w:line="320" w:lineRule="exact"/>
              <w:rPr>
                <w:bCs/>
                <w:color w:val="auto"/>
                <w:szCs w:val="21"/>
                <w:highlight w:val="none"/>
              </w:rPr>
            </w:pPr>
            <w:r>
              <w:rPr>
                <w:bCs/>
                <w:color w:val="auto"/>
                <w:szCs w:val="21"/>
                <w:highlight w:val="none"/>
              </w:rPr>
              <w:t>有</w:t>
            </w:r>
          </w:p>
        </w:tc>
      </w:tr>
    </w:tbl>
    <w:p w14:paraId="702C3357">
      <w:pPr>
        <w:rPr>
          <w:color w:val="auto"/>
          <w:highlight w:val="none"/>
        </w:rPr>
      </w:pPr>
    </w:p>
    <w:p w14:paraId="3C4A8703">
      <w:pPr>
        <w:pStyle w:val="5"/>
        <w:numPr>
          <w:ilvl w:val="0"/>
          <w:numId w:val="0"/>
        </w:numPr>
        <w:spacing w:before="120" w:beforeLines="50" w:after="0" w:line="360" w:lineRule="auto"/>
        <w:jc w:val="center"/>
        <w:rPr>
          <w:rFonts w:ascii="Times New Roman" w:hAnsi="Times New Roman" w:eastAsia="宋体"/>
          <w:color w:val="auto"/>
          <w:sz w:val="21"/>
          <w:szCs w:val="21"/>
          <w:highlight w:val="none"/>
        </w:rPr>
      </w:pPr>
      <w:r>
        <w:rPr>
          <w:rFonts w:ascii="Times New Roman" w:hAnsi="Times New Roman" w:eastAsia="宋体"/>
          <w:color w:val="auto"/>
          <w:highlight w:val="none"/>
        </w:rPr>
        <w:br w:type="page"/>
      </w:r>
      <w:bookmarkEnd w:id="6"/>
      <w:bookmarkEnd w:id="7"/>
      <w:bookmarkEnd w:id="8"/>
      <w:bookmarkEnd w:id="9"/>
      <w:bookmarkEnd w:id="10"/>
      <w:bookmarkEnd w:id="11"/>
      <w:bookmarkStart w:id="12" w:name="_Toc100932107"/>
      <w:bookmarkStart w:id="13" w:name="_Toc460857893"/>
      <w:bookmarkStart w:id="14" w:name="_Toc50367730"/>
      <w:bookmarkStart w:id="15" w:name="_Toc460857894"/>
      <w:r>
        <w:rPr>
          <w:rFonts w:ascii="Times New Roman" w:hAnsi="Times New Roman" w:eastAsia="宋体"/>
          <w:color w:val="auto"/>
          <w:sz w:val="21"/>
          <w:szCs w:val="21"/>
          <w:highlight w:val="none"/>
        </w:rPr>
        <w:t>一、商务需求</w:t>
      </w:r>
      <w:bookmarkEnd w:id="12"/>
      <w:bookmarkEnd w:id="13"/>
    </w:p>
    <w:tbl>
      <w:tblPr>
        <w:tblStyle w:val="3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3"/>
        <w:gridCol w:w="7136"/>
      </w:tblGrid>
      <w:tr w14:paraId="5F35B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53" w:hRule="atLeast"/>
          <w:jc w:val="center"/>
        </w:trPr>
        <w:tc>
          <w:tcPr>
            <w:tcW w:w="1863" w:type="dxa"/>
            <w:vAlign w:val="center"/>
          </w:tcPr>
          <w:p w14:paraId="7C34FBE5">
            <w:pPr>
              <w:spacing w:line="400" w:lineRule="exact"/>
              <w:jc w:val="center"/>
              <w:rPr>
                <w:color w:val="auto"/>
                <w:szCs w:val="21"/>
                <w:highlight w:val="none"/>
              </w:rPr>
            </w:pPr>
            <w:bookmarkStart w:id="16" w:name="_Toc460416593"/>
            <w:bookmarkStart w:id="17" w:name="_Toc460416642"/>
            <w:bookmarkStart w:id="18" w:name="_Toc460416338"/>
            <w:r>
              <w:rPr>
                <w:bCs/>
                <w:color w:val="auto"/>
                <w:szCs w:val="21"/>
                <w:highlight w:val="none"/>
              </w:rPr>
              <w:t>采购标的的数量</w:t>
            </w:r>
          </w:p>
        </w:tc>
        <w:tc>
          <w:tcPr>
            <w:tcW w:w="7136" w:type="dxa"/>
            <w:vAlign w:val="center"/>
          </w:tcPr>
          <w:p w14:paraId="6A4EA9D0">
            <w:pPr>
              <w:spacing w:line="400" w:lineRule="exact"/>
              <w:rPr>
                <w:bCs/>
                <w:color w:val="auto"/>
                <w:kern w:val="0"/>
                <w:szCs w:val="21"/>
                <w:highlight w:val="none"/>
              </w:rPr>
            </w:pPr>
            <w:r>
              <w:rPr>
                <w:bCs/>
                <w:color w:val="auto"/>
                <w:szCs w:val="21"/>
                <w:highlight w:val="none"/>
              </w:rPr>
              <w:t>宁波大学科学技术学院智慧文旅实训室建设项目</w:t>
            </w:r>
            <w:r>
              <w:rPr>
                <w:color w:val="auto"/>
                <w:szCs w:val="21"/>
                <w:highlight w:val="none"/>
              </w:rPr>
              <w:t>/</w:t>
            </w:r>
            <w:r>
              <w:rPr>
                <w:bCs/>
                <w:color w:val="auto"/>
                <w:szCs w:val="21"/>
                <w:highlight w:val="none"/>
              </w:rPr>
              <w:t>1项</w:t>
            </w:r>
          </w:p>
        </w:tc>
      </w:tr>
      <w:tr w14:paraId="7A4BA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jc w:val="center"/>
        </w:trPr>
        <w:tc>
          <w:tcPr>
            <w:tcW w:w="1863" w:type="dxa"/>
            <w:vAlign w:val="center"/>
          </w:tcPr>
          <w:p w14:paraId="7FB92717">
            <w:pPr>
              <w:spacing w:line="400" w:lineRule="exact"/>
              <w:jc w:val="center"/>
              <w:rPr>
                <w:color w:val="auto"/>
                <w:szCs w:val="21"/>
                <w:highlight w:val="none"/>
              </w:rPr>
            </w:pPr>
            <w:r>
              <w:rPr>
                <w:color w:val="auto"/>
                <w:szCs w:val="21"/>
                <w:highlight w:val="none"/>
              </w:rPr>
              <w:t>交货时间及地点</w:t>
            </w:r>
          </w:p>
        </w:tc>
        <w:tc>
          <w:tcPr>
            <w:tcW w:w="7136" w:type="dxa"/>
            <w:vAlign w:val="center"/>
          </w:tcPr>
          <w:p w14:paraId="1A570969">
            <w:pPr>
              <w:spacing w:line="400" w:lineRule="exact"/>
              <w:rPr>
                <w:color w:val="auto"/>
                <w:szCs w:val="21"/>
                <w:highlight w:val="none"/>
              </w:rPr>
            </w:pPr>
            <w:r>
              <w:rPr>
                <w:color w:val="auto"/>
                <w:szCs w:val="21"/>
                <w:highlight w:val="none"/>
              </w:rPr>
              <w:t>交货期：</w:t>
            </w:r>
            <w:r>
              <w:rPr>
                <w:bCs/>
                <w:color w:val="auto"/>
                <w:highlight w:val="none"/>
              </w:rPr>
              <w:t>合同签订后</w:t>
            </w:r>
            <w:r>
              <w:rPr>
                <w:rFonts w:hint="eastAsia"/>
                <w:bCs/>
                <w:color w:val="auto"/>
                <w:highlight w:val="none"/>
                <w:lang w:val="en-US" w:eastAsia="zh-CN"/>
              </w:rPr>
              <w:t>60</w:t>
            </w:r>
            <w:r>
              <w:rPr>
                <w:bCs/>
                <w:color w:val="auto"/>
                <w:highlight w:val="none"/>
              </w:rPr>
              <w:t>天内完成所有</w:t>
            </w:r>
            <w:r>
              <w:rPr>
                <w:bCs/>
                <w:color w:val="auto"/>
                <w:szCs w:val="21"/>
                <w:highlight w:val="none"/>
              </w:rPr>
              <w:t>设备供货、安装、调试</w:t>
            </w:r>
            <w:r>
              <w:rPr>
                <w:bCs/>
                <w:color w:val="auto"/>
                <w:highlight w:val="none"/>
              </w:rPr>
              <w:t>。</w:t>
            </w:r>
          </w:p>
          <w:p w14:paraId="547989D6">
            <w:pPr>
              <w:spacing w:line="400" w:lineRule="exact"/>
              <w:rPr>
                <w:color w:val="auto"/>
                <w:szCs w:val="21"/>
                <w:highlight w:val="none"/>
              </w:rPr>
            </w:pPr>
            <w:r>
              <w:rPr>
                <w:color w:val="auto"/>
                <w:szCs w:val="21"/>
                <w:highlight w:val="none"/>
              </w:rPr>
              <w:t>地点：宁波大学科学技术学院（采购人指定地点）。</w:t>
            </w:r>
          </w:p>
        </w:tc>
      </w:tr>
      <w:tr w14:paraId="119C9C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jc w:val="center"/>
        </w:trPr>
        <w:tc>
          <w:tcPr>
            <w:tcW w:w="1863" w:type="dxa"/>
            <w:vAlign w:val="center"/>
          </w:tcPr>
          <w:p w14:paraId="4C16475A">
            <w:pPr>
              <w:spacing w:line="400" w:lineRule="exact"/>
              <w:jc w:val="center"/>
              <w:rPr>
                <w:color w:val="auto"/>
                <w:szCs w:val="21"/>
                <w:highlight w:val="none"/>
              </w:rPr>
            </w:pPr>
            <w:r>
              <w:rPr>
                <w:color w:val="auto"/>
                <w:szCs w:val="21"/>
                <w:highlight w:val="none"/>
              </w:rPr>
              <w:t>付款条件</w:t>
            </w:r>
          </w:p>
        </w:tc>
        <w:tc>
          <w:tcPr>
            <w:tcW w:w="7136" w:type="dxa"/>
            <w:vAlign w:val="center"/>
          </w:tcPr>
          <w:p w14:paraId="576782B7">
            <w:pPr>
              <w:spacing w:line="400" w:lineRule="exact"/>
              <w:rPr>
                <w:bCs/>
                <w:color w:val="auto"/>
                <w:highlight w:val="none"/>
              </w:rPr>
            </w:pPr>
            <w:r>
              <w:rPr>
                <w:color w:val="auto"/>
                <w:szCs w:val="21"/>
                <w:highlight w:val="none"/>
              </w:rPr>
              <w:t>合同签订且具备实施条件后7个工作日内，采购人支付合同金额的</w:t>
            </w:r>
            <w:r>
              <w:rPr>
                <w:rFonts w:hint="eastAsia"/>
                <w:color w:val="auto"/>
                <w:szCs w:val="21"/>
                <w:highlight w:val="none"/>
              </w:rPr>
              <w:t>40</w:t>
            </w:r>
            <w:r>
              <w:rPr>
                <w:color w:val="auto"/>
                <w:szCs w:val="21"/>
                <w:highlight w:val="none"/>
              </w:rPr>
              <w:t>%作为预付款，完工经验收合格</w:t>
            </w:r>
            <w:r>
              <w:rPr>
                <w:rFonts w:hint="eastAsia"/>
                <w:color w:val="auto"/>
                <w:szCs w:val="21"/>
                <w:highlight w:val="none"/>
                <w:lang w:val="en-US" w:eastAsia="zh-CN"/>
              </w:rPr>
              <w:t>并收到发票后7个工作日内</w:t>
            </w:r>
            <w:r>
              <w:rPr>
                <w:color w:val="auto"/>
                <w:szCs w:val="21"/>
                <w:highlight w:val="none"/>
              </w:rPr>
              <w:t>，采购人支付合同金额的</w:t>
            </w:r>
            <w:r>
              <w:rPr>
                <w:rFonts w:hint="eastAsia"/>
                <w:color w:val="auto"/>
                <w:szCs w:val="21"/>
                <w:highlight w:val="none"/>
                <w:lang w:val="en-US" w:eastAsia="zh-CN"/>
              </w:rPr>
              <w:t>60</w:t>
            </w:r>
            <w:r>
              <w:rPr>
                <w:color w:val="auto"/>
                <w:szCs w:val="21"/>
                <w:highlight w:val="none"/>
              </w:rPr>
              <w:t>%。</w:t>
            </w:r>
          </w:p>
        </w:tc>
      </w:tr>
      <w:tr w14:paraId="348C3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4" w:hRule="atLeast"/>
          <w:jc w:val="center"/>
        </w:trPr>
        <w:tc>
          <w:tcPr>
            <w:tcW w:w="1863" w:type="dxa"/>
            <w:vAlign w:val="center"/>
          </w:tcPr>
          <w:p w14:paraId="17825AFF">
            <w:pPr>
              <w:spacing w:line="400" w:lineRule="exact"/>
              <w:jc w:val="center"/>
              <w:rPr>
                <w:color w:val="auto"/>
                <w:szCs w:val="21"/>
                <w:highlight w:val="none"/>
              </w:rPr>
            </w:pPr>
            <w:r>
              <w:rPr>
                <w:color w:val="auto"/>
                <w:szCs w:val="21"/>
                <w:highlight w:val="none"/>
              </w:rPr>
              <w:t>备品备件及耗材等要求</w:t>
            </w:r>
          </w:p>
        </w:tc>
        <w:tc>
          <w:tcPr>
            <w:tcW w:w="7136" w:type="dxa"/>
            <w:vAlign w:val="center"/>
          </w:tcPr>
          <w:p w14:paraId="3F7D08E4">
            <w:pPr>
              <w:spacing w:line="400" w:lineRule="exact"/>
              <w:rPr>
                <w:color w:val="auto"/>
                <w:szCs w:val="21"/>
                <w:highlight w:val="none"/>
              </w:rPr>
            </w:pPr>
            <w:r>
              <w:rPr>
                <w:color w:val="auto"/>
                <w:highlight w:val="none"/>
              </w:rPr>
              <w:t>免费提供质保期内备品备件；投标人对主要设备须提供足够的备品备件、附件和耗材并保证是原厂生产，以满足设备正常运行的需要。</w:t>
            </w:r>
          </w:p>
        </w:tc>
      </w:tr>
      <w:tr w14:paraId="39480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1863" w:type="dxa"/>
            <w:vAlign w:val="center"/>
          </w:tcPr>
          <w:p w14:paraId="42F2B0D5">
            <w:pPr>
              <w:spacing w:line="400" w:lineRule="exact"/>
              <w:jc w:val="center"/>
              <w:rPr>
                <w:color w:val="auto"/>
                <w:szCs w:val="21"/>
                <w:highlight w:val="none"/>
              </w:rPr>
            </w:pPr>
            <w:r>
              <w:rPr>
                <w:color w:val="auto"/>
                <w:szCs w:val="21"/>
                <w:highlight w:val="none"/>
              </w:rPr>
              <w:t>质保期</w:t>
            </w:r>
          </w:p>
        </w:tc>
        <w:tc>
          <w:tcPr>
            <w:tcW w:w="7136" w:type="dxa"/>
            <w:vAlign w:val="center"/>
          </w:tcPr>
          <w:p w14:paraId="2D5B3B2C">
            <w:pPr>
              <w:spacing w:line="400" w:lineRule="exact"/>
              <w:rPr>
                <w:color w:val="auto"/>
                <w:szCs w:val="21"/>
                <w:highlight w:val="none"/>
              </w:rPr>
            </w:pPr>
            <w:r>
              <w:rPr>
                <w:color w:val="auto"/>
                <w:highlight w:val="none"/>
              </w:rPr>
              <w:t>1、质量保证期（或质保期限）：</w:t>
            </w:r>
            <w:r>
              <w:rPr>
                <w:rFonts w:hint="eastAsia"/>
                <w:color w:val="auto"/>
                <w:highlight w:val="none"/>
              </w:rPr>
              <w:t>3年。包括</w:t>
            </w:r>
            <w:r>
              <w:rPr>
                <w:color w:val="auto"/>
                <w:highlight w:val="none"/>
              </w:rPr>
              <w:t>硬件部分3年免费质保</w:t>
            </w:r>
            <w:r>
              <w:rPr>
                <w:rFonts w:hint="eastAsia"/>
                <w:color w:val="auto"/>
                <w:highlight w:val="none"/>
              </w:rPr>
              <w:t>、</w:t>
            </w:r>
            <w:r>
              <w:rPr>
                <w:color w:val="auto"/>
                <w:highlight w:val="none"/>
              </w:rPr>
              <w:t>软件部分3年免费质保</w:t>
            </w:r>
            <w:r>
              <w:rPr>
                <w:rFonts w:hint="eastAsia"/>
                <w:color w:val="auto"/>
                <w:highlight w:val="none"/>
              </w:rPr>
              <w:t>和实训室文化建设部分</w:t>
            </w:r>
            <w:r>
              <w:rPr>
                <w:color w:val="auto"/>
                <w:highlight w:val="none"/>
              </w:rPr>
              <w:t>3年免费质保。</w:t>
            </w:r>
          </w:p>
          <w:p w14:paraId="4CE3CB27">
            <w:pPr>
              <w:spacing w:line="400" w:lineRule="exact"/>
              <w:rPr>
                <w:color w:val="auto"/>
                <w:highlight w:val="none"/>
              </w:rPr>
            </w:pPr>
            <w:r>
              <w:rPr>
                <w:color w:val="auto"/>
                <w:highlight w:val="none"/>
              </w:rPr>
              <w:t>2、质保期内被免费更换的零部件质量保证：自更换之日起计不少于3年；</w:t>
            </w:r>
          </w:p>
          <w:p w14:paraId="74F6EDB3">
            <w:pPr>
              <w:spacing w:line="400" w:lineRule="exact"/>
              <w:rPr>
                <w:color w:val="auto"/>
                <w:highlight w:val="none"/>
              </w:rPr>
            </w:pPr>
            <w:r>
              <w:rPr>
                <w:color w:val="auto"/>
                <w:highlight w:val="none"/>
              </w:rPr>
              <w:t>3、卖方应保证合同项下所发产品完全是崭新的未曾使用过内。在质量保证期内，卖方应每年至少安排一次定期检修，卖方应负责修理和替换不合格的部件并承担一切费用，包括部件调换的内陆运输费用，急用部件应免费空运。</w:t>
            </w:r>
          </w:p>
        </w:tc>
      </w:tr>
      <w:tr w14:paraId="570C4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jc w:val="center"/>
        </w:trPr>
        <w:tc>
          <w:tcPr>
            <w:tcW w:w="1863" w:type="dxa"/>
            <w:vAlign w:val="center"/>
          </w:tcPr>
          <w:p w14:paraId="168D4E01">
            <w:pPr>
              <w:spacing w:line="400" w:lineRule="exact"/>
              <w:jc w:val="center"/>
              <w:rPr>
                <w:color w:val="auto"/>
                <w:szCs w:val="21"/>
                <w:highlight w:val="none"/>
              </w:rPr>
            </w:pPr>
            <w:r>
              <w:rPr>
                <w:color w:val="auto"/>
                <w:szCs w:val="21"/>
                <w:highlight w:val="none"/>
              </w:rPr>
              <w:t>售后服务要求</w:t>
            </w:r>
          </w:p>
        </w:tc>
        <w:tc>
          <w:tcPr>
            <w:tcW w:w="7136" w:type="dxa"/>
            <w:vAlign w:val="center"/>
          </w:tcPr>
          <w:p w14:paraId="4BCCA68F">
            <w:pPr>
              <w:spacing w:line="400" w:lineRule="exact"/>
              <w:rPr>
                <w:color w:val="auto"/>
                <w:szCs w:val="21"/>
                <w:highlight w:val="none"/>
              </w:rPr>
            </w:pPr>
            <w:r>
              <w:rPr>
                <w:color w:val="auto"/>
                <w:szCs w:val="21"/>
                <w:highlight w:val="none"/>
              </w:rPr>
              <w:t>售后服务的响应速度要求：在质量保证期内，为</w:t>
            </w:r>
            <w:r>
              <w:rPr>
                <w:color w:val="auto"/>
                <w:highlight w:val="none"/>
              </w:rPr>
              <w:t>确保设备的正常使用，在接到采购人维修要求后2小时内作出响应，并在4小时内派员到达采购人现场了解情况及实施维修。</w:t>
            </w:r>
          </w:p>
          <w:p w14:paraId="0272911A">
            <w:pPr>
              <w:spacing w:line="400" w:lineRule="exact"/>
              <w:rPr>
                <w:color w:val="auto"/>
                <w:szCs w:val="21"/>
                <w:highlight w:val="none"/>
              </w:rPr>
            </w:pPr>
            <w:r>
              <w:rPr>
                <w:b/>
                <w:color w:val="auto"/>
                <w:szCs w:val="21"/>
                <w:highlight w:val="none"/>
              </w:rPr>
              <w:t>注：如技术需求有要求，则以技术需求为准。</w:t>
            </w:r>
          </w:p>
        </w:tc>
      </w:tr>
      <w:tr w14:paraId="61DC0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863" w:type="dxa"/>
            <w:vAlign w:val="center"/>
          </w:tcPr>
          <w:p w14:paraId="051EBE35">
            <w:pPr>
              <w:spacing w:line="400" w:lineRule="exact"/>
              <w:jc w:val="center"/>
              <w:rPr>
                <w:color w:val="auto"/>
                <w:szCs w:val="21"/>
                <w:highlight w:val="none"/>
              </w:rPr>
            </w:pPr>
            <w:r>
              <w:rPr>
                <w:color w:val="auto"/>
                <w:szCs w:val="21"/>
                <w:highlight w:val="none"/>
              </w:rPr>
              <w:t>履约保证金</w:t>
            </w:r>
          </w:p>
        </w:tc>
        <w:tc>
          <w:tcPr>
            <w:tcW w:w="7136" w:type="dxa"/>
            <w:vAlign w:val="center"/>
          </w:tcPr>
          <w:p w14:paraId="01FDD78E">
            <w:pPr>
              <w:spacing w:line="400" w:lineRule="exact"/>
              <w:rPr>
                <w:bCs/>
                <w:color w:val="auto"/>
                <w:szCs w:val="21"/>
                <w:highlight w:val="none"/>
              </w:rPr>
            </w:pPr>
            <w:r>
              <w:rPr>
                <w:color w:val="auto"/>
                <w:szCs w:val="21"/>
                <w:highlight w:val="none"/>
              </w:rPr>
              <w:t>无</w:t>
            </w:r>
          </w:p>
        </w:tc>
      </w:tr>
      <w:tr w14:paraId="288360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1863" w:type="dxa"/>
            <w:vAlign w:val="center"/>
          </w:tcPr>
          <w:p w14:paraId="3D05CAFB">
            <w:pPr>
              <w:spacing w:line="400" w:lineRule="exact"/>
              <w:jc w:val="center"/>
              <w:rPr>
                <w:color w:val="auto"/>
                <w:szCs w:val="21"/>
                <w:highlight w:val="none"/>
              </w:rPr>
            </w:pPr>
            <w:r>
              <w:rPr>
                <w:color w:val="auto"/>
                <w:szCs w:val="21"/>
                <w:highlight w:val="none"/>
              </w:rPr>
              <w:t>验收标准</w:t>
            </w:r>
          </w:p>
        </w:tc>
        <w:tc>
          <w:tcPr>
            <w:tcW w:w="7136" w:type="dxa"/>
            <w:vAlign w:val="center"/>
          </w:tcPr>
          <w:p w14:paraId="26F18BB2">
            <w:pPr>
              <w:spacing w:line="400" w:lineRule="exact"/>
              <w:rPr>
                <w:bCs/>
                <w:color w:val="auto"/>
                <w:szCs w:val="21"/>
                <w:highlight w:val="none"/>
              </w:rPr>
            </w:pPr>
            <w:r>
              <w:rPr>
                <w:color w:val="auto"/>
                <w:szCs w:val="21"/>
                <w:highlight w:val="none"/>
              </w:rPr>
              <w:t>应符合国家或行业有关的质量标准或验收规范并</w:t>
            </w:r>
            <w:r>
              <w:rPr>
                <w:bCs/>
                <w:color w:val="auto"/>
                <w:szCs w:val="21"/>
                <w:highlight w:val="none"/>
              </w:rPr>
              <w:t>按照中标人提供的投标文件及中标人和采购人签订的政府采购合同为标准进行验收。</w:t>
            </w:r>
          </w:p>
          <w:p w14:paraId="60107704">
            <w:pPr>
              <w:spacing w:line="400" w:lineRule="exact"/>
              <w:rPr>
                <w:color w:val="auto"/>
                <w:szCs w:val="21"/>
                <w:highlight w:val="none"/>
              </w:rPr>
            </w:pPr>
            <w:r>
              <w:rPr>
                <w:bCs/>
                <w:color w:val="auto"/>
                <w:szCs w:val="21"/>
                <w:highlight w:val="none"/>
              </w:rPr>
              <w:t>具体要求</w:t>
            </w:r>
            <w:r>
              <w:rPr>
                <w:color w:val="auto"/>
                <w:szCs w:val="21"/>
                <w:highlight w:val="none"/>
              </w:rPr>
              <w:t>详见招标文件技术需求。</w:t>
            </w:r>
          </w:p>
        </w:tc>
      </w:tr>
    </w:tbl>
    <w:p w14:paraId="12857F0C">
      <w:pPr>
        <w:rPr>
          <w:color w:val="auto"/>
          <w:kern w:val="44"/>
          <w:highlight w:val="none"/>
        </w:rPr>
      </w:pPr>
    </w:p>
    <w:bookmarkEnd w:id="16"/>
    <w:bookmarkEnd w:id="17"/>
    <w:bookmarkEnd w:id="18"/>
    <w:p w14:paraId="60EF94FA">
      <w:pPr>
        <w:pStyle w:val="5"/>
        <w:numPr>
          <w:ilvl w:val="0"/>
          <w:numId w:val="0"/>
        </w:numPr>
        <w:spacing w:before="120" w:beforeLines="50" w:after="0" w:line="360" w:lineRule="auto"/>
        <w:jc w:val="center"/>
        <w:rPr>
          <w:rFonts w:ascii="Times New Roman" w:hAnsi="Times New Roman" w:eastAsia="宋体"/>
          <w:color w:val="auto"/>
          <w:sz w:val="21"/>
          <w:szCs w:val="21"/>
          <w:highlight w:val="none"/>
        </w:rPr>
      </w:pPr>
      <w:r>
        <w:rPr>
          <w:rFonts w:ascii="Times New Roman" w:hAnsi="Times New Roman" w:eastAsia="宋体"/>
          <w:b w:val="0"/>
          <w:color w:val="auto"/>
          <w:szCs w:val="21"/>
          <w:highlight w:val="none"/>
        </w:rPr>
        <w:br w:type="page"/>
      </w:r>
      <w:bookmarkStart w:id="19" w:name="_Toc100932108"/>
      <w:r>
        <w:rPr>
          <w:rFonts w:ascii="Times New Roman" w:hAnsi="Times New Roman" w:eastAsia="宋体"/>
          <w:color w:val="auto"/>
          <w:sz w:val="21"/>
          <w:szCs w:val="21"/>
          <w:highlight w:val="none"/>
        </w:rPr>
        <w:t>二、技术需求</w:t>
      </w:r>
      <w:bookmarkEnd w:id="14"/>
      <w:bookmarkEnd w:id="19"/>
    </w:p>
    <w:p w14:paraId="6F6B020A">
      <w:pPr>
        <w:pStyle w:val="6"/>
        <w:numPr>
          <w:ilvl w:val="0"/>
          <w:numId w:val="0"/>
        </w:numPr>
        <w:tabs>
          <w:tab w:val="clear" w:pos="720"/>
        </w:tabs>
        <w:spacing w:before="0" w:after="0" w:line="360" w:lineRule="auto"/>
        <w:jc w:val="center"/>
        <w:rPr>
          <w:color w:val="auto"/>
          <w:sz w:val="24"/>
          <w:szCs w:val="18"/>
          <w:highlight w:val="none"/>
        </w:rPr>
      </w:pPr>
      <w:r>
        <w:rPr>
          <w:color w:val="auto"/>
          <w:sz w:val="24"/>
          <w:szCs w:val="18"/>
          <w:highlight w:val="none"/>
        </w:rPr>
        <w:t>（一）招标货物清单</w:t>
      </w:r>
    </w:p>
    <w:tbl>
      <w:tblPr>
        <w:tblStyle w:val="36"/>
        <w:tblW w:w="79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5"/>
        <w:gridCol w:w="4944"/>
        <w:gridCol w:w="2058"/>
      </w:tblGrid>
      <w:tr w14:paraId="7C976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3FE634D9">
            <w:pPr>
              <w:snapToGrid w:val="0"/>
              <w:spacing w:line="240" w:lineRule="exact"/>
              <w:jc w:val="center"/>
              <w:rPr>
                <w:b/>
                <w:bCs/>
                <w:color w:val="auto"/>
                <w:szCs w:val="21"/>
                <w:highlight w:val="none"/>
              </w:rPr>
            </w:pPr>
            <w:bookmarkStart w:id="20" w:name="_Toc151648181"/>
            <w:bookmarkStart w:id="21" w:name="_Toc325971125"/>
            <w:bookmarkStart w:id="22" w:name="_Toc146809079"/>
            <w:bookmarkStart w:id="23" w:name="_Toc434566530"/>
            <w:bookmarkStart w:id="24" w:name="_Toc326255597"/>
            <w:r>
              <w:rPr>
                <w:b/>
                <w:bCs/>
                <w:color w:val="auto"/>
                <w:szCs w:val="21"/>
                <w:highlight w:val="none"/>
              </w:rPr>
              <w:t>序号</w:t>
            </w:r>
          </w:p>
        </w:tc>
        <w:tc>
          <w:tcPr>
            <w:tcW w:w="4944" w:type="dxa"/>
            <w:vAlign w:val="center"/>
          </w:tcPr>
          <w:p w14:paraId="51599329">
            <w:pPr>
              <w:snapToGrid w:val="0"/>
              <w:spacing w:line="240" w:lineRule="exact"/>
              <w:jc w:val="center"/>
              <w:rPr>
                <w:b/>
                <w:bCs/>
                <w:color w:val="auto"/>
                <w:szCs w:val="21"/>
                <w:highlight w:val="none"/>
              </w:rPr>
            </w:pPr>
            <w:r>
              <w:rPr>
                <w:b/>
                <w:bCs/>
                <w:color w:val="auto"/>
                <w:szCs w:val="21"/>
                <w:highlight w:val="none"/>
              </w:rPr>
              <w:t>项目名称</w:t>
            </w:r>
          </w:p>
        </w:tc>
        <w:tc>
          <w:tcPr>
            <w:tcW w:w="2058" w:type="dxa"/>
            <w:vAlign w:val="center"/>
          </w:tcPr>
          <w:p w14:paraId="410FB690">
            <w:pPr>
              <w:snapToGrid w:val="0"/>
              <w:spacing w:line="240" w:lineRule="exact"/>
              <w:jc w:val="center"/>
              <w:rPr>
                <w:b/>
                <w:bCs/>
                <w:color w:val="auto"/>
                <w:szCs w:val="21"/>
                <w:highlight w:val="none"/>
              </w:rPr>
            </w:pPr>
            <w:r>
              <w:rPr>
                <w:b/>
                <w:bCs/>
                <w:color w:val="auto"/>
                <w:szCs w:val="21"/>
                <w:highlight w:val="none"/>
              </w:rPr>
              <w:t>数量</w:t>
            </w:r>
          </w:p>
        </w:tc>
      </w:tr>
      <w:tr w14:paraId="6044EA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7" w:type="dxa"/>
            <w:gridSpan w:val="3"/>
            <w:vAlign w:val="center"/>
          </w:tcPr>
          <w:p w14:paraId="0DDA904E">
            <w:pPr>
              <w:snapToGrid w:val="0"/>
              <w:spacing w:line="240" w:lineRule="exact"/>
              <w:jc w:val="center"/>
              <w:rPr>
                <w:b/>
                <w:bCs/>
                <w:color w:val="auto"/>
                <w:szCs w:val="21"/>
                <w:highlight w:val="none"/>
              </w:rPr>
            </w:pPr>
            <w:r>
              <w:rPr>
                <w:color w:val="auto"/>
                <w:szCs w:val="21"/>
                <w:highlight w:val="none"/>
              </w:rPr>
              <w:t>一、硬件部分</w:t>
            </w:r>
            <w:r>
              <w:rPr>
                <w:b/>
                <w:bCs/>
                <w:color w:val="auto"/>
                <w:szCs w:val="21"/>
                <w:highlight w:val="none"/>
              </w:rPr>
              <w:t>（最高限价：人民币</w:t>
            </w:r>
            <w:r>
              <w:rPr>
                <w:rFonts w:hint="eastAsia"/>
                <w:b/>
                <w:bCs/>
                <w:color w:val="auto"/>
                <w:szCs w:val="21"/>
                <w:highlight w:val="none"/>
              </w:rPr>
              <w:t>3</w:t>
            </w:r>
            <w:r>
              <w:rPr>
                <w:rFonts w:hint="eastAsia"/>
                <w:b/>
                <w:bCs/>
                <w:color w:val="auto"/>
                <w:szCs w:val="21"/>
                <w:highlight w:val="none"/>
                <w:lang w:val="en-US" w:eastAsia="zh-CN"/>
              </w:rPr>
              <w:t>60</w:t>
            </w:r>
            <w:r>
              <w:rPr>
                <w:rFonts w:hint="eastAsia"/>
                <w:b/>
                <w:bCs/>
                <w:color w:val="auto"/>
                <w:szCs w:val="21"/>
                <w:highlight w:val="none"/>
              </w:rPr>
              <w:t>0</w:t>
            </w:r>
            <w:r>
              <w:rPr>
                <w:rFonts w:hint="eastAsia"/>
                <w:b/>
                <w:bCs/>
                <w:color w:val="auto"/>
                <w:szCs w:val="21"/>
                <w:highlight w:val="none"/>
                <w:lang w:val="en-US" w:eastAsia="zh-CN"/>
              </w:rPr>
              <w:t>00</w:t>
            </w:r>
            <w:r>
              <w:rPr>
                <w:rFonts w:hint="eastAsia"/>
                <w:b/>
                <w:bCs/>
                <w:color w:val="auto"/>
                <w:szCs w:val="21"/>
                <w:highlight w:val="none"/>
              </w:rPr>
              <w:t>.00</w:t>
            </w:r>
            <w:r>
              <w:rPr>
                <w:b/>
                <w:bCs/>
                <w:color w:val="auto"/>
                <w:szCs w:val="21"/>
                <w:highlight w:val="none"/>
              </w:rPr>
              <w:t>元）</w:t>
            </w:r>
          </w:p>
        </w:tc>
      </w:tr>
      <w:tr w14:paraId="6A632E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024FEFEB">
            <w:pPr>
              <w:spacing w:line="240" w:lineRule="exact"/>
              <w:jc w:val="center"/>
              <w:rPr>
                <w:color w:val="auto"/>
                <w:szCs w:val="21"/>
                <w:highlight w:val="none"/>
              </w:rPr>
            </w:pPr>
            <w:r>
              <w:rPr>
                <w:color w:val="auto"/>
                <w:szCs w:val="21"/>
                <w:highlight w:val="none"/>
              </w:rPr>
              <w:t>1</w:t>
            </w:r>
          </w:p>
        </w:tc>
        <w:tc>
          <w:tcPr>
            <w:tcW w:w="4944" w:type="dxa"/>
            <w:vAlign w:val="center"/>
          </w:tcPr>
          <w:p w14:paraId="2A3A8358">
            <w:pPr>
              <w:spacing w:line="240" w:lineRule="exact"/>
              <w:jc w:val="center"/>
              <w:rPr>
                <w:color w:val="auto"/>
                <w:szCs w:val="21"/>
                <w:highlight w:val="none"/>
              </w:rPr>
            </w:pPr>
            <w:r>
              <w:rPr>
                <w:color w:val="auto"/>
                <w:szCs w:val="21"/>
                <w:highlight w:val="none"/>
              </w:rPr>
              <w:t>教学智慧触控大屏</w:t>
            </w:r>
          </w:p>
        </w:tc>
        <w:tc>
          <w:tcPr>
            <w:tcW w:w="2058" w:type="dxa"/>
            <w:vAlign w:val="center"/>
          </w:tcPr>
          <w:p w14:paraId="5A35EBA9">
            <w:pPr>
              <w:spacing w:line="240" w:lineRule="exact"/>
              <w:jc w:val="center"/>
              <w:rPr>
                <w:color w:val="auto"/>
                <w:szCs w:val="21"/>
                <w:highlight w:val="none"/>
              </w:rPr>
            </w:pPr>
            <w:r>
              <w:rPr>
                <w:color w:val="auto"/>
                <w:szCs w:val="21"/>
                <w:highlight w:val="none"/>
              </w:rPr>
              <w:t>1</w:t>
            </w:r>
            <w:r>
              <w:rPr>
                <w:rFonts w:hint="eastAsia"/>
                <w:color w:val="auto"/>
                <w:szCs w:val="21"/>
                <w:highlight w:val="none"/>
              </w:rPr>
              <w:t>套</w:t>
            </w:r>
          </w:p>
        </w:tc>
      </w:tr>
      <w:tr w14:paraId="6BD3E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727FE8DC">
            <w:pPr>
              <w:spacing w:line="240" w:lineRule="exact"/>
              <w:jc w:val="center"/>
              <w:rPr>
                <w:color w:val="auto"/>
                <w:szCs w:val="21"/>
                <w:highlight w:val="none"/>
              </w:rPr>
            </w:pPr>
            <w:r>
              <w:rPr>
                <w:color w:val="auto"/>
                <w:szCs w:val="21"/>
                <w:highlight w:val="none"/>
              </w:rPr>
              <w:t>2</w:t>
            </w:r>
          </w:p>
        </w:tc>
        <w:tc>
          <w:tcPr>
            <w:tcW w:w="4944" w:type="dxa"/>
            <w:vAlign w:val="center"/>
          </w:tcPr>
          <w:p w14:paraId="65ACFBEE">
            <w:pPr>
              <w:spacing w:line="240" w:lineRule="exact"/>
              <w:jc w:val="center"/>
              <w:rPr>
                <w:color w:val="auto"/>
                <w:szCs w:val="21"/>
                <w:highlight w:val="none"/>
              </w:rPr>
            </w:pPr>
            <w:bookmarkStart w:id="25" w:name="OLE_LINK28"/>
            <w:r>
              <w:rPr>
                <w:color w:val="auto"/>
                <w:szCs w:val="21"/>
                <w:highlight w:val="none"/>
              </w:rPr>
              <w:t>VR大屏展示系统</w:t>
            </w:r>
            <w:bookmarkEnd w:id="25"/>
          </w:p>
        </w:tc>
        <w:tc>
          <w:tcPr>
            <w:tcW w:w="2058" w:type="dxa"/>
            <w:vAlign w:val="center"/>
          </w:tcPr>
          <w:p w14:paraId="2E74AC70">
            <w:pPr>
              <w:spacing w:line="240" w:lineRule="exact"/>
              <w:jc w:val="center"/>
              <w:rPr>
                <w:color w:val="auto"/>
                <w:szCs w:val="21"/>
                <w:highlight w:val="none"/>
              </w:rPr>
            </w:pPr>
            <w:r>
              <w:rPr>
                <w:rFonts w:hint="eastAsia"/>
                <w:color w:val="auto"/>
                <w:sz w:val="18"/>
                <w:szCs w:val="18"/>
                <w:highlight w:val="none"/>
              </w:rPr>
              <w:t>≥</w:t>
            </w:r>
            <w:r>
              <w:rPr>
                <w:rFonts w:hint="eastAsia"/>
                <w:color w:val="auto"/>
                <w:szCs w:val="21"/>
                <w:highlight w:val="none"/>
              </w:rPr>
              <w:t>10.4448平方米</w:t>
            </w:r>
          </w:p>
        </w:tc>
      </w:tr>
      <w:tr w14:paraId="5B24A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shd w:val="clear" w:color="auto" w:fill="auto"/>
            <w:vAlign w:val="center"/>
          </w:tcPr>
          <w:p w14:paraId="72EC7526">
            <w:pPr>
              <w:spacing w:line="240" w:lineRule="exact"/>
              <w:jc w:val="center"/>
              <w:rPr>
                <w:color w:val="auto"/>
                <w:szCs w:val="21"/>
                <w:highlight w:val="none"/>
              </w:rPr>
            </w:pPr>
            <w:r>
              <w:rPr>
                <w:color w:val="auto"/>
                <w:szCs w:val="21"/>
                <w:highlight w:val="none"/>
              </w:rPr>
              <w:t>3</w:t>
            </w:r>
          </w:p>
        </w:tc>
        <w:tc>
          <w:tcPr>
            <w:tcW w:w="4944" w:type="dxa"/>
            <w:vAlign w:val="center"/>
          </w:tcPr>
          <w:p w14:paraId="3990CB05">
            <w:pPr>
              <w:spacing w:line="240" w:lineRule="exact"/>
              <w:jc w:val="center"/>
              <w:rPr>
                <w:color w:val="auto"/>
                <w:szCs w:val="21"/>
                <w:highlight w:val="none"/>
              </w:rPr>
            </w:pPr>
            <w:bookmarkStart w:id="26" w:name="OLE_LINK27"/>
            <w:r>
              <w:rPr>
                <w:rFonts w:hint="eastAsia"/>
                <w:color w:val="auto"/>
                <w:szCs w:val="21"/>
                <w:highlight w:val="none"/>
              </w:rPr>
              <w:t>3D眼镜</w:t>
            </w:r>
            <w:bookmarkEnd w:id="26"/>
          </w:p>
        </w:tc>
        <w:tc>
          <w:tcPr>
            <w:tcW w:w="2058" w:type="dxa"/>
            <w:vAlign w:val="center"/>
          </w:tcPr>
          <w:p w14:paraId="7C51E84D">
            <w:pPr>
              <w:spacing w:line="240" w:lineRule="exact"/>
              <w:jc w:val="center"/>
              <w:rPr>
                <w:color w:val="auto"/>
                <w:szCs w:val="21"/>
                <w:highlight w:val="none"/>
              </w:rPr>
            </w:pPr>
            <w:r>
              <w:rPr>
                <w:rFonts w:hint="eastAsia"/>
                <w:color w:val="auto"/>
                <w:szCs w:val="21"/>
                <w:highlight w:val="none"/>
              </w:rPr>
              <w:t>60套</w:t>
            </w:r>
          </w:p>
        </w:tc>
      </w:tr>
      <w:tr w14:paraId="5A71F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shd w:val="clear" w:color="auto" w:fill="auto"/>
            <w:vAlign w:val="center"/>
          </w:tcPr>
          <w:p w14:paraId="1576CD02">
            <w:pPr>
              <w:spacing w:line="240" w:lineRule="exact"/>
              <w:jc w:val="center"/>
              <w:rPr>
                <w:color w:val="auto"/>
                <w:szCs w:val="21"/>
                <w:highlight w:val="none"/>
              </w:rPr>
            </w:pPr>
            <w:r>
              <w:rPr>
                <w:color w:val="auto"/>
                <w:szCs w:val="21"/>
                <w:highlight w:val="none"/>
              </w:rPr>
              <w:t>4</w:t>
            </w:r>
          </w:p>
        </w:tc>
        <w:tc>
          <w:tcPr>
            <w:tcW w:w="4944" w:type="dxa"/>
            <w:vAlign w:val="center"/>
          </w:tcPr>
          <w:p w14:paraId="0F6CD800">
            <w:pPr>
              <w:spacing w:line="240" w:lineRule="exact"/>
              <w:jc w:val="center"/>
              <w:rPr>
                <w:color w:val="auto"/>
                <w:szCs w:val="21"/>
                <w:highlight w:val="none"/>
              </w:rPr>
            </w:pPr>
            <w:r>
              <w:rPr>
                <w:color w:val="auto"/>
                <w:szCs w:val="21"/>
                <w:highlight w:val="none"/>
              </w:rPr>
              <w:t>音响系统</w:t>
            </w:r>
          </w:p>
        </w:tc>
        <w:tc>
          <w:tcPr>
            <w:tcW w:w="2058" w:type="dxa"/>
            <w:vAlign w:val="center"/>
          </w:tcPr>
          <w:p w14:paraId="6C672CCD">
            <w:pPr>
              <w:spacing w:line="240" w:lineRule="exact"/>
              <w:jc w:val="center"/>
              <w:rPr>
                <w:color w:val="auto"/>
                <w:szCs w:val="21"/>
                <w:highlight w:val="none"/>
              </w:rPr>
            </w:pPr>
            <w:r>
              <w:rPr>
                <w:color w:val="auto"/>
                <w:szCs w:val="21"/>
                <w:highlight w:val="none"/>
              </w:rPr>
              <w:t>1</w:t>
            </w:r>
            <w:r>
              <w:rPr>
                <w:rFonts w:hint="eastAsia"/>
                <w:color w:val="auto"/>
                <w:szCs w:val="21"/>
                <w:highlight w:val="none"/>
              </w:rPr>
              <w:t>套</w:t>
            </w:r>
          </w:p>
        </w:tc>
      </w:tr>
      <w:tr w14:paraId="0DB590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shd w:val="clear" w:color="auto" w:fill="auto"/>
            <w:vAlign w:val="center"/>
          </w:tcPr>
          <w:p w14:paraId="1A549C4C">
            <w:pPr>
              <w:spacing w:line="240" w:lineRule="exact"/>
              <w:jc w:val="center"/>
              <w:rPr>
                <w:color w:val="auto"/>
                <w:szCs w:val="21"/>
                <w:highlight w:val="none"/>
              </w:rPr>
            </w:pPr>
            <w:r>
              <w:rPr>
                <w:color w:val="auto"/>
                <w:szCs w:val="21"/>
                <w:highlight w:val="none"/>
              </w:rPr>
              <w:t>5</w:t>
            </w:r>
          </w:p>
        </w:tc>
        <w:tc>
          <w:tcPr>
            <w:tcW w:w="4944" w:type="dxa"/>
            <w:vAlign w:val="center"/>
          </w:tcPr>
          <w:p w14:paraId="1DB6E6C6">
            <w:pPr>
              <w:spacing w:line="240" w:lineRule="exact"/>
              <w:jc w:val="center"/>
              <w:rPr>
                <w:color w:val="auto"/>
                <w:szCs w:val="21"/>
                <w:highlight w:val="none"/>
              </w:rPr>
            </w:pPr>
            <w:r>
              <w:rPr>
                <w:color w:val="auto"/>
                <w:szCs w:val="21"/>
                <w:highlight w:val="none"/>
              </w:rPr>
              <w:t>VR充电柜</w:t>
            </w:r>
          </w:p>
        </w:tc>
        <w:tc>
          <w:tcPr>
            <w:tcW w:w="2058" w:type="dxa"/>
            <w:vAlign w:val="center"/>
          </w:tcPr>
          <w:p w14:paraId="10D43F75">
            <w:pPr>
              <w:spacing w:line="240" w:lineRule="exact"/>
              <w:jc w:val="center"/>
              <w:rPr>
                <w:color w:val="auto"/>
                <w:szCs w:val="21"/>
                <w:highlight w:val="none"/>
              </w:rPr>
            </w:pPr>
            <w:r>
              <w:rPr>
                <w:color w:val="auto"/>
                <w:szCs w:val="21"/>
                <w:highlight w:val="none"/>
              </w:rPr>
              <w:t>2</w:t>
            </w:r>
            <w:r>
              <w:rPr>
                <w:rFonts w:hint="eastAsia"/>
                <w:color w:val="auto"/>
                <w:szCs w:val="21"/>
                <w:highlight w:val="none"/>
              </w:rPr>
              <w:t>套</w:t>
            </w:r>
          </w:p>
        </w:tc>
      </w:tr>
      <w:tr w14:paraId="7CF0B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shd w:val="clear" w:color="auto" w:fill="auto"/>
            <w:vAlign w:val="center"/>
          </w:tcPr>
          <w:p w14:paraId="22B5310B">
            <w:pPr>
              <w:spacing w:line="240" w:lineRule="exact"/>
              <w:jc w:val="center"/>
              <w:rPr>
                <w:color w:val="auto"/>
                <w:szCs w:val="21"/>
                <w:highlight w:val="none"/>
              </w:rPr>
            </w:pPr>
            <w:r>
              <w:rPr>
                <w:color w:val="auto"/>
                <w:szCs w:val="21"/>
                <w:highlight w:val="none"/>
              </w:rPr>
              <w:t>6</w:t>
            </w:r>
          </w:p>
        </w:tc>
        <w:tc>
          <w:tcPr>
            <w:tcW w:w="4944" w:type="dxa"/>
            <w:vAlign w:val="center"/>
          </w:tcPr>
          <w:p w14:paraId="6F8892F0">
            <w:pPr>
              <w:spacing w:line="240" w:lineRule="exact"/>
              <w:jc w:val="center"/>
              <w:rPr>
                <w:color w:val="auto"/>
                <w:szCs w:val="21"/>
                <w:highlight w:val="none"/>
              </w:rPr>
            </w:pPr>
            <w:r>
              <w:rPr>
                <w:color w:val="auto"/>
                <w:szCs w:val="21"/>
                <w:highlight w:val="none"/>
              </w:rPr>
              <w:t>党建VR学习机（VR眼镜）</w:t>
            </w:r>
          </w:p>
        </w:tc>
        <w:tc>
          <w:tcPr>
            <w:tcW w:w="2058" w:type="dxa"/>
            <w:vAlign w:val="center"/>
          </w:tcPr>
          <w:p w14:paraId="62BFF1FE">
            <w:pPr>
              <w:spacing w:line="240" w:lineRule="exact"/>
              <w:jc w:val="center"/>
              <w:rPr>
                <w:color w:val="auto"/>
                <w:szCs w:val="21"/>
                <w:highlight w:val="none"/>
              </w:rPr>
            </w:pPr>
            <w:r>
              <w:rPr>
                <w:color w:val="auto"/>
                <w:szCs w:val="21"/>
                <w:highlight w:val="none"/>
              </w:rPr>
              <w:t>60</w:t>
            </w:r>
            <w:r>
              <w:rPr>
                <w:rFonts w:hint="eastAsia"/>
                <w:color w:val="auto"/>
                <w:szCs w:val="21"/>
                <w:highlight w:val="none"/>
              </w:rPr>
              <w:t>套</w:t>
            </w:r>
          </w:p>
        </w:tc>
      </w:tr>
      <w:tr w14:paraId="23672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shd w:val="clear" w:color="auto" w:fill="auto"/>
            <w:vAlign w:val="center"/>
          </w:tcPr>
          <w:p w14:paraId="153B74BF">
            <w:pPr>
              <w:spacing w:line="240" w:lineRule="exact"/>
              <w:jc w:val="center"/>
              <w:rPr>
                <w:color w:val="auto"/>
                <w:szCs w:val="21"/>
                <w:highlight w:val="none"/>
              </w:rPr>
            </w:pPr>
            <w:r>
              <w:rPr>
                <w:color w:val="auto"/>
                <w:szCs w:val="21"/>
                <w:highlight w:val="none"/>
              </w:rPr>
              <w:t>7</w:t>
            </w:r>
          </w:p>
        </w:tc>
        <w:tc>
          <w:tcPr>
            <w:tcW w:w="4944" w:type="dxa"/>
            <w:vAlign w:val="center"/>
          </w:tcPr>
          <w:p w14:paraId="33B4550A">
            <w:pPr>
              <w:spacing w:line="240" w:lineRule="exact"/>
              <w:jc w:val="center"/>
              <w:rPr>
                <w:color w:val="auto"/>
                <w:szCs w:val="21"/>
                <w:highlight w:val="none"/>
              </w:rPr>
            </w:pPr>
            <w:r>
              <w:rPr>
                <w:color w:val="auto"/>
                <w:szCs w:val="21"/>
                <w:highlight w:val="none"/>
              </w:rPr>
              <w:t>党建宣传展示系统</w:t>
            </w:r>
          </w:p>
        </w:tc>
        <w:tc>
          <w:tcPr>
            <w:tcW w:w="2058" w:type="dxa"/>
            <w:vAlign w:val="center"/>
          </w:tcPr>
          <w:p w14:paraId="7950639B">
            <w:pPr>
              <w:spacing w:line="240" w:lineRule="exact"/>
              <w:jc w:val="center"/>
              <w:rPr>
                <w:color w:val="auto"/>
                <w:szCs w:val="21"/>
                <w:highlight w:val="none"/>
              </w:rPr>
            </w:pPr>
            <w:r>
              <w:rPr>
                <w:color w:val="auto"/>
                <w:szCs w:val="21"/>
                <w:highlight w:val="none"/>
              </w:rPr>
              <w:t>1</w:t>
            </w:r>
            <w:r>
              <w:rPr>
                <w:rFonts w:hint="eastAsia"/>
                <w:color w:val="auto"/>
                <w:szCs w:val="21"/>
                <w:highlight w:val="none"/>
              </w:rPr>
              <w:t>套</w:t>
            </w:r>
          </w:p>
        </w:tc>
      </w:tr>
      <w:tr w14:paraId="3996C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5010D143">
            <w:pPr>
              <w:spacing w:line="240" w:lineRule="exact"/>
              <w:jc w:val="center"/>
              <w:rPr>
                <w:color w:val="auto"/>
                <w:szCs w:val="21"/>
                <w:highlight w:val="none"/>
              </w:rPr>
            </w:pPr>
            <w:r>
              <w:rPr>
                <w:rFonts w:hint="eastAsia"/>
                <w:color w:val="auto"/>
                <w:szCs w:val="21"/>
                <w:highlight w:val="none"/>
              </w:rPr>
              <w:t>8</w:t>
            </w:r>
          </w:p>
        </w:tc>
        <w:tc>
          <w:tcPr>
            <w:tcW w:w="4944" w:type="dxa"/>
            <w:vAlign w:val="center"/>
          </w:tcPr>
          <w:p w14:paraId="58900E55">
            <w:pPr>
              <w:spacing w:line="240" w:lineRule="exact"/>
              <w:jc w:val="center"/>
              <w:rPr>
                <w:color w:val="auto"/>
                <w:szCs w:val="21"/>
                <w:highlight w:val="none"/>
              </w:rPr>
            </w:pPr>
            <w:r>
              <w:rPr>
                <w:color w:val="auto"/>
                <w:szCs w:val="21"/>
                <w:highlight w:val="none"/>
              </w:rPr>
              <w:t>数字党建思政资源系统（PAD版）</w:t>
            </w:r>
          </w:p>
        </w:tc>
        <w:tc>
          <w:tcPr>
            <w:tcW w:w="2058" w:type="dxa"/>
            <w:vAlign w:val="center"/>
          </w:tcPr>
          <w:p w14:paraId="465E6E27">
            <w:pPr>
              <w:spacing w:line="240" w:lineRule="exact"/>
              <w:jc w:val="center"/>
              <w:rPr>
                <w:color w:val="auto"/>
                <w:szCs w:val="21"/>
                <w:highlight w:val="none"/>
              </w:rPr>
            </w:pPr>
            <w:r>
              <w:rPr>
                <w:color w:val="auto"/>
                <w:szCs w:val="21"/>
                <w:highlight w:val="none"/>
              </w:rPr>
              <w:t>1</w:t>
            </w:r>
            <w:r>
              <w:rPr>
                <w:rFonts w:hint="eastAsia"/>
                <w:color w:val="auto"/>
                <w:szCs w:val="21"/>
                <w:highlight w:val="none"/>
              </w:rPr>
              <w:t>套</w:t>
            </w:r>
          </w:p>
        </w:tc>
      </w:tr>
      <w:tr w14:paraId="7C6EE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7" w:type="dxa"/>
            <w:gridSpan w:val="3"/>
            <w:vAlign w:val="center"/>
          </w:tcPr>
          <w:p w14:paraId="32CFDC99">
            <w:pPr>
              <w:spacing w:line="240" w:lineRule="exact"/>
              <w:jc w:val="center"/>
              <w:rPr>
                <w:color w:val="auto"/>
                <w:szCs w:val="21"/>
                <w:highlight w:val="none"/>
              </w:rPr>
            </w:pPr>
            <w:r>
              <w:rPr>
                <w:color w:val="auto"/>
                <w:szCs w:val="21"/>
                <w:highlight w:val="none"/>
              </w:rPr>
              <w:t>二、软件部分</w:t>
            </w:r>
            <w:r>
              <w:rPr>
                <w:b/>
                <w:bCs/>
                <w:color w:val="auto"/>
                <w:szCs w:val="21"/>
                <w:highlight w:val="none"/>
              </w:rPr>
              <w:t>（最高限价：人民币</w:t>
            </w:r>
            <w:r>
              <w:rPr>
                <w:rFonts w:hint="eastAsia"/>
                <w:b/>
                <w:bCs/>
                <w:color w:val="auto"/>
                <w:szCs w:val="21"/>
                <w:highlight w:val="none"/>
              </w:rPr>
              <w:t>6</w:t>
            </w:r>
            <w:r>
              <w:rPr>
                <w:rFonts w:hint="eastAsia"/>
                <w:b/>
                <w:bCs/>
                <w:color w:val="auto"/>
                <w:szCs w:val="21"/>
                <w:highlight w:val="none"/>
                <w:lang w:val="en-US" w:eastAsia="zh-CN"/>
              </w:rPr>
              <w:t>30</w:t>
            </w:r>
            <w:r>
              <w:rPr>
                <w:rFonts w:hint="eastAsia"/>
                <w:b/>
                <w:bCs/>
                <w:color w:val="auto"/>
                <w:szCs w:val="21"/>
                <w:highlight w:val="none"/>
              </w:rPr>
              <w:t>000.00</w:t>
            </w:r>
            <w:r>
              <w:rPr>
                <w:b/>
                <w:bCs/>
                <w:color w:val="auto"/>
                <w:szCs w:val="21"/>
                <w:highlight w:val="none"/>
              </w:rPr>
              <w:t>元）</w:t>
            </w:r>
          </w:p>
        </w:tc>
      </w:tr>
      <w:tr w14:paraId="73D093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3DD8011F">
            <w:pPr>
              <w:spacing w:line="240" w:lineRule="exact"/>
              <w:jc w:val="center"/>
              <w:rPr>
                <w:color w:val="auto"/>
                <w:szCs w:val="21"/>
                <w:highlight w:val="none"/>
              </w:rPr>
            </w:pPr>
            <w:r>
              <w:rPr>
                <w:color w:val="auto"/>
                <w:szCs w:val="21"/>
                <w:highlight w:val="none"/>
              </w:rPr>
              <w:t>1</w:t>
            </w:r>
          </w:p>
        </w:tc>
        <w:tc>
          <w:tcPr>
            <w:tcW w:w="4944" w:type="dxa"/>
            <w:vAlign w:val="center"/>
          </w:tcPr>
          <w:p w14:paraId="5F20CB0B">
            <w:pPr>
              <w:spacing w:line="240" w:lineRule="exact"/>
              <w:jc w:val="center"/>
              <w:rPr>
                <w:color w:val="auto"/>
                <w:szCs w:val="21"/>
                <w:highlight w:val="none"/>
              </w:rPr>
            </w:pPr>
            <w:r>
              <w:rPr>
                <w:color w:val="auto"/>
                <w:szCs w:val="21"/>
                <w:highlight w:val="none"/>
              </w:rPr>
              <w:t>宁波VR红色旅游全景资源</w:t>
            </w:r>
          </w:p>
        </w:tc>
        <w:tc>
          <w:tcPr>
            <w:tcW w:w="2058" w:type="dxa"/>
            <w:vAlign w:val="center"/>
          </w:tcPr>
          <w:p w14:paraId="358D9BFC">
            <w:pPr>
              <w:spacing w:line="240" w:lineRule="exact"/>
              <w:jc w:val="center"/>
              <w:rPr>
                <w:color w:val="auto"/>
                <w:szCs w:val="21"/>
                <w:highlight w:val="none"/>
              </w:rPr>
            </w:pPr>
            <w:r>
              <w:rPr>
                <w:color w:val="auto"/>
                <w:szCs w:val="21"/>
                <w:highlight w:val="none"/>
              </w:rPr>
              <w:t>2</w:t>
            </w:r>
            <w:r>
              <w:rPr>
                <w:rFonts w:hint="eastAsia"/>
                <w:color w:val="auto"/>
                <w:szCs w:val="21"/>
                <w:highlight w:val="none"/>
              </w:rPr>
              <w:t>套</w:t>
            </w:r>
          </w:p>
        </w:tc>
      </w:tr>
      <w:tr w14:paraId="32B212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73AC981F">
            <w:pPr>
              <w:spacing w:line="240" w:lineRule="exact"/>
              <w:jc w:val="center"/>
              <w:rPr>
                <w:color w:val="auto"/>
                <w:szCs w:val="21"/>
                <w:highlight w:val="none"/>
              </w:rPr>
            </w:pPr>
            <w:r>
              <w:rPr>
                <w:color w:val="auto"/>
                <w:szCs w:val="21"/>
                <w:highlight w:val="none"/>
              </w:rPr>
              <w:t>2</w:t>
            </w:r>
          </w:p>
        </w:tc>
        <w:tc>
          <w:tcPr>
            <w:tcW w:w="4944" w:type="dxa"/>
            <w:vAlign w:val="center"/>
          </w:tcPr>
          <w:p w14:paraId="04A93148">
            <w:pPr>
              <w:spacing w:line="240" w:lineRule="exact"/>
              <w:jc w:val="center"/>
              <w:rPr>
                <w:color w:val="auto"/>
                <w:szCs w:val="21"/>
                <w:highlight w:val="none"/>
              </w:rPr>
            </w:pPr>
            <w:r>
              <w:rPr>
                <w:color w:val="auto"/>
                <w:szCs w:val="21"/>
                <w:highlight w:val="none"/>
              </w:rPr>
              <w:t>旅游VR全景系统资源</w:t>
            </w:r>
          </w:p>
        </w:tc>
        <w:tc>
          <w:tcPr>
            <w:tcW w:w="2058" w:type="dxa"/>
            <w:vAlign w:val="center"/>
          </w:tcPr>
          <w:p w14:paraId="3D8D5EE6">
            <w:pPr>
              <w:spacing w:line="240" w:lineRule="exact"/>
              <w:jc w:val="center"/>
              <w:rPr>
                <w:color w:val="auto"/>
                <w:szCs w:val="21"/>
                <w:highlight w:val="none"/>
              </w:rPr>
            </w:pPr>
            <w:r>
              <w:rPr>
                <w:rFonts w:hint="eastAsia"/>
                <w:color w:val="auto"/>
                <w:szCs w:val="21"/>
                <w:highlight w:val="none"/>
              </w:rPr>
              <w:t>1套</w:t>
            </w:r>
          </w:p>
        </w:tc>
      </w:tr>
      <w:tr w14:paraId="4830E7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09EFE3E2">
            <w:pPr>
              <w:spacing w:line="240" w:lineRule="exact"/>
              <w:jc w:val="center"/>
              <w:rPr>
                <w:color w:val="auto"/>
                <w:szCs w:val="21"/>
                <w:highlight w:val="none"/>
              </w:rPr>
            </w:pPr>
            <w:r>
              <w:rPr>
                <w:color w:val="auto"/>
                <w:szCs w:val="21"/>
                <w:highlight w:val="none"/>
              </w:rPr>
              <w:t>3</w:t>
            </w:r>
          </w:p>
        </w:tc>
        <w:tc>
          <w:tcPr>
            <w:tcW w:w="4944" w:type="dxa"/>
            <w:vAlign w:val="center"/>
          </w:tcPr>
          <w:p w14:paraId="5C2A16AF">
            <w:pPr>
              <w:spacing w:line="240" w:lineRule="exact"/>
              <w:jc w:val="center"/>
              <w:rPr>
                <w:color w:val="auto"/>
                <w:szCs w:val="21"/>
                <w:highlight w:val="none"/>
              </w:rPr>
            </w:pPr>
            <w:r>
              <w:rPr>
                <w:color w:val="auto"/>
                <w:szCs w:val="21"/>
                <w:highlight w:val="none"/>
              </w:rPr>
              <w:t>研学旅行资源包</w:t>
            </w:r>
          </w:p>
        </w:tc>
        <w:tc>
          <w:tcPr>
            <w:tcW w:w="2058" w:type="dxa"/>
            <w:vAlign w:val="center"/>
          </w:tcPr>
          <w:p w14:paraId="7B9B813A">
            <w:pPr>
              <w:spacing w:line="240" w:lineRule="exact"/>
              <w:jc w:val="center"/>
              <w:rPr>
                <w:color w:val="auto"/>
                <w:szCs w:val="21"/>
                <w:highlight w:val="none"/>
              </w:rPr>
            </w:pPr>
            <w:r>
              <w:rPr>
                <w:color w:val="auto"/>
                <w:szCs w:val="21"/>
                <w:highlight w:val="none"/>
              </w:rPr>
              <w:t>60</w:t>
            </w:r>
            <w:r>
              <w:rPr>
                <w:rFonts w:hint="eastAsia"/>
                <w:color w:val="auto"/>
                <w:szCs w:val="21"/>
                <w:highlight w:val="none"/>
              </w:rPr>
              <w:t>套</w:t>
            </w:r>
          </w:p>
        </w:tc>
      </w:tr>
      <w:tr w14:paraId="015CDC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44C59A0E">
            <w:pPr>
              <w:spacing w:line="240" w:lineRule="exact"/>
              <w:jc w:val="center"/>
              <w:rPr>
                <w:color w:val="auto"/>
                <w:szCs w:val="21"/>
                <w:highlight w:val="none"/>
              </w:rPr>
            </w:pPr>
            <w:r>
              <w:rPr>
                <w:color w:val="auto"/>
                <w:szCs w:val="21"/>
                <w:highlight w:val="none"/>
              </w:rPr>
              <w:t>4</w:t>
            </w:r>
          </w:p>
        </w:tc>
        <w:tc>
          <w:tcPr>
            <w:tcW w:w="4944" w:type="dxa"/>
            <w:vAlign w:val="center"/>
          </w:tcPr>
          <w:p w14:paraId="67957D68">
            <w:pPr>
              <w:spacing w:line="240" w:lineRule="exact"/>
              <w:jc w:val="center"/>
              <w:rPr>
                <w:color w:val="auto"/>
                <w:szCs w:val="21"/>
                <w:highlight w:val="none"/>
              </w:rPr>
            </w:pPr>
            <w:r>
              <w:rPr>
                <w:color w:val="auto"/>
                <w:szCs w:val="21"/>
                <w:highlight w:val="none"/>
              </w:rPr>
              <w:t>红色旅游课程思政资源</w:t>
            </w:r>
          </w:p>
        </w:tc>
        <w:tc>
          <w:tcPr>
            <w:tcW w:w="2058" w:type="dxa"/>
            <w:vAlign w:val="center"/>
          </w:tcPr>
          <w:p w14:paraId="17D80CBE">
            <w:pPr>
              <w:spacing w:line="240" w:lineRule="exact"/>
              <w:jc w:val="center"/>
              <w:rPr>
                <w:color w:val="auto"/>
                <w:szCs w:val="21"/>
                <w:highlight w:val="none"/>
              </w:rPr>
            </w:pPr>
            <w:r>
              <w:rPr>
                <w:color w:val="auto"/>
                <w:szCs w:val="21"/>
                <w:highlight w:val="none"/>
              </w:rPr>
              <w:t>1</w:t>
            </w:r>
            <w:r>
              <w:rPr>
                <w:rFonts w:hint="eastAsia"/>
                <w:color w:val="auto"/>
                <w:szCs w:val="21"/>
                <w:highlight w:val="none"/>
              </w:rPr>
              <w:t>套</w:t>
            </w:r>
          </w:p>
        </w:tc>
      </w:tr>
      <w:tr w14:paraId="5EE80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5905786D">
            <w:pPr>
              <w:spacing w:line="240" w:lineRule="exact"/>
              <w:jc w:val="center"/>
              <w:rPr>
                <w:color w:val="auto"/>
                <w:szCs w:val="21"/>
                <w:highlight w:val="none"/>
              </w:rPr>
            </w:pPr>
            <w:r>
              <w:rPr>
                <w:color w:val="auto"/>
                <w:szCs w:val="21"/>
                <w:highlight w:val="none"/>
              </w:rPr>
              <w:t>5</w:t>
            </w:r>
          </w:p>
        </w:tc>
        <w:tc>
          <w:tcPr>
            <w:tcW w:w="4944" w:type="dxa"/>
            <w:vAlign w:val="center"/>
          </w:tcPr>
          <w:p w14:paraId="4B892CC9">
            <w:pPr>
              <w:spacing w:line="240" w:lineRule="exact"/>
              <w:jc w:val="center"/>
              <w:rPr>
                <w:color w:val="auto"/>
                <w:szCs w:val="21"/>
                <w:highlight w:val="none"/>
              </w:rPr>
            </w:pPr>
            <w:r>
              <w:rPr>
                <w:color w:val="auto"/>
                <w:szCs w:val="21"/>
                <w:highlight w:val="none"/>
              </w:rPr>
              <w:t>红色旅游党建VR学习机软件资源</w:t>
            </w:r>
          </w:p>
        </w:tc>
        <w:tc>
          <w:tcPr>
            <w:tcW w:w="2058" w:type="dxa"/>
            <w:vAlign w:val="center"/>
          </w:tcPr>
          <w:p w14:paraId="6E8F8CAC">
            <w:pPr>
              <w:spacing w:line="240" w:lineRule="exact"/>
              <w:jc w:val="center"/>
              <w:rPr>
                <w:color w:val="auto"/>
                <w:szCs w:val="21"/>
                <w:highlight w:val="none"/>
              </w:rPr>
            </w:pPr>
            <w:r>
              <w:rPr>
                <w:color w:val="auto"/>
                <w:szCs w:val="21"/>
                <w:highlight w:val="none"/>
              </w:rPr>
              <w:t>60</w:t>
            </w:r>
            <w:r>
              <w:rPr>
                <w:rFonts w:hint="eastAsia"/>
                <w:color w:val="auto"/>
                <w:szCs w:val="21"/>
                <w:highlight w:val="none"/>
              </w:rPr>
              <w:t>套</w:t>
            </w:r>
          </w:p>
        </w:tc>
      </w:tr>
      <w:tr w14:paraId="0E023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4AD660A1">
            <w:pPr>
              <w:spacing w:line="240" w:lineRule="exact"/>
              <w:jc w:val="center"/>
              <w:rPr>
                <w:color w:val="auto"/>
                <w:szCs w:val="21"/>
                <w:highlight w:val="none"/>
              </w:rPr>
            </w:pPr>
            <w:r>
              <w:rPr>
                <w:color w:val="auto"/>
                <w:szCs w:val="21"/>
                <w:highlight w:val="none"/>
              </w:rPr>
              <w:t>6</w:t>
            </w:r>
          </w:p>
        </w:tc>
        <w:tc>
          <w:tcPr>
            <w:tcW w:w="4944" w:type="dxa"/>
            <w:vAlign w:val="center"/>
          </w:tcPr>
          <w:p w14:paraId="40DDDC66">
            <w:pPr>
              <w:spacing w:line="240" w:lineRule="exact"/>
              <w:jc w:val="center"/>
              <w:rPr>
                <w:color w:val="auto"/>
                <w:szCs w:val="21"/>
                <w:highlight w:val="none"/>
              </w:rPr>
            </w:pPr>
            <w:r>
              <w:rPr>
                <w:color w:val="auto"/>
                <w:szCs w:val="21"/>
                <w:highlight w:val="none"/>
              </w:rPr>
              <w:t>导游考试系统</w:t>
            </w:r>
          </w:p>
        </w:tc>
        <w:tc>
          <w:tcPr>
            <w:tcW w:w="2058" w:type="dxa"/>
            <w:vAlign w:val="center"/>
          </w:tcPr>
          <w:p w14:paraId="412D9C8E">
            <w:pPr>
              <w:spacing w:line="240" w:lineRule="exact"/>
              <w:jc w:val="center"/>
              <w:rPr>
                <w:color w:val="auto"/>
                <w:szCs w:val="21"/>
                <w:highlight w:val="none"/>
              </w:rPr>
            </w:pPr>
            <w:r>
              <w:rPr>
                <w:color w:val="auto"/>
                <w:szCs w:val="21"/>
                <w:highlight w:val="none"/>
              </w:rPr>
              <w:t>1</w:t>
            </w:r>
            <w:r>
              <w:rPr>
                <w:rFonts w:hint="eastAsia"/>
                <w:color w:val="auto"/>
                <w:szCs w:val="21"/>
                <w:highlight w:val="none"/>
              </w:rPr>
              <w:t>套</w:t>
            </w:r>
          </w:p>
        </w:tc>
      </w:tr>
      <w:tr w14:paraId="43BBE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1556544D">
            <w:pPr>
              <w:spacing w:line="240" w:lineRule="exact"/>
              <w:jc w:val="center"/>
              <w:rPr>
                <w:color w:val="auto"/>
                <w:szCs w:val="21"/>
                <w:highlight w:val="none"/>
              </w:rPr>
            </w:pPr>
            <w:r>
              <w:rPr>
                <w:rFonts w:hint="eastAsia"/>
                <w:color w:val="auto"/>
                <w:szCs w:val="21"/>
                <w:highlight w:val="none"/>
              </w:rPr>
              <w:t>7</w:t>
            </w:r>
          </w:p>
        </w:tc>
        <w:tc>
          <w:tcPr>
            <w:tcW w:w="4944" w:type="dxa"/>
            <w:vAlign w:val="center"/>
          </w:tcPr>
          <w:p w14:paraId="057AF848">
            <w:pPr>
              <w:spacing w:line="240" w:lineRule="exact"/>
              <w:jc w:val="center"/>
              <w:rPr>
                <w:color w:val="auto"/>
                <w:szCs w:val="21"/>
                <w:highlight w:val="none"/>
              </w:rPr>
            </w:pPr>
            <w:r>
              <w:rPr>
                <w:color w:val="auto"/>
                <w:szCs w:val="21"/>
                <w:highlight w:val="none"/>
              </w:rPr>
              <w:t>酒店管理模拟实训系统</w:t>
            </w:r>
          </w:p>
        </w:tc>
        <w:tc>
          <w:tcPr>
            <w:tcW w:w="2058" w:type="dxa"/>
            <w:vAlign w:val="center"/>
          </w:tcPr>
          <w:p w14:paraId="33CEB15D">
            <w:pPr>
              <w:spacing w:line="240" w:lineRule="exact"/>
              <w:jc w:val="center"/>
              <w:rPr>
                <w:color w:val="auto"/>
                <w:szCs w:val="21"/>
                <w:highlight w:val="none"/>
              </w:rPr>
            </w:pPr>
            <w:r>
              <w:rPr>
                <w:color w:val="auto"/>
                <w:szCs w:val="21"/>
                <w:highlight w:val="none"/>
              </w:rPr>
              <w:t>1</w:t>
            </w:r>
            <w:r>
              <w:rPr>
                <w:rFonts w:hint="eastAsia"/>
                <w:color w:val="auto"/>
                <w:szCs w:val="21"/>
                <w:highlight w:val="none"/>
              </w:rPr>
              <w:t>套</w:t>
            </w:r>
          </w:p>
        </w:tc>
      </w:tr>
      <w:tr w14:paraId="0B29F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00106773">
            <w:pPr>
              <w:spacing w:line="240" w:lineRule="exact"/>
              <w:jc w:val="center"/>
              <w:rPr>
                <w:color w:val="auto"/>
                <w:szCs w:val="21"/>
                <w:highlight w:val="none"/>
              </w:rPr>
            </w:pPr>
            <w:r>
              <w:rPr>
                <w:rFonts w:hint="eastAsia"/>
                <w:color w:val="auto"/>
                <w:szCs w:val="21"/>
                <w:highlight w:val="none"/>
              </w:rPr>
              <w:t>8</w:t>
            </w:r>
          </w:p>
        </w:tc>
        <w:tc>
          <w:tcPr>
            <w:tcW w:w="4944" w:type="dxa"/>
            <w:vAlign w:val="center"/>
          </w:tcPr>
          <w:p w14:paraId="7FF94E66">
            <w:pPr>
              <w:spacing w:line="240" w:lineRule="exact"/>
              <w:jc w:val="center"/>
              <w:rPr>
                <w:color w:val="auto"/>
                <w:szCs w:val="21"/>
                <w:highlight w:val="none"/>
              </w:rPr>
            </w:pPr>
            <w:r>
              <w:rPr>
                <w:color w:val="auto"/>
                <w:szCs w:val="21"/>
                <w:highlight w:val="none"/>
              </w:rPr>
              <w:t>会展管理模拟实训系统</w:t>
            </w:r>
          </w:p>
        </w:tc>
        <w:tc>
          <w:tcPr>
            <w:tcW w:w="2058" w:type="dxa"/>
            <w:vAlign w:val="center"/>
          </w:tcPr>
          <w:p w14:paraId="57B63F43">
            <w:pPr>
              <w:spacing w:line="240" w:lineRule="exact"/>
              <w:jc w:val="center"/>
              <w:rPr>
                <w:color w:val="auto"/>
                <w:szCs w:val="21"/>
                <w:highlight w:val="none"/>
              </w:rPr>
            </w:pPr>
            <w:r>
              <w:rPr>
                <w:color w:val="auto"/>
                <w:szCs w:val="21"/>
                <w:highlight w:val="none"/>
              </w:rPr>
              <w:t>1</w:t>
            </w:r>
            <w:r>
              <w:rPr>
                <w:rFonts w:hint="eastAsia"/>
                <w:color w:val="auto"/>
                <w:szCs w:val="21"/>
                <w:highlight w:val="none"/>
              </w:rPr>
              <w:t>套</w:t>
            </w:r>
          </w:p>
        </w:tc>
      </w:tr>
      <w:tr w14:paraId="212ED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34B78849">
            <w:pPr>
              <w:spacing w:line="240" w:lineRule="exact"/>
              <w:jc w:val="center"/>
              <w:rPr>
                <w:color w:val="auto"/>
                <w:szCs w:val="21"/>
                <w:highlight w:val="none"/>
              </w:rPr>
            </w:pPr>
            <w:r>
              <w:rPr>
                <w:rFonts w:hint="eastAsia"/>
                <w:color w:val="auto"/>
                <w:szCs w:val="21"/>
                <w:highlight w:val="none"/>
              </w:rPr>
              <w:t>9</w:t>
            </w:r>
          </w:p>
        </w:tc>
        <w:tc>
          <w:tcPr>
            <w:tcW w:w="4944" w:type="dxa"/>
            <w:vAlign w:val="center"/>
          </w:tcPr>
          <w:p w14:paraId="17BD17FB">
            <w:pPr>
              <w:spacing w:line="240" w:lineRule="exact"/>
              <w:jc w:val="center"/>
              <w:rPr>
                <w:color w:val="auto"/>
                <w:szCs w:val="21"/>
                <w:highlight w:val="none"/>
              </w:rPr>
            </w:pPr>
            <w:r>
              <w:rPr>
                <w:color w:val="auto"/>
                <w:szCs w:val="21"/>
                <w:highlight w:val="none"/>
              </w:rPr>
              <w:t>中控系统</w:t>
            </w:r>
          </w:p>
        </w:tc>
        <w:tc>
          <w:tcPr>
            <w:tcW w:w="2058" w:type="dxa"/>
            <w:vAlign w:val="center"/>
          </w:tcPr>
          <w:p w14:paraId="7F1D8803">
            <w:pPr>
              <w:spacing w:line="240" w:lineRule="exact"/>
              <w:jc w:val="center"/>
              <w:rPr>
                <w:color w:val="auto"/>
                <w:szCs w:val="21"/>
                <w:highlight w:val="none"/>
              </w:rPr>
            </w:pPr>
            <w:r>
              <w:rPr>
                <w:color w:val="auto"/>
                <w:szCs w:val="21"/>
                <w:highlight w:val="none"/>
              </w:rPr>
              <w:t>1</w:t>
            </w:r>
            <w:r>
              <w:rPr>
                <w:rFonts w:hint="eastAsia"/>
                <w:color w:val="auto"/>
                <w:szCs w:val="21"/>
                <w:highlight w:val="none"/>
              </w:rPr>
              <w:t>套</w:t>
            </w:r>
          </w:p>
        </w:tc>
      </w:tr>
      <w:tr w14:paraId="171581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7" w:type="dxa"/>
            <w:gridSpan w:val="3"/>
            <w:vAlign w:val="center"/>
          </w:tcPr>
          <w:p w14:paraId="67B06DBA">
            <w:pPr>
              <w:spacing w:line="240" w:lineRule="exact"/>
              <w:jc w:val="center"/>
              <w:rPr>
                <w:color w:val="auto"/>
                <w:szCs w:val="21"/>
                <w:highlight w:val="none"/>
              </w:rPr>
            </w:pPr>
            <w:r>
              <w:rPr>
                <w:color w:val="auto"/>
                <w:szCs w:val="21"/>
                <w:highlight w:val="none"/>
              </w:rPr>
              <w:t>三、实验室文化建设</w:t>
            </w:r>
            <w:r>
              <w:rPr>
                <w:b/>
                <w:bCs/>
                <w:color w:val="auto"/>
                <w:szCs w:val="21"/>
                <w:highlight w:val="none"/>
              </w:rPr>
              <w:t>（最高限价：人民币</w:t>
            </w:r>
            <w:r>
              <w:rPr>
                <w:rFonts w:hint="eastAsia"/>
                <w:b/>
                <w:bCs/>
                <w:color w:val="auto"/>
                <w:szCs w:val="21"/>
                <w:highlight w:val="none"/>
              </w:rPr>
              <w:t>50000.00</w:t>
            </w:r>
            <w:r>
              <w:rPr>
                <w:b/>
                <w:bCs/>
                <w:color w:val="auto"/>
                <w:szCs w:val="21"/>
                <w:highlight w:val="none"/>
              </w:rPr>
              <w:t>元）</w:t>
            </w:r>
          </w:p>
        </w:tc>
      </w:tr>
      <w:tr w14:paraId="4B2D6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39A77E9A">
            <w:pPr>
              <w:spacing w:line="240" w:lineRule="exact"/>
              <w:jc w:val="center"/>
              <w:rPr>
                <w:color w:val="auto"/>
                <w:szCs w:val="21"/>
                <w:highlight w:val="none"/>
              </w:rPr>
            </w:pPr>
            <w:r>
              <w:rPr>
                <w:color w:val="auto"/>
                <w:szCs w:val="21"/>
                <w:highlight w:val="none"/>
              </w:rPr>
              <w:t>1</w:t>
            </w:r>
          </w:p>
        </w:tc>
        <w:tc>
          <w:tcPr>
            <w:tcW w:w="4944" w:type="dxa"/>
            <w:vAlign w:val="center"/>
          </w:tcPr>
          <w:p w14:paraId="7FFE22B1">
            <w:pPr>
              <w:spacing w:line="240" w:lineRule="exact"/>
              <w:jc w:val="center"/>
              <w:rPr>
                <w:color w:val="auto"/>
                <w:szCs w:val="21"/>
                <w:highlight w:val="none"/>
              </w:rPr>
            </w:pPr>
            <w:r>
              <w:rPr>
                <w:color w:val="auto"/>
                <w:szCs w:val="21"/>
                <w:highlight w:val="none"/>
              </w:rPr>
              <w:t>实训室文化设计及环境建设</w:t>
            </w:r>
          </w:p>
        </w:tc>
        <w:tc>
          <w:tcPr>
            <w:tcW w:w="2058" w:type="dxa"/>
            <w:vAlign w:val="center"/>
          </w:tcPr>
          <w:p w14:paraId="6C5BFB5C">
            <w:pPr>
              <w:spacing w:line="240" w:lineRule="exact"/>
              <w:jc w:val="center"/>
              <w:rPr>
                <w:color w:val="auto"/>
                <w:szCs w:val="21"/>
                <w:highlight w:val="none"/>
              </w:rPr>
            </w:pPr>
            <w:r>
              <w:rPr>
                <w:color w:val="auto"/>
                <w:szCs w:val="21"/>
                <w:highlight w:val="none"/>
              </w:rPr>
              <w:t>1</w:t>
            </w:r>
            <w:r>
              <w:rPr>
                <w:rFonts w:hint="eastAsia"/>
                <w:color w:val="auto"/>
                <w:szCs w:val="21"/>
                <w:highlight w:val="none"/>
              </w:rPr>
              <w:t>项</w:t>
            </w:r>
          </w:p>
        </w:tc>
      </w:tr>
      <w:tr w14:paraId="0087D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5" w:type="dxa"/>
            <w:vAlign w:val="center"/>
          </w:tcPr>
          <w:p w14:paraId="51740966">
            <w:pPr>
              <w:spacing w:line="240" w:lineRule="exact"/>
              <w:jc w:val="center"/>
              <w:rPr>
                <w:color w:val="auto"/>
                <w:szCs w:val="21"/>
                <w:highlight w:val="none"/>
              </w:rPr>
            </w:pPr>
            <w:r>
              <w:rPr>
                <w:color w:val="auto"/>
                <w:szCs w:val="21"/>
                <w:highlight w:val="none"/>
              </w:rPr>
              <w:t>2</w:t>
            </w:r>
          </w:p>
        </w:tc>
        <w:tc>
          <w:tcPr>
            <w:tcW w:w="4944" w:type="dxa"/>
            <w:vAlign w:val="center"/>
          </w:tcPr>
          <w:p w14:paraId="36A24557">
            <w:pPr>
              <w:spacing w:line="240" w:lineRule="exact"/>
              <w:jc w:val="center"/>
              <w:rPr>
                <w:color w:val="auto"/>
                <w:szCs w:val="21"/>
                <w:highlight w:val="none"/>
              </w:rPr>
            </w:pPr>
            <w:r>
              <w:rPr>
                <w:color w:val="auto"/>
                <w:szCs w:val="21"/>
                <w:highlight w:val="none"/>
              </w:rPr>
              <w:t>实训室内外文化设计及环境建设</w:t>
            </w:r>
          </w:p>
        </w:tc>
        <w:tc>
          <w:tcPr>
            <w:tcW w:w="2058" w:type="dxa"/>
            <w:vAlign w:val="center"/>
          </w:tcPr>
          <w:p w14:paraId="6AA4A61A">
            <w:pPr>
              <w:spacing w:line="240" w:lineRule="exact"/>
              <w:jc w:val="center"/>
              <w:rPr>
                <w:color w:val="auto"/>
                <w:szCs w:val="21"/>
                <w:highlight w:val="none"/>
              </w:rPr>
            </w:pPr>
            <w:r>
              <w:rPr>
                <w:color w:val="auto"/>
                <w:szCs w:val="21"/>
                <w:highlight w:val="none"/>
              </w:rPr>
              <w:t>1</w:t>
            </w:r>
            <w:r>
              <w:rPr>
                <w:rFonts w:hint="eastAsia"/>
                <w:color w:val="auto"/>
                <w:szCs w:val="21"/>
                <w:highlight w:val="none"/>
              </w:rPr>
              <w:t>项</w:t>
            </w:r>
          </w:p>
        </w:tc>
      </w:tr>
    </w:tbl>
    <w:p w14:paraId="197EFDA2">
      <w:pPr>
        <w:pStyle w:val="6"/>
        <w:numPr>
          <w:ilvl w:val="0"/>
          <w:numId w:val="0"/>
        </w:numPr>
        <w:tabs>
          <w:tab w:val="clear" w:pos="720"/>
        </w:tabs>
        <w:spacing w:before="0" w:after="0" w:line="360" w:lineRule="auto"/>
        <w:jc w:val="center"/>
        <w:rPr>
          <w:b w:val="0"/>
          <w:color w:val="auto"/>
          <w:sz w:val="24"/>
          <w:highlight w:val="none"/>
        </w:rPr>
      </w:pPr>
      <w:r>
        <w:rPr>
          <w:b w:val="0"/>
          <w:bCs w:val="0"/>
          <w:color w:val="auto"/>
          <w:sz w:val="24"/>
          <w:szCs w:val="21"/>
          <w:highlight w:val="none"/>
        </w:rPr>
        <w:br w:type="page"/>
      </w:r>
      <w:r>
        <w:rPr>
          <w:color w:val="auto"/>
          <w:sz w:val="24"/>
          <w:szCs w:val="18"/>
          <w:highlight w:val="none"/>
        </w:rPr>
        <w:t>（二）总的说明和要求</w:t>
      </w:r>
    </w:p>
    <w:bookmarkEnd w:id="20"/>
    <w:bookmarkEnd w:id="21"/>
    <w:bookmarkEnd w:id="22"/>
    <w:bookmarkEnd w:id="23"/>
    <w:bookmarkEnd w:id="24"/>
    <w:p w14:paraId="58C07801">
      <w:pPr>
        <w:jc w:val="center"/>
        <w:rPr>
          <w:b/>
          <w:color w:val="auto"/>
          <w:sz w:val="24"/>
          <w:highlight w:val="none"/>
        </w:rPr>
      </w:pPr>
    </w:p>
    <w:p w14:paraId="4424943F">
      <w:pPr>
        <w:spacing w:line="360" w:lineRule="auto"/>
        <w:jc w:val="left"/>
        <w:rPr>
          <w:color w:val="auto"/>
          <w:szCs w:val="21"/>
          <w:highlight w:val="none"/>
        </w:rPr>
      </w:pPr>
      <w:r>
        <w:rPr>
          <w:b/>
          <w:color w:val="auto"/>
          <w:szCs w:val="21"/>
          <w:highlight w:val="none"/>
        </w:rPr>
        <w:t>1、货物执行的标准</w:t>
      </w:r>
    </w:p>
    <w:p w14:paraId="12BE30D0">
      <w:pPr>
        <w:spacing w:line="360" w:lineRule="auto"/>
        <w:ind w:left="945" w:leftChars="200" w:hanging="525" w:hangingChars="250"/>
        <w:jc w:val="left"/>
        <w:rPr>
          <w:color w:val="auto"/>
          <w:szCs w:val="21"/>
          <w:highlight w:val="none"/>
        </w:rPr>
      </w:pPr>
      <w:r>
        <w:rPr>
          <w:color w:val="auto"/>
          <w:szCs w:val="21"/>
          <w:highlight w:val="none"/>
        </w:rPr>
        <w:t>1.1、货物标准：按标准制造的货物应符合国家或行业的有关标准或许可规范；非标准货物应按照采购人的要求和制造商的企业标准制造；</w:t>
      </w:r>
    </w:p>
    <w:p w14:paraId="000BA75F">
      <w:pPr>
        <w:spacing w:line="360" w:lineRule="auto"/>
        <w:ind w:firstLine="420" w:firstLineChars="200"/>
        <w:jc w:val="left"/>
        <w:rPr>
          <w:color w:val="auto"/>
          <w:szCs w:val="21"/>
          <w:highlight w:val="none"/>
        </w:rPr>
      </w:pPr>
      <w:r>
        <w:rPr>
          <w:color w:val="auto"/>
          <w:szCs w:val="21"/>
          <w:highlight w:val="none"/>
        </w:rPr>
        <w:t>1.2、货物的环境、节能和安全：应满足国家有关的环保、节能和安全标准或规范；</w:t>
      </w:r>
    </w:p>
    <w:p w14:paraId="45D9F5C4">
      <w:pPr>
        <w:spacing w:line="360" w:lineRule="auto"/>
        <w:ind w:firstLine="420" w:firstLineChars="200"/>
        <w:jc w:val="left"/>
        <w:rPr>
          <w:color w:val="auto"/>
          <w:szCs w:val="21"/>
          <w:highlight w:val="none"/>
        </w:rPr>
      </w:pPr>
      <w:r>
        <w:rPr>
          <w:color w:val="auto"/>
          <w:szCs w:val="21"/>
          <w:highlight w:val="none"/>
        </w:rPr>
        <w:t>1.3、货物的材料：应符合国家有关的材料应用标准或应用规范；</w:t>
      </w:r>
    </w:p>
    <w:p w14:paraId="22B294CC">
      <w:pPr>
        <w:spacing w:line="360" w:lineRule="auto"/>
        <w:ind w:left="945" w:leftChars="200" w:hanging="525" w:hangingChars="250"/>
        <w:jc w:val="left"/>
        <w:rPr>
          <w:color w:val="auto"/>
          <w:szCs w:val="21"/>
          <w:highlight w:val="none"/>
        </w:rPr>
      </w:pPr>
      <w:r>
        <w:rPr>
          <w:color w:val="auto"/>
          <w:szCs w:val="21"/>
          <w:highlight w:val="none"/>
        </w:rPr>
        <w:t>1.4、货物的零部件：均应按相关的国家、行业或企业标准制造、由具有制造资格的企业提供，并由货物的最终供应商负质量责任；</w:t>
      </w:r>
    </w:p>
    <w:p w14:paraId="5096B160">
      <w:pPr>
        <w:spacing w:line="360" w:lineRule="auto"/>
        <w:ind w:left="945" w:leftChars="200" w:hanging="525" w:hangingChars="250"/>
        <w:jc w:val="left"/>
        <w:rPr>
          <w:color w:val="auto"/>
          <w:szCs w:val="21"/>
          <w:highlight w:val="none"/>
        </w:rPr>
      </w:pPr>
      <w:r>
        <w:rPr>
          <w:color w:val="auto"/>
          <w:szCs w:val="21"/>
          <w:highlight w:val="none"/>
        </w:rPr>
        <w:t>1.5、货物包装：包装及包装材料应符合国家、行业的包装规范，标识明晰，适合货物的保护和安全，防腐防潮，和运输要求。</w:t>
      </w:r>
    </w:p>
    <w:p w14:paraId="17A936B3">
      <w:pPr>
        <w:spacing w:line="360" w:lineRule="auto"/>
        <w:ind w:firstLine="420" w:firstLineChars="200"/>
        <w:jc w:val="left"/>
        <w:rPr>
          <w:color w:val="auto"/>
          <w:szCs w:val="21"/>
          <w:highlight w:val="none"/>
        </w:rPr>
      </w:pPr>
      <w:r>
        <w:rPr>
          <w:color w:val="auto"/>
          <w:szCs w:val="21"/>
          <w:highlight w:val="none"/>
        </w:rPr>
        <w:t>1.6、货物验收标准：应符合国家或行业有关的质量标准或验收规范及合同约定；</w:t>
      </w:r>
    </w:p>
    <w:p w14:paraId="2E39AA27">
      <w:pPr>
        <w:spacing w:line="360" w:lineRule="auto"/>
        <w:ind w:left="945" w:leftChars="200" w:hanging="525" w:hangingChars="250"/>
        <w:jc w:val="left"/>
        <w:rPr>
          <w:color w:val="auto"/>
          <w:szCs w:val="21"/>
          <w:highlight w:val="none"/>
        </w:rPr>
      </w:pPr>
      <w:r>
        <w:rPr>
          <w:color w:val="auto"/>
          <w:szCs w:val="21"/>
          <w:highlight w:val="none"/>
        </w:rPr>
        <w:t>1.7、本部分提出的技术指标或标准若与供应商执行的标准不一致，应按较高的标准执行；</w:t>
      </w:r>
    </w:p>
    <w:p w14:paraId="6CBF63F8">
      <w:pPr>
        <w:spacing w:line="360" w:lineRule="auto"/>
        <w:ind w:left="945" w:leftChars="200" w:hanging="525" w:hangingChars="250"/>
        <w:jc w:val="left"/>
        <w:rPr>
          <w:color w:val="auto"/>
          <w:szCs w:val="21"/>
          <w:highlight w:val="none"/>
        </w:rPr>
      </w:pPr>
      <w:r>
        <w:rPr>
          <w:color w:val="auto"/>
          <w:szCs w:val="21"/>
          <w:highlight w:val="none"/>
        </w:rPr>
        <w:t>1.8、货物使用地的电源：电源电压：三相交流380V±10%， 单相交流220V±10%，电源频率：50Hz±1%。</w:t>
      </w:r>
    </w:p>
    <w:p w14:paraId="1A8998A5">
      <w:pPr>
        <w:tabs>
          <w:tab w:val="left" w:pos="426"/>
        </w:tabs>
        <w:spacing w:line="360" w:lineRule="auto"/>
        <w:jc w:val="left"/>
        <w:rPr>
          <w:b/>
          <w:color w:val="auto"/>
          <w:szCs w:val="21"/>
          <w:highlight w:val="none"/>
        </w:rPr>
      </w:pPr>
      <w:r>
        <w:rPr>
          <w:b/>
          <w:color w:val="auto"/>
          <w:szCs w:val="21"/>
          <w:highlight w:val="none"/>
        </w:rPr>
        <w:t>2、交货前的买方查验</w:t>
      </w:r>
    </w:p>
    <w:p w14:paraId="30D5A9E4">
      <w:pPr>
        <w:spacing w:line="360" w:lineRule="auto"/>
        <w:ind w:left="420" w:leftChars="200"/>
        <w:jc w:val="left"/>
        <w:rPr>
          <w:color w:val="auto"/>
          <w:szCs w:val="21"/>
          <w:highlight w:val="none"/>
        </w:rPr>
      </w:pPr>
      <w:r>
        <w:rPr>
          <w:color w:val="auto"/>
          <w:szCs w:val="21"/>
          <w:highlight w:val="none"/>
        </w:rPr>
        <w:t>2.1、如果有需要，买方有权在货物组装期间到卖方的工厂查验货物及其部件，有权察看图纸和试验结果，买方也可指派其雇员或代理履行这种工厂查验，但这并不免除卖方应按合同履行其义务的责任。买方查验人员的费用除合同有约定外由买方自负。</w:t>
      </w:r>
    </w:p>
    <w:p w14:paraId="3182CD18">
      <w:pPr>
        <w:tabs>
          <w:tab w:val="left" w:pos="426"/>
        </w:tabs>
        <w:spacing w:line="360" w:lineRule="auto"/>
        <w:jc w:val="left"/>
        <w:rPr>
          <w:b/>
          <w:color w:val="auto"/>
          <w:szCs w:val="21"/>
          <w:highlight w:val="none"/>
        </w:rPr>
      </w:pPr>
      <w:r>
        <w:rPr>
          <w:b/>
          <w:color w:val="auto"/>
          <w:szCs w:val="21"/>
          <w:highlight w:val="none"/>
        </w:rPr>
        <w:t>3、对买方人员提供培训以及货物安装与验收的要求</w:t>
      </w:r>
    </w:p>
    <w:p w14:paraId="4551000A">
      <w:pPr>
        <w:spacing w:line="360" w:lineRule="auto"/>
        <w:ind w:left="420" w:leftChars="200"/>
        <w:jc w:val="left"/>
        <w:rPr>
          <w:color w:val="auto"/>
          <w:szCs w:val="21"/>
          <w:highlight w:val="none"/>
        </w:rPr>
      </w:pPr>
      <w:r>
        <w:rPr>
          <w:color w:val="auto"/>
          <w:szCs w:val="21"/>
          <w:highlight w:val="none"/>
        </w:rPr>
        <w:t>3.1、卖方应负责货物的安装与调试，并应在合同规定的期限内完成。</w:t>
      </w:r>
    </w:p>
    <w:p w14:paraId="64F6FF94">
      <w:pPr>
        <w:spacing w:line="360" w:lineRule="auto"/>
        <w:ind w:left="420" w:leftChars="200"/>
        <w:jc w:val="left"/>
        <w:rPr>
          <w:color w:val="auto"/>
          <w:szCs w:val="21"/>
          <w:highlight w:val="none"/>
        </w:rPr>
      </w:pPr>
      <w:r>
        <w:rPr>
          <w:color w:val="auto"/>
          <w:szCs w:val="21"/>
          <w:highlight w:val="none"/>
        </w:rPr>
        <w:t>3.2、卖方应在买方现场对买方的操作人员和维修人员进行技术培训，使之能够独立操作和进行日常的维护保养。买方有权要求更换卖方指派的不合格的技术人员，由此产生的费用由卖方承担。</w:t>
      </w:r>
    </w:p>
    <w:p w14:paraId="4D828DF1">
      <w:pPr>
        <w:spacing w:line="360" w:lineRule="auto"/>
        <w:ind w:left="420" w:leftChars="200"/>
        <w:jc w:val="left"/>
        <w:rPr>
          <w:color w:val="auto"/>
          <w:szCs w:val="21"/>
          <w:highlight w:val="none"/>
        </w:rPr>
      </w:pPr>
      <w:r>
        <w:rPr>
          <w:color w:val="auto"/>
          <w:szCs w:val="21"/>
          <w:highlight w:val="none"/>
        </w:rPr>
        <w:t>3.3、货物的买方验收：</w:t>
      </w:r>
    </w:p>
    <w:p w14:paraId="5BC4E10F">
      <w:pPr>
        <w:tabs>
          <w:tab w:val="left" w:pos="1260"/>
        </w:tabs>
        <w:spacing w:line="360" w:lineRule="auto"/>
        <w:ind w:left="420" w:leftChars="200"/>
        <w:jc w:val="left"/>
        <w:rPr>
          <w:color w:val="auto"/>
          <w:szCs w:val="21"/>
          <w:highlight w:val="none"/>
        </w:rPr>
      </w:pPr>
      <w:r>
        <w:rPr>
          <w:color w:val="auto"/>
          <w:szCs w:val="21"/>
          <w:highlight w:val="none"/>
        </w:rPr>
        <w:t>3.3.1、买方验收的目的：</w:t>
      </w:r>
      <w:r>
        <w:rPr>
          <w:color w:val="auto"/>
          <w:szCs w:val="21"/>
          <w:highlight w:val="none"/>
        </w:rPr>
        <w:br w:type="textWrapping"/>
      </w:r>
      <w:r>
        <w:rPr>
          <w:color w:val="auto"/>
          <w:szCs w:val="21"/>
          <w:highlight w:val="none"/>
        </w:rPr>
        <w:t>a.确认货物性能及其它经济技术指标符合合同规定。验收 程序应根据合同确定的“调试验收标准守则”中规定的顺序、标准和实验方法进行。</w:t>
      </w:r>
      <w:r>
        <w:rPr>
          <w:color w:val="auto"/>
          <w:szCs w:val="21"/>
          <w:highlight w:val="none"/>
        </w:rPr>
        <w:br w:type="textWrapping"/>
      </w:r>
      <w:r>
        <w:rPr>
          <w:color w:val="auto"/>
          <w:szCs w:val="21"/>
          <w:highlight w:val="none"/>
        </w:rPr>
        <w:t>b. 确认安装成功；</w:t>
      </w:r>
    </w:p>
    <w:p w14:paraId="52048F5C">
      <w:pPr>
        <w:tabs>
          <w:tab w:val="left" w:pos="1260"/>
        </w:tabs>
        <w:spacing w:line="360" w:lineRule="auto"/>
        <w:ind w:left="420" w:leftChars="200"/>
        <w:jc w:val="left"/>
        <w:rPr>
          <w:color w:val="auto"/>
          <w:szCs w:val="21"/>
          <w:highlight w:val="none"/>
        </w:rPr>
      </w:pPr>
      <w:r>
        <w:rPr>
          <w:color w:val="auto"/>
          <w:szCs w:val="21"/>
          <w:highlight w:val="none"/>
        </w:rPr>
        <w:t>3.3.2、买方对运达的货物除合同有约定的外，不进行过程验收。合同项下的货物运达后须由卖方的安装人员自行查验，如开箱后确认货物错发，丢失及损坏，卖方应立即无条件掉换、补发；</w:t>
      </w:r>
    </w:p>
    <w:p w14:paraId="310ED527">
      <w:pPr>
        <w:tabs>
          <w:tab w:val="left" w:pos="1260"/>
        </w:tabs>
        <w:spacing w:line="360" w:lineRule="auto"/>
        <w:ind w:left="420" w:leftChars="200"/>
        <w:jc w:val="left"/>
        <w:rPr>
          <w:color w:val="auto"/>
          <w:szCs w:val="21"/>
          <w:highlight w:val="none"/>
        </w:rPr>
      </w:pPr>
      <w:r>
        <w:rPr>
          <w:color w:val="auto"/>
          <w:szCs w:val="21"/>
          <w:highlight w:val="none"/>
        </w:rPr>
        <w:t>3.3.3、安装后的检验：</w:t>
      </w:r>
      <w:r>
        <w:rPr>
          <w:color w:val="auto"/>
          <w:szCs w:val="21"/>
          <w:highlight w:val="none"/>
        </w:rPr>
        <w:br w:type="textWrapping"/>
      </w:r>
      <w:r>
        <w:rPr>
          <w:color w:val="auto"/>
          <w:szCs w:val="21"/>
          <w:highlight w:val="none"/>
        </w:rPr>
        <w:t>在进行终交验收之前，对于国家实行特种设备管理的货物，卖方应该负责联系技术检验监督部门进行检验，并取得合格证或许可证。</w:t>
      </w:r>
    </w:p>
    <w:p w14:paraId="32D8D38C">
      <w:pPr>
        <w:tabs>
          <w:tab w:val="left" w:pos="1260"/>
        </w:tabs>
        <w:spacing w:line="360" w:lineRule="auto"/>
        <w:ind w:left="420" w:leftChars="200"/>
        <w:jc w:val="left"/>
        <w:rPr>
          <w:color w:val="auto"/>
          <w:szCs w:val="21"/>
          <w:highlight w:val="none"/>
        </w:rPr>
      </w:pPr>
      <w:r>
        <w:rPr>
          <w:color w:val="auto"/>
          <w:szCs w:val="21"/>
          <w:highlight w:val="none"/>
        </w:rPr>
        <w:t>3.3.4、终交验收：</w:t>
      </w:r>
      <w:r>
        <w:rPr>
          <w:color w:val="auto"/>
          <w:szCs w:val="21"/>
          <w:highlight w:val="none"/>
        </w:rPr>
        <w:br w:type="textWrapping"/>
      </w:r>
      <w:r>
        <w:rPr>
          <w:color w:val="auto"/>
          <w:szCs w:val="21"/>
          <w:highlight w:val="none"/>
        </w:rPr>
        <w:t>买卖双方按照合同和双方共同商定的验收条款对调试完毕的货物进行验收。卖方应事先准备好验收文件并获买方的确认，按照合同内容向买方逐一核对货物的数量，演示并核对外观、功能、性能、能力、程序、达到的参数或/和指标等；如验收合格，双方代表人在验收文件上签字完成终交验收手续，正式交付使用。如第一次调试未成功，卖方应找出失败的原因，并应在双方约定的时间内完成再次调试，因此而产生的全部费用由卖方承担；如第二次调试结果仍不能完全符合验收文件预定的合格条件，买方可拒绝接受该货物，卖方应赔偿买方的一切损失。</w:t>
      </w:r>
    </w:p>
    <w:p w14:paraId="24760120">
      <w:pPr>
        <w:spacing w:line="360" w:lineRule="auto"/>
        <w:jc w:val="left"/>
        <w:rPr>
          <w:b/>
          <w:color w:val="auto"/>
          <w:szCs w:val="21"/>
          <w:highlight w:val="none"/>
        </w:rPr>
      </w:pPr>
      <w:r>
        <w:rPr>
          <w:b/>
          <w:color w:val="auto"/>
          <w:szCs w:val="21"/>
          <w:highlight w:val="none"/>
        </w:rPr>
        <w:t>4、需要投标人提供伴随的相关服务要求：每年的维护保养，巡检，回访。</w:t>
      </w:r>
    </w:p>
    <w:p w14:paraId="365BA8DA">
      <w:pPr>
        <w:pStyle w:val="6"/>
        <w:numPr>
          <w:ilvl w:val="0"/>
          <w:numId w:val="0"/>
        </w:numPr>
        <w:tabs>
          <w:tab w:val="clear" w:pos="720"/>
        </w:tabs>
        <w:spacing w:before="0" w:after="0" w:line="360" w:lineRule="auto"/>
        <w:jc w:val="center"/>
        <w:rPr>
          <w:color w:val="auto"/>
          <w:sz w:val="24"/>
          <w:szCs w:val="18"/>
          <w:highlight w:val="none"/>
        </w:rPr>
      </w:pPr>
      <w:r>
        <w:rPr>
          <w:color w:val="auto"/>
          <w:szCs w:val="21"/>
          <w:highlight w:val="none"/>
        </w:rPr>
        <w:br w:type="page"/>
      </w:r>
      <w:r>
        <w:rPr>
          <w:color w:val="auto"/>
          <w:sz w:val="24"/>
          <w:szCs w:val="18"/>
          <w:highlight w:val="none"/>
        </w:rPr>
        <w:t>（三）技术规格要求</w:t>
      </w:r>
    </w:p>
    <w:bookmarkEnd w:id="15"/>
    <w:tbl>
      <w:tblPr>
        <w:tblStyle w:val="36"/>
        <w:tblW w:w="10447" w:type="dxa"/>
        <w:tblInd w:w="-425" w:type="dxa"/>
        <w:tblLayout w:type="fixed"/>
        <w:tblCellMar>
          <w:top w:w="0" w:type="dxa"/>
          <w:left w:w="108" w:type="dxa"/>
          <w:bottom w:w="0" w:type="dxa"/>
          <w:right w:w="108" w:type="dxa"/>
        </w:tblCellMar>
      </w:tblPr>
      <w:tblGrid>
        <w:gridCol w:w="9584"/>
        <w:gridCol w:w="863"/>
      </w:tblGrid>
      <w:tr w14:paraId="5EE86332">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3F525730">
            <w:pPr>
              <w:widowControl/>
              <w:jc w:val="center"/>
              <w:textAlignment w:val="center"/>
              <w:rPr>
                <w:b/>
                <w:bCs/>
                <w:color w:val="auto"/>
                <w:szCs w:val="21"/>
                <w:highlight w:val="none"/>
              </w:rPr>
            </w:pPr>
            <w:bookmarkStart w:id="27" w:name="_Toc100932109"/>
            <w:r>
              <w:rPr>
                <w:b/>
                <w:bCs/>
                <w:color w:val="auto"/>
                <w:kern w:val="0"/>
                <w:szCs w:val="21"/>
                <w:highlight w:val="none"/>
                <w:lang w:bidi="ar"/>
              </w:rPr>
              <w:t>技术参数</w:t>
            </w:r>
          </w:p>
        </w:tc>
        <w:tc>
          <w:tcPr>
            <w:tcW w:w="863" w:type="dxa"/>
            <w:tcBorders>
              <w:top w:val="single" w:color="000000" w:sz="4" w:space="0"/>
              <w:left w:val="single" w:color="000000" w:sz="4" w:space="0"/>
              <w:bottom w:val="single" w:color="000000" w:sz="4" w:space="0"/>
              <w:right w:val="single" w:color="000000" w:sz="4" w:space="0"/>
            </w:tcBorders>
            <w:vAlign w:val="center"/>
          </w:tcPr>
          <w:p w14:paraId="7246F51F">
            <w:pPr>
              <w:widowControl/>
              <w:jc w:val="center"/>
              <w:textAlignment w:val="center"/>
              <w:rPr>
                <w:b/>
                <w:bCs/>
                <w:color w:val="auto"/>
                <w:kern w:val="0"/>
                <w:szCs w:val="21"/>
                <w:highlight w:val="none"/>
                <w:lang w:bidi="ar"/>
              </w:rPr>
            </w:pPr>
            <w:r>
              <w:rPr>
                <w:b/>
                <w:bCs/>
                <w:color w:val="auto"/>
                <w:kern w:val="0"/>
                <w:szCs w:val="21"/>
                <w:highlight w:val="none"/>
                <w:lang w:bidi="ar"/>
              </w:rPr>
              <w:t>投标人响应情况</w:t>
            </w:r>
          </w:p>
        </w:tc>
      </w:tr>
      <w:tr w14:paraId="07D749F2">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416C2339">
            <w:pPr>
              <w:widowControl/>
              <w:jc w:val="center"/>
              <w:textAlignment w:val="center"/>
              <w:rPr>
                <w:color w:val="auto"/>
                <w:kern w:val="0"/>
                <w:sz w:val="18"/>
                <w:szCs w:val="18"/>
                <w:highlight w:val="none"/>
                <w:lang w:bidi="ar"/>
              </w:rPr>
            </w:pPr>
            <w:r>
              <w:rPr>
                <w:b/>
                <w:bCs/>
                <w:color w:val="auto"/>
                <w:kern w:val="0"/>
                <w:sz w:val="20"/>
                <w:szCs w:val="20"/>
                <w:highlight w:val="none"/>
                <w:lang w:bidi="ar"/>
              </w:rPr>
              <w:t>教学智慧触控大屏</w:t>
            </w:r>
          </w:p>
        </w:tc>
        <w:tc>
          <w:tcPr>
            <w:tcW w:w="863" w:type="dxa"/>
            <w:tcBorders>
              <w:top w:val="single" w:color="000000" w:sz="4" w:space="0"/>
              <w:left w:val="single" w:color="000000" w:sz="4" w:space="0"/>
              <w:bottom w:val="single" w:color="000000" w:sz="4" w:space="0"/>
              <w:right w:val="single" w:color="000000" w:sz="4" w:space="0"/>
            </w:tcBorders>
            <w:vAlign w:val="center"/>
          </w:tcPr>
          <w:p w14:paraId="23F94F91">
            <w:pPr>
              <w:widowControl/>
              <w:jc w:val="center"/>
              <w:textAlignment w:val="center"/>
              <w:rPr>
                <w:color w:val="auto"/>
                <w:kern w:val="0"/>
                <w:sz w:val="18"/>
                <w:szCs w:val="18"/>
                <w:highlight w:val="none"/>
                <w:lang w:bidi="ar"/>
              </w:rPr>
            </w:pPr>
          </w:p>
        </w:tc>
      </w:tr>
      <w:tr w14:paraId="344FCDA5">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59557519">
            <w:pPr>
              <w:widowControl/>
              <w:jc w:val="left"/>
              <w:textAlignment w:val="center"/>
              <w:rPr>
                <w:b/>
                <w:bCs/>
                <w:color w:val="auto"/>
                <w:kern w:val="0"/>
                <w:sz w:val="18"/>
                <w:szCs w:val="18"/>
                <w:highlight w:val="none"/>
                <w:lang w:bidi="ar"/>
              </w:rPr>
            </w:pPr>
            <w:r>
              <w:rPr>
                <w:rFonts w:hint="eastAsia"/>
                <w:color w:val="auto"/>
                <w:kern w:val="0"/>
                <w:sz w:val="18"/>
                <w:szCs w:val="18"/>
                <w:highlight w:val="none"/>
                <w:lang w:bidi="ar"/>
              </w:rPr>
              <w:t>1.</w:t>
            </w:r>
            <w:r>
              <w:rPr>
                <w:color w:val="auto"/>
                <w:kern w:val="0"/>
                <w:sz w:val="18"/>
                <w:szCs w:val="18"/>
                <w:highlight w:val="none"/>
                <w:lang w:bidi="ar"/>
              </w:rPr>
              <w:t>整机采用不小于98英寸UHD超高清终端显示设备，显示比例16:9，分辨率不低于3840×2160。</w:t>
            </w:r>
            <w:r>
              <w:rPr>
                <w:color w:val="auto"/>
                <w:kern w:val="0"/>
                <w:sz w:val="18"/>
                <w:szCs w:val="18"/>
                <w:highlight w:val="none"/>
                <w:lang w:bidi="ar"/>
              </w:rPr>
              <w:br w:type="textWrapping"/>
            </w:r>
            <w:r>
              <w:rPr>
                <w:color w:val="auto"/>
                <w:kern w:val="0"/>
                <w:sz w:val="18"/>
                <w:szCs w:val="18"/>
                <w:highlight w:val="none"/>
                <w:lang w:bidi="ar"/>
              </w:rPr>
              <w:t>2.嵌入式系统版本不低于Android 11，内存</w:t>
            </w:r>
            <w:r>
              <w:rPr>
                <w:rFonts w:hint="eastAsia"/>
                <w:color w:val="auto"/>
                <w:kern w:val="0"/>
                <w:sz w:val="18"/>
                <w:szCs w:val="18"/>
                <w:highlight w:val="none"/>
                <w:lang w:bidi="ar"/>
              </w:rPr>
              <w:t>≥</w:t>
            </w:r>
            <w:r>
              <w:rPr>
                <w:color w:val="auto"/>
                <w:kern w:val="0"/>
                <w:sz w:val="18"/>
                <w:szCs w:val="18"/>
                <w:highlight w:val="none"/>
                <w:lang w:bidi="ar"/>
              </w:rPr>
              <w:t>2GB，存储空间</w:t>
            </w:r>
            <w:r>
              <w:rPr>
                <w:rFonts w:hint="eastAsia"/>
                <w:color w:val="auto"/>
                <w:kern w:val="0"/>
                <w:sz w:val="18"/>
                <w:szCs w:val="18"/>
                <w:highlight w:val="none"/>
                <w:lang w:bidi="ar"/>
              </w:rPr>
              <w:t>≥</w:t>
            </w:r>
            <w:r>
              <w:rPr>
                <w:color w:val="auto"/>
                <w:kern w:val="0"/>
                <w:sz w:val="18"/>
                <w:szCs w:val="18"/>
                <w:highlight w:val="none"/>
                <w:lang w:bidi="ar"/>
              </w:rPr>
              <w:t>8GB。</w:t>
            </w:r>
            <w:r>
              <w:rPr>
                <w:b/>
                <w:bCs/>
                <w:color w:val="auto"/>
                <w:kern w:val="0"/>
                <w:sz w:val="18"/>
                <w:szCs w:val="18"/>
                <w:highlight w:val="none"/>
                <w:lang w:bidi="ar"/>
              </w:rPr>
              <w:br w:type="textWrapping"/>
            </w:r>
            <w:r>
              <w:rPr>
                <w:color w:val="auto"/>
                <w:kern w:val="0"/>
                <w:sz w:val="18"/>
                <w:szCs w:val="18"/>
                <w:highlight w:val="none"/>
                <w:lang w:bidi="ar"/>
              </w:rPr>
              <w:t>3.整机能感应并自动调节屏幕亮度来达到在不同光照环境下的不同亮度显示效果，此功能可自行开启或关闭。</w:t>
            </w:r>
            <w:r>
              <w:rPr>
                <w:color w:val="auto"/>
                <w:kern w:val="0"/>
                <w:sz w:val="18"/>
                <w:szCs w:val="18"/>
                <w:highlight w:val="none"/>
                <w:lang w:bidi="ar"/>
              </w:rPr>
              <w:br w:type="textWrapping"/>
            </w:r>
            <w:r>
              <w:rPr>
                <w:color w:val="auto"/>
                <w:kern w:val="0"/>
                <w:sz w:val="18"/>
                <w:szCs w:val="18"/>
                <w:highlight w:val="none"/>
                <w:lang w:bidi="ar"/>
              </w:rPr>
              <w:t>4.整机内置2.1声道扬声器，位于设备下边框，朝前发声，前朝向不小于15W中高音扬声器</w:t>
            </w:r>
            <w:r>
              <w:rPr>
                <w:rFonts w:hint="eastAsia"/>
                <w:color w:val="auto"/>
                <w:kern w:val="0"/>
                <w:sz w:val="18"/>
                <w:szCs w:val="18"/>
                <w:highlight w:val="none"/>
                <w:lang w:bidi="ar"/>
              </w:rPr>
              <w:t>≥</w:t>
            </w:r>
            <w:r>
              <w:rPr>
                <w:color w:val="auto"/>
                <w:kern w:val="0"/>
                <w:sz w:val="18"/>
                <w:szCs w:val="18"/>
                <w:highlight w:val="none"/>
                <w:lang w:bidi="ar"/>
              </w:rPr>
              <w:t>2个，后朝向不小于20W低音扬声器</w:t>
            </w:r>
            <w:r>
              <w:rPr>
                <w:rFonts w:hint="eastAsia"/>
                <w:color w:val="auto"/>
                <w:kern w:val="0"/>
                <w:sz w:val="18"/>
                <w:szCs w:val="18"/>
                <w:highlight w:val="none"/>
                <w:lang w:bidi="ar"/>
              </w:rPr>
              <w:t>≥</w:t>
            </w:r>
            <w:r>
              <w:rPr>
                <w:color w:val="auto"/>
                <w:kern w:val="0"/>
                <w:sz w:val="18"/>
                <w:szCs w:val="18"/>
                <w:highlight w:val="none"/>
                <w:lang w:bidi="ar"/>
              </w:rPr>
              <w:t>1个，额定总功率</w:t>
            </w:r>
            <w:r>
              <w:rPr>
                <w:rFonts w:hint="eastAsia"/>
                <w:color w:val="auto"/>
                <w:kern w:val="0"/>
                <w:sz w:val="18"/>
                <w:szCs w:val="18"/>
                <w:highlight w:val="none"/>
                <w:lang w:bidi="ar"/>
              </w:rPr>
              <w:t>≥</w:t>
            </w:r>
            <w:r>
              <w:rPr>
                <w:color w:val="auto"/>
                <w:kern w:val="0"/>
                <w:sz w:val="18"/>
                <w:szCs w:val="18"/>
                <w:highlight w:val="none"/>
                <w:lang w:bidi="ar"/>
              </w:rPr>
              <w:t>50W。</w:t>
            </w:r>
          </w:p>
          <w:p w14:paraId="551B69E7">
            <w:pPr>
              <w:widowControl/>
              <w:jc w:val="left"/>
              <w:textAlignment w:val="center"/>
              <w:rPr>
                <w:color w:val="auto"/>
                <w:highlight w:val="none"/>
              </w:rPr>
            </w:pPr>
            <w:r>
              <w:rPr>
                <w:rFonts w:hint="eastAsia"/>
                <w:color w:val="auto"/>
                <w:kern w:val="0"/>
                <w:sz w:val="18"/>
                <w:szCs w:val="18"/>
                <w:highlight w:val="none"/>
                <w:lang w:bidi="ar"/>
              </w:rPr>
              <w:t>5.</w:t>
            </w:r>
            <w:r>
              <w:rPr>
                <w:color w:val="auto"/>
                <w:kern w:val="0"/>
                <w:sz w:val="18"/>
                <w:szCs w:val="18"/>
                <w:highlight w:val="none"/>
                <w:lang w:bidi="ar"/>
              </w:rPr>
              <w:t>整机支持高级音效设置，可以调节左右声道平衡；在中低频段125Hz～1KHz，高频段2KHz～16KHz分别有-12dB～12dB范围的调节功能。</w:t>
            </w:r>
          </w:p>
          <w:p w14:paraId="18A89A7F">
            <w:pPr>
              <w:widowControl/>
              <w:jc w:val="left"/>
              <w:textAlignment w:val="center"/>
              <w:rPr>
                <w:color w:val="auto"/>
                <w:kern w:val="0"/>
                <w:sz w:val="18"/>
                <w:szCs w:val="18"/>
                <w:highlight w:val="none"/>
                <w:lang w:bidi="ar"/>
              </w:rPr>
            </w:pPr>
            <w:r>
              <w:rPr>
                <w:rFonts w:hint="eastAsia"/>
                <w:color w:val="auto"/>
                <w:kern w:val="0"/>
                <w:sz w:val="18"/>
                <w:szCs w:val="18"/>
                <w:highlight w:val="none"/>
                <w:lang w:bidi="ar"/>
              </w:rPr>
              <w:t>6.</w:t>
            </w:r>
            <w:r>
              <w:rPr>
                <w:color w:val="auto"/>
                <w:kern w:val="0"/>
                <w:sz w:val="18"/>
                <w:szCs w:val="18"/>
                <w:highlight w:val="none"/>
                <w:lang w:bidi="ar"/>
              </w:rPr>
              <w:t>整机内置非独立外扩展的8阵列麦克风，可用于对教室环境音频进行采集，拾音距离</w:t>
            </w:r>
            <w:r>
              <w:rPr>
                <w:rFonts w:hint="eastAsia"/>
                <w:color w:val="auto"/>
                <w:kern w:val="0"/>
                <w:sz w:val="18"/>
                <w:szCs w:val="18"/>
                <w:highlight w:val="none"/>
                <w:lang w:bidi="ar"/>
              </w:rPr>
              <w:t>≥</w:t>
            </w:r>
            <w:r>
              <w:rPr>
                <w:color w:val="auto"/>
                <w:kern w:val="0"/>
                <w:sz w:val="18"/>
                <w:szCs w:val="18"/>
                <w:highlight w:val="none"/>
                <w:lang w:bidi="ar"/>
              </w:rPr>
              <w:t>12m。</w:t>
            </w:r>
          </w:p>
          <w:p w14:paraId="39E24DE7">
            <w:pPr>
              <w:widowControl/>
              <w:jc w:val="left"/>
              <w:textAlignment w:val="center"/>
              <w:rPr>
                <w:color w:val="auto"/>
                <w:kern w:val="0"/>
                <w:sz w:val="18"/>
                <w:szCs w:val="18"/>
                <w:highlight w:val="none"/>
                <w:lang w:bidi="ar"/>
              </w:rPr>
            </w:pPr>
            <w:r>
              <w:rPr>
                <w:rFonts w:hint="eastAsia"/>
                <w:color w:val="auto"/>
                <w:kern w:val="0"/>
                <w:sz w:val="18"/>
                <w:szCs w:val="18"/>
                <w:highlight w:val="none"/>
                <w:lang w:bidi="ar"/>
              </w:rPr>
              <w:t>▲</w:t>
            </w:r>
            <w:r>
              <w:rPr>
                <w:color w:val="auto"/>
                <w:kern w:val="0"/>
                <w:sz w:val="18"/>
                <w:szCs w:val="18"/>
                <w:highlight w:val="none"/>
                <w:lang w:bidi="ar"/>
              </w:rPr>
              <w:t>7.内置摄像头、麦克风无需外接线材连接，无任何可见外接线材及模块化拼接痕迹，未占用整机设备端口。</w:t>
            </w:r>
            <w:r>
              <w:rPr>
                <w:color w:val="auto"/>
                <w:kern w:val="0"/>
                <w:sz w:val="18"/>
                <w:szCs w:val="18"/>
                <w:highlight w:val="none"/>
                <w:lang w:bidi="ar"/>
              </w:rPr>
              <w:br w:type="textWrapping"/>
            </w:r>
            <w:r>
              <w:rPr>
                <w:color w:val="auto"/>
                <w:kern w:val="0"/>
                <w:sz w:val="18"/>
                <w:szCs w:val="18"/>
                <w:highlight w:val="none"/>
                <w:lang w:bidi="ar"/>
              </w:rPr>
              <w:t>8.支持标准、听力、观影三种音效模式调节。</w:t>
            </w:r>
            <w:r>
              <w:rPr>
                <w:color w:val="auto"/>
                <w:kern w:val="0"/>
                <w:sz w:val="18"/>
                <w:szCs w:val="18"/>
                <w:highlight w:val="none"/>
                <w:lang w:bidi="ar"/>
              </w:rPr>
              <w:br w:type="textWrapping"/>
            </w:r>
            <w:r>
              <w:rPr>
                <w:color w:val="auto"/>
                <w:kern w:val="0"/>
                <w:sz w:val="18"/>
                <w:szCs w:val="18"/>
                <w:highlight w:val="none"/>
                <w:lang w:bidi="ar"/>
              </w:rPr>
              <w:t>9.整机支持色彩空间可选，包含标准模式和sRGB模式，在sRGB模式下可做到高色准</w:t>
            </w:r>
            <w:r>
              <w:rPr>
                <w:rFonts w:ascii="Cambria Math" w:hAnsi="Cambria Math" w:cs="Cambria Math"/>
                <w:color w:val="auto"/>
                <w:kern w:val="0"/>
                <w:sz w:val="18"/>
                <w:szCs w:val="18"/>
                <w:highlight w:val="none"/>
                <w:lang w:bidi="ar"/>
              </w:rPr>
              <w:t>△</w:t>
            </w:r>
            <w:r>
              <w:rPr>
                <w:color w:val="auto"/>
                <w:kern w:val="0"/>
                <w:sz w:val="18"/>
                <w:szCs w:val="18"/>
                <w:highlight w:val="none"/>
                <w:lang w:bidi="ar"/>
              </w:rPr>
              <w:t>E≤1.5。</w:t>
            </w:r>
          </w:p>
          <w:p w14:paraId="5E2D94C6">
            <w:pPr>
              <w:widowControl/>
              <w:jc w:val="left"/>
              <w:textAlignment w:val="center"/>
              <w:rPr>
                <w:color w:val="auto"/>
                <w:kern w:val="0"/>
                <w:sz w:val="18"/>
                <w:szCs w:val="18"/>
                <w:highlight w:val="none"/>
                <w:lang w:bidi="ar"/>
              </w:rPr>
            </w:pPr>
            <w:r>
              <w:rPr>
                <w:rFonts w:hint="eastAsia"/>
                <w:color w:val="auto"/>
                <w:kern w:val="0"/>
                <w:sz w:val="18"/>
                <w:szCs w:val="18"/>
                <w:highlight w:val="none"/>
                <w:lang w:bidi="ar"/>
              </w:rPr>
              <w:t>▲</w:t>
            </w:r>
            <w:r>
              <w:rPr>
                <w:color w:val="auto"/>
                <w:kern w:val="0"/>
                <w:sz w:val="18"/>
                <w:szCs w:val="18"/>
                <w:highlight w:val="none"/>
                <w:lang w:bidi="ar"/>
              </w:rPr>
              <w:t>10.整机支持纸质护眼模式，可以在任意通道任意画面任意软件所有显示内容下实现画面纹理的实时调整；支持纸质纹理：牛皮纸、素描纸、宣纸、水彩纸、水纹纸；支持透明度调节；支持色温调节。</w:t>
            </w:r>
            <w:r>
              <w:rPr>
                <w:color w:val="auto"/>
                <w:kern w:val="0"/>
                <w:sz w:val="18"/>
                <w:szCs w:val="18"/>
                <w:highlight w:val="none"/>
                <w:lang w:bidi="ar"/>
              </w:rPr>
              <w:br w:type="textWrapping"/>
            </w:r>
            <w:r>
              <w:rPr>
                <w:color w:val="auto"/>
                <w:kern w:val="0"/>
                <w:sz w:val="18"/>
                <w:szCs w:val="18"/>
                <w:highlight w:val="none"/>
                <w:lang w:bidi="ar"/>
              </w:rPr>
              <w:t>11.三合一电源按键，同一电源物理按键完成Android系统和Windows系统的开机、节能熄屏、关机操作；关机状态下按按键开机；开机状态下按按键实现节能熄屏/唤醒，长按按键实现关机。</w:t>
            </w:r>
            <w:r>
              <w:rPr>
                <w:color w:val="auto"/>
                <w:kern w:val="0"/>
                <w:sz w:val="18"/>
                <w:szCs w:val="18"/>
                <w:highlight w:val="none"/>
                <w:lang w:bidi="ar"/>
              </w:rPr>
              <w:br w:type="textWrapping"/>
            </w:r>
            <w:r>
              <w:rPr>
                <w:rFonts w:hint="eastAsia"/>
                <w:color w:val="auto"/>
                <w:kern w:val="0"/>
                <w:sz w:val="18"/>
                <w:szCs w:val="18"/>
                <w:highlight w:val="none"/>
                <w:lang w:bidi="ar"/>
              </w:rPr>
              <w:t>▲</w:t>
            </w:r>
            <w:r>
              <w:rPr>
                <w:color w:val="auto"/>
                <w:kern w:val="0"/>
                <w:sz w:val="18"/>
                <w:szCs w:val="18"/>
                <w:highlight w:val="none"/>
                <w:lang w:bidi="ar"/>
              </w:rPr>
              <w:t>12.设备支持自定义前置</w:t>
            </w:r>
            <w:r>
              <w:rPr>
                <w:rFonts w:hint="eastAsia"/>
                <w:color w:val="auto"/>
                <w:kern w:val="0"/>
                <w:sz w:val="18"/>
                <w:szCs w:val="18"/>
                <w:highlight w:val="none"/>
                <w:lang w:bidi="ar"/>
              </w:rPr>
              <w:t>“</w:t>
            </w:r>
            <w:r>
              <w:rPr>
                <w:color w:val="auto"/>
                <w:kern w:val="0"/>
                <w:sz w:val="18"/>
                <w:szCs w:val="18"/>
                <w:highlight w:val="none"/>
                <w:lang w:bidi="ar"/>
              </w:rPr>
              <w:t>设置</w:t>
            </w:r>
            <w:r>
              <w:rPr>
                <w:rFonts w:hint="eastAsia"/>
                <w:color w:val="auto"/>
                <w:kern w:val="0"/>
                <w:sz w:val="18"/>
                <w:szCs w:val="18"/>
                <w:highlight w:val="none"/>
                <w:lang w:bidi="ar"/>
              </w:rPr>
              <w:t>”</w:t>
            </w:r>
            <w:r>
              <w:rPr>
                <w:color w:val="auto"/>
                <w:kern w:val="0"/>
                <w:sz w:val="18"/>
                <w:szCs w:val="18"/>
                <w:highlight w:val="none"/>
                <w:lang w:bidi="ar"/>
              </w:rPr>
              <w:t>按键，可通过自定义设置实现前置面板功能按键一键启用任一全局小工具（批注、截屏、计时、降半屏、放大镜、倒数日、日历）、快捷开关（节能模式、纸质护眼模式、经典护眼模式、自动亮度模式）。</w:t>
            </w:r>
            <w:r>
              <w:rPr>
                <w:b/>
                <w:bCs/>
                <w:color w:val="auto"/>
                <w:kern w:val="0"/>
                <w:sz w:val="18"/>
                <w:szCs w:val="18"/>
                <w:highlight w:val="none"/>
                <w:lang w:bidi="ar"/>
              </w:rPr>
              <w:t>（投标文件中提供具有CMA或CNAS资质的第三方检测机构出具的检测报告复印件，并标注页码）</w:t>
            </w:r>
            <w:r>
              <w:rPr>
                <w:color w:val="auto"/>
                <w:kern w:val="0"/>
                <w:sz w:val="18"/>
                <w:szCs w:val="18"/>
                <w:highlight w:val="none"/>
                <w:lang w:bidi="ar"/>
              </w:rPr>
              <w:br w:type="textWrapping"/>
            </w:r>
            <w:r>
              <w:rPr>
                <w:color w:val="auto"/>
                <w:kern w:val="0"/>
                <w:sz w:val="18"/>
                <w:szCs w:val="18"/>
                <w:highlight w:val="none"/>
                <w:lang w:bidi="ar"/>
              </w:rPr>
              <w:t>13.触摸屏具有防遮挡功能，触摸接收器在单点或多点遮挡后仍能正常书写。</w:t>
            </w:r>
            <w:r>
              <w:rPr>
                <w:color w:val="auto"/>
                <w:kern w:val="0"/>
                <w:sz w:val="18"/>
                <w:szCs w:val="18"/>
                <w:highlight w:val="none"/>
                <w:lang w:bidi="ar"/>
              </w:rPr>
              <w:br w:type="textWrapping"/>
            </w:r>
            <w:r>
              <w:rPr>
                <w:color w:val="auto"/>
                <w:kern w:val="0"/>
                <w:sz w:val="18"/>
                <w:szCs w:val="18"/>
                <w:highlight w:val="none"/>
                <w:lang w:bidi="ar"/>
              </w:rPr>
              <w:t>14.整机支持搭配具有NFC功能的手机、平板，通过接触整机设备上的NFC标签，即可实现手机、平板与大屏的连接并同步手机、平板的画面到设备上，无需其它操作设置，支持不少于4台手机、平板同时连接并显示。</w:t>
            </w:r>
            <w:r>
              <w:rPr>
                <w:color w:val="auto"/>
                <w:kern w:val="0"/>
                <w:sz w:val="18"/>
                <w:szCs w:val="18"/>
                <w:highlight w:val="none"/>
                <w:lang w:bidi="ar"/>
              </w:rPr>
              <w:br w:type="textWrapping"/>
            </w:r>
            <w:r>
              <w:rPr>
                <w:rFonts w:hint="eastAsia"/>
                <w:color w:val="auto"/>
                <w:kern w:val="0"/>
                <w:sz w:val="18"/>
                <w:szCs w:val="18"/>
                <w:highlight w:val="none"/>
                <w:lang w:bidi="ar"/>
              </w:rPr>
              <w:t>▲</w:t>
            </w:r>
            <w:r>
              <w:rPr>
                <w:color w:val="auto"/>
                <w:kern w:val="0"/>
                <w:sz w:val="18"/>
                <w:szCs w:val="18"/>
                <w:highlight w:val="none"/>
                <w:lang w:bidi="ar"/>
              </w:rPr>
              <w:t>15.整机支持蓝牙Bluetooth 5.2标准，Wi-Fi制式支持IEEE 802.11 a/b/g/n/ac/ax；支持版本Wi-Fi6。</w:t>
            </w:r>
            <w:r>
              <w:rPr>
                <w:color w:val="auto"/>
                <w:kern w:val="0"/>
                <w:sz w:val="18"/>
                <w:szCs w:val="18"/>
                <w:highlight w:val="none"/>
                <w:lang w:bidi="ar"/>
              </w:rPr>
              <w:br w:type="textWrapping"/>
            </w:r>
            <w:r>
              <w:rPr>
                <w:color w:val="auto"/>
                <w:kern w:val="0"/>
                <w:sz w:val="18"/>
                <w:szCs w:val="18"/>
                <w:highlight w:val="none"/>
                <w:lang w:bidi="ar"/>
              </w:rPr>
              <w:t>16.整机屏幕触摸有效识别高度不超过3.5mm,即触摸物体距离玻璃外表面高度不超过3.5mm时，触摸屏识别为点击操作。</w:t>
            </w:r>
            <w:r>
              <w:rPr>
                <w:color w:val="auto"/>
                <w:kern w:val="0"/>
                <w:sz w:val="18"/>
                <w:szCs w:val="18"/>
                <w:highlight w:val="none"/>
                <w:lang w:bidi="ar"/>
              </w:rPr>
              <w:br w:type="textWrapping"/>
            </w:r>
            <w:r>
              <w:rPr>
                <w:color w:val="auto"/>
                <w:kern w:val="0"/>
                <w:sz w:val="18"/>
                <w:szCs w:val="18"/>
                <w:highlight w:val="none"/>
                <w:lang w:bidi="ar"/>
              </w:rPr>
              <w:t>17.支持Windows 7、Windows 8、Windows 10、Linux、Mac Os系统外置电脑操作系统接入时，无需安装触摸驱动。</w:t>
            </w:r>
            <w:r>
              <w:rPr>
                <w:color w:val="auto"/>
                <w:kern w:val="0"/>
                <w:sz w:val="18"/>
                <w:szCs w:val="18"/>
                <w:highlight w:val="none"/>
                <w:lang w:bidi="ar"/>
              </w:rPr>
              <w:br w:type="textWrapping"/>
            </w:r>
            <w:r>
              <w:rPr>
                <w:rFonts w:hint="eastAsia"/>
                <w:color w:val="auto"/>
                <w:kern w:val="0"/>
                <w:sz w:val="18"/>
                <w:szCs w:val="18"/>
                <w:highlight w:val="none"/>
                <w:lang w:bidi="ar"/>
              </w:rPr>
              <w:t>▲</w:t>
            </w:r>
            <w:r>
              <w:rPr>
                <w:color w:val="auto"/>
                <w:kern w:val="0"/>
                <w:sz w:val="18"/>
                <w:szCs w:val="18"/>
                <w:highlight w:val="none"/>
                <w:lang w:bidi="ar"/>
              </w:rPr>
              <w:t>18.整机内置非独立摄像头，拍摄照片像素数</w:t>
            </w:r>
            <w:r>
              <w:rPr>
                <w:rFonts w:hint="eastAsia"/>
                <w:color w:val="auto"/>
                <w:kern w:val="0"/>
                <w:sz w:val="18"/>
                <w:szCs w:val="18"/>
                <w:highlight w:val="none"/>
                <w:lang w:bidi="ar"/>
              </w:rPr>
              <w:t>≥</w:t>
            </w:r>
            <w:r>
              <w:rPr>
                <w:color w:val="auto"/>
                <w:kern w:val="0"/>
                <w:sz w:val="18"/>
                <w:szCs w:val="18"/>
                <w:highlight w:val="none"/>
                <w:lang w:bidi="ar"/>
              </w:rPr>
              <w:t>4800万；摄像头视场角</w:t>
            </w:r>
            <w:r>
              <w:rPr>
                <w:rFonts w:hint="eastAsia"/>
                <w:color w:val="auto"/>
                <w:kern w:val="0"/>
                <w:sz w:val="18"/>
                <w:szCs w:val="18"/>
                <w:highlight w:val="none"/>
                <w:lang w:bidi="ar"/>
              </w:rPr>
              <w:t>≥</w:t>
            </w:r>
            <w:r>
              <w:rPr>
                <w:color w:val="auto"/>
                <w:kern w:val="0"/>
                <w:sz w:val="18"/>
                <w:szCs w:val="18"/>
                <w:highlight w:val="none"/>
                <w:lang w:bidi="ar"/>
              </w:rPr>
              <w:t>120度，可用于远程巡课。</w:t>
            </w:r>
          </w:p>
          <w:p w14:paraId="600B7053">
            <w:pPr>
              <w:widowControl/>
              <w:jc w:val="left"/>
              <w:textAlignment w:val="center"/>
              <w:rPr>
                <w:color w:val="auto"/>
                <w:highlight w:val="none"/>
              </w:rPr>
            </w:pPr>
            <w:r>
              <w:rPr>
                <w:rFonts w:hint="eastAsia"/>
                <w:color w:val="auto"/>
                <w:kern w:val="0"/>
                <w:sz w:val="18"/>
                <w:szCs w:val="18"/>
                <w:highlight w:val="none"/>
                <w:lang w:bidi="ar"/>
              </w:rPr>
              <w:t>19.</w:t>
            </w:r>
            <w:r>
              <w:rPr>
                <w:color w:val="auto"/>
                <w:kern w:val="0"/>
                <w:sz w:val="18"/>
                <w:szCs w:val="18"/>
                <w:highlight w:val="none"/>
                <w:lang w:bidi="ar"/>
              </w:rPr>
              <w:t>整机具备前置Type-C接口，通过Type-C接口实现音视频输入，外接电脑设备经双头Type-C线连接至整机，即可把外接电脑设备画面投到整机上，同时在整机上操作画面，可实现触摸电脑的操作，无需再连接触控USB线。</w:t>
            </w:r>
          </w:p>
          <w:p w14:paraId="6B39F617">
            <w:pPr>
              <w:widowControl/>
              <w:jc w:val="left"/>
              <w:textAlignment w:val="center"/>
              <w:rPr>
                <w:color w:val="auto"/>
                <w:highlight w:val="none"/>
              </w:rPr>
            </w:pPr>
            <w:r>
              <w:rPr>
                <w:color w:val="auto"/>
                <w:kern w:val="0"/>
                <w:sz w:val="18"/>
                <w:szCs w:val="18"/>
                <w:highlight w:val="none"/>
                <w:lang w:bidi="ar"/>
              </w:rPr>
              <w:t>20.在任意信号源通道下，支持十指长按屏幕5秒和遥控器两种方式实现触摸锁定及解锁，触摸锁定时整机无法被触控操作。</w:t>
            </w:r>
            <w:r>
              <w:rPr>
                <w:color w:val="auto"/>
                <w:kern w:val="0"/>
                <w:sz w:val="18"/>
                <w:szCs w:val="18"/>
                <w:highlight w:val="none"/>
                <w:lang w:bidi="ar"/>
              </w:rPr>
              <w:br w:type="textWrapping"/>
            </w:r>
            <w:r>
              <w:rPr>
                <w:color w:val="auto"/>
                <w:kern w:val="0"/>
                <w:sz w:val="18"/>
                <w:szCs w:val="18"/>
                <w:highlight w:val="none"/>
                <w:lang w:bidi="ar"/>
              </w:rPr>
              <w:t>21.外接电脑设备连接整机且触摸信号连通时，外接电脑设备可直接读取整机前置USB接口的移动存储设备数据，连接整机前置USB接口的翻页笔和无线键鼠外接设备可直接使用于外接电脑。</w:t>
            </w:r>
          </w:p>
          <w:p w14:paraId="5994F96B">
            <w:pPr>
              <w:widowControl/>
              <w:jc w:val="left"/>
              <w:textAlignment w:val="center"/>
              <w:rPr>
                <w:color w:val="auto"/>
                <w:sz w:val="18"/>
                <w:szCs w:val="18"/>
                <w:highlight w:val="none"/>
              </w:rPr>
            </w:pPr>
            <w:r>
              <w:rPr>
                <w:color w:val="auto"/>
                <w:kern w:val="0"/>
                <w:sz w:val="18"/>
                <w:szCs w:val="18"/>
                <w:highlight w:val="none"/>
                <w:lang w:bidi="ar"/>
              </w:rPr>
              <w:t>22.整机全通道侧边栏快捷菜单中可以实时查看物联设备的连接情况，点击任意一台设备图标即可调出中控菜单进行管控。</w:t>
            </w:r>
            <w:r>
              <w:rPr>
                <w:color w:val="auto"/>
                <w:kern w:val="0"/>
                <w:sz w:val="18"/>
                <w:szCs w:val="18"/>
                <w:highlight w:val="none"/>
                <w:lang w:bidi="ar"/>
              </w:rPr>
              <w:br w:type="textWrapping"/>
            </w:r>
            <w:r>
              <w:rPr>
                <w:color w:val="auto"/>
                <w:kern w:val="0"/>
                <w:sz w:val="18"/>
                <w:szCs w:val="18"/>
                <w:highlight w:val="none"/>
                <w:lang w:bidi="ar"/>
              </w:rPr>
              <w:t>23.内置模块</w:t>
            </w:r>
            <w:r>
              <w:rPr>
                <w:color w:val="auto"/>
                <w:kern w:val="0"/>
                <w:sz w:val="18"/>
                <w:szCs w:val="18"/>
                <w:highlight w:val="none"/>
                <w:lang w:bidi="ar"/>
              </w:rPr>
              <w:br w:type="textWrapping"/>
            </w:r>
            <w:r>
              <w:rPr>
                <w:color w:val="auto"/>
                <w:kern w:val="0"/>
                <w:sz w:val="18"/>
                <w:szCs w:val="18"/>
                <w:highlight w:val="none"/>
                <w:lang w:bidi="ar"/>
              </w:rPr>
              <w:t xml:space="preserve">  23.1.搭载 i5 不低于10代CPU或以上配置。</w:t>
            </w:r>
            <w:r>
              <w:rPr>
                <w:color w:val="auto"/>
                <w:kern w:val="0"/>
                <w:sz w:val="18"/>
                <w:szCs w:val="18"/>
                <w:highlight w:val="none"/>
                <w:lang w:bidi="ar"/>
              </w:rPr>
              <w:br w:type="textWrapping"/>
            </w:r>
            <w:r>
              <w:rPr>
                <w:color w:val="auto"/>
                <w:kern w:val="0"/>
                <w:sz w:val="18"/>
                <w:szCs w:val="18"/>
                <w:highlight w:val="none"/>
                <w:lang w:bidi="ar"/>
              </w:rPr>
              <w:t xml:space="preserve">  23.2.内存8GB DDR4笔记本内存或以上配置。</w:t>
            </w:r>
            <w:r>
              <w:rPr>
                <w:color w:val="auto"/>
                <w:kern w:val="0"/>
                <w:sz w:val="18"/>
                <w:szCs w:val="18"/>
                <w:highlight w:val="none"/>
                <w:lang w:bidi="ar"/>
              </w:rPr>
              <w:br w:type="textWrapping"/>
            </w:r>
            <w:r>
              <w:rPr>
                <w:color w:val="auto"/>
                <w:kern w:val="0"/>
                <w:sz w:val="18"/>
                <w:szCs w:val="18"/>
                <w:highlight w:val="none"/>
                <w:lang w:bidi="ar"/>
              </w:rPr>
              <w:t xml:space="preserve">  23.3.硬盘：256GB或以上SSD固态硬盘。</w:t>
            </w:r>
            <w:r>
              <w:rPr>
                <w:color w:val="auto"/>
                <w:kern w:val="0"/>
                <w:sz w:val="18"/>
                <w:szCs w:val="18"/>
                <w:highlight w:val="none"/>
                <w:lang w:bidi="ar"/>
              </w:rPr>
              <w:br w:type="textWrapping"/>
            </w:r>
            <w:r>
              <w:rPr>
                <w:color w:val="auto"/>
                <w:kern w:val="0"/>
                <w:sz w:val="18"/>
                <w:szCs w:val="18"/>
                <w:highlight w:val="none"/>
                <w:lang w:bidi="ar"/>
              </w:rPr>
              <w:t xml:space="preserve">  23.4.PC模块可抽拉式插入整机，可实现无单独接线的插拔。</w:t>
            </w:r>
            <w:r>
              <w:rPr>
                <w:color w:val="auto"/>
                <w:kern w:val="0"/>
                <w:sz w:val="18"/>
                <w:szCs w:val="18"/>
                <w:highlight w:val="none"/>
                <w:lang w:bidi="ar"/>
              </w:rPr>
              <w:br w:type="textWrapping"/>
            </w:r>
            <w:r>
              <w:rPr>
                <w:color w:val="auto"/>
                <w:kern w:val="0"/>
                <w:sz w:val="18"/>
                <w:szCs w:val="18"/>
                <w:highlight w:val="none"/>
                <w:lang w:bidi="ar"/>
              </w:rPr>
              <w:t xml:space="preserve">  23.5.和整机的连接采用万兆级接口，传输速率</w:t>
            </w:r>
            <w:r>
              <w:rPr>
                <w:rFonts w:hint="eastAsia"/>
                <w:color w:val="auto"/>
                <w:kern w:val="0"/>
                <w:sz w:val="18"/>
                <w:szCs w:val="18"/>
                <w:highlight w:val="none"/>
                <w:lang w:bidi="ar"/>
              </w:rPr>
              <w:t>≥</w:t>
            </w:r>
            <w:r>
              <w:rPr>
                <w:color w:val="auto"/>
                <w:kern w:val="0"/>
                <w:sz w:val="18"/>
                <w:szCs w:val="18"/>
                <w:highlight w:val="none"/>
                <w:lang w:bidi="ar"/>
              </w:rPr>
              <w:t>10Gbps。</w:t>
            </w:r>
            <w:r>
              <w:rPr>
                <w:color w:val="auto"/>
                <w:kern w:val="0"/>
                <w:sz w:val="18"/>
                <w:szCs w:val="18"/>
                <w:highlight w:val="none"/>
                <w:lang w:bidi="ar"/>
              </w:rPr>
              <w:br w:type="textWrapping"/>
            </w:r>
            <w:r>
              <w:rPr>
                <w:color w:val="auto"/>
                <w:kern w:val="0"/>
                <w:sz w:val="18"/>
                <w:szCs w:val="18"/>
                <w:highlight w:val="none"/>
                <w:lang w:bidi="ar"/>
              </w:rPr>
              <w:t xml:space="preserve">  23.6.采用按压式卡扣，无需工具就可快速拆卸电脑模块。同时具有标准PC防盗锁孔。</w:t>
            </w:r>
          </w:p>
        </w:tc>
        <w:tc>
          <w:tcPr>
            <w:tcW w:w="863" w:type="dxa"/>
            <w:tcBorders>
              <w:top w:val="single" w:color="000000" w:sz="4" w:space="0"/>
              <w:left w:val="single" w:color="000000" w:sz="4" w:space="0"/>
              <w:bottom w:val="single" w:color="000000" w:sz="4" w:space="0"/>
              <w:right w:val="single" w:color="000000" w:sz="4" w:space="0"/>
            </w:tcBorders>
            <w:vAlign w:val="center"/>
          </w:tcPr>
          <w:p w14:paraId="58B7766D">
            <w:pPr>
              <w:widowControl/>
              <w:jc w:val="left"/>
              <w:textAlignment w:val="center"/>
              <w:rPr>
                <w:color w:val="auto"/>
                <w:kern w:val="0"/>
                <w:sz w:val="18"/>
                <w:szCs w:val="18"/>
                <w:highlight w:val="none"/>
                <w:lang w:bidi="ar"/>
              </w:rPr>
            </w:pPr>
          </w:p>
        </w:tc>
      </w:tr>
      <w:tr w14:paraId="28617EEE">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74BE4AD3">
            <w:pPr>
              <w:widowControl/>
              <w:jc w:val="center"/>
              <w:textAlignment w:val="center"/>
              <w:rPr>
                <w:color w:val="auto"/>
                <w:kern w:val="0"/>
                <w:sz w:val="18"/>
                <w:szCs w:val="18"/>
                <w:highlight w:val="none"/>
                <w:lang w:bidi="ar"/>
              </w:rPr>
            </w:pPr>
            <w:r>
              <w:rPr>
                <w:b/>
                <w:bCs/>
                <w:color w:val="auto"/>
                <w:kern w:val="0"/>
                <w:sz w:val="20"/>
                <w:szCs w:val="20"/>
                <w:highlight w:val="none"/>
                <w:lang w:bidi="ar"/>
              </w:rPr>
              <w:t>VR大屏展示系统</w:t>
            </w:r>
          </w:p>
        </w:tc>
        <w:tc>
          <w:tcPr>
            <w:tcW w:w="863" w:type="dxa"/>
            <w:tcBorders>
              <w:top w:val="single" w:color="000000" w:sz="4" w:space="0"/>
              <w:left w:val="single" w:color="000000" w:sz="4" w:space="0"/>
              <w:bottom w:val="single" w:color="000000" w:sz="4" w:space="0"/>
              <w:right w:val="single" w:color="000000" w:sz="4" w:space="0"/>
            </w:tcBorders>
            <w:vAlign w:val="center"/>
          </w:tcPr>
          <w:p w14:paraId="426D7791">
            <w:pPr>
              <w:widowControl/>
              <w:jc w:val="left"/>
              <w:textAlignment w:val="center"/>
              <w:rPr>
                <w:color w:val="auto"/>
                <w:kern w:val="0"/>
                <w:sz w:val="18"/>
                <w:szCs w:val="18"/>
                <w:highlight w:val="none"/>
                <w:lang w:bidi="ar"/>
              </w:rPr>
            </w:pPr>
          </w:p>
        </w:tc>
      </w:tr>
      <w:tr w14:paraId="0001B89A">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4E854F58">
            <w:pPr>
              <w:widowControl/>
              <w:jc w:val="left"/>
              <w:textAlignment w:val="center"/>
              <w:rPr>
                <w:color w:val="auto"/>
                <w:sz w:val="18"/>
                <w:szCs w:val="18"/>
                <w:highlight w:val="none"/>
              </w:rPr>
            </w:pPr>
            <w:r>
              <w:rPr>
                <w:rFonts w:hint="eastAsia"/>
                <w:color w:val="auto"/>
                <w:sz w:val="18"/>
                <w:szCs w:val="18"/>
                <w:highlight w:val="none"/>
              </w:rPr>
              <w:t>1.显示尺寸：长</w:t>
            </w:r>
            <w:r>
              <w:rPr>
                <w:rFonts w:hint="eastAsia"/>
                <w:color w:val="auto"/>
                <w:sz w:val="18"/>
                <w:szCs w:val="18"/>
                <w:highlight w:val="none"/>
                <w:lang w:val="en-US" w:eastAsia="zh-CN"/>
              </w:rPr>
              <w:t>度</w:t>
            </w:r>
            <w:r>
              <w:rPr>
                <w:rFonts w:hint="eastAsia"/>
                <w:color w:val="auto"/>
                <w:sz w:val="18"/>
                <w:szCs w:val="18"/>
                <w:highlight w:val="none"/>
              </w:rPr>
              <w:t>≥5.44米</w:t>
            </w:r>
            <w:r>
              <w:rPr>
                <w:rFonts w:hint="eastAsia"/>
                <w:color w:val="auto"/>
                <w:sz w:val="18"/>
                <w:szCs w:val="18"/>
                <w:highlight w:val="none"/>
                <w:lang w:eastAsia="zh-CN"/>
              </w:rPr>
              <w:t>，</w:t>
            </w:r>
            <w:r>
              <w:rPr>
                <w:rFonts w:hint="eastAsia"/>
                <w:color w:val="auto"/>
                <w:sz w:val="18"/>
                <w:szCs w:val="18"/>
                <w:highlight w:val="none"/>
              </w:rPr>
              <w:t>高≥1.92米。</w:t>
            </w:r>
          </w:p>
          <w:p w14:paraId="643D29E2">
            <w:pPr>
              <w:widowControl/>
              <w:jc w:val="left"/>
              <w:textAlignment w:val="center"/>
              <w:rPr>
                <w:color w:val="auto"/>
                <w:sz w:val="18"/>
                <w:szCs w:val="18"/>
                <w:highlight w:val="none"/>
              </w:rPr>
            </w:pPr>
            <w:r>
              <w:rPr>
                <w:rFonts w:hint="eastAsia"/>
                <w:color w:val="auto"/>
                <w:sz w:val="18"/>
                <w:szCs w:val="18"/>
                <w:highlight w:val="none"/>
              </w:rPr>
              <w:t>2.像素构成：表贴三合一1515（1R1G1B）。</w:t>
            </w:r>
          </w:p>
          <w:p w14:paraId="4CAD9505">
            <w:pPr>
              <w:widowControl/>
              <w:jc w:val="left"/>
              <w:textAlignment w:val="center"/>
              <w:rPr>
                <w:color w:val="auto"/>
                <w:sz w:val="18"/>
                <w:szCs w:val="18"/>
                <w:highlight w:val="none"/>
              </w:rPr>
            </w:pPr>
            <w:r>
              <w:rPr>
                <w:rFonts w:hint="eastAsia"/>
                <w:color w:val="auto"/>
                <w:sz w:val="18"/>
                <w:szCs w:val="18"/>
                <w:highlight w:val="none"/>
              </w:rPr>
              <w:t>3.点间距：≤1.86mm。</w:t>
            </w:r>
          </w:p>
          <w:p w14:paraId="39DC533B">
            <w:pPr>
              <w:widowControl/>
              <w:jc w:val="left"/>
              <w:textAlignment w:val="center"/>
              <w:rPr>
                <w:color w:val="auto"/>
                <w:sz w:val="18"/>
                <w:szCs w:val="18"/>
                <w:highlight w:val="none"/>
              </w:rPr>
            </w:pPr>
            <w:r>
              <w:rPr>
                <w:rFonts w:hint="eastAsia"/>
                <w:color w:val="auto"/>
                <w:sz w:val="18"/>
                <w:szCs w:val="18"/>
                <w:highlight w:val="none"/>
              </w:rPr>
              <w:t>▲4.像素密度：≥28</w:t>
            </w:r>
            <w:r>
              <w:rPr>
                <w:rFonts w:hint="eastAsia"/>
                <w:color w:val="auto"/>
                <w:sz w:val="18"/>
                <w:szCs w:val="18"/>
                <w:highlight w:val="none"/>
                <w:lang w:val="en-US" w:eastAsia="zh-CN"/>
              </w:rPr>
              <w:t>5000</w:t>
            </w:r>
            <w:r>
              <w:rPr>
                <w:rFonts w:hint="eastAsia"/>
                <w:color w:val="auto"/>
                <w:sz w:val="18"/>
                <w:szCs w:val="18"/>
                <w:highlight w:val="none"/>
              </w:rPr>
              <w:t>点/㎡。</w:t>
            </w:r>
            <w:r>
              <w:rPr>
                <w:b/>
                <w:bCs/>
                <w:color w:val="auto"/>
                <w:kern w:val="0"/>
                <w:sz w:val="18"/>
                <w:szCs w:val="18"/>
                <w:highlight w:val="none"/>
                <w:lang w:bidi="ar"/>
              </w:rPr>
              <w:t>（投标文件中提供具有CMA或CNAS资质的第三方检测机构出具的检测报告复印件，并标注页码）</w:t>
            </w:r>
          </w:p>
          <w:p w14:paraId="3F123596">
            <w:pPr>
              <w:widowControl/>
              <w:jc w:val="left"/>
              <w:textAlignment w:val="center"/>
              <w:rPr>
                <w:color w:val="auto"/>
                <w:sz w:val="18"/>
                <w:szCs w:val="18"/>
                <w:highlight w:val="none"/>
              </w:rPr>
            </w:pPr>
            <w:r>
              <w:rPr>
                <w:rFonts w:hint="eastAsia"/>
                <w:color w:val="auto"/>
                <w:sz w:val="18"/>
                <w:szCs w:val="18"/>
                <w:highlight w:val="none"/>
              </w:rPr>
              <w:t>5.光学性能：基色主波长误差为C 级 ΔλD≤5，视角（水平、垂直）：170°±5°。</w:t>
            </w:r>
          </w:p>
          <w:p w14:paraId="2D4F99C7">
            <w:pPr>
              <w:widowControl/>
              <w:jc w:val="left"/>
              <w:textAlignment w:val="center"/>
              <w:rPr>
                <w:color w:val="auto"/>
                <w:sz w:val="18"/>
                <w:szCs w:val="18"/>
                <w:highlight w:val="none"/>
              </w:rPr>
            </w:pPr>
            <w:r>
              <w:rPr>
                <w:rFonts w:hint="eastAsia"/>
                <w:color w:val="auto"/>
                <w:sz w:val="18"/>
                <w:szCs w:val="18"/>
                <w:highlight w:val="none"/>
              </w:rPr>
              <w:t>6.最大功耗：≤650W/㎡；平均功耗≤300W/㎡，睡眠模式功率密度≤150W/㎡；能源效率：≥2.4cd/W。</w:t>
            </w:r>
          </w:p>
          <w:p w14:paraId="5536C336">
            <w:pPr>
              <w:widowControl/>
              <w:jc w:val="left"/>
              <w:textAlignment w:val="center"/>
              <w:rPr>
                <w:color w:val="auto"/>
                <w:sz w:val="18"/>
                <w:szCs w:val="18"/>
                <w:highlight w:val="none"/>
              </w:rPr>
            </w:pPr>
            <w:r>
              <w:rPr>
                <w:rFonts w:hint="eastAsia"/>
                <w:color w:val="auto"/>
                <w:sz w:val="18"/>
                <w:szCs w:val="18"/>
                <w:highlight w:val="none"/>
              </w:rPr>
              <w:t xml:space="preserve">▲7.光学特性：亮度均匀性≥98.5%，白场色坐标符合SJ/T 11141-2017 5.10.5规定，亮度鉴别等级：C 级以上，最大对比度：≥8000：1。   </w:t>
            </w:r>
          </w:p>
          <w:p w14:paraId="6F9AD9B6">
            <w:pPr>
              <w:widowControl/>
              <w:jc w:val="left"/>
              <w:textAlignment w:val="center"/>
              <w:rPr>
                <w:color w:val="auto"/>
                <w:sz w:val="18"/>
                <w:szCs w:val="18"/>
                <w:highlight w:val="none"/>
              </w:rPr>
            </w:pPr>
            <w:r>
              <w:rPr>
                <w:rFonts w:hint="eastAsia"/>
                <w:color w:val="auto"/>
                <w:sz w:val="18"/>
                <w:szCs w:val="18"/>
                <w:highlight w:val="none"/>
              </w:rPr>
              <w:t>7.电性能：换帧频率：</w:t>
            </w:r>
            <w:r>
              <w:rPr>
                <w:rFonts w:hint="eastAsia" w:ascii="宋体" w:hAnsi="宋体" w:cs="宋体"/>
                <w:color w:val="auto"/>
                <w:kern w:val="0"/>
                <w:sz w:val="18"/>
                <w:szCs w:val="18"/>
                <w:highlight w:val="none"/>
                <w:lang w:bidi="ar"/>
              </w:rPr>
              <w:t>≥</w:t>
            </w:r>
            <w:r>
              <w:rPr>
                <w:rFonts w:hint="eastAsia"/>
                <w:color w:val="auto"/>
                <w:sz w:val="18"/>
                <w:szCs w:val="18"/>
                <w:highlight w:val="none"/>
              </w:rPr>
              <w:t>60Hz；刷新频率：≥3840Hz；彩色信号处理位数</w:t>
            </w:r>
            <w:r>
              <w:rPr>
                <w:rFonts w:hint="eastAsia" w:ascii="宋体" w:hAnsi="宋体" w:cs="宋体"/>
                <w:color w:val="auto"/>
                <w:kern w:val="0"/>
                <w:sz w:val="18"/>
                <w:szCs w:val="18"/>
                <w:highlight w:val="none"/>
                <w:lang w:bidi="ar"/>
              </w:rPr>
              <w:t>≥</w:t>
            </w:r>
            <w:r>
              <w:rPr>
                <w:rFonts w:hint="eastAsia"/>
                <w:color w:val="auto"/>
                <w:sz w:val="18"/>
                <w:szCs w:val="18"/>
                <w:highlight w:val="none"/>
              </w:rPr>
              <w:t xml:space="preserve">16bit。 </w:t>
            </w:r>
          </w:p>
          <w:p w14:paraId="5F225334">
            <w:pPr>
              <w:widowControl/>
              <w:jc w:val="left"/>
              <w:textAlignment w:val="center"/>
              <w:rPr>
                <w:color w:val="auto"/>
                <w:sz w:val="18"/>
                <w:szCs w:val="18"/>
                <w:highlight w:val="none"/>
              </w:rPr>
            </w:pPr>
            <w:r>
              <w:rPr>
                <w:rFonts w:hint="eastAsia"/>
                <w:color w:val="auto"/>
                <w:sz w:val="18"/>
                <w:szCs w:val="18"/>
                <w:highlight w:val="none"/>
              </w:rPr>
              <w:t>8.电源效率：效率＞90%</w:t>
            </w:r>
          </w:p>
          <w:p w14:paraId="7A5882E6">
            <w:pPr>
              <w:widowControl/>
              <w:jc w:val="left"/>
              <w:textAlignment w:val="center"/>
              <w:rPr>
                <w:color w:val="auto"/>
                <w:sz w:val="18"/>
                <w:szCs w:val="18"/>
                <w:highlight w:val="none"/>
              </w:rPr>
            </w:pPr>
            <w:r>
              <w:rPr>
                <w:rFonts w:hint="eastAsia"/>
                <w:color w:val="auto"/>
                <w:sz w:val="18"/>
                <w:szCs w:val="18"/>
                <w:highlight w:val="none"/>
              </w:rPr>
              <w:t>9.人眼视觉舒适度 VICO 指数≤1。</w:t>
            </w:r>
          </w:p>
          <w:p w14:paraId="4947EEAB">
            <w:pPr>
              <w:widowControl/>
              <w:jc w:val="left"/>
              <w:textAlignment w:val="center"/>
              <w:rPr>
                <w:color w:val="auto"/>
                <w:sz w:val="18"/>
                <w:szCs w:val="18"/>
                <w:highlight w:val="none"/>
              </w:rPr>
            </w:pPr>
            <w:r>
              <w:rPr>
                <w:rFonts w:hint="eastAsia"/>
                <w:color w:val="auto"/>
                <w:sz w:val="18"/>
                <w:szCs w:val="18"/>
                <w:highlight w:val="none"/>
              </w:rPr>
              <w:t>▲10.箱体自检测试：具备箱体开机自检或一键测试的功能。</w:t>
            </w:r>
          </w:p>
          <w:p w14:paraId="5CE02311">
            <w:pPr>
              <w:widowControl/>
              <w:jc w:val="left"/>
              <w:textAlignment w:val="center"/>
              <w:rPr>
                <w:color w:val="auto"/>
                <w:sz w:val="18"/>
                <w:szCs w:val="18"/>
                <w:highlight w:val="none"/>
              </w:rPr>
            </w:pPr>
            <w:r>
              <w:rPr>
                <w:rFonts w:hint="eastAsia"/>
                <w:color w:val="auto"/>
                <w:sz w:val="18"/>
                <w:szCs w:val="18"/>
                <w:highlight w:val="none"/>
              </w:rPr>
              <w:t>11.支持操作系统：应支持Win</w:t>
            </w:r>
            <w:r>
              <w:rPr>
                <w:rFonts w:hint="eastAsia"/>
                <w:color w:val="auto"/>
                <w:sz w:val="18"/>
                <w:szCs w:val="18"/>
                <w:highlight w:val="none"/>
                <w:lang w:val="en-US" w:eastAsia="zh-CN"/>
              </w:rPr>
              <w:t>1</w:t>
            </w:r>
            <w:r>
              <w:rPr>
                <w:rFonts w:hint="eastAsia"/>
                <w:color w:val="auto"/>
                <w:sz w:val="18"/>
                <w:szCs w:val="18"/>
                <w:highlight w:val="none"/>
              </w:rPr>
              <w:t>0、Win1</w:t>
            </w:r>
            <w:r>
              <w:rPr>
                <w:rFonts w:hint="eastAsia"/>
                <w:color w:val="auto"/>
                <w:sz w:val="18"/>
                <w:szCs w:val="18"/>
                <w:highlight w:val="none"/>
                <w:lang w:val="en-US" w:eastAsia="zh-CN"/>
              </w:rPr>
              <w:t>1</w:t>
            </w:r>
            <w:r>
              <w:rPr>
                <w:rFonts w:hint="eastAsia"/>
                <w:color w:val="auto"/>
                <w:sz w:val="18"/>
                <w:szCs w:val="18"/>
                <w:highlight w:val="none"/>
              </w:rPr>
              <w:t xml:space="preserve"> 等主流操作系统。</w:t>
            </w:r>
          </w:p>
          <w:p w14:paraId="54E9DDE6">
            <w:pPr>
              <w:widowControl/>
              <w:jc w:val="left"/>
              <w:textAlignment w:val="center"/>
              <w:rPr>
                <w:strike/>
                <w:color w:val="auto"/>
                <w:sz w:val="18"/>
                <w:szCs w:val="18"/>
                <w:highlight w:val="none"/>
              </w:rPr>
            </w:pPr>
            <w:r>
              <w:rPr>
                <w:rFonts w:hint="eastAsia"/>
                <w:color w:val="auto"/>
                <w:sz w:val="18"/>
                <w:szCs w:val="18"/>
                <w:highlight w:val="none"/>
              </w:rPr>
              <w:t>1</w:t>
            </w:r>
            <w:r>
              <w:rPr>
                <w:rFonts w:hint="eastAsia"/>
                <w:color w:val="auto"/>
                <w:sz w:val="18"/>
                <w:szCs w:val="18"/>
                <w:highlight w:val="none"/>
                <w:lang w:val="en-US" w:eastAsia="zh-CN"/>
              </w:rPr>
              <w:t>2</w:t>
            </w:r>
            <w:r>
              <w:rPr>
                <w:rFonts w:hint="eastAsia"/>
                <w:color w:val="auto"/>
                <w:sz w:val="18"/>
                <w:szCs w:val="18"/>
                <w:highlight w:val="none"/>
              </w:rPr>
              <w:t>.具有除湿功能：长时间没有使用屏体，可以通过屏体控制系统的除湿模式来实现屏体除湿，即使屏体从10%到100%亮度逐级显示，达到排除 LED屏体内部湿气的效果，保护 LED 显示屏。</w:t>
            </w:r>
          </w:p>
          <w:p w14:paraId="1F5830A6">
            <w:pPr>
              <w:widowControl/>
              <w:jc w:val="left"/>
              <w:textAlignment w:val="center"/>
              <w:rPr>
                <w:color w:val="auto"/>
                <w:sz w:val="18"/>
                <w:szCs w:val="18"/>
                <w:highlight w:val="none"/>
              </w:rPr>
            </w:pPr>
            <w:r>
              <w:rPr>
                <w:rFonts w:hint="eastAsia"/>
                <w:color w:val="auto"/>
                <w:sz w:val="18"/>
                <w:szCs w:val="18"/>
                <w:highlight w:val="none"/>
              </w:rPr>
              <w:t>1</w:t>
            </w:r>
            <w:r>
              <w:rPr>
                <w:rFonts w:hint="eastAsia"/>
                <w:color w:val="auto"/>
                <w:sz w:val="18"/>
                <w:szCs w:val="18"/>
                <w:highlight w:val="none"/>
                <w:lang w:val="en-US" w:eastAsia="zh-CN"/>
              </w:rPr>
              <w:t>3</w:t>
            </w:r>
            <w:r>
              <w:rPr>
                <w:rFonts w:hint="eastAsia"/>
                <w:color w:val="auto"/>
                <w:sz w:val="18"/>
                <w:szCs w:val="18"/>
                <w:highlight w:val="none"/>
              </w:rPr>
              <w:t xml:space="preserve">.LED显示屏无蓝光风险危害。                                                                                                                                                            </w:t>
            </w:r>
            <w:r>
              <w:rPr>
                <w:rFonts w:hint="eastAsia"/>
                <w:color w:val="auto"/>
                <w:sz w:val="18"/>
                <w:szCs w:val="18"/>
                <w:highlight w:val="none"/>
                <w:lang w:val="en-US" w:eastAsia="zh-CN"/>
              </w:rPr>
              <w:t>14</w:t>
            </w:r>
            <w:r>
              <w:rPr>
                <w:rFonts w:hint="eastAsia"/>
                <w:color w:val="auto"/>
                <w:sz w:val="18"/>
                <w:szCs w:val="18"/>
                <w:highlight w:val="none"/>
              </w:rPr>
              <w:t>.支持常见的视频接口，包括 1 路 3G-SDI（IN+LOOP），选配，2 路 HDMI1.3，1 路 DVI，支持 3个窗口和1 路 OSD。</w:t>
            </w:r>
          </w:p>
          <w:p w14:paraId="647E3199">
            <w:pPr>
              <w:widowControl/>
              <w:jc w:val="left"/>
              <w:textAlignment w:val="center"/>
              <w:rPr>
                <w:color w:val="auto"/>
                <w:sz w:val="18"/>
                <w:szCs w:val="18"/>
                <w:highlight w:val="none"/>
              </w:rPr>
            </w:pPr>
            <w:r>
              <w:rPr>
                <w:rFonts w:hint="eastAsia"/>
                <w:color w:val="auto"/>
                <w:sz w:val="18"/>
                <w:szCs w:val="18"/>
                <w:highlight w:val="none"/>
                <w:lang w:val="en-US" w:eastAsia="zh-CN"/>
              </w:rPr>
              <w:t>15</w:t>
            </w:r>
            <w:r>
              <w:rPr>
                <w:rFonts w:hint="eastAsia"/>
                <w:color w:val="auto"/>
                <w:sz w:val="18"/>
                <w:szCs w:val="18"/>
                <w:highlight w:val="none"/>
              </w:rPr>
              <w:t>.支持 HDMI、DVI 输入分辨率自定义调节，输入源自定义截取。</w:t>
            </w:r>
          </w:p>
          <w:p w14:paraId="68B87E24">
            <w:pPr>
              <w:widowControl/>
              <w:jc w:val="left"/>
              <w:textAlignment w:val="center"/>
              <w:rPr>
                <w:color w:val="auto"/>
                <w:sz w:val="18"/>
                <w:szCs w:val="18"/>
                <w:highlight w:val="none"/>
              </w:rPr>
            </w:pPr>
            <w:r>
              <w:rPr>
                <w:rFonts w:hint="eastAsia"/>
                <w:color w:val="auto"/>
                <w:sz w:val="18"/>
                <w:szCs w:val="18"/>
                <w:highlight w:val="none"/>
                <w:lang w:val="en-US" w:eastAsia="zh-CN"/>
              </w:rPr>
              <w:t>16</w:t>
            </w:r>
            <w:r>
              <w:rPr>
                <w:rFonts w:hint="eastAsia"/>
                <w:color w:val="auto"/>
                <w:sz w:val="18"/>
                <w:szCs w:val="18"/>
                <w:highlight w:val="none"/>
              </w:rPr>
              <w:t>.视频输出支持6个千兆网口输出，最大带载高达 390 万像素，最宽支持10240，最高8192。1 路 HDMI 1.3 输出接口可用作输出预监或视频输出。</w:t>
            </w:r>
          </w:p>
          <w:p w14:paraId="70E55F41">
            <w:pPr>
              <w:widowControl/>
              <w:jc w:val="left"/>
              <w:textAlignment w:val="center"/>
              <w:rPr>
                <w:rFonts w:hint="eastAsia"/>
                <w:color w:val="auto"/>
                <w:sz w:val="18"/>
                <w:szCs w:val="18"/>
                <w:highlight w:val="none"/>
              </w:rPr>
            </w:pPr>
            <w:r>
              <w:rPr>
                <w:rFonts w:hint="eastAsia"/>
                <w:color w:val="auto"/>
                <w:sz w:val="18"/>
                <w:szCs w:val="18"/>
                <w:highlight w:val="none"/>
                <w:lang w:val="en-US" w:eastAsia="zh-CN"/>
              </w:rPr>
              <w:t>17</w:t>
            </w:r>
            <w:r>
              <w:rPr>
                <w:rFonts w:hint="eastAsia"/>
                <w:color w:val="auto"/>
                <w:sz w:val="18"/>
                <w:szCs w:val="18"/>
                <w:highlight w:val="none"/>
              </w:rPr>
              <w:t>.音频输入输出支持 HDMI 伴随音频输入，支持 3.5mm 独立音频输入，支持 3.5mm 独立音频输出，支持通过多功能卡进行音频输出。</w:t>
            </w:r>
          </w:p>
          <w:p w14:paraId="7439169A">
            <w:pPr>
              <w:pStyle w:val="13"/>
              <w:rPr>
                <w:rFonts w:hint="eastAsia" w:eastAsia="宋体"/>
                <w:color w:val="auto"/>
                <w:highlight w:val="none"/>
                <w:lang w:eastAsia="zh-CN"/>
              </w:rPr>
            </w:pPr>
            <w:r>
              <w:rPr>
                <w:rFonts w:hint="eastAsia"/>
                <w:b/>
                <w:bCs/>
                <w:color w:val="auto"/>
                <w:sz w:val="18"/>
                <w:szCs w:val="18"/>
                <w:highlight w:val="none"/>
                <w:lang w:bidi="ar"/>
              </w:rPr>
              <w:t>▲</w:t>
            </w:r>
            <w:r>
              <w:rPr>
                <w:rFonts w:hint="eastAsia"/>
                <w:b/>
                <w:bCs/>
                <w:color w:val="auto"/>
                <w:sz w:val="18"/>
                <w:szCs w:val="18"/>
                <w:highlight w:val="none"/>
                <w:lang w:val="en-US" w:eastAsia="zh-CN" w:bidi="ar"/>
              </w:rPr>
              <w:t>18.</w:t>
            </w:r>
            <w:r>
              <w:rPr>
                <w:b/>
                <w:bCs/>
                <w:color w:val="auto"/>
                <w:sz w:val="18"/>
                <w:szCs w:val="18"/>
                <w:highlight w:val="none"/>
                <w:lang w:bidi="ar"/>
              </w:rPr>
              <w:t>投标文件中提供具有CMA或CNAS资质的第三方检测机构出具的</w:t>
            </w:r>
            <w:r>
              <w:rPr>
                <w:rFonts w:hint="eastAsia"/>
                <w:b/>
                <w:bCs/>
                <w:color w:val="auto"/>
                <w:sz w:val="18"/>
                <w:szCs w:val="18"/>
                <w:highlight w:val="none"/>
                <w:lang w:bidi="ar"/>
              </w:rPr>
              <w:t>LED显示屏检测合格的</w:t>
            </w:r>
            <w:r>
              <w:rPr>
                <w:b/>
                <w:bCs/>
                <w:color w:val="auto"/>
                <w:sz w:val="18"/>
                <w:szCs w:val="18"/>
                <w:highlight w:val="none"/>
                <w:lang w:bidi="ar"/>
              </w:rPr>
              <w:t>检测报告复印件，并标注页码</w:t>
            </w:r>
            <w:r>
              <w:rPr>
                <w:rFonts w:hint="eastAsia"/>
                <w:b/>
                <w:bCs/>
                <w:color w:val="auto"/>
                <w:sz w:val="18"/>
                <w:szCs w:val="18"/>
                <w:highlight w:val="none"/>
                <w:lang w:eastAsia="zh-CN" w:bidi="ar"/>
              </w:rPr>
              <w:t>。</w:t>
            </w:r>
          </w:p>
        </w:tc>
        <w:tc>
          <w:tcPr>
            <w:tcW w:w="863" w:type="dxa"/>
            <w:tcBorders>
              <w:top w:val="single" w:color="000000" w:sz="4" w:space="0"/>
              <w:left w:val="single" w:color="000000" w:sz="4" w:space="0"/>
              <w:bottom w:val="single" w:color="000000" w:sz="4" w:space="0"/>
              <w:right w:val="single" w:color="000000" w:sz="4" w:space="0"/>
            </w:tcBorders>
            <w:vAlign w:val="center"/>
          </w:tcPr>
          <w:p w14:paraId="1262A471">
            <w:pPr>
              <w:widowControl/>
              <w:jc w:val="left"/>
              <w:textAlignment w:val="center"/>
              <w:rPr>
                <w:color w:val="auto"/>
                <w:kern w:val="0"/>
                <w:sz w:val="18"/>
                <w:szCs w:val="18"/>
                <w:highlight w:val="none"/>
                <w:lang w:bidi="ar"/>
              </w:rPr>
            </w:pPr>
          </w:p>
        </w:tc>
      </w:tr>
      <w:tr w14:paraId="2B4FD80D">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5E77A125">
            <w:pPr>
              <w:widowControl/>
              <w:jc w:val="center"/>
              <w:textAlignment w:val="center"/>
              <w:rPr>
                <w:color w:val="auto"/>
                <w:sz w:val="18"/>
                <w:szCs w:val="18"/>
                <w:highlight w:val="none"/>
              </w:rPr>
            </w:pPr>
            <w:r>
              <w:rPr>
                <w:rFonts w:hint="eastAsia"/>
                <w:b/>
                <w:bCs/>
                <w:color w:val="auto"/>
                <w:kern w:val="0"/>
                <w:sz w:val="20"/>
                <w:szCs w:val="20"/>
                <w:highlight w:val="none"/>
                <w:lang w:bidi="ar"/>
              </w:rPr>
              <w:t>3D眼镜</w:t>
            </w:r>
          </w:p>
        </w:tc>
        <w:tc>
          <w:tcPr>
            <w:tcW w:w="863" w:type="dxa"/>
            <w:tcBorders>
              <w:top w:val="single" w:color="000000" w:sz="4" w:space="0"/>
              <w:left w:val="single" w:color="000000" w:sz="4" w:space="0"/>
              <w:bottom w:val="single" w:color="000000" w:sz="4" w:space="0"/>
              <w:right w:val="single" w:color="000000" w:sz="4" w:space="0"/>
            </w:tcBorders>
            <w:vAlign w:val="center"/>
          </w:tcPr>
          <w:p w14:paraId="4D86C345">
            <w:pPr>
              <w:widowControl/>
              <w:jc w:val="left"/>
              <w:textAlignment w:val="center"/>
              <w:rPr>
                <w:color w:val="auto"/>
                <w:kern w:val="0"/>
                <w:sz w:val="18"/>
                <w:szCs w:val="18"/>
                <w:highlight w:val="none"/>
                <w:lang w:bidi="ar"/>
              </w:rPr>
            </w:pPr>
          </w:p>
        </w:tc>
      </w:tr>
      <w:tr w14:paraId="5B2CEE45">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8C78126">
            <w:pPr>
              <w:widowControl/>
              <w:jc w:val="left"/>
              <w:textAlignment w:val="center"/>
              <w:rPr>
                <w:color w:val="auto"/>
                <w:kern w:val="0"/>
                <w:sz w:val="18"/>
                <w:szCs w:val="18"/>
                <w:highlight w:val="none"/>
                <w:lang w:bidi="ar"/>
              </w:rPr>
            </w:pPr>
            <w:r>
              <w:rPr>
                <w:rFonts w:hint="eastAsia"/>
                <w:b/>
                <w:bCs/>
                <w:color w:val="auto"/>
                <w:kern w:val="0"/>
                <w:sz w:val="18"/>
                <w:szCs w:val="18"/>
                <w:highlight w:val="none"/>
                <w:lang w:bidi="ar"/>
              </w:rPr>
              <w:t xml:space="preserve">一、3D眼镜发射器  </w:t>
            </w:r>
            <w:r>
              <w:rPr>
                <w:rFonts w:hint="eastAsia"/>
                <w:color w:val="auto"/>
                <w:kern w:val="0"/>
                <w:sz w:val="18"/>
                <w:szCs w:val="18"/>
                <w:highlight w:val="none"/>
                <w:lang w:bidi="ar"/>
              </w:rPr>
              <w:t xml:space="preserve">                                                                                                                                                                          1.信号方式：2.4G射频发射，带10DB天线。                                                                                                                                                       2.工作模式：解码并发射同步信号。                                                                                                                                                             3.供电模式：设备信号输出端口输出5V电压。                                                                                                                                                       4.帧频：50-600HZ。                                                                                                                                                                                  5.附带RF发射天线一个。                                                                                                                                                                       6.发射距离：80-100m。                                                                                                                                                                        7.匹配数量：最大支持1000人的信号有效覆盖。                                                                                                                                            </w:t>
            </w:r>
            <w:r>
              <w:rPr>
                <w:rFonts w:hint="eastAsia"/>
                <w:b/>
                <w:bCs/>
                <w:color w:val="auto"/>
                <w:kern w:val="0"/>
                <w:sz w:val="18"/>
                <w:szCs w:val="18"/>
                <w:highlight w:val="none"/>
                <w:lang w:bidi="ar"/>
              </w:rPr>
              <w:t xml:space="preserve">二、3D眼镜 </w:t>
            </w:r>
            <w:r>
              <w:rPr>
                <w:rFonts w:hint="eastAsia"/>
                <w:color w:val="auto"/>
                <w:kern w:val="0"/>
                <w:sz w:val="18"/>
                <w:szCs w:val="18"/>
                <w:highlight w:val="none"/>
                <w:lang w:bidi="ar"/>
              </w:rPr>
              <w:t xml:space="preserve">                                                                                                                                                                                  1.工作方式：液晶主动快门式。</w:t>
            </w:r>
          </w:p>
          <w:p w14:paraId="63F4B1F0">
            <w:pPr>
              <w:widowControl/>
              <w:jc w:val="left"/>
              <w:textAlignment w:val="center"/>
              <w:rPr>
                <w:color w:val="auto"/>
                <w:kern w:val="0"/>
                <w:sz w:val="18"/>
                <w:szCs w:val="18"/>
                <w:highlight w:val="none"/>
                <w:lang w:bidi="ar"/>
              </w:rPr>
            </w:pPr>
            <w:r>
              <w:rPr>
                <w:rFonts w:hint="eastAsia"/>
                <w:color w:val="auto"/>
                <w:kern w:val="0"/>
                <w:sz w:val="18"/>
                <w:szCs w:val="18"/>
                <w:highlight w:val="none"/>
                <w:lang w:bidi="ar"/>
              </w:rPr>
              <w:t>2.场频：96-480Hz</w:t>
            </w:r>
          </w:p>
          <w:p w14:paraId="5229459E">
            <w:pPr>
              <w:widowControl/>
              <w:jc w:val="left"/>
              <w:textAlignment w:val="center"/>
              <w:rPr>
                <w:color w:val="auto"/>
                <w:kern w:val="0"/>
                <w:sz w:val="18"/>
                <w:szCs w:val="18"/>
                <w:highlight w:val="none"/>
                <w:lang w:bidi="ar"/>
              </w:rPr>
            </w:pPr>
            <w:r>
              <w:rPr>
                <w:rFonts w:hint="eastAsia"/>
                <w:color w:val="auto"/>
                <w:kern w:val="0"/>
                <w:sz w:val="18"/>
                <w:szCs w:val="18"/>
                <w:highlight w:val="none"/>
                <w:lang w:bidi="ar"/>
              </w:rPr>
              <w:t>3.镜片透过率度：40±2%</w:t>
            </w:r>
          </w:p>
          <w:p w14:paraId="7B648DF4">
            <w:pPr>
              <w:widowControl/>
              <w:jc w:val="left"/>
              <w:textAlignment w:val="center"/>
              <w:rPr>
                <w:color w:val="auto"/>
                <w:kern w:val="0"/>
                <w:sz w:val="18"/>
                <w:szCs w:val="18"/>
                <w:highlight w:val="none"/>
                <w:lang w:bidi="ar"/>
              </w:rPr>
            </w:pPr>
            <w:r>
              <w:rPr>
                <w:rFonts w:hint="eastAsia"/>
                <w:color w:val="auto"/>
                <w:kern w:val="0"/>
                <w:sz w:val="18"/>
                <w:szCs w:val="18"/>
                <w:highlight w:val="none"/>
                <w:lang w:bidi="ar"/>
              </w:rPr>
              <w:t>4.对比度：1:1200</w:t>
            </w:r>
          </w:p>
          <w:p w14:paraId="720EF160">
            <w:pPr>
              <w:widowControl/>
              <w:jc w:val="left"/>
              <w:textAlignment w:val="center"/>
              <w:rPr>
                <w:strike/>
                <w:color w:val="auto"/>
                <w:kern w:val="0"/>
                <w:sz w:val="18"/>
                <w:szCs w:val="18"/>
                <w:highlight w:val="none"/>
                <w:lang w:bidi="ar"/>
              </w:rPr>
            </w:pPr>
            <w:r>
              <w:rPr>
                <w:rFonts w:hint="eastAsia"/>
                <w:color w:val="auto"/>
                <w:kern w:val="0"/>
                <w:sz w:val="18"/>
                <w:szCs w:val="18"/>
                <w:highlight w:val="none"/>
                <w:lang w:bidi="ar"/>
              </w:rPr>
              <w:t>5.电池类型：内在锂电池。</w:t>
            </w:r>
          </w:p>
          <w:p w14:paraId="71EA1FAD">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6</w:t>
            </w:r>
            <w:r>
              <w:rPr>
                <w:rFonts w:hint="eastAsia"/>
                <w:color w:val="auto"/>
                <w:kern w:val="0"/>
                <w:sz w:val="18"/>
                <w:szCs w:val="18"/>
                <w:highlight w:val="none"/>
                <w:lang w:bidi="ar"/>
              </w:rPr>
              <w:t>.传输方式：RF无线传输。</w:t>
            </w:r>
          </w:p>
          <w:p w14:paraId="74DE24AD">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7</w:t>
            </w:r>
            <w:r>
              <w:rPr>
                <w:rFonts w:hint="eastAsia"/>
                <w:color w:val="auto"/>
                <w:kern w:val="0"/>
                <w:sz w:val="18"/>
                <w:szCs w:val="18"/>
                <w:highlight w:val="none"/>
                <w:lang w:bidi="ar"/>
              </w:rPr>
              <w:t>.连续工作时间：充满一次电可连续40小时。</w:t>
            </w:r>
          </w:p>
          <w:p w14:paraId="42AFCCC8">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8</w:t>
            </w:r>
            <w:r>
              <w:rPr>
                <w:rFonts w:hint="eastAsia"/>
                <w:color w:val="auto"/>
                <w:kern w:val="0"/>
                <w:sz w:val="18"/>
                <w:szCs w:val="18"/>
                <w:highlight w:val="none"/>
                <w:lang w:bidi="ar"/>
              </w:rPr>
              <w:t>.响应时间：≤1.5ms</w:t>
            </w:r>
          </w:p>
          <w:p w14:paraId="1B0785B4">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9</w:t>
            </w:r>
            <w:r>
              <w:rPr>
                <w:rFonts w:hint="eastAsia"/>
                <w:color w:val="auto"/>
                <w:kern w:val="0"/>
                <w:sz w:val="18"/>
                <w:szCs w:val="18"/>
                <w:highlight w:val="none"/>
                <w:lang w:bidi="ar"/>
              </w:rPr>
              <w:t>.电源开关总次数：大于5000次。</w:t>
            </w:r>
          </w:p>
          <w:p w14:paraId="3F98CA7F">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10.</w:t>
            </w:r>
            <w:r>
              <w:rPr>
                <w:rFonts w:hint="eastAsia"/>
                <w:color w:val="auto"/>
                <w:kern w:val="0"/>
                <w:sz w:val="18"/>
                <w:szCs w:val="18"/>
                <w:highlight w:val="none"/>
                <w:lang w:bidi="ar"/>
              </w:rPr>
              <w:t>.耳柄张合次数：大于10000次。</w:t>
            </w:r>
          </w:p>
          <w:p w14:paraId="66F7A8BF">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11.</w:t>
            </w:r>
            <w:r>
              <w:rPr>
                <w:rFonts w:hint="eastAsia"/>
                <w:color w:val="auto"/>
                <w:kern w:val="0"/>
                <w:sz w:val="18"/>
                <w:szCs w:val="18"/>
                <w:highlight w:val="none"/>
                <w:lang w:bidi="ar"/>
              </w:rPr>
              <w:t>模式：96~144HZ左右格式，上下格式，帧顺序列的3D片源。</w:t>
            </w:r>
          </w:p>
          <w:p w14:paraId="39CA38ED">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12.</w:t>
            </w:r>
            <w:r>
              <w:rPr>
                <w:rFonts w:hint="eastAsia"/>
                <w:color w:val="auto"/>
                <w:kern w:val="0"/>
                <w:sz w:val="18"/>
                <w:szCs w:val="18"/>
                <w:highlight w:val="none"/>
                <w:lang w:bidi="ar"/>
              </w:rPr>
              <w:t>接收距离：配不同的天线，最远支持100米。</w:t>
            </w:r>
          </w:p>
        </w:tc>
        <w:tc>
          <w:tcPr>
            <w:tcW w:w="863" w:type="dxa"/>
            <w:tcBorders>
              <w:top w:val="single" w:color="000000" w:sz="4" w:space="0"/>
              <w:left w:val="single" w:color="000000" w:sz="4" w:space="0"/>
              <w:bottom w:val="single" w:color="000000" w:sz="4" w:space="0"/>
              <w:right w:val="single" w:color="000000" w:sz="4" w:space="0"/>
            </w:tcBorders>
            <w:vAlign w:val="center"/>
          </w:tcPr>
          <w:p w14:paraId="357FA557">
            <w:pPr>
              <w:widowControl/>
              <w:jc w:val="left"/>
              <w:textAlignment w:val="center"/>
              <w:rPr>
                <w:color w:val="auto"/>
                <w:kern w:val="0"/>
                <w:sz w:val="18"/>
                <w:szCs w:val="18"/>
                <w:highlight w:val="none"/>
                <w:lang w:bidi="ar"/>
              </w:rPr>
            </w:pPr>
          </w:p>
        </w:tc>
      </w:tr>
      <w:tr w14:paraId="65F8DD53">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50C97FE6">
            <w:pPr>
              <w:widowControl/>
              <w:jc w:val="center"/>
              <w:textAlignment w:val="center"/>
              <w:rPr>
                <w:color w:val="auto"/>
                <w:kern w:val="0"/>
                <w:sz w:val="18"/>
                <w:szCs w:val="18"/>
                <w:highlight w:val="none"/>
                <w:lang w:bidi="ar"/>
              </w:rPr>
            </w:pPr>
            <w:r>
              <w:rPr>
                <w:b/>
                <w:bCs/>
                <w:color w:val="auto"/>
                <w:kern w:val="0"/>
                <w:sz w:val="20"/>
                <w:szCs w:val="20"/>
                <w:highlight w:val="none"/>
                <w:lang w:bidi="ar"/>
              </w:rPr>
              <w:t>音响系统</w:t>
            </w:r>
          </w:p>
        </w:tc>
        <w:tc>
          <w:tcPr>
            <w:tcW w:w="863" w:type="dxa"/>
            <w:tcBorders>
              <w:top w:val="single" w:color="000000" w:sz="4" w:space="0"/>
              <w:left w:val="single" w:color="000000" w:sz="4" w:space="0"/>
              <w:bottom w:val="single" w:color="000000" w:sz="4" w:space="0"/>
              <w:right w:val="single" w:color="000000" w:sz="4" w:space="0"/>
            </w:tcBorders>
            <w:vAlign w:val="center"/>
          </w:tcPr>
          <w:p w14:paraId="582987D4">
            <w:pPr>
              <w:widowControl/>
              <w:jc w:val="left"/>
              <w:textAlignment w:val="center"/>
              <w:rPr>
                <w:color w:val="auto"/>
                <w:kern w:val="0"/>
                <w:sz w:val="18"/>
                <w:szCs w:val="18"/>
                <w:highlight w:val="none"/>
                <w:lang w:bidi="ar"/>
              </w:rPr>
            </w:pPr>
          </w:p>
        </w:tc>
      </w:tr>
      <w:tr w14:paraId="464B0683">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11AC82F">
            <w:pPr>
              <w:widowControl/>
              <w:jc w:val="left"/>
              <w:textAlignment w:val="center"/>
              <w:rPr>
                <w:b/>
                <w:bCs/>
                <w:color w:val="auto"/>
                <w:kern w:val="0"/>
                <w:sz w:val="18"/>
                <w:szCs w:val="18"/>
                <w:highlight w:val="none"/>
                <w:lang w:bidi="ar"/>
              </w:rPr>
            </w:pPr>
            <w:r>
              <w:rPr>
                <w:rFonts w:hint="eastAsia"/>
                <w:b/>
                <w:bCs/>
                <w:color w:val="auto"/>
                <w:kern w:val="0"/>
                <w:sz w:val="18"/>
                <w:szCs w:val="18"/>
                <w:highlight w:val="none"/>
                <w:lang w:bidi="ar"/>
              </w:rPr>
              <w:t>一、智能音频处理和传输主机</w:t>
            </w:r>
          </w:p>
          <w:p w14:paraId="79731D19">
            <w:pPr>
              <w:widowControl/>
              <w:jc w:val="left"/>
              <w:textAlignment w:val="center"/>
              <w:rPr>
                <w:color w:val="auto"/>
                <w:kern w:val="0"/>
                <w:sz w:val="18"/>
                <w:szCs w:val="18"/>
                <w:highlight w:val="none"/>
                <w:lang w:bidi="ar"/>
              </w:rPr>
            </w:pPr>
            <w:r>
              <w:rPr>
                <w:color w:val="auto"/>
                <w:kern w:val="0"/>
                <w:sz w:val="18"/>
                <w:szCs w:val="18"/>
                <w:highlight w:val="none"/>
                <w:lang w:bidi="ar"/>
              </w:rPr>
              <w:t>1.采用2.4G数字无线模块。</w:t>
            </w:r>
            <w:r>
              <w:rPr>
                <w:color w:val="auto"/>
                <w:kern w:val="0"/>
                <w:sz w:val="18"/>
                <w:szCs w:val="18"/>
                <w:highlight w:val="none"/>
                <w:lang w:bidi="ar"/>
              </w:rPr>
              <w:br w:type="textWrapping"/>
            </w:r>
            <w:r>
              <w:rPr>
                <w:color w:val="auto"/>
                <w:kern w:val="0"/>
                <w:sz w:val="18"/>
                <w:szCs w:val="18"/>
                <w:highlight w:val="none"/>
                <w:lang w:bidi="ar"/>
              </w:rPr>
              <w:t>2.前面板带VA显示屏</w:t>
            </w:r>
            <w:r>
              <w:rPr>
                <w:rFonts w:hint="eastAsia"/>
                <w:color w:val="auto"/>
                <w:kern w:val="0"/>
                <w:sz w:val="18"/>
                <w:szCs w:val="18"/>
                <w:highlight w:val="none"/>
                <w:lang w:bidi="ar"/>
              </w:rPr>
              <w:t>，</w:t>
            </w:r>
            <w:r>
              <w:rPr>
                <w:color w:val="auto"/>
                <w:kern w:val="0"/>
                <w:sz w:val="18"/>
                <w:szCs w:val="18"/>
                <w:highlight w:val="none"/>
                <w:lang w:bidi="ar"/>
              </w:rPr>
              <w:t>可显示分组、频段、信号接收等信息。</w:t>
            </w:r>
            <w:r>
              <w:rPr>
                <w:color w:val="auto"/>
                <w:kern w:val="0"/>
                <w:sz w:val="18"/>
                <w:szCs w:val="18"/>
                <w:highlight w:val="none"/>
                <w:lang w:bidi="ar"/>
              </w:rPr>
              <w:br w:type="textWrapping"/>
            </w:r>
            <w:r>
              <w:rPr>
                <w:color w:val="auto"/>
                <w:kern w:val="0"/>
                <w:sz w:val="18"/>
                <w:szCs w:val="18"/>
                <w:highlight w:val="none"/>
                <w:lang w:bidi="ar"/>
              </w:rPr>
              <w:t>3.内置无线接收模块，数字调节分组、频段，人工设定分组36个，任意与同品牌无线麦克风进行匹配使用，自主传输协议。</w:t>
            </w:r>
            <w:r>
              <w:rPr>
                <w:color w:val="auto"/>
                <w:kern w:val="0"/>
                <w:sz w:val="18"/>
                <w:szCs w:val="18"/>
                <w:highlight w:val="none"/>
                <w:lang w:bidi="ar"/>
              </w:rPr>
              <w:br w:type="textWrapping"/>
            </w:r>
            <w:r>
              <w:rPr>
                <w:color w:val="auto"/>
                <w:kern w:val="0"/>
                <w:sz w:val="18"/>
                <w:szCs w:val="18"/>
                <w:highlight w:val="none"/>
                <w:lang w:bidi="ar"/>
              </w:rPr>
              <w:t>4.双声道定阻数字功放；功率2*80W，阻抗4Ω，峰值2*150W；</w:t>
            </w:r>
            <w:r>
              <w:rPr>
                <w:color w:val="auto"/>
                <w:kern w:val="0"/>
                <w:sz w:val="18"/>
                <w:szCs w:val="18"/>
                <w:highlight w:val="none"/>
                <w:lang w:bidi="ar"/>
              </w:rPr>
              <w:br w:type="textWrapping"/>
            </w:r>
            <w:r>
              <w:rPr>
                <w:color w:val="auto"/>
                <w:kern w:val="0"/>
                <w:sz w:val="18"/>
                <w:szCs w:val="18"/>
                <w:highlight w:val="none"/>
                <w:lang w:bidi="ar"/>
              </w:rPr>
              <w:t>5.两路话筒输入，二路线路输入、一路音频输出。</w:t>
            </w:r>
            <w:r>
              <w:rPr>
                <w:color w:val="auto"/>
                <w:kern w:val="0"/>
                <w:sz w:val="18"/>
                <w:szCs w:val="18"/>
                <w:highlight w:val="none"/>
                <w:lang w:bidi="ar"/>
              </w:rPr>
              <w:br w:type="textWrapping"/>
            </w:r>
            <w:r>
              <w:rPr>
                <w:color w:val="auto"/>
                <w:kern w:val="0"/>
                <w:sz w:val="18"/>
                <w:szCs w:val="18"/>
                <w:highlight w:val="none"/>
                <w:lang w:bidi="ar"/>
              </w:rPr>
              <w:t>6.内置数字无线话筒接收模块，可同时接收两路无线麦克风同时在线讲话，相互不干扰。</w:t>
            </w:r>
            <w:r>
              <w:rPr>
                <w:color w:val="auto"/>
                <w:kern w:val="0"/>
                <w:sz w:val="18"/>
                <w:szCs w:val="18"/>
                <w:highlight w:val="none"/>
                <w:lang w:bidi="ar"/>
              </w:rPr>
              <w:br w:type="textWrapping"/>
            </w:r>
            <w:r>
              <w:rPr>
                <w:color w:val="auto"/>
                <w:kern w:val="0"/>
                <w:sz w:val="18"/>
                <w:szCs w:val="18"/>
                <w:highlight w:val="none"/>
                <w:lang w:bidi="ar"/>
              </w:rPr>
              <w:t>7.话筒及线路输入通道音量独立调节。</w:t>
            </w:r>
            <w:r>
              <w:rPr>
                <w:color w:val="auto"/>
                <w:kern w:val="0"/>
                <w:sz w:val="18"/>
                <w:szCs w:val="18"/>
                <w:highlight w:val="none"/>
                <w:lang w:bidi="ar"/>
              </w:rPr>
              <w:br w:type="textWrapping"/>
            </w:r>
            <w:r>
              <w:rPr>
                <w:color w:val="auto"/>
                <w:kern w:val="0"/>
                <w:sz w:val="18"/>
                <w:szCs w:val="18"/>
                <w:highlight w:val="none"/>
                <w:lang w:bidi="ar"/>
              </w:rPr>
              <w:t>8.话筒及线路高音、低音独立调节。</w:t>
            </w:r>
            <w:r>
              <w:rPr>
                <w:color w:val="auto"/>
                <w:kern w:val="0"/>
                <w:sz w:val="18"/>
                <w:szCs w:val="18"/>
                <w:highlight w:val="none"/>
                <w:lang w:bidi="ar"/>
              </w:rPr>
              <w:br w:type="textWrapping"/>
            </w:r>
            <w:r>
              <w:rPr>
                <w:color w:val="auto"/>
                <w:kern w:val="0"/>
                <w:sz w:val="18"/>
                <w:szCs w:val="18"/>
                <w:highlight w:val="none"/>
                <w:lang w:bidi="ar"/>
              </w:rPr>
              <w:t>9.数字调节对频距离：可进行0-80级数字化自主调节无线话筒与主机对频距离。</w:t>
            </w:r>
            <w:r>
              <w:rPr>
                <w:color w:val="auto"/>
                <w:kern w:val="0"/>
                <w:sz w:val="18"/>
                <w:szCs w:val="18"/>
                <w:highlight w:val="none"/>
                <w:lang w:bidi="ar"/>
              </w:rPr>
              <w:br w:type="textWrapping"/>
            </w:r>
            <w:r>
              <w:rPr>
                <w:color w:val="auto"/>
                <w:kern w:val="0"/>
                <w:sz w:val="18"/>
                <w:szCs w:val="18"/>
                <w:highlight w:val="none"/>
                <w:lang w:bidi="ar"/>
              </w:rPr>
              <w:t>10.具有完善的输出短路保护和超温保护功能。</w:t>
            </w:r>
            <w:r>
              <w:rPr>
                <w:color w:val="auto"/>
                <w:kern w:val="0"/>
                <w:sz w:val="18"/>
                <w:szCs w:val="18"/>
                <w:highlight w:val="none"/>
                <w:lang w:bidi="ar"/>
              </w:rPr>
              <w:br w:type="textWrapping"/>
            </w:r>
            <w:r>
              <w:rPr>
                <w:color w:val="auto"/>
                <w:kern w:val="0"/>
                <w:sz w:val="18"/>
                <w:szCs w:val="18"/>
                <w:highlight w:val="none"/>
                <w:lang w:bidi="ar"/>
              </w:rPr>
              <w:t>11.SMT贴片生产工艺；保障长期工作稳定可靠。</w:t>
            </w:r>
            <w:r>
              <w:rPr>
                <w:color w:val="auto"/>
                <w:kern w:val="0"/>
                <w:sz w:val="18"/>
                <w:szCs w:val="18"/>
                <w:highlight w:val="none"/>
                <w:lang w:bidi="ar"/>
              </w:rPr>
              <w:br w:type="textWrapping"/>
            </w:r>
            <w:r>
              <w:rPr>
                <w:color w:val="auto"/>
                <w:kern w:val="0"/>
                <w:sz w:val="18"/>
                <w:szCs w:val="18"/>
                <w:highlight w:val="none"/>
                <w:lang w:bidi="ar"/>
              </w:rPr>
              <w:t>12.原声呈现：频率响应：16Hz-20KHz ±3dB</w:t>
            </w:r>
            <w:r>
              <w:rPr>
                <w:rFonts w:hint="eastAsia"/>
                <w:color w:val="auto"/>
                <w:kern w:val="0"/>
                <w:sz w:val="18"/>
                <w:szCs w:val="18"/>
                <w:highlight w:val="none"/>
                <w:lang w:bidi="ar"/>
              </w:rPr>
              <w:t>，</w:t>
            </w:r>
            <w:r>
              <w:rPr>
                <w:color w:val="auto"/>
                <w:kern w:val="0"/>
                <w:sz w:val="18"/>
                <w:szCs w:val="18"/>
                <w:highlight w:val="none"/>
                <w:lang w:bidi="ar"/>
              </w:rPr>
              <w:t>失真度</w:t>
            </w:r>
            <w:r>
              <w:rPr>
                <w:rFonts w:hint="eastAsia"/>
                <w:color w:val="auto"/>
                <w:kern w:val="0"/>
                <w:sz w:val="18"/>
                <w:szCs w:val="18"/>
                <w:highlight w:val="none"/>
                <w:lang w:bidi="ar"/>
              </w:rPr>
              <w:t>：</w:t>
            </w:r>
            <w:r>
              <w:rPr>
                <w:color w:val="auto"/>
                <w:kern w:val="0"/>
                <w:sz w:val="18"/>
                <w:szCs w:val="18"/>
                <w:highlight w:val="none"/>
                <w:lang w:bidi="ar"/>
              </w:rPr>
              <w:t>&lt;0.01%</w:t>
            </w:r>
            <w:r>
              <w:rPr>
                <w:color w:val="auto"/>
                <w:kern w:val="0"/>
                <w:sz w:val="18"/>
                <w:szCs w:val="18"/>
                <w:highlight w:val="none"/>
                <w:lang w:bidi="ar"/>
              </w:rPr>
              <w:br w:type="textWrapping"/>
            </w:r>
            <w:r>
              <w:rPr>
                <w:color w:val="auto"/>
                <w:kern w:val="0"/>
                <w:sz w:val="18"/>
                <w:szCs w:val="18"/>
                <w:highlight w:val="none"/>
                <w:lang w:bidi="ar"/>
              </w:rPr>
              <w:t>13.信噪比</w:t>
            </w:r>
            <w:r>
              <w:rPr>
                <w:rFonts w:hint="eastAsia"/>
                <w:color w:val="auto"/>
                <w:kern w:val="0"/>
                <w:sz w:val="18"/>
                <w:szCs w:val="18"/>
                <w:highlight w:val="none"/>
                <w:lang w:bidi="ar"/>
              </w:rPr>
              <w:t>：≥</w:t>
            </w:r>
            <w:r>
              <w:rPr>
                <w:color w:val="auto"/>
                <w:kern w:val="0"/>
                <w:sz w:val="18"/>
                <w:szCs w:val="18"/>
                <w:highlight w:val="none"/>
                <w:lang w:bidi="ar"/>
              </w:rPr>
              <w:t>-103dB</w:t>
            </w:r>
            <w:r>
              <w:rPr>
                <w:color w:val="auto"/>
                <w:kern w:val="0"/>
                <w:sz w:val="18"/>
                <w:szCs w:val="18"/>
                <w:highlight w:val="none"/>
                <w:lang w:bidi="ar"/>
              </w:rPr>
              <w:br w:type="textWrapping"/>
            </w:r>
            <w:r>
              <w:rPr>
                <w:color w:val="auto"/>
                <w:kern w:val="0"/>
                <w:sz w:val="18"/>
                <w:szCs w:val="18"/>
                <w:highlight w:val="none"/>
                <w:lang w:bidi="ar"/>
              </w:rPr>
              <w:t>14.音频输入灵敏度</w:t>
            </w:r>
            <w:r>
              <w:rPr>
                <w:rFonts w:hint="eastAsia"/>
                <w:color w:val="auto"/>
                <w:kern w:val="0"/>
                <w:sz w:val="18"/>
                <w:szCs w:val="18"/>
                <w:highlight w:val="none"/>
                <w:lang w:bidi="ar"/>
              </w:rPr>
              <w:t>：≥</w:t>
            </w:r>
            <w:r>
              <w:rPr>
                <w:color w:val="auto"/>
                <w:kern w:val="0"/>
                <w:sz w:val="18"/>
                <w:szCs w:val="18"/>
                <w:highlight w:val="none"/>
                <w:lang w:bidi="ar"/>
              </w:rPr>
              <w:t>0.70V/50KΩ</w:t>
            </w:r>
            <w:r>
              <w:rPr>
                <w:color w:val="auto"/>
                <w:kern w:val="0"/>
                <w:sz w:val="18"/>
                <w:szCs w:val="18"/>
                <w:highlight w:val="none"/>
                <w:lang w:bidi="ar"/>
              </w:rPr>
              <w:br w:type="textWrapping"/>
            </w:r>
            <w:r>
              <w:rPr>
                <w:color w:val="auto"/>
                <w:kern w:val="0"/>
                <w:sz w:val="18"/>
                <w:szCs w:val="18"/>
                <w:highlight w:val="none"/>
                <w:lang w:bidi="ar"/>
              </w:rPr>
              <w:t>15.麦克风输入灵敏度</w:t>
            </w:r>
            <w:r>
              <w:rPr>
                <w:rFonts w:hint="eastAsia"/>
                <w:color w:val="auto"/>
                <w:kern w:val="0"/>
                <w:sz w:val="18"/>
                <w:szCs w:val="18"/>
                <w:highlight w:val="none"/>
                <w:lang w:bidi="ar"/>
              </w:rPr>
              <w:t>：≥</w:t>
            </w:r>
            <w:r>
              <w:rPr>
                <w:color w:val="auto"/>
                <w:kern w:val="0"/>
                <w:sz w:val="18"/>
                <w:szCs w:val="18"/>
                <w:highlight w:val="none"/>
                <w:lang w:bidi="ar"/>
              </w:rPr>
              <w:t>0.5-100MV/2KΩ</w:t>
            </w:r>
            <w:r>
              <w:rPr>
                <w:color w:val="auto"/>
                <w:kern w:val="0"/>
                <w:sz w:val="18"/>
                <w:szCs w:val="18"/>
                <w:highlight w:val="none"/>
                <w:lang w:bidi="ar"/>
              </w:rPr>
              <w:br w:type="textWrapping"/>
            </w:r>
            <w:r>
              <w:rPr>
                <w:rFonts w:hint="eastAsia"/>
                <w:color w:val="auto"/>
                <w:kern w:val="0"/>
                <w:sz w:val="18"/>
                <w:szCs w:val="18"/>
                <w:highlight w:val="none"/>
                <w:lang w:bidi="ar"/>
              </w:rPr>
              <w:t>16.内置智能教学辅音控制系统。</w:t>
            </w:r>
          </w:p>
          <w:p w14:paraId="5E15736F">
            <w:pPr>
              <w:widowControl/>
              <w:jc w:val="left"/>
              <w:textAlignment w:val="center"/>
              <w:rPr>
                <w:b/>
                <w:bCs/>
                <w:color w:val="auto"/>
                <w:kern w:val="0"/>
                <w:sz w:val="18"/>
                <w:szCs w:val="18"/>
                <w:highlight w:val="none"/>
                <w:lang w:bidi="ar"/>
              </w:rPr>
            </w:pPr>
            <w:r>
              <w:rPr>
                <w:rFonts w:hint="eastAsia"/>
                <w:b/>
                <w:bCs/>
                <w:color w:val="auto"/>
                <w:kern w:val="0"/>
                <w:sz w:val="18"/>
                <w:szCs w:val="18"/>
                <w:highlight w:val="none"/>
                <w:lang w:bidi="ar"/>
              </w:rPr>
              <w:t>二、智能收音系统</w:t>
            </w:r>
          </w:p>
          <w:p w14:paraId="7A735A1D">
            <w:pPr>
              <w:widowControl/>
              <w:jc w:val="left"/>
              <w:textAlignment w:val="center"/>
              <w:rPr>
                <w:color w:val="auto"/>
                <w:kern w:val="0"/>
                <w:sz w:val="18"/>
                <w:szCs w:val="18"/>
                <w:highlight w:val="none"/>
                <w:lang w:bidi="ar"/>
              </w:rPr>
            </w:pPr>
            <w:r>
              <w:rPr>
                <w:color w:val="auto"/>
                <w:kern w:val="0"/>
                <w:sz w:val="18"/>
                <w:szCs w:val="18"/>
                <w:highlight w:val="none"/>
                <w:lang w:bidi="ar"/>
              </w:rPr>
              <w:t>1.金属拉丝表面处理；带屏显功能，可显示频道、音量、电池电量等信息。</w:t>
            </w:r>
            <w:r>
              <w:rPr>
                <w:color w:val="auto"/>
                <w:kern w:val="0"/>
                <w:sz w:val="18"/>
                <w:szCs w:val="18"/>
                <w:highlight w:val="none"/>
                <w:lang w:bidi="ar"/>
              </w:rPr>
              <w:br w:type="textWrapping"/>
            </w:r>
            <w:r>
              <w:rPr>
                <w:color w:val="auto"/>
                <w:kern w:val="0"/>
                <w:sz w:val="18"/>
                <w:szCs w:val="18"/>
                <w:highlight w:val="none"/>
                <w:lang w:bidi="ar"/>
              </w:rPr>
              <w:t>2.传输方式：2.4G无线射频；频率范围:2400-2483MHZ</w:t>
            </w:r>
            <w:r>
              <w:rPr>
                <w:color w:val="auto"/>
                <w:kern w:val="0"/>
                <w:sz w:val="18"/>
                <w:szCs w:val="18"/>
                <w:highlight w:val="none"/>
                <w:lang w:bidi="ar"/>
              </w:rPr>
              <w:br w:type="textWrapping"/>
            </w:r>
            <w:r>
              <w:rPr>
                <w:color w:val="auto"/>
                <w:kern w:val="0"/>
                <w:sz w:val="18"/>
                <w:szCs w:val="18"/>
                <w:highlight w:val="none"/>
                <w:lang w:bidi="ar"/>
              </w:rPr>
              <w:t>3.连续使用时间</w:t>
            </w:r>
            <w:r>
              <w:rPr>
                <w:rFonts w:hint="eastAsia"/>
                <w:color w:val="auto"/>
                <w:kern w:val="0"/>
                <w:sz w:val="18"/>
                <w:szCs w:val="18"/>
                <w:highlight w:val="none"/>
                <w:lang w:bidi="ar"/>
              </w:rPr>
              <w:t>≥</w:t>
            </w:r>
            <w:r>
              <w:rPr>
                <w:color w:val="auto"/>
                <w:kern w:val="0"/>
                <w:sz w:val="18"/>
                <w:szCs w:val="18"/>
                <w:highlight w:val="none"/>
                <w:lang w:bidi="ar"/>
              </w:rPr>
              <w:t>8小时。</w:t>
            </w:r>
            <w:r>
              <w:rPr>
                <w:color w:val="auto"/>
                <w:kern w:val="0"/>
                <w:sz w:val="18"/>
                <w:szCs w:val="18"/>
                <w:highlight w:val="none"/>
                <w:lang w:bidi="ar"/>
              </w:rPr>
              <w:br w:type="textWrapping"/>
            </w:r>
            <w:r>
              <w:rPr>
                <w:color w:val="auto"/>
                <w:kern w:val="0"/>
                <w:sz w:val="18"/>
                <w:szCs w:val="18"/>
                <w:highlight w:val="none"/>
                <w:lang w:bidi="ar"/>
              </w:rPr>
              <w:t>4.TYPE-C的5V/1A接口充电，充电时间</w:t>
            </w:r>
            <w:r>
              <w:rPr>
                <w:rFonts w:hint="eastAsia"/>
                <w:color w:val="auto"/>
                <w:kern w:val="0"/>
                <w:sz w:val="18"/>
                <w:szCs w:val="18"/>
                <w:highlight w:val="none"/>
                <w:lang w:bidi="ar"/>
              </w:rPr>
              <w:t>≥</w:t>
            </w:r>
            <w:r>
              <w:rPr>
                <w:color w:val="auto"/>
                <w:kern w:val="0"/>
                <w:sz w:val="18"/>
                <w:szCs w:val="18"/>
                <w:highlight w:val="none"/>
                <w:lang w:bidi="ar"/>
              </w:rPr>
              <w:t>2小时。</w:t>
            </w:r>
            <w:r>
              <w:rPr>
                <w:color w:val="auto"/>
                <w:kern w:val="0"/>
                <w:sz w:val="18"/>
                <w:szCs w:val="18"/>
                <w:highlight w:val="none"/>
                <w:lang w:bidi="ar"/>
              </w:rPr>
              <w:br w:type="textWrapping"/>
            </w:r>
            <w:r>
              <w:rPr>
                <w:color w:val="auto"/>
                <w:kern w:val="0"/>
                <w:sz w:val="18"/>
                <w:szCs w:val="18"/>
                <w:highlight w:val="none"/>
                <w:lang w:bidi="ar"/>
              </w:rPr>
              <w:t>5.频响：40Hz-18KHz</w:t>
            </w:r>
            <w:r>
              <w:rPr>
                <w:color w:val="auto"/>
                <w:kern w:val="0"/>
                <w:sz w:val="18"/>
                <w:szCs w:val="18"/>
                <w:highlight w:val="none"/>
                <w:lang w:bidi="ar"/>
              </w:rPr>
              <w:br w:type="textWrapping"/>
            </w:r>
            <w:r>
              <w:rPr>
                <w:color w:val="auto"/>
                <w:kern w:val="0"/>
                <w:sz w:val="18"/>
                <w:szCs w:val="18"/>
                <w:highlight w:val="none"/>
                <w:lang w:bidi="ar"/>
              </w:rPr>
              <w:t>6.信噪比：95dB（±2dB）</w:t>
            </w:r>
            <w:r>
              <w:rPr>
                <w:color w:val="auto"/>
                <w:kern w:val="0"/>
                <w:sz w:val="18"/>
                <w:szCs w:val="18"/>
                <w:highlight w:val="none"/>
                <w:lang w:bidi="ar"/>
              </w:rPr>
              <w:br w:type="textWrapping"/>
            </w:r>
            <w:r>
              <w:rPr>
                <w:color w:val="auto"/>
                <w:kern w:val="0"/>
                <w:sz w:val="18"/>
                <w:szCs w:val="18"/>
                <w:highlight w:val="none"/>
                <w:lang w:bidi="ar"/>
              </w:rPr>
              <w:t>7.内置2.4G发射天线组，传输距离：</w:t>
            </w:r>
            <w:r>
              <w:rPr>
                <w:rFonts w:hint="eastAsia"/>
                <w:color w:val="auto"/>
                <w:kern w:val="0"/>
                <w:sz w:val="18"/>
                <w:szCs w:val="18"/>
                <w:highlight w:val="none"/>
                <w:lang w:bidi="ar"/>
              </w:rPr>
              <w:t>≥</w:t>
            </w:r>
            <w:r>
              <w:rPr>
                <w:color w:val="auto"/>
                <w:kern w:val="0"/>
                <w:sz w:val="18"/>
                <w:szCs w:val="18"/>
                <w:highlight w:val="none"/>
                <w:lang w:bidi="ar"/>
              </w:rPr>
              <w:t>80米（空旷地）。</w:t>
            </w:r>
            <w:r>
              <w:rPr>
                <w:color w:val="auto"/>
                <w:kern w:val="0"/>
                <w:sz w:val="18"/>
                <w:szCs w:val="18"/>
                <w:highlight w:val="none"/>
                <w:lang w:bidi="ar"/>
              </w:rPr>
              <w:br w:type="textWrapping"/>
            </w:r>
            <w:r>
              <w:rPr>
                <w:color w:val="auto"/>
                <w:kern w:val="0"/>
                <w:sz w:val="18"/>
                <w:szCs w:val="18"/>
                <w:highlight w:val="none"/>
                <w:lang w:bidi="ar"/>
              </w:rPr>
              <w:t>8.音频延时：≤6ms</w:t>
            </w:r>
            <w:r>
              <w:rPr>
                <w:color w:val="auto"/>
                <w:kern w:val="0"/>
                <w:sz w:val="18"/>
                <w:szCs w:val="18"/>
                <w:highlight w:val="none"/>
                <w:lang w:bidi="ar"/>
              </w:rPr>
              <w:br w:type="textWrapping"/>
            </w:r>
            <w:r>
              <w:rPr>
                <w:color w:val="auto"/>
                <w:kern w:val="0"/>
                <w:sz w:val="18"/>
                <w:szCs w:val="18"/>
                <w:highlight w:val="none"/>
                <w:lang w:bidi="ar"/>
              </w:rPr>
              <w:t>9.有一键开关机、一键静音功能。</w:t>
            </w:r>
            <w:r>
              <w:rPr>
                <w:color w:val="auto"/>
                <w:kern w:val="0"/>
                <w:sz w:val="18"/>
                <w:szCs w:val="18"/>
                <w:highlight w:val="none"/>
                <w:lang w:bidi="ar"/>
              </w:rPr>
              <w:br w:type="textWrapping"/>
            </w:r>
            <w:r>
              <w:rPr>
                <w:rFonts w:hint="eastAsia"/>
                <w:b/>
                <w:bCs/>
                <w:color w:val="auto"/>
                <w:kern w:val="0"/>
                <w:sz w:val="18"/>
                <w:szCs w:val="18"/>
                <w:highlight w:val="none"/>
                <w:lang w:bidi="ar"/>
              </w:rPr>
              <w:t>三、180度发声面声源</w:t>
            </w:r>
          </w:p>
          <w:p w14:paraId="290CF873">
            <w:pPr>
              <w:widowControl/>
              <w:jc w:val="left"/>
              <w:textAlignment w:val="center"/>
              <w:rPr>
                <w:color w:val="auto"/>
                <w:highlight w:val="none"/>
              </w:rPr>
            </w:pPr>
            <w:r>
              <w:rPr>
                <w:color w:val="auto"/>
                <w:kern w:val="0"/>
                <w:sz w:val="18"/>
                <w:szCs w:val="18"/>
                <w:highlight w:val="none"/>
                <w:lang w:bidi="ar"/>
              </w:rPr>
              <w:t>1.180度发声：180度特殊发声面声源</w:t>
            </w:r>
            <w:r>
              <w:rPr>
                <w:rFonts w:hint="eastAsia"/>
                <w:color w:val="auto"/>
                <w:kern w:val="0"/>
                <w:sz w:val="18"/>
                <w:szCs w:val="18"/>
                <w:highlight w:val="none"/>
                <w:lang w:bidi="ar"/>
              </w:rPr>
              <w:t>，</w:t>
            </w:r>
            <w:r>
              <w:rPr>
                <w:color w:val="auto"/>
                <w:kern w:val="0"/>
                <w:sz w:val="18"/>
                <w:szCs w:val="18"/>
                <w:highlight w:val="none"/>
                <w:lang w:bidi="ar"/>
              </w:rPr>
              <w:t>声源指向性角度 0°-180°差值小于 6dB</w:t>
            </w:r>
            <w:r>
              <w:rPr>
                <w:rFonts w:hint="eastAsia"/>
                <w:color w:val="auto"/>
                <w:kern w:val="0"/>
                <w:sz w:val="18"/>
                <w:szCs w:val="18"/>
                <w:highlight w:val="none"/>
                <w:lang w:bidi="ar"/>
              </w:rPr>
              <w:t>，</w:t>
            </w:r>
            <w:r>
              <w:rPr>
                <w:color w:val="auto"/>
                <w:kern w:val="0"/>
                <w:sz w:val="18"/>
                <w:szCs w:val="18"/>
                <w:highlight w:val="none"/>
                <w:lang w:bidi="ar"/>
              </w:rPr>
              <w:t>发声面板图案可自由定制。</w:t>
            </w:r>
            <w:r>
              <w:rPr>
                <w:b/>
                <w:bCs/>
                <w:color w:val="auto"/>
                <w:kern w:val="0"/>
                <w:sz w:val="18"/>
                <w:szCs w:val="18"/>
                <w:highlight w:val="none"/>
                <w:lang w:bidi="ar"/>
              </w:rPr>
              <w:t>（投标文件中提供具有CMA或CNAS资质的第三方检测机构出具的检测报告复印件，并标注页码）</w:t>
            </w:r>
            <w:r>
              <w:rPr>
                <w:color w:val="auto"/>
                <w:kern w:val="0"/>
                <w:sz w:val="18"/>
                <w:szCs w:val="18"/>
                <w:highlight w:val="none"/>
                <w:lang w:bidi="ar"/>
              </w:rPr>
              <w:br w:type="textWrapping"/>
            </w:r>
            <w:r>
              <w:rPr>
                <w:color w:val="auto"/>
                <w:kern w:val="0"/>
                <w:sz w:val="18"/>
                <w:szCs w:val="18"/>
                <w:highlight w:val="none"/>
                <w:lang w:bidi="ar"/>
              </w:rPr>
              <w:t>2.声场均衡度：平均声压值偏差应≤12dB(A)。</w:t>
            </w:r>
            <w:r>
              <w:rPr>
                <w:b/>
                <w:bCs/>
                <w:color w:val="auto"/>
                <w:kern w:val="0"/>
                <w:sz w:val="18"/>
                <w:szCs w:val="18"/>
                <w:highlight w:val="none"/>
                <w:lang w:bidi="ar"/>
              </w:rPr>
              <w:t>（投标文件中提供具有CMA或CNAS资质的第三方检测机构出具的检测报告复印件，并标注页码）</w:t>
            </w:r>
          </w:p>
          <w:p w14:paraId="2615E830">
            <w:pPr>
              <w:widowControl/>
              <w:jc w:val="left"/>
              <w:textAlignment w:val="center"/>
              <w:rPr>
                <w:b/>
                <w:bCs/>
                <w:color w:val="auto"/>
                <w:kern w:val="0"/>
                <w:sz w:val="18"/>
                <w:szCs w:val="18"/>
                <w:highlight w:val="none"/>
                <w:lang w:bidi="ar"/>
              </w:rPr>
            </w:pPr>
            <w:r>
              <w:rPr>
                <w:rFonts w:hint="eastAsia"/>
                <w:color w:val="auto"/>
                <w:kern w:val="0"/>
                <w:sz w:val="18"/>
                <w:szCs w:val="18"/>
                <w:highlight w:val="none"/>
                <w:lang w:bidi="ar"/>
              </w:rPr>
              <w:t>3.</w:t>
            </w:r>
            <w:r>
              <w:rPr>
                <w:color w:val="auto"/>
                <w:kern w:val="0"/>
                <w:sz w:val="18"/>
                <w:szCs w:val="18"/>
                <w:highlight w:val="none"/>
                <w:lang w:bidi="ar"/>
              </w:rPr>
              <w:t>物理发声：物理发声应不损伤听觉神经和耳膜，最大声音的频率在 20-20kHz 范围内，最大幅值应小于 80dB(A）。</w:t>
            </w:r>
            <w:r>
              <w:rPr>
                <w:b/>
                <w:bCs/>
                <w:color w:val="auto"/>
                <w:kern w:val="0"/>
                <w:sz w:val="18"/>
                <w:szCs w:val="18"/>
                <w:highlight w:val="none"/>
                <w:lang w:bidi="ar"/>
              </w:rPr>
              <w:t>（投标文件中提供具有CMA或CNAS资质的第三方检测机构出具的检测报告复印件，并标注页码）</w:t>
            </w:r>
          </w:p>
          <w:p w14:paraId="18B153CD">
            <w:pPr>
              <w:widowControl/>
              <w:jc w:val="left"/>
              <w:textAlignment w:val="center"/>
              <w:rPr>
                <w:color w:val="auto"/>
                <w:sz w:val="18"/>
                <w:szCs w:val="18"/>
                <w:highlight w:val="none"/>
              </w:rPr>
            </w:pPr>
            <w:r>
              <w:rPr>
                <w:color w:val="auto"/>
                <w:kern w:val="0"/>
                <w:sz w:val="18"/>
                <w:szCs w:val="18"/>
                <w:highlight w:val="none"/>
                <w:lang w:bidi="ar"/>
              </w:rPr>
              <w:t>4.定制精密共振马达阻抗：4欧+4欧。</w:t>
            </w:r>
            <w:r>
              <w:rPr>
                <w:color w:val="auto"/>
                <w:kern w:val="0"/>
                <w:sz w:val="18"/>
                <w:szCs w:val="18"/>
                <w:highlight w:val="none"/>
                <w:lang w:bidi="ar"/>
              </w:rPr>
              <w:br w:type="textWrapping"/>
            </w:r>
            <w:r>
              <w:rPr>
                <w:color w:val="auto"/>
                <w:kern w:val="0"/>
                <w:sz w:val="18"/>
                <w:szCs w:val="18"/>
                <w:highlight w:val="none"/>
                <w:lang w:bidi="ar"/>
              </w:rPr>
              <w:t>5.最大功率：</w:t>
            </w:r>
            <w:r>
              <w:rPr>
                <w:rFonts w:hint="eastAsia" w:ascii="宋体" w:hAnsi="宋体" w:cs="宋体"/>
                <w:color w:val="auto"/>
                <w:kern w:val="0"/>
                <w:sz w:val="18"/>
                <w:szCs w:val="18"/>
                <w:highlight w:val="none"/>
                <w:lang w:bidi="ar"/>
              </w:rPr>
              <w:t>≥</w:t>
            </w:r>
            <w:r>
              <w:rPr>
                <w:color w:val="auto"/>
                <w:kern w:val="0"/>
                <w:sz w:val="18"/>
                <w:szCs w:val="18"/>
                <w:highlight w:val="none"/>
                <w:lang w:bidi="ar"/>
              </w:rPr>
              <w:t>50W</w:t>
            </w:r>
            <w:r>
              <w:rPr>
                <w:color w:val="auto"/>
                <w:kern w:val="0"/>
                <w:sz w:val="18"/>
                <w:szCs w:val="18"/>
                <w:highlight w:val="none"/>
                <w:lang w:bidi="ar"/>
              </w:rPr>
              <w:br w:type="textWrapping"/>
            </w:r>
            <w:r>
              <w:rPr>
                <w:color w:val="auto"/>
                <w:kern w:val="0"/>
                <w:sz w:val="18"/>
                <w:szCs w:val="18"/>
                <w:highlight w:val="none"/>
                <w:lang w:bidi="ar"/>
              </w:rPr>
              <w:t>6.频率响应：60Hz-18kHz</w:t>
            </w:r>
            <w:r>
              <w:rPr>
                <w:color w:val="auto"/>
                <w:kern w:val="0"/>
                <w:sz w:val="18"/>
                <w:szCs w:val="18"/>
                <w:highlight w:val="none"/>
                <w:lang w:bidi="ar"/>
              </w:rPr>
              <w:br w:type="textWrapping"/>
            </w:r>
            <w:r>
              <w:rPr>
                <w:color w:val="auto"/>
                <w:kern w:val="0"/>
                <w:sz w:val="18"/>
                <w:szCs w:val="18"/>
                <w:highlight w:val="none"/>
                <w:lang w:bidi="ar"/>
              </w:rPr>
              <w:t>7.灵敏度：</w:t>
            </w:r>
            <w:r>
              <w:rPr>
                <w:rFonts w:hint="eastAsia" w:ascii="宋体" w:hAnsi="宋体" w:cs="宋体"/>
                <w:color w:val="auto"/>
                <w:kern w:val="0"/>
                <w:sz w:val="18"/>
                <w:szCs w:val="18"/>
                <w:highlight w:val="none"/>
                <w:lang w:bidi="ar"/>
              </w:rPr>
              <w:t>≥</w:t>
            </w:r>
            <w:r>
              <w:rPr>
                <w:color w:val="auto"/>
                <w:kern w:val="0"/>
                <w:sz w:val="18"/>
                <w:szCs w:val="18"/>
                <w:highlight w:val="none"/>
                <w:lang w:bidi="ar"/>
              </w:rPr>
              <w:t>90dB</w:t>
            </w:r>
            <w:r>
              <w:rPr>
                <w:color w:val="auto"/>
                <w:kern w:val="0"/>
                <w:sz w:val="18"/>
                <w:szCs w:val="18"/>
                <w:highlight w:val="none"/>
                <w:lang w:bidi="ar"/>
              </w:rPr>
              <w:br w:type="textWrapping"/>
            </w:r>
            <w:r>
              <w:rPr>
                <w:color w:val="auto"/>
                <w:kern w:val="0"/>
                <w:sz w:val="18"/>
                <w:szCs w:val="18"/>
                <w:highlight w:val="none"/>
                <w:lang w:bidi="ar"/>
              </w:rPr>
              <w:t>8.接线柱类型：红黑纯铜接线柱。</w:t>
            </w:r>
          </w:p>
        </w:tc>
        <w:tc>
          <w:tcPr>
            <w:tcW w:w="863" w:type="dxa"/>
            <w:tcBorders>
              <w:top w:val="single" w:color="000000" w:sz="4" w:space="0"/>
              <w:left w:val="single" w:color="000000" w:sz="4" w:space="0"/>
              <w:bottom w:val="single" w:color="000000" w:sz="4" w:space="0"/>
              <w:right w:val="single" w:color="000000" w:sz="4" w:space="0"/>
            </w:tcBorders>
            <w:vAlign w:val="center"/>
          </w:tcPr>
          <w:p w14:paraId="198046D9">
            <w:pPr>
              <w:widowControl/>
              <w:jc w:val="left"/>
              <w:textAlignment w:val="center"/>
              <w:rPr>
                <w:color w:val="auto"/>
                <w:kern w:val="0"/>
                <w:sz w:val="18"/>
                <w:szCs w:val="18"/>
                <w:highlight w:val="none"/>
                <w:lang w:bidi="ar"/>
              </w:rPr>
            </w:pPr>
          </w:p>
        </w:tc>
      </w:tr>
      <w:tr w14:paraId="32BFBCE3">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7A73E112">
            <w:pPr>
              <w:widowControl/>
              <w:jc w:val="center"/>
              <w:textAlignment w:val="center"/>
              <w:rPr>
                <w:color w:val="auto"/>
                <w:kern w:val="0"/>
                <w:sz w:val="18"/>
                <w:szCs w:val="18"/>
                <w:highlight w:val="none"/>
                <w:lang w:bidi="ar"/>
              </w:rPr>
            </w:pPr>
            <w:r>
              <w:rPr>
                <w:b/>
                <w:bCs/>
                <w:color w:val="auto"/>
                <w:kern w:val="0"/>
                <w:sz w:val="20"/>
                <w:szCs w:val="20"/>
                <w:highlight w:val="none"/>
                <w:lang w:bidi="ar"/>
              </w:rPr>
              <w:t>VR充电柜</w:t>
            </w:r>
          </w:p>
        </w:tc>
        <w:tc>
          <w:tcPr>
            <w:tcW w:w="863" w:type="dxa"/>
            <w:tcBorders>
              <w:top w:val="single" w:color="000000" w:sz="4" w:space="0"/>
              <w:left w:val="single" w:color="000000" w:sz="4" w:space="0"/>
              <w:bottom w:val="single" w:color="000000" w:sz="4" w:space="0"/>
              <w:right w:val="single" w:color="000000" w:sz="4" w:space="0"/>
            </w:tcBorders>
            <w:vAlign w:val="center"/>
          </w:tcPr>
          <w:p w14:paraId="6229F089">
            <w:pPr>
              <w:widowControl/>
              <w:jc w:val="left"/>
              <w:textAlignment w:val="center"/>
              <w:rPr>
                <w:color w:val="auto"/>
                <w:kern w:val="0"/>
                <w:sz w:val="18"/>
                <w:szCs w:val="18"/>
                <w:highlight w:val="none"/>
                <w:lang w:bidi="ar"/>
              </w:rPr>
            </w:pPr>
          </w:p>
        </w:tc>
      </w:tr>
      <w:tr w14:paraId="02FA484E">
        <w:tblPrEx>
          <w:tblCellMar>
            <w:top w:w="0" w:type="dxa"/>
            <w:left w:w="108" w:type="dxa"/>
            <w:bottom w:w="0" w:type="dxa"/>
            <w:right w:w="108" w:type="dxa"/>
          </w:tblCellMar>
        </w:tblPrEx>
        <w:trPr>
          <w:trHeight w:val="738"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59EB9B3E">
            <w:pPr>
              <w:widowControl/>
              <w:jc w:val="left"/>
              <w:textAlignment w:val="center"/>
              <w:rPr>
                <w:color w:val="auto"/>
                <w:sz w:val="18"/>
                <w:szCs w:val="18"/>
                <w:highlight w:val="none"/>
              </w:rPr>
            </w:pPr>
            <w:r>
              <w:rPr>
                <w:color w:val="auto"/>
                <w:kern w:val="0"/>
                <w:sz w:val="18"/>
                <w:szCs w:val="18"/>
                <w:highlight w:val="none"/>
                <w:lang w:bidi="ar"/>
              </w:rPr>
              <w:t xml:space="preserve">1.主体材质：全封闭防盗结构、耐酸碱腐蚀、耐磨、防静电。 </w:t>
            </w:r>
            <w:r>
              <w:rPr>
                <w:color w:val="auto"/>
                <w:kern w:val="0"/>
                <w:sz w:val="18"/>
                <w:szCs w:val="18"/>
                <w:highlight w:val="none"/>
                <w:lang w:bidi="ar"/>
              </w:rPr>
              <w:br w:type="textWrapping"/>
            </w:r>
            <w:r>
              <w:rPr>
                <w:color w:val="auto"/>
                <w:kern w:val="0"/>
                <w:sz w:val="18"/>
                <w:szCs w:val="18"/>
                <w:highlight w:val="none"/>
                <w:lang w:bidi="ar"/>
              </w:rPr>
              <w:t>2.分三/四层前后放置设计，每层可容纳多位 VR 设备同时充电，每个设备的空间</w:t>
            </w:r>
            <w:r>
              <w:rPr>
                <w:rFonts w:hint="eastAsia"/>
                <w:color w:val="auto"/>
                <w:kern w:val="0"/>
                <w:sz w:val="18"/>
                <w:szCs w:val="18"/>
                <w:highlight w:val="none"/>
                <w:lang w:bidi="ar"/>
              </w:rPr>
              <w:t>≥</w:t>
            </w:r>
            <w:r>
              <w:rPr>
                <w:color w:val="auto"/>
                <w:kern w:val="0"/>
                <w:sz w:val="18"/>
                <w:szCs w:val="18"/>
                <w:highlight w:val="none"/>
                <w:lang w:bidi="ar"/>
              </w:rPr>
              <w:t xml:space="preserve">250*150*200（深*宽*高）满足多型号设备的使用，USB 充电模式，可同时充电多个 VR 一体机设备。 </w:t>
            </w:r>
            <w:r>
              <w:rPr>
                <w:color w:val="auto"/>
                <w:kern w:val="0"/>
                <w:sz w:val="18"/>
                <w:szCs w:val="18"/>
                <w:highlight w:val="none"/>
                <w:lang w:bidi="ar"/>
              </w:rPr>
              <w:br w:type="textWrapping"/>
            </w:r>
            <w:r>
              <w:rPr>
                <w:color w:val="auto"/>
                <w:kern w:val="0"/>
                <w:sz w:val="18"/>
                <w:szCs w:val="18"/>
                <w:highlight w:val="none"/>
                <w:lang w:bidi="ar"/>
              </w:rPr>
              <w:t xml:space="preserve">3.超静音脚轮（四轮万向，两轮带刹车）和左右人体工学把手。 </w:t>
            </w:r>
            <w:r>
              <w:rPr>
                <w:color w:val="auto"/>
                <w:kern w:val="0"/>
                <w:sz w:val="18"/>
                <w:szCs w:val="18"/>
                <w:highlight w:val="none"/>
                <w:lang w:bidi="ar"/>
              </w:rPr>
              <w:br w:type="textWrapping"/>
            </w:r>
            <w:r>
              <w:rPr>
                <w:color w:val="auto"/>
                <w:kern w:val="0"/>
                <w:sz w:val="18"/>
                <w:szCs w:val="18"/>
                <w:highlight w:val="none"/>
                <w:lang w:bidi="ar"/>
              </w:rPr>
              <w:t xml:space="preserve">4.柜子上方须设有独立电源控制系统区域，配有独立的锁具。 </w:t>
            </w:r>
            <w:r>
              <w:rPr>
                <w:color w:val="auto"/>
                <w:kern w:val="0"/>
                <w:sz w:val="18"/>
                <w:szCs w:val="18"/>
                <w:highlight w:val="none"/>
                <w:lang w:bidi="ar"/>
              </w:rPr>
              <w:br w:type="textWrapping"/>
            </w:r>
            <w:r>
              <w:rPr>
                <w:color w:val="auto"/>
                <w:kern w:val="0"/>
                <w:sz w:val="18"/>
                <w:szCs w:val="18"/>
                <w:highlight w:val="none"/>
                <w:lang w:bidi="ar"/>
              </w:rPr>
              <w:t xml:space="preserve">5.一体化电源管理系统。 </w:t>
            </w:r>
            <w:r>
              <w:rPr>
                <w:color w:val="auto"/>
                <w:kern w:val="0"/>
                <w:sz w:val="18"/>
                <w:szCs w:val="18"/>
                <w:highlight w:val="none"/>
                <w:lang w:bidi="ar"/>
              </w:rPr>
              <w:br w:type="textWrapping"/>
            </w:r>
            <w:r>
              <w:rPr>
                <w:color w:val="auto"/>
                <w:kern w:val="0"/>
                <w:sz w:val="18"/>
                <w:szCs w:val="18"/>
                <w:highlight w:val="none"/>
                <w:lang w:bidi="ar"/>
              </w:rPr>
              <w:t xml:space="preserve">6.A.USB 供电，5V/2A 直接输出，全电源管理芯片式集成电路设计，自动检测平板允许输入电流，优先供应低电位设备。根据电池电量自动以普通，快速，涓流三种模式供电，满电自动断电。 </w:t>
            </w:r>
            <w:r>
              <w:rPr>
                <w:color w:val="auto"/>
                <w:kern w:val="0"/>
                <w:sz w:val="18"/>
                <w:szCs w:val="18"/>
                <w:highlight w:val="none"/>
                <w:lang w:bidi="ar"/>
              </w:rPr>
              <w:br w:type="textWrapping"/>
            </w:r>
            <w:r>
              <w:rPr>
                <w:color w:val="auto"/>
                <w:kern w:val="0"/>
                <w:sz w:val="18"/>
                <w:szCs w:val="18"/>
                <w:highlight w:val="none"/>
                <w:lang w:bidi="ar"/>
              </w:rPr>
              <w:t xml:space="preserve">7.过载保护：功率过大或电流不稳定时自动断电，防止损坏设备。 </w:t>
            </w:r>
            <w:r>
              <w:rPr>
                <w:color w:val="auto"/>
                <w:kern w:val="0"/>
                <w:sz w:val="18"/>
                <w:szCs w:val="18"/>
                <w:highlight w:val="none"/>
                <w:lang w:bidi="ar"/>
              </w:rPr>
              <w:br w:type="textWrapping"/>
            </w:r>
            <w:r>
              <w:rPr>
                <w:color w:val="auto"/>
                <w:kern w:val="0"/>
                <w:sz w:val="18"/>
                <w:szCs w:val="18"/>
                <w:highlight w:val="none"/>
                <w:lang w:bidi="ar"/>
              </w:rPr>
              <w:t xml:space="preserve">8.须带有 LED 显示定时功能，显示充电时长，可根据自身的需求进行定时设置。 </w:t>
            </w:r>
            <w:r>
              <w:rPr>
                <w:color w:val="auto"/>
                <w:kern w:val="0"/>
                <w:sz w:val="18"/>
                <w:szCs w:val="18"/>
                <w:highlight w:val="none"/>
                <w:lang w:bidi="ar"/>
              </w:rPr>
              <w:br w:type="textWrapping"/>
            </w:r>
            <w:r>
              <w:rPr>
                <w:color w:val="auto"/>
                <w:kern w:val="0"/>
                <w:sz w:val="18"/>
                <w:szCs w:val="18"/>
                <w:highlight w:val="none"/>
                <w:lang w:bidi="ar"/>
              </w:rPr>
              <w:t xml:space="preserve">9.互循环散热结构，自动控制风扇在一定温度区域内启动风扇强制散热，充电过程中产生热量由风扇强制排出，保证设备在安全温度运行。 </w:t>
            </w:r>
            <w:r>
              <w:rPr>
                <w:color w:val="auto"/>
                <w:kern w:val="0"/>
                <w:sz w:val="18"/>
                <w:szCs w:val="18"/>
                <w:highlight w:val="none"/>
                <w:lang w:bidi="ar"/>
              </w:rPr>
              <w:br w:type="textWrapping"/>
            </w:r>
            <w:r>
              <w:rPr>
                <w:color w:val="auto"/>
                <w:kern w:val="0"/>
                <w:sz w:val="18"/>
                <w:szCs w:val="18"/>
                <w:highlight w:val="none"/>
                <w:lang w:bidi="ar"/>
              </w:rPr>
              <w:t xml:space="preserve">10.满足宽频电压输入，范围为 110V-240V。 </w:t>
            </w:r>
            <w:r>
              <w:rPr>
                <w:color w:val="auto"/>
                <w:kern w:val="0"/>
                <w:sz w:val="18"/>
                <w:szCs w:val="18"/>
                <w:highlight w:val="none"/>
                <w:lang w:bidi="ar"/>
              </w:rPr>
              <w:br w:type="textWrapping"/>
            </w:r>
            <w:r>
              <w:rPr>
                <w:color w:val="auto"/>
                <w:kern w:val="0"/>
                <w:sz w:val="18"/>
                <w:szCs w:val="18"/>
                <w:highlight w:val="none"/>
                <w:lang w:bidi="ar"/>
              </w:rPr>
              <w:t>11.标配防漏电、防短路多重保护系统，确保使用者人身安全。</w:t>
            </w:r>
            <w:r>
              <w:rPr>
                <w:color w:val="auto"/>
                <w:kern w:val="0"/>
                <w:sz w:val="18"/>
                <w:szCs w:val="18"/>
                <w:highlight w:val="none"/>
                <w:lang w:bidi="ar"/>
              </w:rPr>
              <w:br w:type="textWrapping"/>
            </w:r>
            <w:r>
              <w:rPr>
                <w:color w:val="auto"/>
                <w:kern w:val="0"/>
                <w:sz w:val="18"/>
                <w:szCs w:val="18"/>
                <w:highlight w:val="none"/>
                <w:lang w:bidi="ar"/>
              </w:rPr>
              <w:t xml:space="preserve">12.柜体侧面带有置物槽，可存放电源线，无线 AP 等。 </w:t>
            </w:r>
            <w:r>
              <w:rPr>
                <w:color w:val="auto"/>
                <w:kern w:val="0"/>
                <w:sz w:val="18"/>
                <w:szCs w:val="18"/>
                <w:highlight w:val="none"/>
                <w:lang w:bidi="ar"/>
              </w:rPr>
              <w:br w:type="textWrapping"/>
            </w:r>
            <w:r>
              <w:rPr>
                <w:color w:val="auto"/>
                <w:kern w:val="0"/>
                <w:sz w:val="18"/>
                <w:szCs w:val="18"/>
                <w:highlight w:val="none"/>
                <w:lang w:bidi="ar"/>
              </w:rPr>
              <w:t xml:space="preserve">13.标配消毒功能，带时间控制器可根据自己的需求进行设置。 </w:t>
            </w:r>
          </w:p>
        </w:tc>
        <w:tc>
          <w:tcPr>
            <w:tcW w:w="863" w:type="dxa"/>
            <w:tcBorders>
              <w:top w:val="single" w:color="000000" w:sz="4" w:space="0"/>
              <w:left w:val="single" w:color="000000" w:sz="4" w:space="0"/>
              <w:bottom w:val="single" w:color="000000" w:sz="4" w:space="0"/>
              <w:right w:val="single" w:color="000000" w:sz="4" w:space="0"/>
            </w:tcBorders>
            <w:vAlign w:val="center"/>
          </w:tcPr>
          <w:p w14:paraId="545C57E6">
            <w:pPr>
              <w:widowControl/>
              <w:jc w:val="left"/>
              <w:textAlignment w:val="center"/>
              <w:rPr>
                <w:color w:val="auto"/>
                <w:kern w:val="0"/>
                <w:sz w:val="18"/>
                <w:szCs w:val="18"/>
                <w:highlight w:val="none"/>
                <w:lang w:bidi="ar"/>
              </w:rPr>
            </w:pPr>
          </w:p>
        </w:tc>
      </w:tr>
      <w:tr w14:paraId="3EA2C191">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6563E1E">
            <w:pPr>
              <w:widowControl/>
              <w:jc w:val="center"/>
              <w:textAlignment w:val="center"/>
              <w:rPr>
                <w:color w:val="auto"/>
                <w:kern w:val="0"/>
                <w:sz w:val="18"/>
                <w:szCs w:val="18"/>
                <w:highlight w:val="none"/>
                <w:lang w:bidi="ar"/>
              </w:rPr>
            </w:pPr>
            <w:r>
              <w:rPr>
                <w:b/>
                <w:bCs/>
                <w:color w:val="auto"/>
                <w:kern w:val="0"/>
                <w:sz w:val="20"/>
                <w:szCs w:val="20"/>
                <w:highlight w:val="none"/>
                <w:lang w:bidi="ar"/>
              </w:rPr>
              <w:t>党建VR学习机（VR眼镜）</w:t>
            </w:r>
          </w:p>
        </w:tc>
        <w:tc>
          <w:tcPr>
            <w:tcW w:w="863" w:type="dxa"/>
            <w:tcBorders>
              <w:top w:val="single" w:color="000000" w:sz="4" w:space="0"/>
              <w:left w:val="single" w:color="000000" w:sz="4" w:space="0"/>
              <w:bottom w:val="single" w:color="000000" w:sz="4" w:space="0"/>
              <w:right w:val="single" w:color="000000" w:sz="4" w:space="0"/>
            </w:tcBorders>
            <w:vAlign w:val="center"/>
          </w:tcPr>
          <w:p w14:paraId="131ADDEC">
            <w:pPr>
              <w:widowControl/>
              <w:jc w:val="left"/>
              <w:textAlignment w:val="center"/>
              <w:rPr>
                <w:color w:val="auto"/>
                <w:kern w:val="0"/>
                <w:sz w:val="18"/>
                <w:szCs w:val="18"/>
                <w:highlight w:val="none"/>
                <w:lang w:bidi="ar"/>
              </w:rPr>
            </w:pPr>
          </w:p>
        </w:tc>
      </w:tr>
      <w:tr w14:paraId="4E213C6F">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5E8FD846">
            <w:pPr>
              <w:widowControl/>
              <w:jc w:val="left"/>
              <w:textAlignment w:val="center"/>
              <w:rPr>
                <w:color w:val="auto"/>
                <w:sz w:val="18"/>
                <w:szCs w:val="18"/>
                <w:highlight w:val="none"/>
              </w:rPr>
            </w:pPr>
            <w:r>
              <w:rPr>
                <w:color w:val="auto"/>
                <w:kern w:val="0"/>
                <w:sz w:val="18"/>
                <w:szCs w:val="18"/>
                <w:highlight w:val="none"/>
                <w:lang w:bidi="ar"/>
              </w:rPr>
              <w:t>1.CPU：不低于高通XR2，Kryo 585核心，8核64位，最高主频 2.84GHz，7nm制程工艺。</w:t>
            </w:r>
            <w:r>
              <w:rPr>
                <w:color w:val="auto"/>
                <w:kern w:val="0"/>
                <w:sz w:val="18"/>
                <w:szCs w:val="18"/>
                <w:highlight w:val="none"/>
                <w:lang w:bidi="ar"/>
              </w:rPr>
              <w:br w:type="textWrapping"/>
            </w:r>
            <w:r>
              <w:rPr>
                <w:color w:val="auto"/>
                <w:kern w:val="0"/>
                <w:sz w:val="18"/>
                <w:szCs w:val="18"/>
                <w:highlight w:val="none"/>
                <w:lang w:bidi="ar"/>
              </w:rPr>
              <w:t>2.GPU：</w:t>
            </w:r>
            <w:r>
              <w:rPr>
                <w:rFonts w:hint="eastAsia" w:ascii="宋体" w:hAnsi="宋体" w:cs="宋体"/>
                <w:color w:val="auto"/>
                <w:kern w:val="0"/>
                <w:sz w:val="18"/>
                <w:szCs w:val="18"/>
                <w:highlight w:val="none"/>
                <w:lang w:bidi="ar"/>
              </w:rPr>
              <w:t>≥</w:t>
            </w:r>
            <w:r>
              <w:rPr>
                <w:color w:val="auto"/>
                <w:kern w:val="0"/>
                <w:sz w:val="18"/>
                <w:szCs w:val="18"/>
                <w:highlight w:val="none"/>
                <w:lang w:bidi="ar"/>
              </w:rPr>
              <w:t>Adreno 650，主频 587MHz</w:t>
            </w:r>
            <w:r>
              <w:rPr>
                <w:color w:val="auto"/>
                <w:kern w:val="0"/>
                <w:sz w:val="18"/>
                <w:szCs w:val="18"/>
                <w:highlight w:val="none"/>
                <w:lang w:bidi="ar"/>
              </w:rPr>
              <w:br w:type="textWrapping"/>
            </w:r>
            <w:r>
              <w:rPr>
                <w:color w:val="auto"/>
                <w:kern w:val="0"/>
                <w:sz w:val="18"/>
                <w:szCs w:val="18"/>
                <w:highlight w:val="none"/>
                <w:lang w:bidi="ar"/>
              </w:rPr>
              <w:t>3.内存：</w:t>
            </w:r>
            <w:r>
              <w:rPr>
                <w:rFonts w:hint="eastAsia" w:ascii="宋体" w:hAnsi="宋体" w:cs="宋体"/>
                <w:color w:val="auto"/>
                <w:kern w:val="0"/>
                <w:sz w:val="18"/>
                <w:szCs w:val="18"/>
                <w:highlight w:val="none"/>
                <w:lang w:bidi="ar"/>
              </w:rPr>
              <w:t>≥</w:t>
            </w:r>
            <w:r>
              <w:rPr>
                <w:color w:val="auto"/>
                <w:kern w:val="0"/>
                <w:sz w:val="18"/>
                <w:szCs w:val="18"/>
                <w:highlight w:val="none"/>
                <w:lang w:bidi="ar"/>
              </w:rPr>
              <w:t>6GB RAM，LPDDR4X</w:t>
            </w:r>
            <w:r>
              <w:rPr>
                <w:color w:val="auto"/>
                <w:kern w:val="0"/>
                <w:sz w:val="18"/>
                <w:szCs w:val="18"/>
                <w:highlight w:val="none"/>
                <w:lang w:bidi="ar"/>
              </w:rPr>
              <w:br w:type="textWrapping"/>
            </w:r>
            <w:r>
              <w:rPr>
                <w:color w:val="auto"/>
                <w:kern w:val="0"/>
                <w:sz w:val="18"/>
                <w:szCs w:val="18"/>
                <w:highlight w:val="none"/>
                <w:lang w:bidi="ar"/>
              </w:rPr>
              <w:t>4.闪存：</w:t>
            </w:r>
            <w:r>
              <w:rPr>
                <w:rFonts w:hint="eastAsia" w:ascii="宋体" w:hAnsi="宋体" w:cs="宋体"/>
                <w:color w:val="auto"/>
                <w:kern w:val="0"/>
                <w:sz w:val="18"/>
                <w:szCs w:val="18"/>
                <w:highlight w:val="none"/>
                <w:lang w:bidi="ar"/>
              </w:rPr>
              <w:t>≥</w:t>
            </w:r>
            <w:r>
              <w:rPr>
                <w:color w:val="auto"/>
                <w:kern w:val="0"/>
                <w:sz w:val="18"/>
                <w:szCs w:val="18"/>
                <w:highlight w:val="none"/>
                <w:lang w:bidi="ar"/>
              </w:rPr>
              <w:t>UFS3.0 128GB</w:t>
            </w:r>
            <w:r>
              <w:rPr>
                <w:color w:val="auto"/>
                <w:kern w:val="0"/>
                <w:sz w:val="18"/>
                <w:szCs w:val="18"/>
                <w:highlight w:val="none"/>
                <w:lang w:bidi="ar"/>
              </w:rPr>
              <w:br w:type="textWrapping"/>
            </w:r>
            <w:r>
              <w:rPr>
                <w:color w:val="auto"/>
                <w:kern w:val="0"/>
                <w:sz w:val="18"/>
                <w:szCs w:val="18"/>
                <w:highlight w:val="none"/>
                <w:lang w:bidi="ar"/>
              </w:rPr>
              <w:t>5.WIFI：2X2 MIMO WIFI6 802.11 b/g/n/ac/ax，2.4G/5G双频。</w:t>
            </w:r>
            <w:r>
              <w:rPr>
                <w:color w:val="auto"/>
                <w:kern w:val="0"/>
                <w:sz w:val="18"/>
                <w:szCs w:val="18"/>
                <w:highlight w:val="none"/>
                <w:lang w:bidi="ar"/>
              </w:rPr>
              <w:br w:type="textWrapping"/>
            </w:r>
            <w:r>
              <w:rPr>
                <w:color w:val="auto"/>
                <w:kern w:val="0"/>
                <w:sz w:val="18"/>
                <w:szCs w:val="18"/>
                <w:highlight w:val="none"/>
                <w:lang w:bidi="ar"/>
              </w:rPr>
              <w:t>6.BT：BT5.1</w:t>
            </w:r>
            <w:r>
              <w:rPr>
                <w:color w:val="auto"/>
                <w:kern w:val="0"/>
                <w:sz w:val="18"/>
                <w:szCs w:val="18"/>
                <w:highlight w:val="none"/>
                <w:lang w:bidi="ar"/>
              </w:rPr>
              <w:br w:type="textWrapping"/>
            </w:r>
            <w:r>
              <w:rPr>
                <w:color w:val="auto"/>
                <w:kern w:val="0"/>
                <w:sz w:val="18"/>
                <w:szCs w:val="18"/>
                <w:highlight w:val="none"/>
                <w:lang w:bidi="ar"/>
              </w:rPr>
              <w:t>7.不低于Android 10</w:t>
            </w:r>
            <w:r>
              <w:rPr>
                <w:color w:val="auto"/>
                <w:kern w:val="0"/>
                <w:sz w:val="18"/>
                <w:szCs w:val="18"/>
                <w:highlight w:val="none"/>
                <w:lang w:bidi="ar"/>
              </w:rPr>
              <w:br w:type="textWrapping"/>
            </w:r>
            <w:r>
              <w:rPr>
                <w:color w:val="auto"/>
                <w:kern w:val="0"/>
                <w:sz w:val="18"/>
                <w:szCs w:val="18"/>
                <w:highlight w:val="none"/>
                <w:lang w:bidi="ar"/>
              </w:rPr>
              <w:t>8.屏幕：</w:t>
            </w:r>
            <w:r>
              <w:rPr>
                <w:rFonts w:hint="eastAsia" w:ascii="宋体" w:hAnsi="宋体" w:cs="宋体"/>
                <w:color w:val="auto"/>
                <w:kern w:val="0"/>
                <w:sz w:val="18"/>
                <w:szCs w:val="18"/>
                <w:highlight w:val="none"/>
                <w:lang w:bidi="ar"/>
              </w:rPr>
              <w:t>≥</w:t>
            </w:r>
            <w:r>
              <w:rPr>
                <w:color w:val="auto"/>
                <w:kern w:val="0"/>
                <w:sz w:val="18"/>
                <w:szCs w:val="18"/>
                <w:highlight w:val="none"/>
                <w:lang w:bidi="ar"/>
              </w:rPr>
              <w:t>5.5 inch x 1 SFR TFT</w:t>
            </w:r>
            <w:r>
              <w:rPr>
                <w:color w:val="auto"/>
                <w:kern w:val="0"/>
                <w:sz w:val="18"/>
                <w:szCs w:val="18"/>
                <w:highlight w:val="none"/>
                <w:lang w:bidi="ar"/>
              </w:rPr>
              <w:br w:type="textWrapping"/>
            </w:r>
            <w:r>
              <w:rPr>
                <w:color w:val="auto"/>
                <w:kern w:val="0"/>
                <w:sz w:val="18"/>
                <w:szCs w:val="18"/>
                <w:highlight w:val="none"/>
                <w:lang w:bidi="ar"/>
              </w:rPr>
              <w:t>9.分辨率：</w:t>
            </w:r>
            <w:r>
              <w:rPr>
                <w:rFonts w:hint="eastAsia" w:ascii="宋体" w:hAnsi="宋体" w:cs="宋体"/>
                <w:color w:val="auto"/>
                <w:kern w:val="0"/>
                <w:sz w:val="18"/>
                <w:szCs w:val="18"/>
                <w:highlight w:val="none"/>
                <w:lang w:bidi="ar"/>
              </w:rPr>
              <w:t>≥</w:t>
            </w:r>
            <w:r>
              <w:rPr>
                <w:color w:val="auto"/>
                <w:kern w:val="0"/>
                <w:sz w:val="18"/>
                <w:szCs w:val="18"/>
                <w:highlight w:val="none"/>
                <w:lang w:bidi="ar"/>
              </w:rPr>
              <w:t>3664x1920，PPI：773</w:t>
            </w:r>
            <w:r>
              <w:rPr>
                <w:color w:val="auto"/>
                <w:kern w:val="0"/>
                <w:sz w:val="18"/>
                <w:szCs w:val="18"/>
                <w:highlight w:val="none"/>
                <w:lang w:bidi="ar"/>
              </w:rPr>
              <w:br w:type="textWrapping"/>
            </w:r>
            <w:r>
              <w:rPr>
                <w:color w:val="auto"/>
                <w:kern w:val="0"/>
                <w:sz w:val="18"/>
                <w:szCs w:val="18"/>
                <w:highlight w:val="none"/>
                <w:lang w:bidi="ar"/>
              </w:rPr>
              <w:t>10.刷新率：72/90Hz</w:t>
            </w:r>
            <w:r>
              <w:rPr>
                <w:color w:val="auto"/>
                <w:kern w:val="0"/>
                <w:sz w:val="18"/>
                <w:szCs w:val="18"/>
                <w:highlight w:val="none"/>
                <w:lang w:bidi="ar"/>
              </w:rPr>
              <w:br w:type="textWrapping"/>
            </w:r>
            <w:r>
              <w:rPr>
                <w:color w:val="auto"/>
                <w:kern w:val="0"/>
                <w:sz w:val="18"/>
                <w:szCs w:val="18"/>
                <w:highlight w:val="none"/>
                <w:lang w:bidi="ar"/>
              </w:rPr>
              <w:t>11.视场角：</w:t>
            </w:r>
            <w:r>
              <w:rPr>
                <w:rFonts w:hint="eastAsia" w:ascii="宋体" w:hAnsi="宋体" w:cs="宋体"/>
                <w:color w:val="auto"/>
                <w:kern w:val="0"/>
                <w:sz w:val="18"/>
                <w:szCs w:val="18"/>
                <w:highlight w:val="none"/>
                <w:lang w:bidi="ar"/>
              </w:rPr>
              <w:t>≥</w:t>
            </w:r>
            <w:r>
              <w:rPr>
                <w:color w:val="auto"/>
                <w:kern w:val="0"/>
                <w:sz w:val="18"/>
                <w:szCs w:val="18"/>
                <w:highlight w:val="none"/>
                <w:lang w:bidi="ar"/>
              </w:rPr>
              <w:t>98°</w:t>
            </w:r>
            <w:r>
              <w:rPr>
                <w:color w:val="auto"/>
                <w:kern w:val="0"/>
                <w:sz w:val="18"/>
                <w:szCs w:val="18"/>
                <w:highlight w:val="none"/>
                <w:lang w:bidi="ar"/>
              </w:rPr>
              <w:br w:type="textWrapping"/>
            </w:r>
            <w:r>
              <w:rPr>
                <w:color w:val="auto"/>
                <w:kern w:val="0"/>
                <w:sz w:val="18"/>
                <w:szCs w:val="18"/>
                <w:highlight w:val="none"/>
                <w:lang w:bidi="ar"/>
              </w:rPr>
              <w:t>12.透镜：菲涅尔透镜。</w:t>
            </w:r>
            <w:r>
              <w:rPr>
                <w:color w:val="auto"/>
                <w:kern w:val="0"/>
                <w:sz w:val="18"/>
                <w:szCs w:val="18"/>
                <w:highlight w:val="none"/>
                <w:lang w:bidi="ar"/>
              </w:rPr>
              <w:br w:type="textWrapping"/>
            </w:r>
            <w:r>
              <w:rPr>
                <w:color w:val="auto"/>
                <w:kern w:val="0"/>
                <w:sz w:val="18"/>
                <w:szCs w:val="18"/>
                <w:highlight w:val="none"/>
                <w:lang w:bidi="ar"/>
              </w:rPr>
              <w:t>13.瞳距调节：</w:t>
            </w:r>
            <w:r>
              <w:rPr>
                <w:rFonts w:hint="eastAsia"/>
                <w:color w:val="auto"/>
                <w:kern w:val="0"/>
                <w:sz w:val="18"/>
                <w:szCs w:val="18"/>
                <w:highlight w:val="none"/>
                <w:lang w:bidi="ar"/>
              </w:rPr>
              <w:t>支持物理瞳距三档调节</w:t>
            </w:r>
            <w:r>
              <w:rPr>
                <w:color w:val="auto"/>
                <w:kern w:val="0"/>
                <w:sz w:val="18"/>
                <w:szCs w:val="18"/>
                <w:highlight w:val="none"/>
                <w:lang w:bidi="ar"/>
              </w:rPr>
              <w:br w:type="textWrapping"/>
            </w:r>
            <w:r>
              <w:rPr>
                <w:color w:val="auto"/>
                <w:kern w:val="0"/>
                <w:sz w:val="18"/>
                <w:szCs w:val="18"/>
                <w:highlight w:val="none"/>
                <w:lang w:bidi="ar"/>
              </w:rPr>
              <w:t>14.护眼模式：</w:t>
            </w:r>
            <w:r>
              <w:rPr>
                <w:rFonts w:hint="eastAsia"/>
                <w:color w:val="auto"/>
                <w:kern w:val="0"/>
                <w:sz w:val="18"/>
                <w:szCs w:val="18"/>
                <w:highlight w:val="none"/>
                <w:lang w:bidi="ar"/>
              </w:rPr>
              <w:t>低蓝光护眼技术</w:t>
            </w:r>
            <w:r>
              <w:rPr>
                <w:color w:val="auto"/>
                <w:kern w:val="0"/>
                <w:sz w:val="18"/>
                <w:szCs w:val="18"/>
                <w:highlight w:val="none"/>
                <w:lang w:bidi="ar"/>
              </w:rPr>
              <w:t>，可以在系统设置中开启该功能。</w:t>
            </w:r>
            <w:r>
              <w:rPr>
                <w:color w:val="auto"/>
                <w:kern w:val="0"/>
                <w:sz w:val="18"/>
                <w:szCs w:val="18"/>
                <w:highlight w:val="none"/>
                <w:lang w:bidi="ar"/>
              </w:rPr>
              <w:br w:type="textWrapping"/>
            </w:r>
            <w:r>
              <w:rPr>
                <w:color w:val="auto"/>
                <w:kern w:val="0"/>
                <w:sz w:val="18"/>
                <w:szCs w:val="18"/>
                <w:highlight w:val="none"/>
                <w:lang w:bidi="ar"/>
              </w:rPr>
              <w:t>15. 9轴传感器：1KHz采样频率。</w:t>
            </w:r>
            <w:r>
              <w:rPr>
                <w:color w:val="auto"/>
                <w:kern w:val="0"/>
                <w:sz w:val="18"/>
                <w:szCs w:val="18"/>
                <w:highlight w:val="none"/>
                <w:lang w:bidi="ar"/>
              </w:rPr>
              <w:br w:type="textWrapping"/>
            </w:r>
            <w:r>
              <w:rPr>
                <w:color w:val="auto"/>
                <w:kern w:val="0"/>
                <w:sz w:val="18"/>
                <w:szCs w:val="18"/>
                <w:highlight w:val="none"/>
                <w:lang w:bidi="ar"/>
              </w:rPr>
              <w:t>16.P-senor：人脸佩戴感应。</w:t>
            </w:r>
            <w:r>
              <w:rPr>
                <w:color w:val="auto"/>
                <w:kern w:val="0"/>
                <w:sz w:val="18"/>
                <w:szCs w:val="18"/>
                <w:highlight w:val="none"/>
                <w:lang w:bidi="ar"/>
              </w:rPr>
              <w:br w:type="textWrapping"/>
            </w:r>
            <w:r>
              <w:rPr>
                <w:color w:val="auto"/>
                <w:kern w:val="0"/>
                <w:sz w:val="18"/>
                <w:szCs w:val="18"/>
                <w:highlight w:val="none"/>
                <w:lang w:bidi="ar"/>
              </w:rPr>
              <w:t>17.前置摄像头：鱼眼摄像头</w:t>
            </w:r>
            <w:r>
              <w:rPr>
                <w:rFonts w:hint="eastAsia" w:ascii="宋体" w:hAnsi="宋体" w:cs="宋体"/>
                <w:color w:val="auto"/>
                <w:kern w:val="0"/>
                <w:sz w:val="18"/>
                <w:szCs w:val="18"/>
                <w:highlight w:val="none"/>
                <w:lang w:bidi="ar"/>
              </w:rPr>
              <w:t>≥</w:t>
            </w:r>
            <w:r>
              <w:rPr>
                <w:color w:val="auto"/>
                <w:kern w:val="0"/>
                <w:sz w:val="18"/>
                <w:szCs w:val="18"/>
                <w:highlight w:val="none"/>
                <w:lang w:bidi="ar"/>
              </w:rPr>
              <w:t>(640x480@120Hz, FOV:166°) x 4，支持头部6DoF定位。</w:t>
            </w:r>
            <w:r>
              <w:rPr>
                <w:color w:val="auto"/>
                <w:kern w:val="0"/>
                <w:sz w:val="18"/>
                <w:szCs w:val="18"/>
                <w:highlight w:val="none"/>
                <w:lang w:bidi="ar"/>
              </w:rPr>
              <w:br w:type="textWrapping"/>
            </w:r>
            <w:r>
              <w:rPr>
                <w:color w:val="auto"/>
                <w:kern w:val="0"/>
                <w:sz w:val="18"/>
                <w:szCs w:val="18"/>
                <w:highlight w:val="none"/>
                <w:lang w:bidi="ar"/>
              </w:rPr>
              <w:t>18.手柄：6DoF体感手柄 x 2，支持光学定位，支持线性振动马达。</w:t>
            </w:r>
            <w:r>
              <w:rPr>
                <w:color w:val="auto"/>
                <w:kern w:val="0"/>
                <w:sz w:val="18"/>
                <w:szCs w:val="18"/>
                <w:highlight w:val="none"/>
                <w:lang w:bidi="ar"/>
              </w:rPr>
              <w:br w:type="textWrapping"/>
            </w:r>
            <w:r>
              <w:rPr>
                <w:color w:val="auto"/>
                <w:kern w:val="0"/>
                <w:sz w:val="18"/>
                <w:szCs w:val="18"/>
                <w:highlight w:val="none"/>
                <w:lang w:bidi="ar"/>
              </w:rPr>
              <w:t>19.机身按键：电源键，APP键（返回键），确认键，Home键，音量加，音量减。</w:t>
            </w:r>
            <w:r>
              <w:rPr>
                <w:color w:val="auto"/>
                <w:kern w:val="0"/>
                <w:sz w:val="18"/>
                <w:szCs w:val="18"/>
                <w:highlight w:val="none"/>
                <w:lang w:bidi="ar"/>
              </w:rPr>
              <w:br w:type="textWrapping"/>
            </w:r>
            <w:r>
              <w:rPr>
                <w:color w:val="auto"/>
                <w:kern w:val="0"/>
                <w:sz w:val="18"/>
                <w:szCs w:val="18"/>
                <w:highlight w:val="none"/>
                <w:lang w:bidi="ar"/>
              </w:rPr>
              <w:t>20.绑带：软质侧绑带，体积小巧，方便收纳。</w:t>
            </w:r>
            <w:r>
              <w:rPr>
                <w:color w:val="auto"/>
                <w:kern w:val="0"/>
                <w:sz w:val="18"/>
                <w:szCs w:val="18"/>
                <w:highlight w:val="none"/>
                <w:lang w:bidi="ar"/>
              </w:rPr>
              <w:br w:type="textWrapping"/>
            </w:r>
            <w:r>
              <w:rPr>
                <w:color w:val="auto"/>
                <w:kern w:val="0"/>
                <w:sz w:val="18"/>
                <w:szCs w:val="18"/>
                <w:highlight w:val="none"/>
                <w:lang w:bidi="ar"/>
              </w:rPr>
              <w:t>21.泡棉：可替换的舒适泡棉。</w:t>
            </w:r>
            <w:r>
              <w:rPr>
                <w:color w:val="auto"/>
                <w:kern w:val="0"/>
                <w:sz w:val="18"/>
                <w:szCs w:val="18"/>
                <w:highlight w:val="none"/>
                <w:lang w:bidi="ar"/>
              </w:rPr>
              <w:br w:type="textWrapping"/>
            </w:r>
            <w:r>
              <w:rPr>
                <w:color w:val="auto"/>
                <w:kern w:val="0"/>
                <w:sz w:val="18"/>
                <w:szCs w:val="18"/>
                <w:highlight w:val="none"/>
                <w:lang w:bidi="ar"/>
              </w:rPr>
              <w:t>22.人体工程设计：前置头盔和后置电池组成更为合理的力学分担设计，佩戴面部舒适。</w:t>
            </w:r>
            <w:r>
              <w:rPr>
                <w:color w:val="auto"/>
                <w:kern w:val="0"/>
                <w:sz w:val="18"/>
                <w:szCs w:val="18"/>
                <w:highlight w:val="none"/>
                <w:lang w:bidi="ar"/>
              </w:rPr>
              <w:br w:type="textWrapping"/>
            </w:r>
            <w:r>
              <w:rPr>
                <w:color w:val="auto"/>
                <w:kern w:val="0"/>
                <w:sz w:val="18"/>
                <w:szCs w:val="18"/>
                <w:highlight w:val="none"/>
                <w:lang w:bidi="ar"/>
              </w:rPr>
              <w:t>23.充电：支持QC3.0快速充电。</w:t>
            </w:r>
            <w:r>
              <w:rPr>
                <w:color w:val="auto"/>
                <w:kern w:val="0"/>
                <w:sz w:val="18"/>
                <w:szCs w:val="18"/>
                <w:highlight w:val="none"/>
                <w:lang w:bidi="ar"/>
              </w:rPr>
              <w:br w:type="textWrapping"/>
            </w:r>
            <w:r>
              <w:rPr>
                <w:color w:val="auto"/>
                <w:kern w:val="0"/>
                <w:sz w:val="18"/>
                <w:szCs w:val="18"/>
                <w:highlight w:val="none"/>
                <w:lang w:bidi="ar"/>
              </w:rPr>
              <w:t>24.电池容量：</w:t>
            </w:r>
            <w:r>
              <w:rPr>
                <w:rFonts w:hint="eastAsia" w:ascii="宋体" w:hAnsi="宋体" w:cs="宋体"/>
                <w:color w:val="auto"/>
                <w:kern w:val="0"/>
                <w:sz w:val="18"/>
                <w:szCs w:val="18"/>
                <w:highlight w:val="none"/>
                <w:lang w:bidi="ar"/>
              </w:rPr>
              <w:t>≥</w:t>
            </w:r>
            <w:r>
              <w:rPr>
                <w:color w:val="auto"/>
                <w:kern w:val="0"/>
                <w:sz w:val="18"/>
                <w:szCs w:val="18"/>
                <w:highlight w:val="none"/>
                <w:lang w:bidi="ar"/>
              </w:rPr>
              <w:t>5300mAh。</w:t>
            </w:r>
            <w:r>
              <w:rPr>
                <w:color w:val="auto"/>
                <w:kern w:val="0"/>
                <w:sz w:val="18"/>
                <w:szCs w:val="18"/>
                <w:highlight w:val="none"/>
                <w:lang w:bidi="ar"/>
              </w:rPr>
              <w:br w:type="textWrapping"/>
            </w:r>
            <w:r>
              <w:rPr>
                <w:color w:val="auto"/>
                <w:kern w:val="0"/>
                <w:sz w:val="18"/>
                <w:szCs w:val="18"/>
                <w:highlight w:val="none"/>
                <w:lang w:bidi="ar"/>
              </w:rPr>
              <w:t>25.扬声器：内置双立体声喇叭。</w:t>
            </w:r>
            <w:r>
              <w:rPr>
                <w:color w:val="auto"/>
                <w:kern w:val="0"/>
                <w:sz w:val="18"/>
                <w:szCs w:val="18"/>
                <w:highlight w:val="none"/>
                <w:lang w:bidi="ar"/>
              </w:rPr>
              <w:br w:type="textWrapping"/>
            </w:r>
            <w:r>
              <w:rPr>
                <w:color w:val="auto"/>
                <w:kern w:val="0"/>
                <w:sz w:val="18"/>
                <w:szCs w:val="18"/>
                <w:highlight w:val="none"/>
                <w:lang w:bidi="ar"/>
              </w:rPr>
              <w:t>26.麦克风：双麦克降噪，全指向麦克风。</w:t>
            </w:r>
            <w:r>
              <w:rPr>
                <w:color w:val="auto"/>
                <w:kern w:val="0"/>
                <w:sz w:val="18"/>
                <w:szCs w:val="18"/>
                <w:highlight w:val="none"/>
                <w:lang w:bidi="ar"/>
              </w:rPr>
              <w:br w:type="textWrapping"/>
            </w:r>
            <w:r>
              <w:rPr>
                <w:color w:val="auto"/>
                <w:kern w:val="0"/>
                <w:sz w:val="18"/>
                <w:szCs w:val="18"/>
                <w:highlight w:val="none"/>
                <w:lang w:bidi="ar"/>
              </w:rPr>
              <w:t>27.USB Type-C 3.0：1. USB3.0数据传输，2. 5V/1A OTG 扩展供电能力，3. USB3.0 OTG扩展功能（需要转接线支持）。</w:t>
            </w:r>
            <w:r>
              <w:rPr>
                <w:color w:val="auto"/>
                <w:kern w:val="0"/>
                <w:sz w:val="18"/>
                <w:szCs w:val="18"/>
                <w:highlight w:val="none"/>
                <w:lang w:bidi="ar"/>
              </w:rPr>
              <w:br w:type="textWrapping"/>
            </w:r>
            <w:r>
              <w:rPr>
                <w:color w:val="auto"/>
                <w:kern w:val="0"/>
                <w:sz w:val="18"/>
                <w:szCs w:val="18"/>
                <w:highlight w:val="none"/>
                <w:lang w:bidi="ar"/>
              </w:rPr>
              <w:t>28. 3.5mm音频接口：连接第三方立体声耳机使用。</w:t>
            </w:r>
            <w:r>
              <w:rPr>
                <w:color w:val="auto"/>
                <w:kern w:val="0"/>
                <w:sz w:val="18"/>
                <w:szCs w:val="18"/>
                <w:highlight w:val="none"/>
                <w:lang w:bidi="ar"/>
              </w:rPr>
              <w:br w:type="textWrapping"/>
            </w:r>
            <w:r>
              <w:rPr>
                <w:color w:val="auto"/>
                <w:kern w:val="0"/>
                <w:sz w:val="18"/>
                <w:szCs w:val="18"/>
                <w:highlight w:val="none"/>
                <w:lang w:bidi="ar"/>
              </w:rPr>
              <w:t>29.Led灯：三色Led 显示开机，关机，充电状态。</w:t>
            </w:r>
            <w:r>
              <w:rPr>
                <w:color w:val="auto"/>
                <w:kern w:val="0"/>
                <w:sz w:val="18"/>
                <w:szCs w:val="18"/>
                <w:highlight w:val="none"/>
                <w:lang w:bidi="ar"/>
              </w:rPr>
              <w:br w:type="textWrapping"/>
            </w:r>
            <w:r>
              <w:rPr>
                <w:color w:val="auto"/>
                <w:kern w:val="0"/>
                <w:sz w:val="18"/>
                <w:szCs w:val="18"/>
                <w:highlight w:val="none"/>
                <w:lang w:bidi="ar"/>
              </w:rPr>
              <w:t>30.行业定制：支持；第三方软件安装：支持正常安装和显示。</w:t>
            </w:r>
          </w:p>
        </w:tc>
        <w:tc>
          <w:tcPr>
            <w:tcW w:w="863" w:type="dxa"/>
            <w:tcBorders>
              <w:top w:val="single" w:color="000000" w:sz="4" w:space="0"/>
              <w:left w:val="single" w:color="000000" w:sz="4" w:space="0"/>
              <w:bottom w:val="single" w:color="000000" w:sz="4" w:space="0"/>
              <w:right w:val="single" w:color="000000" w:sz="4" w:space="0"/>
            </w:tcBorders>
            <w:vAlign w:val="center"/>
          </w:tcPr>
          <w:p w14:paraId="19E1D4B1">
            <w:pPr>
              <w:widowControl/>
              <w:jc w:val="left"/>
              <w:textAlignment w:val="center"/>
              <w:rPr>
                <w:color w:val="auto"/>
                <w:kern w:val="0"/>
                <w:sz w:val="18"/>
                <w:szCs w:val="18"/>
                <w:highlight w:val="none"/>
                <w:lang w:bidi="ar"/>
              </w:rPr>
            </w:pPr>
          </w:p>
        </w:tc>
      </w:tr>
      <w:tr w14:paraId="32744378">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0F25DBD">
            <w:pPr>
              <w:widowControl/>
              <w:jc w:val="center"/>
              <w:textAlignment w:val="center"/>
              <w:rPr>
                <w:color w:val="auto"/>
                <w:kern w:val="0"/>
                <w:sz w:val="18"/>
                <w:szCs w:val="18"/>
                <w:highlight w:val="none"/>
                <w:lang w:bidi="ar"/>
              </w:rPr>
            </w:pPr>
            <w:r>
              <w:rPr>
                <w:b/>
                <w:bCs/>
                <w:color w:val="auto"/>
                <w:kern w:val="0"/>
                <w:sz w:val="20"/>
                <w:szCs w:val="20"/>
                <w:highlight w:val="none"/>
                <w:lang w:bidi="ar"/>
              </w:rPr>
              <w:t>宁波VR红色旅游全景资源</w:t>
            </w:r>
          </w:p>
        </w:tc>
        <w:tc>
          <w:tcPr>
            <w:tcW w:w="863" w:type="dxa"/>
            <w:tcBorders>
              <w:top w:val="single" w:color="000000" w:sz="4" w:space="0"/>
              <w:left w:val="single" w:color="000000" w:sz="4" w:space="0"/>
              <w:bottom w:val="single" w:color="000000" w:sz="4" w:space="0"/>
              <w:right w:val="single" w:color="000000" w:sz="4" w:space="0"/>
            </w:tcBorders>
            <w:vAlign w:val="center"/>
          </w:tcPr>
          <w:p w14:paraId="027F4D15">
            <w:pPr>
              <w:widowControl/>
              <w:jc w:val="left"/>
              <w:textAlignment w:val="center"/>
              <w:rPr>
                <w:color w:val="auto"/>
                <w:kern w:val="0"/>
                <w:sz w:val="18"/>
                <w:szCs w:val="18"/>
                <w:highlight w:val="none"/>
                <w:lang w:bidi="ar"/>
              </w:rPr>
            </w:pPr>
          </w:p>
        </w:tc>
      </w:tr>
      <w:tr w14:paraId="576F6492">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2D7A1937">
            <w:pPr>
              <w:widowControl/>
              <w:jc w:val="left"/>
              <w:textAlignment w:val="center"/>
              <w:rPr>
                <w:color w:val="auto"/>
                <w:sz w:val="18"/>
                <w:szCs w:val="18"/>
                <w:highlight w:val="none"/>
              </w:rPr>
            </w:pPr>
            <w:r>
              <w:rPr>
                <w:color w:val="auto"/>
                <w:kern w:val="0"/>
                <w:sz w:val="18"/>
                <w:szCs w:val="18"/>
                <w:highlight w:val="none"/>
                <w:lang w:bidi="ar"/>
              </w:rPr>
              <w:t>选取宁波当地的特色红色旅游景点，定制开发红色旅游全景资源。一期定制开发2个景点。为后续成系统的根据宁波红色文化地图定制开发，形成一个系列打下基础。打造学院独有特色的VR红色旅游资源，在满足自身教学需求的同时，可以分享服务兄弟院校，同时开展研学活动。备选旅游景点如下：</w:t>
            </w:r>
            <w:r>
              <w:rPr>
                <w:color w:val="auto"/>
                <w:kern w:val="0"/>
                <w:sz w:val="18"/>
                <w:szCs w:val="18"/>
                <w:highlight w:val="none"/>
                <w:lang w:bidi="ar"/>
              </w:rPr>
              <w:br w:type="textWrapping"/>
            </w:r>
            <w:r>
              <w:rPr>
                <w:color w:val="auto"/>
                <w:kern w:val="0"/>
                <w:sz w:val="18"/>
                <w:szCs w:val="18"/>
                <w:highlight w:val="none"/>
                <w:lang w:bidi="ar"/>
              </w:rPr>
              <w:t>1.四明山抗日根据地旧址群：以余姚梁弄为中心的浙东（四明山）抗日根据地旧址群，是全国十九块抗日根据地之一，解决战争时期江南七大游击区之一。无数革命志士在这里抛头颅洒热血，留下了中共浙东区委旧址、浙东行政公署旧址、浙东抗日军政干校旧址、浙东银行旧址、《新浙东报》报社旧址、正蒙学堂旧址等十余处红色革命遗迹，还有革命烈士纪念碑、革命烈士陈列馆等红色旅游景点。四明山抗日根据地旧址群被列为全国百个“红色旅游经典景区”，入选《全国红色旅游景点景区名录》，是浙江宁波著名的红色旅游景区。</w:t>
            </w:r>
            <w:r>
              <w:rPr>
                <w:color w:val="auto"/>
                <w:kern w:val="0"/>
                <w:sz w:val="18"/>
                <w:szCs w:val="18"/>
                <w:highlight w:val="none"/>
                <w:lang w:bidi="ar"/>
              </w:rPr>
              <w:br w:type="textWrapping"/>
            </w:r>
            <w:r>
              <w:rPr>
                <w:color w:val="auto"/>
                <w:kern w:val="0"/>
                <w:sz w:val="18"/>
                <w:szCs w:val="18"/>
                <w:highlight w:val="none"/>
                <w:lang w:bidi="ar"/>
              </w:rPr>
              <w:t>2.镇海口海防历史纪念馆：海防历史纪念馆坐落于镇海招宝山南麓，是海防遗址的标志性建筑。纪念馆以镇海二千余年的海防历史为陈列主题，以抗倭、抗英、抗法、抗日的海防战事为陈列重点，通过序厅、海防重镇越千年、二百余年平倭寇、抗英血战镇海口、雄镇锁钥击法舰、全民抗日雄关魂、尾厅7个展馆的展陈，再现镇海从“海防重镇”到“现代港城”的历史发展进程，是浙江宁波著名的红色旅游景点。据小编了解，纪念馆对外免费开放。地址：浙江省宁波市镇海区沿江东路198号。</w:t>
            </w:r>
            <w:r>
              <w:rPr>
                <w:color w:val="auto"/>
                <w:kern w:val="0"/>
                <w:sz w:val="18"/>
                <w:szCs w:val="18"/>
                <w:highlight w:val="none"/>
                <w:lang w:bidi="ar"/>
              </w:rPr>
              <w:br w:type="textWrapping"/>
            </w:r>
            <w:r>
              <w:rPr>
                <w:color w:val="auto"/>
                <w:kern w:val="0"/>
                <w:sz w:val="18"/>
                <w:szCs w:val="18"/>
                <w:highlight w:val="none"/>
                <w:lang w:bidi="ar"/>
              </w:rPr>
              <w:t>3.新四军浙东游击纵队司令部旧址：新四军浙东游击纵队司令部旧址，曾是新四军浙东游击纵队和浙东革命根据地的军事指挥中心。该旧址为座北朝南的四合院木结构建筑，前后两进，前进系倒座平房，后进为重檐硬山楼房，两翼为左右厢房，中为石板天井，整个建筑典雅静穆，气势庄重。1991年对旧址按原貌修复后，在此建立了新四军浙东纵队史料陈列室，布置展出了珍贵的历史照片以及许多革命文物，展示了新四军浙东游击纵队的辉煌战绩，反映了根据地军民反抗日伪斗争的艰巨性、复杂性和坚定性，绘制了一幅波澜壮阔的全民抗战的历史画卷。地址：浙江省宁波市余姚市梁弄镇晓岭街103号。</w:t>
            </w:r>
            <w:r>
              <w:rPr>
                <w:color w:val="auto"/>
                <w:kern w:val="0"/>
                <w:sz w:val="18"/>
                <w:szCs w:val="18"/>
                <w:highlight w:val="none"/>
                <w:lang w:bidi="ar"/>
              </w:rPr>
              <w:br w:type="textWrapping"/>
            </w:r>
            <w:r>
              <w:rPr>
                <w:color w:val="auto"/>
                <w:kern w:val="0"/>
                <w:sz w:val="18"/>
                <w:szCs w:val="18"/>
                <w:highlight w:val="none"/>
                <w:lang w:bidi="ar"/>
              </w:rPr>
              <w:t>4.三北敌后抗日第一战纪念馆：三北敌后抗日第一战纪念馆建筑面积约为700平方米，两层建筑，一楼为村老年活动中心，二楼为纪念馆，馆内展出了自1941年打响浙东第一枪以来的相关资料照片。1941年6月18日，三北人民打响了敌后抗日第一枪，开始了轰轰烈烈的三北敌后抗日战争，在我方无一人伤亡的情况下击毙、击伤日军16人。地址：浙江省宁波市慈溪市崇寿镇晏清村。</w:t>
            </w:r>
            <w:r>
              <w:rPr>
                <w:color w:val="auto"/>
                <w:kern w:val="0"/>
                <w:sz w:val="18"/>
                <w:szCs w:val="18"/>
                <w:highlight w:val="none"/>
                <w:lang w:bidi="ar"/>
              </w:rPr>
              <w:br w:type="textWrapping"/>
            </w:r>
            <w:r>
              <w:rPr>
                <w:color w:val="auto"/>
                <w:kern w:val="0"/>
                <w:sz w:val="18"/>
                <w:szCs w:val="18"/>
                <w:highlight w:val="none"/>
                <w:lang w:bidi="ar"/>
              </w:rPr>
              <w:t>5.三北游击司令部成立旧址：三北游击司令部成立旧址位于白洋湖畔的金仙寺内，1942年8月，根据抗日战争形势发展的需要和中共中央华中局关于开展灰色隐蔽斗争的指示，第三战区淞沪游击队三北游击司令部在金仙寺成立。据小编了解，1989年寺院开始大规模修复，至今已建成山门、天王殿、大雄宝殿、观音殿、玉佛殿、地藏殿、葛仙翁殿及东西厢房等殿堂楼阁，雕塑全堂佛像，并再现了望湖楼、望海亭和七塔等胜迹。地址：浙江省宁波市慈溪市观海卫镇。</w:t>
            </w:r>
            <w:r>
              <w:rPr>
                <w:color w:val="auto"/>
                <w:kern w:val="0"/>
                <w:sz w:val="18"/>
                <w:szCs w:val="18"/>
                <w:highlight w:val="none"/>
                <w:lang w:bidi="ar"/>
              </w:rPr>
              <w:br w:type="textWrapping"/>
            </w:r>
            <w:r>
              <w:rPr>
                <w:color w:val="auto"/>
                <w:kern w:val="0"/>
                <w:sz w:val="18"/>
                <w:szCs w:val="18"/>
                <w:highlight w:val="none"/>
                <w:lang w:bidi="ar"/>
              </w:rPr>
              <w:t>6.浙东工农红军第一师筹建处：浙东工农红军第一师筹建处原系费德昭住宅，主体建筑为坐北朝南的三开间木结构高平屋，通面宽9.2米，深12米，正间宽4.5米，深8.6米，东次间宽3.9米，深11.3米，有前廊，梁架结构均为穿斗式，除西次间被拆外，其余迄今保存尚好。浙东工农红军第一师从筹建到解散，尽管只有短短的3个月，但它在慈溪革命斗争史上留下了光辉一页。地址：浙江省宁波市。</w:t>
            </w:r>
            <w:r>
              <w:rPr>
                <w:color w:val="auto"/>
                <w:kern w:val="0"/>
                <w:sz w:val="18"/>
                <w:szCs w:val="18"/>
                <w:highlight w:val="none"/>
                <w:lang w:bidi="ar"/>
              </w:rPr>
              <w:br w:type="textWrapping"/>
            </w:r>
            <w:r>
              <w:rPr>
                <w:color w:val="auto"/>
                <w:kern w:val="0"/>
                <w:sz w:val="18"/>
                <w:szCs w:val="18"/>
                <w:highlight w:val="none"/>
                <w:lang w:bidi="ar"/>
              </w:rPr>
              <w:t>7.毛泽东批示纪念碑：毛泽东批示纪念碑建于1971年，为纪念毛主席为五洞闸合作社批示15周年所立。该碑位于慈溪市观海卫镇大岐山村原五洞闸供销社西墙，高4.5米，宽20米，批示全文通篇为楷书并用红漆誊写。2003年12月慈溪市人民政府将纪念碑公布为第五批文物保护单位。地址：浙江省宁波市慈溪市观海卫镇大岐山村原五洞闸供销社西墙。</w:t>
            </w:r>
            <w:r>
              <w:rPr>
                <w:color w:val="auto"/>
                <w:kern w:val="0"/>
                <w:sz w:val="18"/>
                <w:szCs w:val="18"/>
                <w:highlight w:val="none"/>
                <w:lang w:bidi="ar"/>
              </w:rPr>
              <w:br w:type="textWrapping"/>
            </w:r>
            <w:r>
              <w:rPr>
                <w:color w:val="auto"/>
                <w:kern w:val="0"/>
                <w:sz w:val="18"/>
                <w:szCs w:val="18"/>
                <w:highlight w:val="none"/>
                <w:lang w:bidi="ar"/>
              </w:rPr>
              <w:t>8.中共浙东区委成立旧址纪念馆：中共浙东区委成立旧址纪念馆原为宓大昌老宅，用两个展厅反映说明当时浙东抗日斗争的历史。许多学校将纪念馆作为校外爱国主义教育基地，每学期组织学生来此参观，许多高校学生经常利用假期来此进行社会实践活动，一些党政机关单位也将党、团支部活动安排在此进行。自1998年开放以来，该纪念馆先后被命名为慈溪市、宁波市爱国主义教育基地，前来参观的市内外机关单位、大中小学生有3万余人。地址：浙江省宁波市慈溪市观海卫镇昌明村</w:t>
            </w:r>
            <w:r>
              <w:rPr>
                <w:color w:val="auto"/>
                <w:kern w:val="0"/>
                <w:sz w:val="18"/>
                <w:szCs w:val="18"/>
                <w:highlight w:val="none"/>
                <w:lang w:bidi="ar"/>
              </w:rPr>
              <w:br w:type="textWrapping"/>
            </w:r>
            <w:r>
              <w:rPr>
                <w:color w:val="auto"/>
                <w:kern w:val="0"/>
                <w:sz w:val="18"/>
                <w:szCs w:val="18"/>
                <w:highlight w:val="none"/>
                <w:lang w:bidi="ar"/>
              </w:rPr>
              <w:t>9.慈溪革命烈士陵园：慈溪革命烈士陵园总占地面积约5300平方米，是慈溪目前规模较大的烈士陵园，由大门、广场、纪念碑、烈士墓群等组成。大门主体高4.6米，通宽8米，用青石砌筑，顶部用琉璃瓦覆盖，呈廊檐式，额书“革命烈士陵园”六个大字，右侧门柱刻“为有牺牲多壮志”，左侧门柱刻“敢教日月换新天”，内门右为烈士生平陈列室。地址：浙江省宁波市慈溪市湖口路</w:t>
            </w:r>
            <w:r>
              <w:rPr>
                <w:color w:val="auto"/>
                <w:kern w:val="0"/>
                <w:sz w:val="18"/>
                <w:szCs w:val="18"/>
                <w:highlight w:val="none"/>
                <w:lang w:bidi="ar"/>
              </w:rPr>
              <w:br w:type="textWrapping"/>
            </w:r>
            <w:r>
              <w:rPr>
                <w:color w:val="auto"/>
                <w:kern w:val="0"/>
                <w:sz w:val="18"/>
                <w:szCs w:val="18"/>
                <w:highlight w:val="none"/>
                <w:lang w:bidi="ar"/>
              </w:rPr>
              <w:t>10慈溪市革命烈士纪念馆：慈溪市革命烈士纪念馆坐落在峙山公园西侧脉云山北坡，建筑面积858平方米，是浙江省内县级市中规模较大、设施较全的革命烈士纪念场馆，是浙江省重点烈士纪念建筑物保护单位，也是党政机关、中小学校和企事业单位进行爱国主义和政治思想教育的重要阵地。自开馆以来，每年都有大批来自社会各界的人士到此祭扫。地址：浙江省宁波市慈溪市浒山街道峙山公园西侧脉云山北坡</w:t>
            </w:r>
            <w:r>
              <w:rPr>
                <w:color w:val="auto"/>
                <w:kern w:val="0"/>
                <w:sz w:val="18"/>
                <w:szCs w:val="18"/>
                <w:highlight w:val="none"/>
                <w:lang w:bidi="ar"/>
              </w:rPr>
              <w:br w:type="textWrapping"/>
            </w:r>
            <w:r>
              <w:rPr>
                <w:color w:val="auto"/>
                <w:kern w:val="0"/>
                <w:sz w:val="18"/>
                <w:szCs w:val="18"/>
                <w:highlight w:val="none"/>
                <w:lang w:bidi="ar"/>
              </w:rPr>
              <w:t>杨贤江故居： 慈溪市长河镇贤江路 浙江省爱国主义教育基地.</w:t>
            </w:r>
            <w:r>
              <w:rPr>
                <w:color w:val="auto"/>
                <w:kern w:val="0"/>
                <w:sz w:val="18"/>
                <w:szCs w:val="18"/>
                <w:highlight w:val="none"/>
                <w:lang w:bidi="ar"/>
              </w:rPr>
              <w:br w:type="textWrapping"/>
            </w:r>
            <w:r>
              <w:rPr>
                <w:color w:val="auto"/>
                <w:kern w:val="0"/>
                <w:sz w:val="18"/>
                <w:szCs w:val="18"/>
                <w:highlight w:val="none"/>
                <w:lang w:bidi="ar"/>
              </w:rPr>
              <w:t>11.庵东“七二三”盐工革命斗争史陈列馆： 杭州湾庵东镇邮电东路176号 宁波市爱国主义教育基地。</w:t>
            </w:r>
            <w:r>
              <w:rPr>
                <w:color w:val="auto"/>
                <w:kern w:val="0"/>
                <w:sz w:val="18"/>
                <w:szCs w:val="18"/>
                <w:highlight w:val="none"/>
                <w:lang w:bidi="ar"/>
              </w:rPr>
              <w:br w:type="textWrapping"/>
            </w:r>
            <w:r>
              <w:rPr>
                <w:color w:val="auto"/>
                <w:kern w:val="0"/>
                <w:sz w:val="18"/>
                <w:szCs w:val="18"/>
                <w:highlight w:val="none"/>
                <w:lang w:bidi="ar"/>
              </w:rPr>
              <w:t>12.古窑浦海上门户纪念碑和陈列馆： 掌起镇古窑浦村 宁波市爱国主义教育基地（2008）。</w:t>
            </w:r>
            <w:r>
              <w:rPr>
                <w:color w:val="auto"/>
                <w:kern w:val="0"/>
                <w:sz w:val="18"/>
                <w:szCs w:val="18"/>
                <w:highlight w:val="none"/>
                <w:lang w:bidi="ar"/>
              </w:rPr>
              <w:br w:type="textWrapping"/>
            </w:r>
            <w:r>
              <w:rPr>
                <w:color w:val="auto"/>
                <w:kern w:val="0"/>
                <w:sz w:val="18"/>
                <w:szCs w:val="18"/>
                <w:highlight w:val="none"/>
                <w:lang w:bidi="ar"/>
              </w:rPr>
              <w:t>13.掌起镇洪魏革命纪念馆： 掌起镇洪魏村 宁波市爱国主义教育基地（2007）。</w:t>
            </w:r>
            <w:r>
              <w:rPr>
                <w:color w:val="auto"/>
                <w:kern w:val="0"/>
                <w:sz w:val="18"/>
                <w:szCs w:val="18"/>
                <w:highlight w:val="none"/>
                <w:lang w:bidi="ar"/>
              </w:rPr>
              <w:br w:type="textWrapping"/>
            </w:r>
            <w:r>
              <w:rPr>
                <w:color w:val="auto"/>
                <w:kern w:val="0"/>
                <w:sz w:val="18"/>
                <w:szCs w:val="18"/>
                <w:highlight w:val="none"/>
                <w:lang w:bidi="ar"/>
              </w:rPr>
              <w:t>14.中共东山头支部成立处旧址：（锦堂校史陈列室、吴锦堂事迹馆） 观海卫镇139号 慈溪市爱国主义教育基地（2016）。</w:t>
            </w:r>
            <w:r>
              <w:rPr>
                <w:color w:val="auto"/>
                <w:kern w:val="0"/>
                <w:sz w:val="18"/>
                <w:szCs w:val="18"/>
                <w:highlight w:val="none"/>
                <w:lang w:bidi="ar"/>
              </w:rPr>
              <w:br w:type="textWrapping"/>
            </w:r>
            <w:r>
              <w:rPr>
                <w:color w:val="auto"/>
                <w:kern w:val="0"/>
                <w:sz w:val="18"/>
                <w:szCs w:val="18"/>
                <w:highlight w:val="none"/>
                <w:lang w:bidi="ar"/>
              </w:rPr>
              <w:t>15.中共坎镇支部成立处旧址： 崇寿镇相公殿村 慈溪市爱国主义教育基地（2011）。</w:t>
            </w:r>
            <w:r>
              <w:rPr>
                <w:color w:val="auto"/>
                <w:kern w:val="0"/>
                <w:sz w:val="18"/>
                <w:szCs w:val="18"/>
                <w:highlight w:val="none"/>
                <w:lang w:bidi="ar"/>
              </w:rPr>
              <w:br w:type="textWrapping"/>
            </w:r>
            <w:r>
              <w:rPr>
                <w:color w:val="auto"/>
                <w:kern w:val="0"/>
                <w:sz w:val="18"/>
                <w:szCs w:val="18"/>
                <w:highlight w:val="none"/>
                <w:lang w:bidi="ar"/>
              </w:rPr>
              <w:t xml:space="preserve">16.三北敌后抗日根据地纪念馆慈溪滨海经济开发区文体中心： 慈溪市爱国主义教育基地（2012）。  </w:t>
            </w:r>
            <w:r>
              <w:rPr>
                <w:color w:val="auto"/>
                <w:kern w:val="0"/>
                <w:sz w:val="18"/>
                <w:szCs w:val="18"/>
                <w:highlight w:val="none"/>
                <w:lang w:bidi="ar"/>
              </w:rPr>
              <w:br w:type="textWrapping"/>
            </w:r>
            <w:r>
              <w:rPr>
                <w:color w:val="auto"/>
                <w:kern w:val="0"/>
                <w:sz w:val="18"/>
                <w:szCs w:val="18"/>
                <w:highlight w:val="none"/>
                <w:lang w:bidi="ar"/>
              </w:rPr>
              <w:t>17.中共慈溪历史馆： 白沙路街道科技路999号 慈溪市爱国主义教育基地（2019）。</w:t>
            </w:r>
            <w:r>
              <w:rPr>
                <w:color w:val="auto"/>
                <w:kern w:val="0"/>
                <w:sz w:val="18"/>
                <w:szCs w:val="18"/>
                <w:highlight w:val="none"/>
                <w:lang w:bidi="ar"/>
              </w:rPr>
              <w:br w:type="textWrapping"/>
            </w:r>
            <w:r>
              <w:rPr>
                <w:color w:val="auto"/>
                <w:kern w:val="0"/>
                <w:sz w:val="18"/>
                <w:szCs w:val="18"/>
                <w:highlight w:val="none"/>
                <w:lang w:bidi="ar"/>
              </w:rPr>
              <w:t>18.浙东工农红军第一师师部旧址纪念馆：坎墩街道坎东村坎墩东街  慈溪市爱国主义教育基地（2019）。</w:t>
            </w:r>
          </w:p>
        </w:tc>
        <w:tc>
          <w:tcPr>
            <w:tcW w:w="863" w:type="dxa"/>
            <w:tcBorders>
              <w:top w:val="single" w:color="000000" w:sz="4" w:space="0"/>
              <w:left w:val="single" w:color="000000" w:sz="4" w:space="0"/>
              <w:bottom w:val="single" w:color="000000" w:sz="4" w:space="0"/>
              <w:right w:val="single" w:color="000000" w:sz="4" w:space="0"/>
            </w:tcBorders>
            <w:vAlign w:val="center"/>
          </w:tcPr>
          <w:p w14:paraId="6404F0CB">
            <w:pPr>
              <w:widowControl/>
              <w:jc w:val="left"/>
              <w:textAlignment w:val="center"/>
              <w:rPr>
                <w:color w:val="auto"/>
                <w:kern w:val="0"/>
                <w:sz w:val="18"/>
                <w:szCs w:val="18"/>
                <w:highlight w:val="none"/>
                <w:lang w:bidi="ar"/>
              </w:rPr>
            </w:pPr>
          </w:p>
        </w:tc>
      </w:tr>
      <w:tr w14:paraId="7D7E122A">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518B8123">
            <w:pPr>
              <w:widowControl/>
              <w:jc w:val="center"/>
              <w:textAlignment w:val="center"/>
              <w:rPr>
                <w:color w:val="auto"/>
                <w:kern w:val="0"/>
                <w:sz w:val="18"/>
                <w:szCs w:val="18"/>
                <w:highlight w:val="none"/>
                <w:lang w:bidi="ar"/>
              </w:rPr>
            </w:pPr>
            <w:r>
              <w:rPr>
                <w:b/>
                <w:bCs/>
                <w:color w:val="auto"/>
                <w:kern w:val="0"/>
                <w:sz w:val="20"/>
                <w:szCs w:val="20"/>
                <w:highlight w:val="none"/>
                <w:lang w:bidi="ar"/>
              </w:rPr>
              <w:t>旅游VR全景系统资源</w:t>
            </w:r>
          </w:p>
        </w:tc>
        <w:tc>
          <w:tcPr>
            <w:tcW w:w="863" w:type="dxa"/>
            <w:tcBorders>
              <w:top w:val="single" w:color="000000" w:sz="4" w:space="0"/>
              <w:left w:val="single" w:color="000000" w:sz="4" w:space="0"/>
              <w:bottom w:val="single" w:color="000000" w:sz="4" w:space="0"/>
              <w:right w:val="single" w:color="000000" w:sz="4" w:space="0"/>
            </w:tcBorders>
            <w:vAlign w:val="center"/>
          </w:tcPr>
          <w:p w14:paraId="53D314CE">
            <w:pPr>
              <w:widowControl/>
              <w:jc w:val="left"/>
              <w:textAlignment w:val="center"/>
              <w:rPr>
                <w:color w:val="auto"/>
                <w:kern w:val="0"/>
                <w:sz w:val="18"/>
                <w:szCs w:val="18"/>
                <w:highlight w:val="none"/>
                <w:lang w:bidi="ar"/>
              </w:rPr>
            </w:pPr>
          </w:p>
        </w:tc>
      </w:tr>
      <w:tr w14:paraId="3F1C0F75">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690C895">
            <w:pPr>
              <w:widowControl/>
              <w:numPr>
                <w:ilvl w:val="0"/>
                <w:numId w:val="9"/>
              </w:numPr>
              <w:jc w:val="left"/>
              <w:textAlignment w:val="center"/>
              <w:rPr>
                <w:color w:val="auto"/>
                <w:kern w:val="0"/>
                <w:sz w:val="18"/>
                <w:szCs w:val="18"/>
                <w:highlight w:val="none"/>
                <w:lang w:bidi="ar"/>
              </w:rPr>
            </w:pPr>
            <w:r>
              <w:rPr>
                <w:color w:val="auto"/>
                <w:kern w:val="0"/>
                <w:sz w:val="18"/>
                <w:szCs w:val="18"/>
                <w:highlight w:val="none"/>
                <w:lang w:bidi="ar"/>
              </w:rPr>
              <w:t>全景资源列表：                                                                                                                                                                        天一阁·月湖景区、峙山公园、达蓬山佛迹寺、溪口风景区、宁波帮博物馆、徐凫岩、文化公园、安徽黄山、奥林匹克广场、八达岭长城、白石山风景区、白洋淀风景区、北海涠洲岛风景区全景漫游、北京故宫、北京天坛、北流市民安镇铜石岭风景区、本溪水洞、常州世界恐龙园、承德避暑山庄、池州市九华秋浦胜境、大王洞风景区、大丰中华麋鹿园区、大槐树寻根祭祖园、大连老虎滩、大美吉林-北山风景区、大美井冈山、大美石林、大兴安岭景区、东方明珠广播电视塔、东莞水濂山森林公园风景区、东湖生态旅游风景区、东交民巷、冬雪泰山风景区从日出到日落漫游、额济纳黑城弱水胡杨林风景区、额济纳居延海风景区720VR全景、梵净山(世界自然遗产 5A景区)、沕沕水生态风景区、伏尔加庄园、福清石竹山风景区、甘南扎尕那风景区720全景、古猗园-5A景区、固始华阳湖风景区VR全景、广西阳朔图腾古道风景区VR全景、广西昭平县杨村-乡村风景、贵安新区万亩樱花园、贵阳5A · 青岩古镇全景图、贵州省黔东南州凯里市香炉山风景区、国家5A级风景区——白水洋·鸳鸯溪、国家5A级景区-清源山、哈尔滨科学宫、哈尔滨市尚志公园、哈尔滨市兆麟公园、航拍5A景区·黄山市·歙县·徽州古城、航拍笔架山风景区VR全景、航拍井冈山风景区VR全景、航拍庐山风景区南门VR全景、航拍坡峰岭红叶风景区、航拍玉笥山养生谷风景区</w:t>
            </w:r>
            <w:r>
              <w:rPr>
                <w:color w:val="auto"/>
                <w:kern w:val="0"/>
                <w:sz w:val="18"/>
                <w:szCs w:val="18"/>
                <w:highlight w:val="none"/>
                <w:lang w:bidi="ar"/>
              </w:rPr>
              <w:br w:type="textWrapping"/>
            </w:r>
            <w:r>
              <w:rPr>
                <w:color w:val="auto"/>
                <w:kern w:val="0"/>
                <w:sz w:val="18"/>
                <w:szCs w:val="18"/>
                <w:highlight w:val="none"/>
                <w:lang w:bidi="ar"/>
              </w:rPr>
              <w:t>航拍枣庄抱犊崮风景区秋色迷人红叶遍地、航拍燥石风景区杜鹃花开VR全景、濠河风景区、黑龙江省区划地名文化展示中心、河北武安市京娘湖风景区、黑瞎子岛湿地公园、呼兰河口湿地、洪泽湖湿地景区、呼伦贝尔大草原、湖南郴州高椅岭丹霞风景区、湖南长沙橘子洲（毛泽东青年雕像）风景区空中VR漫游、花果山雾凇、皇城相府、黄陂木兰山风景区、黄山·古徽州文化旅游区·潜口民宅VR全景（5A）、黄山屏山风景区VR全景、惠山古镇、惠州西湖风景名胜区、鸡西全景、江苏VR全景展示：虎丘风景区VR全景虚拟游、介休绵山景区、金河湾湿地植物园、金鸡湖、金山岭长城、金山寺、金石滩旅游度假区、津门故里、景德镇陶瓷历史博览区、净月潭国家森林公园、镜泊湖、九天仙域风景区、喀纳斯图瓦老村-国家5A级景区、阆中古城、老君山风景区、丽江古城、林甸温泉欢乐谷、灵山大佛、六鼎山文化旅游区、龙川县霍山风景区VR全景、龙门石窟 （世界文化遗产、5A级景区、河南洛阳龙门石窟）、芒砀山大汉雄风景区、茅山风景区、孟家湾三道河则水利风景区、密山铁西森林公园、明十三陵、南昌航空大学、南昌滕王阁、南充西山风景区栖乐垭村、南京夫子庙、南京金牛湖风景区航拍全景、南昆山风景区、纽卡斯尔大学、宁安市瀑布、盘锦红海滩、盘山风景区、磐安花溪风景区花千宿民宿、平遥古城、萍乡武功山风景区VR全景漫游、普陀山、七彩云南-古滇文化名城风景区、齐齐哈尔明月岛、齐山平天湖风景区、青城山景区（世界文化遗产，国家5A级旅游景区）、青岩古镇（国家5A级景区）、清东陵、清西陵、全域旅游-沂蒙山龟蒙风景区、如皋龙游湖风景区、三峡龙泉湖风景区大门处、森工平山旅游区、厦门鼓浪屿、山东龙口南山5A级旅游景区VR全景、山海关、山西蟒河风景区、上海野生动物园、绍兴兰亭风景区VR全景展示、涉县娲皇宫、深圳园山风景区一览、石家庄井阱锦山张河湾风景区、石林峡风景区、石柱县大风堡原始森林风景区、瘦西湖、水墨码头风景区、苏州拙政园、太行山大峡谷八泉峡、泰国大皇宫、泰湖国家湿地公园、泰州市凤城河风景旅游区、汤旺县林海、天津泰达航母主题公园、天目湖、天山天池、天坛公园、同济大学、同里古镇、万盛经济开发区黑山谷风景区、万盛经开区鱼子岗风景区、伪满皇宫博物院、无锡三国水浒影视基地、五大连池、五大连池风景区冬韵、五大连池风景区全景展示、五台山、五营国家森林公园、婺源篁岭风景区VR展示、西藏布达拉宫、大昭寺、西城恭王府、西湖夜景、西南石油大学、新疆喀纳斯、新疆葡萄沟风景区VR全景、新疆天山天池空中航拍-国家5A景区、兴凯湖、徐州云龙湖、烟台山风景区、雁荡山、雁门关、燕子沟风景区VR全景漫游、野三坡百里峡、伊川龙凤山古镇风景区夜景VR、伊春市嘉荫恐龙国家地质公园、宜兴云湖风景区、颐和园、永年古城、裕龙湾旅游风景区、圆明新园、鼋头渚、云冈石窟、云丘山景区、张家界·武陵源——世界自然遗产，世界地质公园，国家5A级旅游景区、漳州三平祖师公朝圣风景旅游区、长白山、长春世界雕塑公园、长沙、长影世纪城、镇江市北固山风景区、镇江市焦山风景区、镇江市金山风景区、正定古城、知青博物馆、中国人民大学、中国如皋水绘园风景区、中华恐龙园（环球恐龙城）5A景区全景游-八方视野、中华始祖堂、周庄古镇、拙政园、阿城农场、北大荒现代农业园、北京中华民族博物馆、藏王陵博物馆、飞鹤观光农场、哈尔滨博物馆、哈尔滨城史文物馆、哈尔滨城乡规划展览馆、哈尔滨市档案馆、哈尔滨市方志馆、黑龙江北方民俗博物馆、黑龙江友谊农场、纪念中国人民志愿军抗美援朝出国做战70周年展、金上京历史博物馆、晋察冀画报社陈列馆、三星堆博物馆、陕西水利博物馆、尚志狂风骤雨纪念馆、沈阳故宫、孙中山南洋纪念馆、友谊农场、中国文字博物馆、重庆建川博物馆、舟山博物馆、“永远跟党走”博州红色打卡地VR全景展厅、”半条被子的温暖“陈列馆、瑷珲历史陈列馆、安重根义士纪念馆、八女投江、百年辉煌 闽西荣光、百团大战纪念馆、北辰区新时代文明实践中心VR展示系统、宾县烈士陵园、常熟理工学院红色经典教育馆、潮州饶平县博物馆VR展馆、陈嘉庚纪念馆、初心始发地，再创新奇迹-新思想引领新征程上海篇、存古红色教育馆、党建与思政教育基地、党建展厅、道里区青少年党史教育基地、东北抗联博物馆五大连池分馆、邓小平故居、东北烈士纪念馆、董存瑞烈士陵园、方正抗联英烈纪念地、高新区电子信息产业园党群服务中心、革命领袖视察黑龙江纪念馆、革命圣地红色延安、共和国摇篮-红都瑞金、观八一纪念馆，铭记党史、广州起义纪念馆、广州移动数字化党建中心、贵州省“四史”教育线上展馆、国网寿光市供电公司智慧党建中心、哈尔滨党史馆、哈尔滨烈士陵园、哈军工纪念馆、海林杨子荣纪念馆、海南党建发布版、海南省史志馆、何家冲景区、贺兰财政局党建展厅全景效果图、贺兰县党史纪念馆、黑龙江百年党史网上展馆、黑龙江省工匠技能人才创新成果展、红船启航逐梦前行、红动迎泽、红军六盘山长征纪念馆、红军长征过丽江纪念馆、红色基因代代传教育基地、红色思政教育-全息剧本杀体验馆、红色印记羊城烽火、红色之旅-延安枣园革命旧址、红岩魂陈列馆、红四方面军总指挥部、虎头风景区、互助县红色爱国主义教育基地、花城学院VR全景党史学习馆、淮安周恩来总理故居、黄继光纪念馆、黄埔军校、济宁市汶上苑庄镇党史纪念馆、嘉兴地方党史陈列馆在线展厅、江西VR产业园党史馆、江西省博物馆、将台堡红军长征胜利会师纪念园、井冈山革命博物馆、抗联博物馆、兰山红色-沂蒙革命精神纪念馆、雷锋纪念馆、李大钊故居、李兆麟将军纪念馆、临平区庆祝建党百年主题展VR全景、刘少奇纪念馆、龙江“四大精神”展馆、龙陵县西山坡党史学习教育主题公园、秘密交通线纪念馆、闽浙赣革命根椐地、南昌起义纪念馆、南岗博物馆、宁夏工委纪念馆暨永宁县党史党性廉政教育基地、彭德怀元帅生平展、七三一部队罪证陈列馆、七七卢沟桥事变遗址、庆云县学苑社区党群服务中心、热河革命烈士纪念馆、瑞安国旗教育馆VR、瑞金叶坪革命旧址、瑞金中央革命根据地历史博物馆、三五九旅屯垦纪念馆、三下江南战役纪念馆、沙洲红军街、山、重山集团初心学堂奋斗精神教学示范点、上海四行仓库抗战纪念馆、韶山毛泽东纪念馆、丝绸之路南疆风光、四渡赤水纪念馆、四野前线指挥部旧址、苏宁烈士雕像纪念广场、台儿庄大战纪念馆、太行八路军纪念馆、田塘头村爱国教育基地、五常革命烈士陵园、伍连德纪念馆、西柏坡、西柏坡中共中央旧址、习近平新时代中国特色社会主义思想主题教室VR全景、西路红军古浪战役纪念馆、萧红故居纪念馆、小平小道陈列馆、延安革命纪念馆、延寿县烈士陵园、依兰博物馆、依兰四块石抗联遗址、永远跟党走-肥西红色人物VR云展馆、鄞州教育局红色体验基地、雨花台烈士陵园、云南经济管理学院党建和思想政治教育创新发展中心</w:t>
            </w:r>
            <w:r>
              <w:rPr>
                <w:color w:val="auto"/>
                <w:kern w:val="0"/>
                <w:sz w:val="18"/>
                <w:szCs w:val="18"/>
                <w:highlight w:val="none"/>
                <w:lang w:bidi="ar"/>
              </w:rPr>
              <w:br w:type="textWrapping"/>
            </w:r>
            <w:r>
              <w:rPr>
                <w:color w:val="auto"/>
                <w:kern w:val="0"/>
                <w:sz w:val="18"/>
                <w:szCs w:val="18"/>
                <w:highlight w:val="none"/>
                <w:lang w:bidi="ar"/>
              </w:rPr>
              <w:t>、渣滓洞白公馆、长征主题展、赵一曼被捕地、智能化思政教学中心、中共北满分局旧址、中共满洲省委机关旧址纪念馆、中共一大纪念馆、中共中央凤凰山麓革命旧址、中国816地下核工程、中国甲午战争博物馆、中国中铁“开路先锋”文化展览馆、中央红军长征出发地、朱德同志故居纪念馆、转战陕北-杨家沟、遵义会议纪念馆、加格达奇航空护林站、漠河石林、同江市街津口赫哲民族文化村、大兴安岭漠河北极村、布苏里要塞、鲜卑拓跋历史文化园（全部）、大兴安岭南瓮河湿地、大兴安岭松岭天台山景区、大兴安岭、呼中大白山、齐齐哈尔扎龙自然保护区、查干湖、阿勒锦岛、哈尔滨火车站VR全景、红色展览、莲花、古琴户外雅集、雪谷、[ 纪实 ]青花湖冬捕、五大连池风景区、伊春市、中国亭园、松岭区、绿山川 生态园、老道外·中华巴洛克历史文化街区、光东村、碾子山、黑龙江省森林植物园、哈尔滨文庙、亚布力熊猫馆、金河湾湿地公园、哈尔滨大剧院、群力音乐公园、群力丁香公园、群力体育公园、群力湿地公园、太阳岛、太阳岛雪博会、冬季的哈尔滨、冬季的伏尔加庄园、索菲亚教堂、中央大街、防洪纪念塔、亚布力、虎林市、夜幕下的哈尔滨、2018哈尔滨冰雪大世界、2022哈尔滨冰雪大世界、加格达奇、飞龙山杜鹃谷、呼源全景、小白山景区、呼中区、大兴安岭主要景区、加格达奇区、中国最冷小镇-呼中、蓝莓小镇-阿木尔、图强林业局美景尽收眼底、呼玛县、漠河市、塔河县、十八驿站、爱情小镇-新林、碾子山区、山地运动赛道、军事文化主题公园、香磨山风景区、木兰县新民乡、云上·全景VR带你游览鹤岗、云上·全景VR带你游览桦南、云上·全景VR带你游览佳木斯、云上·全景VR带你游览哈尔滨。</w:t>
            </w:r>
          </w:p>
          <w:p w14:paraId="09AB6550">
            <w:pPr>
              <w:widowControl/>
              <w:jc w:val="left"/>
              <w:textAlignment w:val="center"/>
              <w:rPr>
                <w:color w:val="auto"/>
                <w:kern w:val="0"/>
                <w:sz w:val="18"/>
                <w:szCs w:val="18"/>
                <w:highlight w:val="none"/>
                <w:lang w:bidi="ar"/>
              </w:rPr>
            </w:pPr>
            <w:r>
              <w:rPr>
                <w:color w:val="auto"/>
                <w:kern w:val="0"/>
                <w:sz w:val="18"/>
                <w:szCs w:val="18"/>
                <w:highlight w:val="none"/>
                <w:lang w:bidi="ar"/>
              </w:rPr>
              <w:t>二、全景视频资源列表：                                                                                                                                                                    青花湖冬捕、亚布力小九寨、哈尔滨大剧院、哈尔滨西站、群力音乐广场、索菲亚教堂、太阳岛航拍、南瓮河、北极岛、阿木尔四季、大兴安岭旅游全景视频、黑河旅俄华侨纪念馆、太阳岛雪博会、伏尔加庄园、滨州铁路桥、革新街教堂、群力湿地公园、中央大街、松花江畔、中华巴洛克历史文化街区、五大连池风景区、漠河石林、漠河北极村、呼玛博物馆、布苏里要塞、嘎仙洞、松岭天台山景区、呼中大白山、大兴安岭五六火灾纪念馆、扎龙自然保护区、江桥抗战纪念馆。</w:t>
            </w:r>
          </w:p>
        </w:tc>
        <w:tc>
          <w:tcPr>
            <w:tcW w:w="863" w:type="dxa"/>
            <w:tcBorders>
              <w:top w:val="single" w:color="000000" w:sz="4" w:space="0"/>
              <w:left w:val="single" w:color="000000" w:sz="4" w:space="0"/>
              <w:bottom w:val="single" w:color="000000" w:sz="4" w:space="0"/>
              <w:right w:val="single" w:color="000000" w:sz="4" w:space="0"/>
            </w:tcBorders>
            <w:vAlign w:val="center"/>
          </w:tcPr>
          <w:p w14:paraId="0B1F6B7D">
            <w:pPr>
              <w:widowControl/>
              <w:jc w:val="left"/>
              <w:textAlignment w:val="center"/>
              <w:rPr>
                <w:color w:val="auto"/>
                <w:kern w:val="0"/>
                <w:sz w:val="18"/>
                <w:szCs w:val="18"/>
                <w:highlight w:val="none"/>
                <w:lang w:bidi="ar"/>
              </w:rPr>
            </w:pPr>
          </w:p>
        </w:tc>
      </w:tr>
      <w:tr w14:paraId="186E1954">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A306C80">
            <w:pPr>
              <w:widowControl/>
              <w:jc w:val="center"/>
              <w:textAlignment w:val="center"/>
              <w:rPr>
                <w:color w:val="auto"/>
                <w:kern w:val="0"/>
                <w:sz w:val="18"/>
                <w:szCs w:val="18"/>
                <w:highlight w:val="none"/>
                <w:lang w:bidi="ar"/>
              </w:rPr>
            </w:pPr>
            <w:r>
              <w:rPr>
                <w:b/>
                <w:bCs/>
                <w:color w:val="auto"/>
                <w:kern w:val="0"/>
                <w:sz w:val="20"/>
                <w:szCs w:val="20"/>
                <w:highlight w:val="none"/>
                <w:lang w:bidi="ar"/>
              </w:rPr>
              <w:t>研学旅行资源包</w:t>
            </w:r>
          </w:p>
        </w:tc>
        <w:tc>
          <w:tcPr>
            <w:tcW w:w="863" w:type="dxa"/>
            <w:tcBorders>
              <w:top w:val="single" w:color="000000" w:sz="4" w:space="0"/>
              <w:left w:val="single" w:color="000000" w:sz="4" w:space="0"/>
              <w:bottom w:val="single" w:color="000000" w:sz="4" w:space="0"/>
              <w:right w:val="single" w:color="000000" w:sz="4" w:space="0"/>
            </w:tcBorders>
            <w:vAlign w:val="center"/>
          </w:tcPr>
          <w:p w14:paraId="640CF297">
            <w:pPr>
              <w:widowControl/>
              <w:jc w:val="left"/>
              <w:textAlignment w:val="center"/>
              <w:rPr>
                <w:color w:val="auto"/>
                <w:kern w:val="0"/>
                <w:sz w:val="18"/>
                <w:szCs w:val="18"/>
                <w:highlight w:val="none"/>
                <w:lang w:bidi="ar"/>
              </w:rPr>
            </w:pPr>
          </w:p>
        </w:tc>
      </w:tr>
      <w:tr w14:paraId="02D54EAE">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29B5A8BA">
            <w:pPr>
              <w:widowControl/>
              <w:jc w:val="left"/>
              <w:textAlignment w:val="center"/>
              <w:rPr>
                <w:color w:val="auto"/>
                <w:kern w:val="0"/>
                <w:sz w:val="18"/>
                <w:szCs w:val="18"/>
                <w:highlight w:val="none"/>
                <w:lang w:bidi="ar"/>
              </w:rPr>
            </w:pPr>
            <w:r>
              <w:rPr>
                <w:rFonts w:hint="eastAsia"/>
                <w:color w:val="auto"/>
                <w:kern w:val="0"/>
                <w:sz w:val="18"/>
                <w:szCs w:val="18"/>
                <w:highlight w:val="none"/>
                <w:lang w:bidi="ar"/>
              </w:rPr>
              <w:t>课程资源需包括：</w:t>
            </w:r>
          </w:p>
          <w:p w14:paraId="38538E6A">
            <w:pPr>
              <w:widowControl/>
              <w:jc w:val="left"/>
              <w:textAlignment w:val="center"/>
              <w:rPr>
                <w:color w:val="auto"/>
                <w:kern w:val="0"/>
                <w:sz w:val="18"/>
                <w:szCs w:val="18"/>
                <w:highlight w:val="none"/>
                <w:lang w:bidi="ar"/>
              </w:rPr>
            </w:pPr>
            <w:r>
              <w:rPr>
                <w:rFonts w:hint="eastAsia"/>
                <w:color w:val="auto"/>
                <w:kern w:val="0"/>
                <w:sz w:val="18"/>
                <w:szCs w:val="18"/>
                <w:highlight w:val="none"/>
                <w:lang w:bidi="ar"/>
              </w:rPr>
              <w:t>1</w:t>
            </w:r>
            <w:r>
              <w:rPr>
                <w:color w:val="auto"/>
                <w:kern w:val="0"/>
                <w:sz w:val="18"/>
                <w:szCs w:val="18"/>
                <w:highlight w:val="none"/>
                <w:lang w:bidi="ar"/>
              </w:rPr>
              <w:t>西湖</w:t>
            </w:r>
            <w:r>
              <w:rPr>
                <w:rFonts w:hint="eastAsia"/>
                <w:color w:val="auto"/>
                <w:kern w:val="0"/>
                <w:sz w:val="18"/>
                <w:szCs w:val="18"/>
                <w:highlight w:val="none"/>
                <w:lang w:bidi="ar"/>
              </w:rPr>
              <w:t>：含内容</w:t>
            </w:r>
            <w:r>
              <w:rPr>
                <w:color w:val="auto"/>
                <w:kern w:val="0"/>
                <w:sz w:val="18"/>
                <w:szCs w:val="18"/>
                <w:highlight w:val="none"/>
                <w:lang w:bidi="ar"/>
              </w:rPr>
              <w:t>《晓出净慈寺送林子方》（杨万里）、《望湖楼酔书》《饮湖上初晴后雨》（苏轼）</w:t>
            </w:r>
            <w:r>
              <w:rPr>
                <w:color w:val="auto"/>
                <w:kern w:val="0"/>
                <w:sz w:val="18"/>
                <w:szCs w:val="18"/>
                <w:highlight w:val="none"/>
                <w:lang w:bidi="ar"/>
              </w:rPr>
              <w:br w:type="textWrapping"/>
            </w:r>
            <w:r>
              <w:rPr>
                <w:color w:val="auto"/>
                <w:kern w:val="0"/>
                <w:sz w:val="18"/>
                <w:szCs w:val="18"/>
                <w:highlight w:val="none"/>
                <w:lang w:bidi="ar"/>
              </w:rPr>
              <w:t>2.雁荡山中赏奇观</w:t>
            </w:r>
            <w:r>
              <w:rPr>
                <w:rFonts w:hint="eastAsia"/>
                <w:color w:val="auto"/>
                <w:kern w:val="0"/>
                <w:sz w:val="18"/>
                <w:szCs w:val="18"/>
                <w:highlight w:val="none"/>
                <w:lang w:bidi="ar"/>
              </w:rPr>
              <w:t>：含内容</w:t>
            </w:r>
            <w:r>
              <w:rPr>
                <w:color w:val="auto"/>
                <w:kern w:val="0"/>
                <w:sz w:val="18"/>
                <w:szCs w:val="18"/>
                <w:highlight w:val="none"/>
                <w:lang w:bidi="ar"/>
              </w:rPr>
              <w:t>《黄山奇石》、《爬天都峰》、《迷人的张家界》</w:t>
            </w:r>
          </w:p>
          <w:p w14:paraId="13D30D38">
            <w:pPr>
              <w:widowControl/>
              <w:jc w:val="left"/>
              <w:textAlignment w:val="center"/>
              <w:rPr>
                <w:color w:val="auto"/>
                <w:sz w:val="18"/>
                <w:szCs w:val="18"/>
                <w:highlight w:val="none"/>
              </w:rPr>
            </w:pPr>
            <w:r>
              <w:rPr>
                <w:color w:val="auto"/>
                <w:kern w:val="0"/>
                <w:sz w:val="18"/>
                <w:szCs w:val="18"/>
                <w:highlight w:val="none"/>
                <w:lang w:bidi="ar"/>
              </w:rPr>
              <w:t>3.钱塘江边观大潮</w:t>
            </w:r>
            <w:r>
              <w:rPr>
                <w:rFonts w:hint="eastAsia"/>
                <w:color w:val="auto"/>
                <w:kern w:val="0"/>
                <w:sz w:val="18"/>
                <w:szCs w:val="18"/>
                <w:highlight w:val="none"/>
                <w:lang w:bidi="ar"/>
              </w:rPr>
              <w:t>：含内容</w:t>
            </w:r>
            <w:r>
              <w:rPr>
                <w:color w:val="auto"/>
                <w:kern w:val="0"/>
                <w:sz w:val="18"/>
                <w:szCs w:val="18"/>
                <w:highlight w:val="none"/>
                <w:lang w:bidi="ar"/>
              </w:rPr>
              <w:t>《观潮》（赵宗成、朱明元）</w:t>
            </w:r>
            <w:r>
              <w:rPr>
                <w:color w:val="auto"/>
                <w:kern w:val="0"/>
                <w:sz w:val="18"/>
                <w:szCs w:val="18"/>
                <w:highlight w:val="none"/>
                <w:lang w:bidi="ar"/>
              </w:rPr>
              <w:br w:type="textWrapping"/>
            </w:r>
            <w:r>
              <w:rPr>
                <w:color w:val="auto"/>
                <w:kern w:val="0"/>
                <w:sz w:val="18"/>
                <w:szCs w:val="18"/>
                <w:highlight w:val="none"/>
                <w:lang w:bidi="ar"/>
              </w:rPr>
              <w:t>4.金华城南游双龙洞</w:t>
            </w:r>
            <w:r>
              <w:rPr>
                <w:rFonts w:hint="eastAsia"/>
                <w:color w:val="auto"/>
                <w:kern w:val="0"/>
                <w:sz w:val="18"/>
                <w:szCs w:val="18"/>
                <w:highlight w:val="none"/>
                <w:lang w:bidi="ar"/>
              </w:rPr>
              <w:t>：含内容</w:t>
            </w:r>
            <w:r>
              <w:rPr>
                <w:color w:val="auto"/>
                <w:kern w:val="0"/>
                <w:sz w:val="18"/>
                <w:szCs w:val="18"/>
                <w:highlight w:val="none"/>
                <w:lang w:bidi="ar"/>
              </w:rPr>
              <w:t>《记金华的双龙洞》（叶圣陶）</w:t>
            </w:r>
            <w:r>
              <w:rPr>
                <w:color w:val="auto"/>
                <w:kern w:val="0"/>
                <w:sz w:val="18"/>
                <w:szCs w:val="18"/>
                <w:highlight w:val="none"/>
                <w:lang w:bidi="ar"/>
              </w:rPr>
              <w:br w:type="textWrapping"/>
            </w:r>
            <w:r>
              <w:rPr>
                <w:color w:val="auto"/>
                <w:kern w:val="0"/>
                <w:sz w:val="18"/>
                <w:szCs w:val="18"/>
                <w:highlight w:val="none"/>
                <w:lang w:bidi="ar"/>
              </w:rPr>
              <w:t>5.南麂岛上踏浪行</w:t>
            </w:r>
            <w:r>
              <w:rPr>
                <w:rFonts w:hint="eastAsia"/>
                <w:color w:val="auto"/>
                <w:kern w:val="0"/>
                <w:sz w:val="18"/>
                <w:szCs w:val="18"/>
                <w:highlight w:val="none"/>
                <w:lang w:bidi="ar"/>
              </w:rPr>
              <w:t>：含内容</w:t>
            </w:r>
            <w:r>
              <w:rPr>
                <w:color w:val="auto"/>
                <w:kern w:val="0"/>
                <w:sz w:val="18"/>
                <w:szCs w:val="18"/>
                <w:highlight w:val="none"/>
                <w:lang w:bidi="ar"/>
              </w:rPr>
              <w:t>《富饶的西沙群岛》（褚娇娜）</w:t>
            </w:r>
            <w:r>
              <w:rPr>
                <w:color w:val="auto"/>
                <w:kern w:val="0"/>
                <w:sz w:val="18"/>
                <w:szCs w:val="18"/>
                <w:highlight w:val="none"/>
                <w:lang w:bidi="ar"/>
              </w:rPr>
              <w:br w:type="textWrapping"/>
            </w:r>
            <w:r>
              <w:rPr>
                <w:color w:val="auto"/>
                <w:kern w:val="0"/>
                <w:sz w:val="18"/>
                <w:szCs w:val="18"/>
                <w:highlight w:val="none"/>
                <w:lang w:bidi="ar"/>
              </w:rPr>
              <w:t>6.绍兴城里访“故乡”</w:t>
            </w:r>
            <w:r>
              <w:rPr>
                <w:rFonts w:hint="eastAsia"/>
                <w:color w:val="auto"/>
                <w:kern w:val="0"/>
                <w:sz w:val="18"/>
                <w:szCs w:val="18"/>
                <w:highlight w:val="none"/>
                <w:lang w:bidi="ar"/>
              </w:rPr>
              <w:t>：含内容</w:t>
            </w:r>
            <w:r>
              <w:rPr>
                <w:color w:val="auto"/>
                <w:kern w:val="0"/>
                <w:sz w:val="18"/>
                <w:szCs w:val="18"/>
                <w:highlight w:val="none"/>
                <w:lang w:bidi="ar"/>
              </w:rPr>
              <w:t>《少年闰土》、《从百草园到三味书屋》、《孔乙己》（鲁迅）</w:t>
            </w:r>
            <w:r>
              <w:rPr>
                <w:color w:val="auto"/>
                <w:kern w:val="0"/>
                <w:sz w:val="18"/>
                <w:szCs w:val="18"/>
                <w:highlight w:val="none"/>
                <w:lang w:bidi="ar"/>
              </w:rPr>
              <w:br w:type="textWrapping"/>
            </w:r>
            <w:r>
              <w:rPr>
                <w:color w:val="auto"/>
                <w:kern w:val="0"/>
                <w:sz w:val="18"/>
                <w:szCs w:val="18"/>
                <w:highlight w:val="none"/>
                <w:lang w:bidi="ar"/>
              </w:rPr>
              <w:t>7.放鹤亭前忆居士</w:t>
            </w:r>
            <w:r>
              <w:rPr>
                <w:rFonts w:hint="eastAsia"/>
                <w:color w:val="auto"/>
                <w:kern w:val="0"/>
                <w:sz w:val="18"/>
                <w:szCs w:val="18"/>
                <w:highlight w:val="none"/>
                <w:lang w:bidi="ar"/>
              </w:rPr>
              <w:t>：含内容</w:t>
            </w:r>
            <w:r>
              <w:rPr>
                <w:color w:val="auto"/>
                <w:kern w:val="0"/>
                <w:sz w:val="18"/>
                <w:szCs w:val="18"/>
                <w:highlight w:val="none"/>
                <w:lang w:bidi="ar"/>
              </w:rPr>
              <w:t>《咏柳》（小学）（贺知章）、《钱塘湖春行》（初中）（白居易）</w:t>
            </w:r>
            <w:r>
              <w:rPr>
                <w:color w:val="auto"/>
                <w:kern w:val="0"/>
                <w:sz w:val="18"/>
                <w:szCs w:val="18"/>
                <w:highlight w:val="none"/>
                <w:lang w:bidi="ar"/>
              </w:rPr>
              <w:br w:type="textWrapping"/>
            </w:r>
            <w:r>
              <w:rPr>
                <w:color w:val="auto"/>
                <w:kern w:val="0"/>
                <w:sz w:val="18"/>
                <w:szCs w:val="18"/>
                <w:highlight w:val="none"/>
                <w:lang w:bidi="ar"/>
              </w:rPr>
              <w:t>8.浙江灵隐寺</w:t>
            </w:r>
            <w:r>
              <w:rPr>
                <w:rFonts w:hint="eastAsia"/>
                <w:color w:val="auto"/>
                <w:kern w:val="0"/>
                <w:sz w:val="18"/>
                <w:szCs w:val="18"/>
                <w:highlight w:val="none"/>
                <w:lang w:bidi="ar"/>
              </w:rPr>
              <w:t>：含内容关于</w:t>
            </w:r>
            <w:r>
              <w:rPr>
                <w:color w:val="auto"/>
                <w:kern w:val="0"/>
                <w:sz w:val="18"/>
                <w:szCs w:val="18"/>
                <w:highlight w:val="none"/>
                <w:lang w:bidi="ar"/>
              </w:rPr>
              <w:t>灵隐寺的诗词，唐代《灵隐寺》唐·宋之问</w:t>
            </w:r>
          </w:p>
        </w:tc>
        <w:tc>
          <w:tcPr>
            <w:tcW w:w="863" w:type="dxa"/>
            <w:tcBorders>
              <w:top w:val="single" w:color="000000" w:sz="4" w:space="0"/>
              <w:left w:val="single" w:color="000000" w:sz="4" w:space="0"/>
              <w:bottom w:val="single" w:color="000000" w:sz="4" w:space="0"/>
              <w:right w:val="single" w:color="000000" w:sz="4" w:space="0"/>
            </w:tcBorders>
            <w:vAlign w:val="center"/>
          </w:tcPr>
          <w:p w14:paraId="1DE92580">
            <w:pPr>
              <w:widowControl/>
              <w:jc w:val="left"/>
              <w:textAlignment w:val="center"/>
              <w:rPr>
                <w:color w:val="auto"/>
                <w:kern w:val="0"/>
                <w:sz w:val="18"/>
                <w:szCs w:val="18"/>
                <w:highlight w:val="none"/>
                <w:lang w:bidi="ar"/>
              </w:rPr>
            </w:pPr>
          </w:p>
        </w:tc>
      </w:tr>
      <w:tr w14:paraId="122F6FD2">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44DA282A">
            <w:pPr>
              <w:widowControl/>
              <w:jc w:val="center"/>
              <w:textAlignment w:val="center"/>
              <w:rPr>
                <w:color w:val="auto"/>
                <w:kern w:val="0"/>
                <w:sz w:val="18"/>
                <w:szCs w:val="18"/>
                <w:highlight w:val="none"/>
                <w:lang w:bidi="ar"/>
              </w:rPr>
            </w:pPr>
            <w:r>
              <w:rPr>
                <w:b/>
                <w:bCs/>
                <w:color w:val="auto"/>
                <w:kern w:val="0"/>
                <w:sz w:val="20"/>
                <w:szCs w:val="20"/>
                <w:highlight w:val="none"/>
                <w:lang w:bidi="ar"/>
              </w:rPr>
              <w:t>红色旅游课程思政资源</w:t>
            </w:r>
          </w:p>
        </w:tc>
        <w:tc>
          <w:tcPr>
            <w:tcW w:w="863" w:type="dxa"/>
            <w:tcBorders>
              <w:top w:val="single" w:color="000000" w:sz="4" w:space="0"/>
              <w:left w:val="single" w:color="000000" w:sz="4" w:space="0"/>
              <w:bottom w:val="single" w:color="000000" w:sz="4" w:space="0"/>
              <w:right w:val="single" w:color="000000" w:sz="4" w:space="0"/>
            </w:tcBorders>
            <w:vAlign w:val="center"/>
          </w:tcPr>
          <w:p w14:paraId="76ACC79A">
            <w:pPr>
              <w:widowControl/>
              <w:jc w:val="left"/>
              <w:textAlignment w:val="center"/>
              <w:rPr>
                <w:color w:val="auto"/>
                <w:kern w:val="0"/>
                <w:sz w:val="18"/>
                <w:szCs w:val="18"/>
                <w:highlight w:val="none"/>
                <w:lang w:bidi="ar"/>
              </w:rPr>
            </w:pPr>
          </w:p>
        </w:tc>
      </w:tr>
      <w:tr w14:paraId="60FBA039">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47A7AB1B">
            <w:pPr>
              <w:widowControl/>
              <w:jc w:val="left"/>
              <w:textAlignment w:val="center"/>
              <w:rPr>
                <w:color w:val="auto"/>
                <w:sz w:val="18"/>
                <w:szCs w:val="18"/>
                <w:highlight w:val="none"/>
              </w:rPr>
            </w:pPr>
            <w:r>
              <w:rPr>
                <w:color w:val="auto"/>
                <w:kern w:val="0"/>
                <w:sz w:val="18"/>
                <w:szCs w:val="18"/>
                <w:highlight w:val="none"/>
                <w:lang w:bidi="ar"/>
              </w:rPr>
              <w:t>数字党建思政系统装载的内容由权威机构授权，包含：</w:t>
            </w:r>
            <w:r>
              <w:rPr>
                <w:color w:val="auto"/>
                <w:kern w:val="0"/>
                <w:sz w:val="18"/>
                <w:szCs w:val="18"/>
                <w:highlight w:val="none"/>
                <w:lang w:bidi="ar"/>
              </w:rPr>
              <w:br w:type="textWrapping"/>
            </w:r>
            <w:r>
              <w:rPr>
                <w:color w:val="auto"/>
                <w:kern w:val="0"/>
                <w:sz w:val="18"/>
                <w:szCs w:val="18"/>
                <w:highlight w:val="none"/>
                <w:lang w:bidi="ar"/>
              </w:rPr>
              <w:t>（一）数字党建系统学习平台功能：党建系统包含十二大板块：</w:t>
            </w:r>
            <w:r>
              <w:rPr>
                <w:color w:val="auto"/>
                <w:kern w:val="0"/>
                <w:sz w:val="18"/>
                <w:szCs w:val="18"/>
                <w:highlight w:val="none"/>
                <w:lang w:bidi="ar"/>
              </w:rPr>
              <w:br w:type="textWrapping"/>
            </w:r>
            <w:r>
              <w:rPr>
                <w:color w:val="auto"/>
                <w:kern w:val="0"/>
                <w:sz w:val="18"/>
                <w:szCs w:val="18"/>
                <w:highlight w:val="none"/>
                <w:lang w:bidi="ar"/>
              </w:rPr>
              <w:t>1. 党的二十大包含中共一大至二十大的精神文件。</w:t>
            </w:r>
            <w:r>
              <w:rPr>
                <w:color w:val="auto"/>
                <w:kern w:val="0"/>
                <w:sz w:val="18"/>
                <w:szCs w:val="18"/>
                <w:highlight w:val="none"/>
                <w:lang w:bidi="ar"/>
              </w:rPr>
              <w:br w:type="textWrapping"/>
            </w:r>
            <w:r>
              <w:rPr>
                <w:color w:val="auto"/>
                <w:kern w:val="0"/>
                <w:sz w:val="18"/>
                <w:szCs w:val="18"/>
                <w:highlight w:val="none"/>
                <w:lang w:bidi="ar"/>
              </w:rPr>
              <w:t>2. 中国共产党章程包含总纲在内的学习资料。</w:t>
            </w:r>
            <w:r>
              <w:rPr>
                <w:color w:val="auto"/>
                <w:kern w:val="0"/>
                <w:sz w:val="18"/>
                <w:szCs w:val="18"/>
                <w:highlight w:val="none"/>
                <w:lang w:bidi="ar"/>
              </w:rPr>
              <w:br w:type="textWrapping"/>
            </w:r>
            <w:r>
              <w:rPr>
                <w:color w:val="auto"/>
                <w:kern w:val="0"/>
                <w:sz w:val="18"/>
                <w:szCs w:val="18"/>
                <w:highlight w:val="none"/>
                <w:lang w:bidi="ar"/>
              </w:rPr>
              <w:t>3. 党规党纪：超过10万字的党内规章制度学习资料，实时更新，与无限自定义添。</w:t>
            </w:r>
            <w:r>
              <w:rPr>
                <w:color w:val="auto"/>
                <w:kern w:val="0"/>
                <w:sz w:val="18"/>
                <w:szCs w:val="18"/>
                <w:highlight w:val="none"/>
                <w:lang w:bidi="ar"/>
              </w:rPr>
              <w:br w:type="textWrapping"/>
            </w:r>
            <w:r>
              <w:rPr>
                <w:color w:val="auto"/>
                <w:kern w:val="0"/>
                <w:sz w:val="18"/>
                <w:szCs w:val="18"/>
                <w:highlight w:val="none"/>
                <w:lang w:bidi="ar"/>
              </w:rPr>
              <w:t xml:space="preserve">4. 二十大展播：二十报告解读系列，习总书记专题讲座，国内知名智库讲座视频学习资料，支持实时更新，与无限自定义添加。 </w:t>
            </w:r>
            <w:r>
              <w:rPr>
                <w:color w:val="auto"/>
                <w:kern w:val="0"/>
                <w:sz w:val="18"/>
                <w:szCs w:val="18"/>
                <w:highlight w:val="none"/>
                <w:lang w:bidi="ar"/>
              </w:rPr>
              <w:br w:type="textWrapping"/>
            </w:r>
            <w:r>
              <w:rPr>
                <w:color w:val="auto"/>
                <w:kern w:val="0"/>
                <w:sz w:val="18"/>
                <w:szCs w:val="18"/>
                <w:highlight w:val="none"/>
                <w:lang w:bidi="ar"/>
              </w:rPr>
              <w:t xml:space="preserve">5. 图解二十大：党建珍贵图像学习资料，支持实时更新，与无限自定义添加 </w:t>
            </w:r>
            <w:r>
              <w:rPr>
                <w:color w:val="auto"/>
                <w:kern w:val="0"/>
                <w:sz w:val="18"/>
                <w:szCs w:val="18"/>
                <w:highlight w:val="none"/>
                <w:lang w:bidi="ar"/>
              </w:rPr>
              <w:br w:type="textWrapping"/>
            </w:r>
            <w:r>
              <w:rPr>
                <w:color w:val="auto"/>
                <w:kern w:val="0"/>
                <w:sz w:val="18"/>
                <w:szCs w:val="18"/>
                <w:highlight w:val="none"/>
                <w:lang w:bidi="ar"/>
              </w:rPr>
              <w:t xml:space="preserve">6. 二十大问答：超过10套党建学习测试题库，支持实时更新，与无限自定义添加。 </w:t>
            </w:r>
            <w:r>
              <w:rPr>
                <w:color w:val="auto"/>
                <w:kern w:val="0"/>
                <w:sz w:val="18"/>
                <w:szCs w:val="18"/>
                <w:highlight w:val="none"/>
                <w:lang w:bidi="ar"/>
              </w:rPr>
              <w:br w:type="textWrapping"/>
            </w:r>
            <w:r>
              <w:rPr>
                <w:color w:val="auto"/>
                <w:kern w:val="0"/>
                <w:sz w:val="18"/>
                <w:szCs w:val="18"/>
                <w:highlight w:val="none"/>
                <w:lang w:bidi="ar"/>
              </w:rPr>
              <w:t xml:space="preserve">7. 学习二十大：含三会一课等多套党课学习图像课件，支持实时更新，与无限自定义添加。 </w:t>
            </w:r>
            <w:r>
              <w:rPr>
                <w:color w:val="auto"/>
                <w:kern w:val="0"/>
                <w:sz w:val="18"/>
                <w:szCs w:val="18"/>
                <w:highlight w:val="none"/>
                <w:lang w:bidi="ar"/>
              </w:rPr>
              <w:br w:type="textWrapping"/>
            </w:r>
            <w:r>
              <w:rPr>
                <w:color w:val="auto"/>
                <w:kern w:val="0"/>
                <w:sz w:val="18"/>
                <w:szCs w:val="18"/>
                <w:highlight w:val="none"/>
                <w:lang w:bidi="ar"/>
              </w:rPr>
              <w:t>8. 时政要闻：集成新华网、人民党建云等多个国内知名官方云上党建与新闻系统，支持实时更新，与无限自定义添加自有党建云端。</w:t>
            </w:r>
            <w:r>
              <w:rPr>
                <w:color w:val="auto"/>
                <w:kern w:val="0"/>
                <w:sz w:val="18"/>
                <w:szCs w:val="18"/>
                <w:highlight w:val="none"/>
                <w:lang w:bidi="ar"/>
              </w:rPr>
              <w:br w:type="textWrapping"/>
            </w:r>
            <w:r>
              <w:rPr>
                <w:color w:val="auto"/>
                <w:kern w:val="0"/>
                <w:sz w:val="18"/>
                <w:szCs w:val="18"/>
                <w:highlight w:val="none"/>
                <w:lang w:bidi="ar"/>
              </w:rPr>
              <w:t xml:space="preserve">9. 本地风采：可自定义导入本单位日常活动生活素材，进行展示。 </w:t>
            </w:r>
            <w:r>
              <w:rPr>
                <w:color w:val="auto"/>
                <w:kern w:val="0"/>
                <w:sz w:val="18"/>
                <w:szCs w:val="18"/>
                <w:highlight w:val="none"/>
                <w:lang w:bidi="ar"/>
              </w:rPr>
              <w:br w:type="textWrapping"/>
            </w:r>
            <w:r>
              <w:rPr>
                <w:color w:val="auto"/>
                <w:kern w:val="0"/>
                <w:sz w:val="18"/>
                <w:szCs w:val="18"/>
                <w:highlight w:val="none"/>
                <w:lang w:bidi="ar"/>
              </w:rPr>
              <w:t>10. 入党宣誓：严肃庄重的400㎡虚拟入党宣誓大厅，跟随宣誓领读语音，回忆中国共产党自成立以来的波澜壮阔的精彩瞬间。</w:t>
            </w:r>
            <w:r>
              <w:rPr>
                <w:color w:val="auto"/>
                <w:kern w:val="0"/>
                <w:sz w:val="18"/>
                <w:szCs w:val="18"/>
                <w:highlight w:val="none"/>
                <w:lang w:bidi="ar"/>
              </w:rPr>
              <w:br w:type="textWrapping"/>
            </w:r>
            <w:r>
              <w:rPr>
                <w:color w:val="auto"/>
                <w:kern w:val="0"/>
                <w:sz w:val="18"/>
                <w:szCs w:val="18"/>
                <w:highlight w:val="none"/>
                <w:lang w:bidi="ar"/>
              </w:rPr>
              <w:t>11. 红色阵地全景导览：包含21个红色景区全景展示，足不出户游览红色景区观看学习。</w:t>
            </w:r>
            <w:r>
              <w:rPr>
                <w:color w:val="auto"/>
                <w:kern w:val="0"/>
                <w:sz w:val="18"/>
                <w:szCs w:val="18"/>
                <w:highlight w:val="none"/>
                <w:lang w:bidi="ar"/>
              </w:rPr>
              <w:br w:type="textWrapping"/>
            </w:r>
            <w:r>
              <w:rPr>
                <w:color w:val="auto"/>
                <w:kern w:val="0"/>
                <w:sz w:val="18"/>
                <w:szCs w:val="18"/>
                <w:highlight w:val="none"/>
                <w:lang w:bidi="ar"/>
              </w:rPr>
              <w:t>12. 数字展馆：包含聚焦党的二十大系列，新时代系列，学习四史系列，重走长征路系列，红色传承系列数十个展馆，可在展馆中进行自主漫游，进行游览学习。</w:t>
            </w:r>
            <w:r>
              <w:rPr>
                <w:color w:val="auto"/>
                <w:kern w:val="0"/>
                <w:sz w:val="18"/>
                <w:szCs w:val="18"/>
                <w:highlight w:val="none"/>
                <w:lang w:bidi="ar"/>
              </w:rPr>
              <w:br w:type="textWrapping"/>
            </w:r>
            <w:r>
              <w:rPr>
                <w:color w:val="auto"/>
                <w:kern w:val="0"/>
                <w:sz w:val="18"/>
                <w:szCs w:val="18"/>
                <w:highlight w:val="none"/>
                <w:lang w:bidi="ar"/>
              </w:rPr>
              <w:t xml:space="preserve">（二）红色阵地全景导览系统 </w:t>
            </w:r>
            <w:r>
              <w:rPr>
                <w:color w:val="auto"/>
                <w:kern w:val="0"/>
                <w:sz w:val="18"/>
                <w:szCs w:val="18"/>
                <w:highlight w:val="none"/>
                <w:lang w:bidi="ar"/>
              </w:rPr>
              <w:br w:type="textWrapping"/>
            </w:r>
            <w:r>
              <w:rPr>
                <w:color w:val="auto"/>
                <w:kern w:val="0"/>
                <w:sz w:val="18"/>
                <w:szCs w:val="18"/>
                <w:highlight w:val="none"/>
                <w:lang w:bidi="ar"/>
              </w:rPr>
              <w:t>红色阵地全景导览包含有红旗渠纪念馆；井冈山博物馆；西柏坡纪念馆；南昌八一起义纪念馆；八一起义指挥旧部；中国人民抗日战争纪念馆；古田会议纪念馆；延安革命纪念馆；中共一大纪念馆；中共一大会址；淮海战役纪念馆；抗美援朝纪念馆；中央红军长征出发纪念馆；红军长征突破湘江纪念馆；东北抗联史实陈列馆；鄂豫皖革命纪念馆；四平战役纪念馆；中央革命根据地历史博物馆；遵义会议；八路军太行纪念馆；抚顺市雷锋纪念馆等。</w:t>
            </w:r>
            <w:r>
              <w:rPr>
                <w:color w:val="auto"/>
                <w:kern w:val="0"/>
                <w:sz w:val="18"/>
                <w:szCs w:val="18"/>
                <w:highlight w:val="none"/>
                <w:lang w:bidi="ar"/>
              </w:rPr>
              <w:br w:type="textWrapping"/>
            </w:r>
            <w:r>
              <w:rPr>
                <w:color w:val="auto"/>
                <w:kern w:val="0"/>
                <w:sz w:val="18"/>
                <w:szCs w:val="18"/>
                <w:highlight w:val="none"/>
                <w:lang w:bidi="ar"/>
              </w:rPr>
              <w:t>（三）数字展馆-聚焦党的二十大系列：</w:t>
            </w:r>
            <w:r>
              <w:rPr>
                <w:color w:val="auto"/>
                <w:kern w:val="0"/>
                <w:sz w:val="18"/>
                <w:szCs w:val="18"/>
                <w:highlight w:val="none"/>
                <w:lang w:bidi="ar"/>
              </w:rPr>
              <w:br w:type="textWrapping"/>
            </w:r>
            <w:r>
              <w:rPr>
                <w:color w:val="auto"/>
                <w:kern w:val="0"/>
                <w:sz w:val="18"/>
                <w:szCs w:val="18"/>
                <w:highlight w:val="none"/>
                <w:lang w:bidi="ar"/>
              </w:rPr>
              <w:t>包含有党的二十大精神展馆；党史军史学习教育展馆；党风廉政建设展馆；党史博览展馆等。</w:t>
            </w:r>
            <w:r>
              <w:rPr>
                <w:color w:val="auto"/>
                <w:kern w:val="0"/>
                <w:sz w:val="18"/>
                <w:szCs w:val="18"/>
                <w:highlight w:val="none"/>
                <w:lang w:bidi="ar"/>
              </w:rPr>
              <w:br w:type="textWrapping"/>
            </w:r>
            <w:r>
              <w:rPr>
                <w:color w:val="auto"/>
                <w:kern w:val="0"/>
                <w:sz w:val="18"/>
                <w:szCs w:val="18"/>
                <w:highlight w:val="none"/>
                <w:lang w:bidi="ar"/>
              </w:rPr>
              <w:t>（四）数字展馆-新时代系列：</w:t>
            </w:r>
            <w:r>
              <w:rPr>
                <w:color w:val="auto"/>
                <w:kern w:val="0"/>
                <w:sz w:val="18"/>
                <w:szCs w:val="18"/>
                <w:highlight w:val="none"/>
                <w:lang w:bidi="ar"/>
              </w:rPr>
              <w:br w:type="textWrapping"/>
            </w:r>
            <w:r>
              <w:rPr>
                <w:color w:val="auto"/>
                <w:kern w:val="0"/>
                <w:sz w:val="18"/>
                <w:szCs w:val="18"/>
                <w:highlight w:val="none"/>
                <w:lang w:bidi="ar"/>
              </w:rPr>
              <w:t>展馆包含有砥砺奋进的五年；十九大精神；习近平新时代中国特色社会主义思想；全面从严治党；全面依法治国；全面深化改革；全面建成小康社会；习总书记谈治国理政；大国外交；改革开放40周年成就。</w:t>
            </w:r>
            <w:r>
              <w:rPr>
                <w:color w:val="auto"/>
                <w:kern w:val="0"/>
                <w:sz w:val="18"/>
                <w:szCs w:val="18"/>
                <w:highlight w:val="none"/>
                <w:lang w:bidi="ar"/>
              </w:rPr>
              <w:br w:type="textWrapping"/>
            </w:r>
            <w:r>
              <w:rPr>
                <w:color w:val="auto"/>
                <w:kern w:val="0"/>
                <w:sz w:val="18"/>
                <w:szCs w:val="18"/>
                <w:highlight w:val="none"/>
                <w:lang w:bidi="ar"/>
              </w:rPr>
              <w:t>（五）数字展馆-学习四史系列：</w:t>
            </w:r>
            <w:r>
              <w:rPr>
                <w:color w:val="auto"/>
                <w:kern w:val="0"/>
                <w:sz w:val="18"/>
                <w:szCs w:val="18"/>
                <w:highlight w:val="none"/>
                <w:lang w:bidi="ar"/>
              </w:rPr>
              <w:br w:type="textWrapping"/>
            </w:r>
            <w:r>
              <w:rPr>
                <w:color w:val="auto"/>
                <w:kern w:val="0"/>
                <w:sz w:val="18"/>
                <w:szCs w:val="18"/>
                <w:highlight w:val="none"/>
                <w:lang w:bidi="ar"/>
              </w:rPr>
              <w:t>包含有不忘初心，牢记使命；辉煌中国；创新中国；法治中国；将改革进行到底；胜利之师；人类命运共同体。</w:t>
            </w:r>
            <w:r>
              <w:rPr>
                <w:color w:val="auto"/>
                <w:kern w:val="0"/>
                <w:sz w:val="18"/>
                <w:szCs w:val="18"/>
                <w:highlight w:val="none"/>
                <w:lang w:bidi="ar"/>
              </w:rPr>
              <w:br w:type="textWrapping"/>
            </w:r>
            <w:r>
              <w:rPr>
                <w:color w:val="auto"/>
                <w:kern w:val="0"/>
                <w:sz w:val="18"/>
                <w:szCs w:val="18"/>
                <w:highlight w:val="none"/>
                <w:lang w:bidi="ar"/>
              </w:rPr>
              <w:t>（六）数字展馆-重走长征路系列：</w:t>
            </w:r>
            <w:r>
              <w:rPr>
                <w:color w:val="auto"/>
                <w:kern w:val="0"/>
                <w:sz w:val="18"/>
                <w:szCs w:val="18"/>
                <w:highlight w:val="none"/>
                <w:lang w:bidi="ar"/>
              </w:rPr>
              <w:br w:type="textWrapping"/>
            </w:r>
            <w:r>
              <w:rPr>
                <w:color w:val="auto"/>
                <w:kern w:val="0"/>
                <w:sz w:val="18"/>
                <w:szCs w:val="18"/>
                <w:highlight w:val="none"/>
                <w:lang w:bidi="ar"/>
              </w:rPr>
              <w:t>包含有巧渡金沙江；强渡大渡河；彝海结盟 ；重大会议会址-礼洲 ；过草地；红军会师；红军长征纪念碑碑园；重大会议会址-两河口；重大会议会址-会理；重大会议会址-俄界；重大会议会址-巴西；重大会议会址-毛儿盖；重大会议会址-礼洲。</w:t>
            </w:r>
            <w:r>
              <w:rPr>
                <w:color w:val="auto"/>
                <w:kern w:val="0"/>
                <w:sz w:val="18"/>
                <w:szCs w:val="18"/>
                <w:highlight w:val="none"/>
                <w:lang w:bidi="ar"/>
              </w:rPr>
              <w:br w:type="textWrapping"/>
            </w:r>
            <w:r>
              <w:rPr>
                <w:color w:val="auto"/>
                <w:kern w:val="0"/>
                <w:sz w:val="18"/>
                <w:szCs w:val="18"/>
                <w:highlight w:val="none"/>
                <w:lang w:bidi="ar"/>
              </w:rPr>
              <w:t>（七）数字展馆-红色传承系列：</w:t>
            </w:r>
            <w:r>
              <w:rPr>
                <w:color w:val="auto"/>
                <w:kern w:val="0"/>
                <w:sz w:val="18"/>
                <w:szCs w:val="18"/>
                <w:highlight w:val="none"/>
                <w:lang w:bidi="ar"/>
              </w:rPr>
              <w:br w:type="textWrapping"/>
            </w:r>
            <w:r>
              <w:rPr>
                <w:color w:val="auto"/>
                <w:kern w:val="0"/>
                <w:sz w:val="18"/>
                <w:szCs w:val="18"/>
                <w:highlight w:val="none"/>
                <w:lang w:bidi="ar"/>
              </w:rPr>
              <w:t>1. 唯有牺牲多壮志：内有序厅：中共一大到第十九大；为救亡觉醒——红船启航；信仰的力量——武装革命；民族危急——抗日救国；力挽狂澜——民族解放；举国之力——百废待兴；春潮涌动——改革奋进；继往开来——蓬勃发展；创新时代——复兴圆梦 。</w:t>
            </w:r>
            <w:r>
              <w:rPr>
                <w:color w:val="auto"/>
                <w:kern w:val="0"/>
                <w:sz w:val="18"/>
                <w:szCs w:val="18"/>
                <w:highlight w:val="none"/>
                <w:lang w:bidi="ar"/>
              </w:rPr>
              <w:br w:type="textWrapping"/>
            </w:r>
            <w:r>
              <w:rPr>
                <w:color w:val="auto"/>
                <w:kern w:val="0"/>
                <w:sz w:val="18"/>
                <w:szCs w:val="18"/>
                <w:highlight w:val="none"/>
                <w:lang w:bidi="ar"/>
              </w:rPr>
              <w:t>2. 疫苗馆</w:t>
            </w:r>
            <w:r>
              <w:rPr>
                <w:color w:val="auto"/>
                <w:kern w:val="0"/>
                <w:sz w:val="18"/>
                <w:szCs w:val="18"/>
                <w:highlight w:val="none"/>
                <w:lang w:bidi="ar"/>
              </w:rPr>
              <w:br w:type="textWrapping"/>
            </w:r>
            <w:r>
              <w:rPr>
                <w:color w:val="auto"/>
                <w:kern w:val="0"/>
                <w:sz w:val="18"/>
                <w:szCs w:val="18"/>
                <w:highlight w:val="none"/>
                <w:lang w:bidi="ar"/>
              </w:rPr>
              <w:t xml:space="preserve">3. 红旗渠纪念馆  </w:t>
            </w:r>
            <w:r>
              <w:rPr>
                <w:color w:val="auto"/>
                <w:kern w:val="0"/>
                <w:sz w:val="18"/>
                <w:szCs w:val="18"/>
                <w:highlight w:val="none"/>
                <w:lang w:bidi="ar"/>
              </w:rPr>
              <w:br w:type="textWrapping"/>
            </w:r>
            <w:r>
              <w:rPr>
                <w:color w:val="auto"/>
                <w:kern w:val="0"/>
                <w:sz w:val="18"/>
                <w:szCs w:val="18"/>
                <w:highlight w:val="none"/>
                <w:lang w:bidi="ar"/>
              </w:rPr>
              <w:t>4. 焦裕禄故居：共11个点位，包含焦裕禄父母居室南屋和北屋、焦裕禄生平事迹厅。</w:t>
            </w:r>
            <w:r>
              <w:rPr>
                <w:color w:val="auto"/>
                <w:kern w:val="0"/>
                <w:sz w:val="18"/>
                <w:szCs w:val="18"/>
                <w:highlight w:val="none"/>
                <w:lang w:bidi="ar"/>
              </w:rPr>
              <w:br w:type="textWrapping"/>
            </w:r>
            <w:r>
              <w:rPr>
                <w:color w:val="auto"/>
                <w:kern w:val="0"/>
                <w:sz w:val="18"/>
                <w:szCs w:val="18"/>
                <w:highlight w:val="none"/>
                <w:lang w:bidi="ar"/>
              </w:rPr>
              <w:t>焦裕禄纪念馆：包含展厅，展厅分为两层。二层共19个点位，点位包含第一单元悠久历史人杰地灵、第三单元国难家仇履经磨难等。一层共15个点位，点位包含第一单元兰考告急临危受命、焦裕禄四张照片、焦裕禄精神等。</w:t>
            </w:r>
          </w:p>
        </w:tc>
        <w:tc>
          <w:tcPr>
            <w:tcW w:w="863" w:type="dxa"/>
            <w:tcBorders>
              <w:top w:val="single" w:color="000000" w:sz="4" w:space="0"/>
              <w:left w:val="single" w:color="000000" w:sz="4" w:space="0"/>
              <w:bottom w:val="single" w:color="000000" w:sz="4" w:space="0"/>
              <w:right w:val="single" w:color="000000" w:sz="4" w:space="0"/>
            </w:tcBorders>
            <w:vAlign w:val="center"/>
          </w:tcPr>
          <w:p w14:paraId="56A61A49">
            <w:pPr>
              <w:widowControl/>
              <w:jc w:val="left"/>
              <w:textAlignment w:val="center"/>
              <w:rPr>
                <w:color w:val="auto"/>
                <w:kern w:val="0"/>
                <w:sz w:val="18"/>
                <w:szCs w:val="18"/>
                <w:highlight w:val="none"/>
                <w:lang w:bidi="ar"/>
              </w:rPr>
            </w:pPr>
          </w:p>
        </w:tc>
      </w:tr>
      <w:tr w14:paraId="6F7EF053">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6F87D5C1">
            <w:pPr>
              <w:widowControl/>
              <w:jc w:val="center"/>
              <w:textAlignment w:val="center"/>
              <w:rPr>
                <w:color w:val="auto"/>
                <w:kern w:val="0"/>
                <w:sz w:val="18"/>
                <w:szCs w:val="18"/>
                <w:highlight w:val="none"/>
                <w:lang w:bidi="ar"/>
              </w:rPr>
            </w:pPr>
            <w:r>
              <w:rPr>
                <w:b/>
                <w:bCs/>
                <w:color w:val="auto"/>
                <w:kern w:val="0"/>
                <w:sz w:val="20"/>
                <w:szCs w:val="20"/>
                <w:highlight w:val="none"/>
                <w:lang w:bidi="ar"/>
              </w:rPr>
              <w:t>红色旅游党建VR学习机软件资源</w:t>
            </w:r>
          </w:p>
        </w:tc>
        <w:tc>
          <w:tcPr>
            <w:tcW w:w="863" w:type="dxa"/>
            <w:tcBorders>
              <w:top w:val="single" w:color="000000" w:sz="4" w:space="0"/>
              <w:left w:val="single" w:color="000000" w:sz="4" w:space="0"/>
              <w:bottom w:val="single" w:color="000000" w:sz="4" w:space="0"/>
              <w:right w:val="single" w:color="000000" w:sz="4" w:space="0"/>
            </w:tcBorders>
            <w:vAlign w:val="center"/>
          </w:tcPr>
          <w:p w14:paraId="352CD0F4">
            <w:pPr>
              <w:widowControl/>
              <w:jc w:val="left"/>
              <w:textAlignment w:val="center"/>
              <w:rPr>
                <w:color w:val="auto"/>
                <w:kern w:val="0"/>
                <w:sz w:val="18"/>
                <w:szCs w:val="18"/>
                <w:highlight w:val="none"/>
                <w:lang w:bidi="ar"/>
              </w:rPr>
            </w:pPr>
          </w:p>
        </w:tc>
      </w:tr>
      <w:tr w14:paraId="53A021C2">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5919E780">
            <w:pPr>
              <w:widowControl/>
              <w:jc w:val="left"/>
              <w:textAlignment w:val="center"/>
              <w:rPr>
                <w:color w:val="auto"/>
                <w:sz w:val="18"/>
                <w:szCs w:val="18"/>
                <w:highlight w:val="none"/>
              </w:rPr>
            </w:pPr>
            <w:r>
              <w:rPr>
                <w:color w:val="auto"/>
                <w:kern w:val="0"/>
                <w:sz w:val="18"/>
                <w:szCs w:val="18"/>
                <w:highlight w:val="none"/>
                <w:lang w:bidi="ar"/>
              </w:rPr>
              <w:t>党建资源内容列表：                                                                                                                                                                             一、社会主义发展史</w:t>
            </w:r>
            <w:r>
              <w:rPr>
                <w:color w:val="auto"/>
                <w:kern w:val="0"/>
                <w:sz w:val="18"/>
                <w:szCs w:val="18"/>
                <w:highlight w:val="none"/>
                <w:lang w:bidi="ar"/>
              </w:rPr>
              <w:br w:type="textWrapping"/>
            </w:r>
            <w:r>
              <w:rPr>
                <w:color w:val="auto"/>
                <w:kern w:val="0"/>
                <w:sz w:val="18"/>
                <w:szCs w:val="18"/>
                <w:highlight w:val="none"/>
                <w:lang w:bidi="ar"/>
              </w:rPr>
              <w:t>共产党宣言、马克思主义、马克思主义中国化、毛泽东思想、邓小平理论、“三个代表”重要思想、习近平新时达中国特色社会主义思想。</w:t>
            </w:r>
            <w:r>
              <w:rPr>
                <w:color w:val="auto"/>
                <w:kern w:val="0"/>
                <w:sz w:val="18"/>
                <w:szCs w:val="18"/>
                <w:highlight w:val="none"/>
                <w:lang w:bidi="ar"/>
              </w:rPr>
              <w:br w:type="textWrapping"/>
            </w:r>
            <w:r>
              <w:rPr>
                <w:color w:val="auto"/>
                <w:kern w:val="0"/>
                <w:sz w:val="18"/>
                <w:szCs w:val="18"/>
                <w:highlight w:val="none"/>
                <w:lang w:bidi="ar"/>
              </w:rPr>
              <w:t>二、新中国史</w:t>
            </w:r>
            <w:r>
              <w:rPr>
                <w:color w:val="auto"/>
                <w:kern w:val="0"/>
                <w:sz w:val="18"/>
                <w:szCs w:val="18"/>
                <w:highlight w:val="none"/>
                <w:lang w:bidi="ar"/>
              </w:rPr>
              <w:br w:type="textWrapping"/>
            </w:r>
            <w:r>
              <w:rPr>
                <w:color w:val="auto"/>
                <w:kern w:val="0"/>
                <w:sz w:val="18"/>
                <w:szCs w:val="18"/>
                <w:highlight w:val="none"/>
                <w:lang w:bidi="ar"/>
              </w:rPr>
              <w:t>不忘初心牢记使命、辉煌中国、创新中国、法治中国、将改革进行到底、胜利之师（强军）、人类命运共同体。</w:t>
            </w:r>
            <w:r>
              <w:rPr>
                <w:color w:val="auto"/>
                <w:kern w:val="0"/>
                <w:sz w:val="18"/>
                <w:szCs w:val="18"/>
                <w:highlight w:val="none"/>
                <w:lang w:bidi="ar"/>
              </w:rPr>
              <w:br w:type="textWrapping"/>
            </w:r>
            <w:r>
              <w:rPr>
                <w:color w:val="auto"/>
                <w:kern w:val="0"/>
                <w:sz w:val="18"/>
                <w:szCs w:val="18"/>
                <w:highlight w:val="none"/>
                <w:lang w:bidi="ar"/>
              </w:rPr>
              <w:t>三、特色主题</w:t>
            </w:r>
            <w:r>
              <w:rPr>
                <w:color w:val="auto"/>
                <w:kern w:val="0"/>
                <w:sz w:val="18"/>
                <w:szCs w:val="18"/>
                <w:highlight w:val="none"/>
                <w:lang w:bidi="ar"/>
              </w:rPr>
              <w:br w:type="textWrapping"/>
            </w:r>
            <w:r>
              <w:rPr>
                <w:color w:val="auto"/>
                <w:kern w:val="0"/>
                <w:sz w:val="18"/>
                <w:szCs w:val="18"/>
                <w:highlight w:val="none"/>
                <w:lang w:bidi="ar"/>
              </w:rPr>
              <w:t>中华人民共和国成立70周年大会、党风廉政建设、扫黑除恶专项斗争、陈君起烈士纪念馆、新型冠状病毒疫情科普馆。</w:t>
            </w:r>
            <w:r>
              <w:rPr>
                <w:color w:val="auto"/>
                <w:kern w:val="0"/>
                <w:sz w:val="18"/>
                <w:szCs w:val="18"/>
                <w:highlight w:val="none"/>
                <w:lang w:bidi="ar"/>
              </w:rPr>
              <w:br w:type="textWrapping"/>
            </w:r>
            <w:r>
              <w:rPr>
                <w:color w:val="auto"/>
                <w:kern w:val="0"/>
                <w:sz w:val="18"/>
                <w:szCs w:val="18"/>
                <w:highlight w:val="none"/>
                <w:lang w:bidi="ar"/>
              </w:rPr>
              <w:t>四、建党100周年</w:t>
            </w:r>
            <w:r>
              <w:rPr>
                <w:color w:val="auto"/>
                <w:kern w:val="0"/>
                <w:sz w:val="18"/>
                <w:szCs w:val="18"/>
                <w:highlight w:val="none"/>
                <w:lang w:bidi="ar"/>
              </w:rPr>
              <w:br w:type="textWrapping"/>
            </w:r>
            <w:r>
              <w:rPr>
                <w:color w:val="auto"/>
                <w:kern w:val="0"/>
                <w:sz w:val="18"/>
                <w:szCs w:val="18"/>
                <w:highlight w:val="none"/>
                <w:lang w:bidi="ar"/>
              </w:rPr>
              <w:t>建党100周年、长征、中国人民抗日战争纪念馆、解放战争--第三次国内革命战争、坚决打赢脱贫攻坚战</w:t>
            </w:r>
            <w:r>
              <w:rPr>
                <w:color w:val="auto"/>
                <w:kern w:val="0"/>
                <w:sz w:val="18"/>
                <w:szCs w:val="18"/>
                <w:highlight w:val="none"/>
                <w:lang w:bidi="ar"/>
              </w:rPr>
              <w:br w:type="textWrapping"/>
            </w:r>
            <w:r>
              <w:rPr>
                <w:color w:val="auto"/>
                <w:kern w:val="0"/>
                <w:sz w:val="18"/>
                <w:szCs w:val="18"/>
                <w:highlight w:val="none"/>
                <w:lang w:bidi="ar"/>
              </w:rPr>
              <w:t>五、新时代思想。</w:t>
            </w:r>
            <w:r>
              <w:rPr>
                <w:color w:val="auto"/>
                <w:kern w:val="0"/>
                <w:sz w:val="18"/>
                <w:szCs w:val="18"/>
                <w:highlight w:val="none"/>
                <w:lang w:bidi="ar"/>
              </w:rPr>
              <w:br w:type="textWrapping"/>
            </w:r>
            <w:r>
              <w:rPr>
                <w:color w:val="auto"/>
                <w:kern w:val="0"/>
                <w:sz w:val="18"/>
                <w:szCs w:val="18"/>
                <w:highlight w:val="none"/>
                <w:lang w:bidi="ar"/>
              </w:rPr>
              <w:t>砥砺奋进的五年、十九大精神、习近平新时达中国特色社会主义思想、全面从严治党、全面依法治国、全面深化改革、全面建成小康社会、习总书记谈治国理政、大国外交、改革开放40周年成果展。</w:t>
            </w:r>
            <w:r>
              <w:rPr>
                <w:color w:val="auto"/>
                <w:kern w:val="0"/>
                <w:sz w:val="18"/>
                <w:szCs w:val="18"/>
                <w:highlight w:val="none"/>
                <w:lang w:bidi="ar"/>
              </w:rPr>
              <w:br w:type="textWrapping"/>
            </w:r>
            <w:r>
              <w:rPr>
                <w:color w:val="auto"/>
                <w:kern w:val="0"/>
                <w:sz w:val="18"/>
                <w:szCs w:val="18"/>
                <w:highlight w:val="none"/>
                <w:lang w:bidi="ar"/>
              </w:rPr>
              <w:t>六、中国共产党党史</w:t>
            </w:r>
            <w:r>
              <w:rPr>
                <w:color w:val="auto"/>
                <w:kern w:val="0"/>
                <w:sz w:val="18"/>
                <w:szCs w:val="18"/>
                <w:highlight w:val="none"/>
                <w:lang w:bidi="ar"/>
              </w:rPr>
              <w:br w:type="textWrapping"/>
            </w:r>
            <w:r>
              <w:rPr>
                <w:color w:val="auto"/>
                <w:kern w:val="0"/>
                <w:sz w:val="18"/>
                <w:szCs w:val="18"/>
                <w:highlight w:val="none"/>
                <w:lang w:bidi="ar"/>
              </w:rPr>
              <w:t>挽救国家和民族危亡、中国人民共和国的成立、建设中国特色的社会主义、开创中国特色社会主义新局面</w:t>
            </w:r>
            <w:r>
              <w:rPr>
                <w:color w:val="auto"/>
                <w:kern w:val="0"/>
                <w:sz w:val="18"/>
                <w:szCs w:val="18"/>
                <w:highlight w:val="none"/>
                <w:lang w:bidi="ar"/>
              </w:rPr>
              <w:br w:type="textWrapping"/>
            </w:r>
            <w:r>
              <w:rPr>
                <w:color w:val="auto"/>
                <w:kern w:val="0"/>
                <w:sz w:val="18"/>
                <w:szCs w:val="18"/>
                <w:highlight w:val="none"/>
                <w:lang w:bidi="ar"/>
              </w:rPr>
              <w:t>中国特色社会主义进入新时代 、浙江省红色旅游资源MR版：1、浙江余杭抗日战争-仓前“四无”粮仓陈列馆；2、浙江马寅初纪念馆；3、浙江省立第一师范旧址；4、浙江舟山市蚂蚁岛精神红色教育基地；5、浙江雁荡山革命烈士陵园；6、浙江宁波市张人亚党章学堂；7、存古红色教育馆；8、浙江杭州市建德市千鹤妇女精神教育；9、浙江永嘉-红十三军军部；10、浙江“一大”陈列馆；11、浙江中共浙一大；12、浙江辛亥革命纪念馆；13、浙江苍南革命烈士陵园纪念馆；14、浙江嘉兴美术馆：建党百年《红船颂》画展；15、浙江郁达夫故居；16、浙东人民解放军金萧支队纪念馆；17、浙江中国工农红军北上抗日先遣队纪念馆；18、浙江嘉兴地方党史陈列馆；19、浙江鄞州区教育局红色体验基地；20、浙江南湖革命纪念馆；21、浙江湖州市烈士陵园；22、毛主席视察浙江金华双龙水电站纪念馆；23、浙江艾青故居；24、柳永文化广场-鸦片战争遗址；25、浙江中共东海工委革命史记陈列馆；26、浙江舟山革命烈士陵园；27、浙江登步岛战斗遗址公园；28、中共浙江省委机关旧址；29、浙江王村口红军挺进师革命旧址群；30、浙江毛主席视察小营巷纪念馆；31、中国京杭大运河博物馆；32、浙江中国湿地博物馆；33、浙江千鹤妇女精神教育基地；34、浙江镇海口海防历史纪念馆；35、浙江余姚市四明山革命烈士纪念碑；36、浙江鄞江镇建岙村-梅园革命史迹陈列馆；37、浙江长兴长中村红色山村革命史迹展馆；38、浙江吴昌硕纪念馆；39、浙江长超镇抗日英雄纪念碑；40、浙江新四军后期基地；41、浙江山洋革命根据地纪念园；42、井冈山革命博物馆；43、浙江白柯塆红色旅游景区；44、雷锋纪念馆；45、李大钊故居；46、浙江文成博物馆；47、刘少奇纪念馆；48、浙江洞头先锋女子民兵连纪念馆；49、瑷珲历史陈列馆；50、安重根义士纪念馆；51、八女投江；52、宾县烈士陵园；53、道里区青少年党史教育基地；54、东北抗联博物馆五大连池分馆；55、东北烈士纪念馆；56、方正抗联英烈纪念地；57、革命领袖视察黑龙江纪念馆；58、哈尔滨党史馆；59、哈尔滨烈士陵园；60、哈军工纪念馆；61、海林杨子荣纪念馆；62、黑龙江百年党史网上展馆63、黑龙江省工匠技能人才创新成果展；64、虎头风景区；65、抗联博物馆；66、李兆麟将军纪念馆；67、龙江“四大精神”展馆；68、南岗博物馆；69、七三一部队罪证陈列馆70、四野前线指挥部旧址；71、苏宁烈士雕像纪念广场；72、五常革命烈士陵园；73、伍连德纪念馆；74、萧红故居纪念馆、75、延寿县烈士陵园；76、依兰博物馆；77、依兰四块石抗联遗址；78、赵一曼被捕地；79、中共北满分局旧址；80、中共满洲省委机关旧址纪念馆。</w:t>
            </w:r>
          </w:p>
        </w:tc>
        <w:tc>
          <w:tcPr>
            <w:tcW w:w="863" w:type="dxa"/>
            <w:tcBorders>
              <w:top w:val="single" w:color="000000" w:sz="4" w:space="0"/>
              <w:left w:val="single" w:color="000000" w:sz="4" w:space="0"/>
              <w:bottom w:val="single" w:color="000000" w:sz="4" w:space="0"/>
              <w:right w:val="single" w:color="000000" w:sz="4" w:space="0"/>
            </w:tcBorders>
            <w:vAlign w:val="center"/>
          </w:tcPr>
          <w:p w14:paraId="2967B4A3">
            <w:pPr>
              <w:widowControl/>
              <w:jc w:val="left"/>
              <w:textAlignment w:val="center"/>
              <w:rPr>
                <w:color w:val="auto"/>
                <w:kern w:val="0"/>
                <w:sz w:val="18"/>
                <w:szCs w:val="18"/>
                <w:highlight w:val="none"/>
                <w:lang w:bidi="ar"/>
              </w:rPr>
            </w:pPr>
          </w:p>
        </w:tc>
      </w:tr>
      <w:tr w14:paraId="19E47FD7">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74C390BD">
            <w:pPr>
              <w:widowControl/>
              <w:jc w:val="center"/>
              <w:textAlignment w:val="center"/>
              <w:rPr>
                <w:color w:val="auto"/>
                <w:kern w:val="0"/>
                <w:sz w:val="18"/>
                <w:szCs w:val="18"/>
                <w:highlight w:val="none"/>
                <w:lang w:bidi="ar"/>
              </w:rPr>
            </w:pPr>
            <w:r>
              <w:rPr>
                <w:b/>
                <w:bCs/>
                <w:color w:val="auto"/>
                <w:kern w:val="0"/>
                <w:sz w:val="20"/>
                <w:szCs w:val="20"/>
                <w:highlight w:val="none"/>
                <w:lang w:bidi="ar"/>
              </w:rPr>
              <w:t>导游考试系统</w:t>
            </w:r>
          </w:p>
        </w:tc>
        <w:tc>
          <w:tcPr>
            <w:tcW w:w="863" w:type="dxa"/>
            <w:tcBorders>
              <w:top w:val="single" w:color="000000" w:sz="4" w:space="0"/>
              <w:left w:val="single" w:color="000000" w:sz="4" w:space="0"/>
              <w:bottom w:val="single" w:color="000000" w:sz="4" w:space="0"/>
              <w:right w:val="single" w:color="000000" w:sz="4" w:space="0"/>
            </w:tcBorders>
            <w:vAlign w:val="center"/>
          </w:tcPr>
          <w:p w14:paraId="1F901A91">
            <w:pPr>
              <w:widowControl/>
              <w:jc w:val="left"/>
              <w:textAlignment w:val="center"/>
              <w:rPr>
                <w:color w:val="auto"/>
                <w:kern w:val="0"/>
                <w:sz w:val="18"/>
                <w:szCs w:val="18"/>
                <w:highlight w:val="none"/>
                <w:lang w:bidi="ar"/>
              </w:rPr>
            </w:pPr>
          </w:p>
        </w:tc>
      </w:tr>
      <w:tr w14:paraId="33FE3EA7">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72F5BFA6">
            <w:pPr>
              <w:widowControl/>
              <w:jc w:val="left"/>
              <w:textAlignment w:val="center"/>
              <w:rPr>
                <w:color w:val="auto"/>
                <w:sz w:val="18"/>
                <w:szCs w:val="18"/>
                <w:highlight w:val="none"/>
              </w:rPr>
            </w:pPr>
            <w:r>
              <w:rPr>
                <w:color w:val="auto"/>
                <w:kern w:val="0"/>
                <w:sz w:val="18"/>
                <w:szCs w:val="18"/>
                <w:highlight w:val="none"/>
                <w:lang w:bidi="ar"/>
              </w:rPr>
              <w:t>1.系统基于B/S架构和.NET技术，需要具有良好的易维护性和易操作性。</w:t>
            </w:r>
            <w:r>
              <w:rPr>
                <w:color w:val="auto"/>
                <w:kern w:val="0"/>
                <w:sz w:val="18"/>
                <w:szCs w:val="18"/>
                <w:highlight w:val="none"/>
                <w:lang w:bidi="ar"/>
              </w:rPr>
              <w:br w:type="textWrapping"/>
            </w:r>
            <w:r>
              <w:rPr>
                <w:color w:val="auto"/>
                <w:kern w:val="0"/>
                <w:sz w:val="18"/>
                <w:szCs w:val="18"/>
                <w:highlight w:val="none"/>
                <w:lang w:bidi="ar"/>
              </w:rPr>
              <w:t>2.系统需分为三级管理及操作端口，其中角色定义为管理员、教师和学生，管理员负责教师用户的添加管理及数据维护，教师负责班级学生的添加管理及实验管理，学生为实验主体进行模拟实训。</w:t>
            </w:r>
            <w:r>
              <w:rPr>
                <w:color w:val="auto"/>
                <w:kern w:val="0"/>
                <w:sz w:val="18"/>
                <w:szCs w:val="18"/>
                <w:highlight w:val="none"/>
                <w:lang w:bidi="ar"/>
              </w:rPr>
              <w:br w:type="textWrapping"/>
            </w:r>
            <w:r>
              <w:rPr>
                <w:color w:val="auto"/>
                <w:kern w:val="0"/>
                <w:sz w:val="18"/>
                <w:szCs w:val="18"/>
                <w:highlight w:val="none"/>
                <w:lang w:bidi="ar"/>
              </w:rPr>
              <w:t>3.系统需适用于各个专业技能专业竞赛考试，对客观题目、主观题目进行考试；系统需具备批量添加学生、在线考试、阅卷、考试设置、试卷管理、题库管理、知识点管理、成绩管理等功能；教师可根据不同班级自行决定使用考试试卷。</w:t>
            </w:r>
            <w:r>
              <w:rPr>
                <w:color w:val="auto"/>
                <w:kern w:val="0"/>
                <w:sz w:val="18"/>
                <w:szCs w:val="18"/>
                <w:highlight w:val="none"/>
                <w:lang w:bidi="ar"/>
              </w:rPr>
              <w:br w:type="textWrapping"/>
            </w:r>
            <w:r>
              <w:rPr>
                <w:color w:val="auto"/>
                <w:kern w:val="0"/>
                <w:sz w:val="18"/>
                <w:szCs w:val="18"/>
                <w:highlight w:val="none"/>
                <w:lang w:bidi="ar"/>
              </w:rPr>
              <w:t>4.系统中可自行设计考试科目，系统初始提供导游服务能力、全国导游基础知识、导游业务、政策与法律法规、地方导游基础知识五项考试科目。</w:t>
            </w:r>
            <w:r>
              <w:rPr>
                <w:color w:val="auto"/>
                <w:kern w:val="0"/>
                <w:sz w:val="18"/>
                <w:szCs w:val="18"/>
                <w:highlight w:val="none"/>
                <w:lang w:bidi="ar"/>
              </w:rPr>
              <w:br w:type="textWrapping"/>
            </w:r>
            <w:r>
              <w:rPr>
                <w:color w:val="auto"/>
                <w:kern w:val="0"/>
                <w:sz w:val="18"/>
                <w:szCs w:val="18"/>
                <w:highlight w:val="none"/>
                <w:lang w:bidi="ar"/>
              </w:rPr>
              <w:t>5.教师可根据不同班级自行决定使用考试试卷。功能要求：学生管理、题库管理、试题管理、分配考卷、试卷包管理、自动评分、成绩下发与统计等功能。</w:t>
            </w:r>
            <w:r>
              <w:rPr>
                <w:color w:val="auto"/>
                <w:kern w:val="0"/>
                <w:sz w:val="18"/>
                <w:szCs w:val="18"/>
                <w:highlight w:val="none"/>
                <w:lang w:bidi="ar"/>
              </w:rPr>
              <w:br w:type="textWrapping"/>
            </w:r>
            <w:r>
              <w:rPr>
                <w:color w:val="auto"/>
                <w:kern w:val="0"/>
                <w:sz w:val="18"/>
                <w:szCs w:val="18"/>
                <w:highlight w:val="none"/>
                <w:lang w:bidi="ar"/>
              </w:rPr>
              <w:t>6.系统中试卷管理科查看试卷类型、试卷名称、试题数、总分、发布状态、试题管理、试卷预览、试卷发布等操作。</w:t>
            </w:r>
            <w:r>
              <w:rPr>
                <w:color w:val="auto"/>
                <w:kern w:val="0"/>
                <w:sz w:val="18"/>
                <w:szCs w:val="18"/>
                <w:highlight w:val="none"/>
                <w:lang w:bidi="ar"/>
              </w:rPr>
              <w:br w:type="textWrapping"/>
            </w:r>
            <w:r>
              <w:rPr>
                <w:color w:val="auto"/>
                <w:kern w:val="0"/>
                <w:sz w:val="18"/>
                <w:szCs w:val="18"/>
                <w:highlight w:val="none"/>
                <w:lang w:bidi="ar"/>
              </w:rPr>
              <w:t>7.系统中提供导游服务能力、全国导游基础知识、导游业务、政策与法律法规、地方导游基础知识五个科目的习题库模块，教师可进行各个科目的章节管理、习题维护、联系统计、试卷维护、试卷查看、试卷批阅、已批阅试卷查看等相关操作。</w:t>
            </w:r>
            <w:r>
              <w:rPr>
                <w:color w:val="auto"/>
                <w:kern w:val="0"/>
                <w:sz w:val="18"/>
                <w:szCs w:val="18"/>
                <w:highlight w:val="none"/>
                <w:lang w:bidi="ar"/>
              </w:rPr>
              <w:br w:type="textWrapping"/>
            </w:r>
            <w:r>
              <w:rPr>
                <w:color w:val="auto"/>
                <w:kern w:val="0"/>
                <w:sz w:val="18"/>
                <w:szCs w:val="18"/>
                <w:highlight w:val="none"/>
                <w:lang w:bidi="ar"/>
              </w:rPr>
              <w:t>8.学生端分为基础应用和学生考试两大模块，其中，基础应用需包含资料修改、试题练习、试题收藏、试卷查询和知识库。学生考试需包括答题、收藏试题、暂停考试和交卷等功能。系统需提供试题库、试卷库的设置，并且提供完备的考务管理。包括考生管理，考试设置，成绩管理等模块 。</w:t>
            </w:r>
            <w:r>
              <w:rPr>
                <w:color w:val="auto"/>
                <w:kern w:val="0"/>
                <w:sz w:val="18"/>
                <w:szCs w:val="18"/>
                <w:highlight w:val="none"/>
                <w:lang w:bidi="ar"/>
              </w:rPr>
              <w:br w:type="textWrapping"/>
            </w:r>
            <w:r>
              <w:rPr>
                <w:color w:val="auto"/>
                <w:kern w:val="0"/>
                <w:sz w:val="18"/>
                <w:szCs w:val="18"/>
                <w:highlight w:val="none"/>
                <w:lang w:bidi="ar"/>
              </w:rPr>
              <w:t>9.除包含教师用户所有的功能模块外，还需要包含对教师的添加/删除/修改，可以对教师的权限进行启用/限制，此外，可以添加/删除/修改/发布公告。还需提供大量的应用基础数据，如：题库管理、试卷管理、考试管理、试卷批阅、成绩查询等。</w:t>
            </w:r>
            <w:r>
              <w:rPr>
                <w:color w:val="auto"/>
                <w:kern w:val="0"/>
                <w:sz w:val="18"/>
                <w:szCs w:val="18"/>
                <w:highlight w:val="none"/>
                <w:lang w:bidi="ar"/>
              </w:rPr>
              <w:br w:type="textWrapping"/>
            </w:r>
            <w:r>
              <w:rPr>
                <w:color w:val="auto"/>
                <w:kern w:val="0"/>
                <w:sz w:val="18"/>
                <w:szCs w:val="18"/>
                <w:highlight w:val="none"/>
                <w:lang w:bidi="ar"/>
              </w:rPr>
              <w:t>10.系统需提供题型类型设置，适用于多种类型的考试。</w:t>
            </w:r>
            <w:r>
              <w:rPr>
                <w:color w:val="auto"/>
                <w:kern w:val="0"/>
                <w:sz w:val="18"/>
                <w:szCs w:val="18"/>
                <w:highlight w:val="none"/>
                <w:lang w:bidi="ar"/>
              </w:rPr>
              <w:br w:type="textWrapping"/>
            </w:r>
            <w:r>
              <w:rPr>
                <w:color w:val="auto"/>
                <w:kern w:val="0"/>
                <w:sz w:val="18"/>
                <w:szCs w:val="18"/>
                <w:highlight w:val="none"/>
                <w:lang w:bidi="ar"/>
              </w:rPr>
              <w:t>11.具备系统试卷样卷模式，系统提供试卷样卷需包含历年考试真题及模拟题，教师直接开启即可使用。</w:t>
            </w:r>
            <w:r>
              <w:rPr>
                <w:color w:val="auto"/>
                <w:kern w:val="0"/>
                <w:sz w:val="18"/>
                <w:szCs w:val="18"/>
                <w:highlight w:val="none"/>
                <w:lang w:bidi="ar"/>
              </w:rPr>
              <w:br w:type="textWrapping"/>
            </w:r>
            <w:r>
              <w:rPr>
                <w:color w:val="auto"/>
                <w:kern w:val="0"/>
                <w:sz w:val="18"/>
                <w:szCs w:val="18"/>
                <w:highlight w:val="none"/>
                <w:lang w:bidi="ar"/>
              </w:rPr>
              <w:t>12.具备随机试卷考试模式，系统随机试卷考试模拟，教师一键生成随机试卷，系统随机出题。</w:t>
            </w:r>
            <w:r>
              <w:rPr>
                <w:color w:val="auto"/>
                <w:kern w:val="0"/>
                <w:sz w:val="18"/>
                <w:szCs w:val="18"/>
                <w:highlight w:val="none"/>
                <w:lang w:bidi="ar"/>
              </w:rPr>
              <w:br w:type="textWrapping"/>
            </w:r>
            <w:r>
              <w:rPr>
                <w:color w:val="auto"/>
                <w:kern w:val="0"/>
                <w:sz w:val="18"/>
                <w:szCs w:val="18"/>
                <w:highlight w:val="none"/>
                <w:lang w:bidi="ar"/>
              </w:rPr>
              <w:t>13.系统提供固定试卷版和随机选题试卷版两种模式，同时需配有导游考试相关模拟试题。</w:t>
            </w:r>
            <w:r>
              <w:rPr>
                <w:color w:val="auto"/>
                <w:kern w:val="0"/>
                <w:sz w:val="18"/>
                <w:szCs w:val="18"/>
                <w:highlight w:val="none"/>
                <w:lang w:bidi="ar"/>
              </w:rPr>
              <w:br w:type="textWrapping"/>
            </w:r>
            <w:r>
              <w:rPr>
                <w:color w:val="auto"/>
                <w:kern w:val="0"/>
                <w:sz w:val="18"/>
                <w:szCs w:val="18"/>
                <w:highlight w:val="none"/>
                <w:lang w:bidi="ar"/>
              </w:rPr>
              <w:t>14.支持以考试、竞赛、作业、练习多种模式进行考试的安排。支持整版作答（题目全屏显示）、单题作答（一屏一题显示）二种考试模式。考生参加考试、答卷、交卷、查看分数等完整过程。</w:t>
            </w:r>
            <w:r>
              <w:rPr>
                <w:color w:val="auto"/>
                <w:kern w:val="0"/>
                <w:sz w:val="18"/>
                <w:szCs w:val="18"/>
                <w:highlight w:val="none"/>
                <w:lang w:bidi="ar"/>
              </w:rPr>
              <w:br w:type="textWrapping"/>
            </w:r>
            <w:r>
              <w:rPr>
                <w:color w:val="auto"/>
                <w:kern w:val="0"/>
                <w:sz w:val="18"/>
                <w:szCs w:val="18"/>
                <w:highlight w:val="none"/>
                <w:lang w:bidi="ar"/>
              </w:rPr>
              <w:t>15.支持考试自动倒计时，闹钟提醒、到时自动交卷。支持随机打乱试题显示顺序。支持考生分数查询、排名查询、答卷和答案查询等；支持考生收藏试题。</w:t>
            </w:r>
            <w:r>
              <w:rPr>
                <w:color w:val="auto"/>
                <w:kern w:val="0"/>
                <w:sz w:val="18"/>
                <w:szCs w:val="18"/>
                <w:highlight w:val="none"/>
                <w:lang w:bidi="ar"/>
              </w:rPr>
              <w:br w:type="textWrapping"/>
            </w:r>
            <w:r>
              <w:rPr>
                <w:color w:val="auto"/>
                <w:kern w:val="0"/>
                <w:sz w:val="18"/>
                <w:szCs w:val="18"/>
                <w:highlight w:val="none"/>
                <w:lang w:bidi="ar"/>
              </w:rPr>
              <w:t>16.支持考试结束后考生查看作答情况。支持考生查看公告、知识库等。</w:t>
            </w:r>
            <w:r>
              <w:rPr>
                <w:color w:val="auto"/>
                <w:kern w:val="0"/>
                <w:sz w:val="18"/>
                <w:szCs w:val="18"/>
                <w:highlight w:val="none"/>
                <w:lang w:bidi="ar"/>
              </w:rPr>
              <w:br w:type="textWrapping"/>
            </w:r>
            <w:r>
              <w:rPr>
                <w:color w:val="auto"/>
                <w:kern w:val="0"/>
                <w:sz w:val="18"/>
                <w:szCs w:val="18"/>
                <w:highlight w:val="none"/>
                <w:lang w:bidi="ar"/>
              </w:rPr>
              <w:t xml:space="preserve">17.系提供导游从业人员心里测试模块:心理辅导、热身引导、互动开放、激荡探索、团队凝聚、分享体验、成长评价、指导原则、发展性原则、系统性原则、年龄特点原则、预防重于治疗原则、辅导原则、民主性原则、活动性原则、参与性原则、多样性原则、主体性原则、保密原则、心理咨询室。 </w:t>
            </w:r>
            <w:r>
              <w:rPr>
                <w:color w:val="auto"/>
                <w:kern w:val="0"/>
                <w:sz w:val="18"/>
                <w:szCs w:val="18"/>
                <w:highlight w:val="none"/>
                <w:lang w:bidi="ar"/>
              </w:rPr>
              <w:br w:type="textWrapping"/>
            </w:r>
            <w:r>
              <w:rPr>
                <w:color w:val="auto"/>
                <w:kern w:val="0"/>
                <w:sz w:val="18"/>
                <w:szCs w:val="18"/>
                <w:highlight w:val="none"/>
                <w:lang w:bidi="ar"/>
              </w:rPr>
              <w:t>18.系统需提供导游接待任务情景模拟，包括接待训练（学生扮演角色在企业大环境中进行日常事物处理，包含在虚拟动画接待室场景、虚拟动画会议室场景、虚拟动画餐饮接待室场景等虚拟场景中进行指定接待，并完成客户接待单、会议记录等单据的填写实训）。</w:t>
            </w:r>
            <w:r>
              <w:rPr>
                <w:color w:val="auto"/>
                <w:kern w:val="0"/>
                <w:sz w:val="18"/>
                <w:szCs w:val="18"/>
                <w:highlight w:val="none"/>
                <w:lang w:bidi="ar"/>
              </w:rPr>
              <w:br w:type="textWrapping"/>
            </w:r>
            <w:r>
              <w:rPr>
                <w:color w:val="auto"/>
                <w:kern w:val="0"/>
                <w:sz w:val="18"/>
                <w:szCs w:val="18"/>
                <w:highlight w:val="none"/>
                <w:lang w:bidi="ar"/>
              </w:rPr>
              <w:t>19.系统中的分析方法：描述分析（x相对y分布，分布统计，分布频数，列联表分析，分组频数（直方图），分组频数（饼图），细分分析，箱线图）、样本检验（单样本检验，双样本检验）、方差分析（单、双、三因素方差分析，重复测量方差分析，组内、组间方差分析）、相关性分析（乘积矩相关，偏相关和部分偏相关）、回归分析（向前选择逐步回归，向后选择逐步回归，联合多重回归，逻辑回归）。</w:t>
            </w:r>
          </w:p>
        </w:tc>
        <w:tc>
          <w:tcPr>
            <w:tcW w:w="863" w:type="dxa"/>
            <w:tcBorders>
              <w:top w:val="single" w:color="000000" w:sz="4" w:space="0"/>
              <w:left w:val="single" w:color="000000" w:sz="4" w:space="0"/>
              <w:bottom w:val="single" w:color="000000" w:sz="4" w:space="0"/>
              <w:right w:val="single" w:color="000000" w:sz="4" w:space="0"/>
            </w:tcBorders>
            <w:vAlign w:val="center"/>
          </w:tcPr>
          <w:p w14:paraId="1AFA7E49">
            <w:pPr>
              <w:widowControl/>
              <w:jc w:val="left"/>
              <w:textAlignment w:val="center"/>
              <w:rPr>
                <w:color w:val="auto"/>
                <w:kern w:val="0"/>
                <w:sz w:val="18"/>
                <w:szCs w:val="18"/>
                <w:highlight w:val="none"/>
                <w:lang w:bidi="ar"/>
              </w:rPr>
            </w:pPr>
          </w:p>
        </w:tc>
      </w:tr>
      <w:tr w14:paraId="6C90B30A">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16BF80DF">
            <w:pPr>
              <w:widowControl/>
              <w:jc w:val="center"/>
              <w:textAlignment w:val="center"/>
              <w:rPr>
                <w:color w:val="auto"/>
                <w:kern w:val="0"/>
                <w:sz w:val="18"/>
                <w:szCs w:val="18"/>
                <w:highlight w:val="none"/>
                <w:lang w:bidi="ar"/>
              </w:rPr>
            </w:pPr>
            <w:r>
              <w:rPr>
                <w:b/>
                <w:bCs/>
                <w:color w:val="auto"/>
                <w:kern w:val="0"/>
                <w:sz w:val="20"/>
                <w:szCs w:val="20"/>
                <w:highlight w:val="none"/>
                <w:lang w:bidi="ar"/>
              </w:rPr>
              <w:t>酒店管理模拟实训系统</w:t>
            </w:r>
          </w:p>
        </w:tc>
        <w:tc>
          <w:tcPr>
            <w:tcW w:w="863" w:type="dxa"/>
            <w:tcBorders>
              <w:top w:val="single" w:color="000000" w:sz="4" w:space="0"/>
              <w:left w:val="single" w:color="000000" w:sz="4" w:space="0"/>
              <w:bottom w:val="single" w:color="000000" w:sz="4" w:space="0"/>
              <w:right w:val="single" w:color="000000" w:sz="4" w:space="0"/>
            </w:tcBorders>
            <w:vAlign w:val="center"/>
          </w:tcPr>
          <w:p w14:paraId="0E38A511">
            <w:pPr>
              <w:widowControl/>
              <w:jc w:val="left"/>
              <w:textAlignment w:val="center"/>
              <w:rPr>
                <w:color w:val="auto"/>
                <w:kern w:val="0"/>
                <w:sz w:val="18"/>
                <w:szCs w:val="18"/>
                <w:highlight w:val="none"/>
                <w:lang w:bidi="ar"/>
              </w:rPr>
            </w:pPr>
          </w:p>
        </w:tc>
      </w:tr>
      <w:tr w14:paraId="16681221">
        <w:tblPrEx>
          <w:tblCellMar>
            <w:top w:w="0" w:type="dxa"/>
            <w:left w:w="108" w:type="dxa"/>
            <w:bottom w:w="0" w:type="dxa"/>
            <w:right w:w="108" w:type="dxa"/>
          </w:tblCellMar>
        </w:tblPrEx>
        <w:trPr>
          <w:trHeight w:val="158"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36B5604E">
            <w:pPr>
              <w:widowControl/>
              <w:jc w:val="left"/>
              <w:textAlignment w:val="center"/>
              <w:rPr>
                <w:color w:val="auto"/>
                <w:kern w:val="0"/>
                <w:sz w:val="18"/>
                <w:szCs w:val="18"/>
                <w:highlight w:val="none"/>
                <w:lang w:bidi="ar"/>
              </w:rPr>
            </w:pPr>
            <w:r>
              <w:rPr>
                <w:color w:val="auto"/>
                <w:kern w:val="0"/>
                <w:sz w:val="18"/>
                <w:szCs w:val="18"/>
                <w:highlight w:val="none"/>
                <w:lang w:bidi="ar"/>
              </w:rPr>
              <w:t>1.系统基于B/S架构和.NET技术，具有良好的易维护性和易操作性。</w:t>
            </w:r>
            <w:r>
              <w:rPr>
                <w:color w:val="auto"/>
                <w:kern w:val="0"/>
                <w:sz w:val="18"/>
                <w:szCs w:val="18"/>
                <w:highlight w:val="none"/>
                <w:lang w:bidi="ar"/>
              </w:rPr>
              <w:br w:type="textWrapping"/>
            </w:r>
            <w:r>
              <w:rPr>
                <w:color w:val="auto"/>
                <w:kern w:val="0"/>
                <w:sz w:val="18"/>
                <w:szCs w:val="18"/>
                <w:highlight w:val="none"/>
                <w:lang w:bidi="ar"/>
              </w:rPr>
              <w:t>2.系统分为三级管理及操作端口，其中角色定义为管理员、教师和学生，管理员负责教师用户的添加管理及数据维护，教师负责班级学生的添加管理及实验管理，学生为实验主体进行模拟实训。</w:t>
            </w:r>
            <w:r>
              <w:rPr>
                <w:color w:val="auto"/>
                <w:kern w:val="0"/>
                <w:sz w:val="18"/>
                <w:szCs w:val="18"/>
                <w:highlight w:val="none"/>
                <w:lang w:bidi="ar"/>
              </w:rPr>
              <w:br w:type="textWrapping"/>
            </w:r>
            <w:r>
              <w:rPr>
                <w:color w:val="auto"/>
                <w:kern w:val="0"/>
                <w:sz w:val="18"/>
                <w:szCs w:val="18"/>
                <w:highlight w:val="none"/>
                <w:lang w:bidi="ar"/>
              </w:rPr>
              <w:t>3.软件按照星级宾馆标准化业务程序流程，结合现代酒店管理教学的特点，创造了一个酒店管理实习的逼真的空间。</w:t>
            </w:r>
            <w:r>
              <w:rPr>
                <w:color w:val="auto"/>
                <w:kern w:val="0"/>
                <w:sz w:val="18"/>
                <w:szCs w:val="18"/>
                <w:highlight w:val="none"/>
                <w:lang w:bidi="ar"/>
              </w:rPr>
              <w:br w:type="textWrapping"/>
            </w:r>
            <w:r>
              <w:rPr>
                <w:color w:val="auto"/>
                <w:kern w:val="0"/>
                <w:sz w:val="18"/>
                <w:szCs w:val="18"/>
                <w:highlight w:val="none"/>
                <w:lang w:bidi="ar"/>
              </w:rPr>
              <w:t>4.系统设计了酒店管理的所有业务及流程操作全过程，还开发了“酒店行业网站”和“酒店企业网站”两个网络平台，使学生在操作中，切身实地体会到信息时代酒店经营管理的全面革新。系统用户区包含管理员、教师、酒店和客户四种角色，更好的管理用户权限并进行实验安排。</w:t>
            </w:r>
            <w:r>
              <w:rPr>
                <w:color w:val="auto"/>
                <w:kern w:val="0"/>
                <w:sz w:val="18"/>
                <w:szCs w:val="18"/>
                <w:highlight w:val="none"/>
                <w:lang w:bidi="ar"/>
              </w:rPr>
              <w:br w:type="textWrapping"/>
            </w:r>
            <w:r>
              <w:rPr>
                <w:color w:val="auto"/>
                <w:kern w:val="0"/>
                <w:sz w:val="18"/>
                <w:szCs w:val="18"/>
                <w:highlight w:val="none"/>
                <w:lang w:bidi="ar"/>
              </w:rPr>
              <w:t>6.系统提供了多家酒店360度全景展示，学生可亲身体验各种酒店的设计、布置理念。从中借鉴现代化酒店设计风格、理念。</w:t>
            </w:r>
            <w:r>
              <w:rPr>
                <w:color w:val="auto"/>
                <w:kern w:val="0"/>
                <w:sz w:val="18"/>
                <w:szCs w:val="18"/>
                <w:highlight w:val="none"/>
                <w:lang w:bidi="ar"/>
              </w:rPr>
              <w:br w:type="textWrapping"/>
            </w:r>
            <w:r>
              <w:rPr>
                <w:color w:val="auto"/>
                <w:kern w:val="0"/>
                <w:sz w:val="18"/>
                <w:szCs w:val="18"/>
                <w:highlight w:val="none"/>
                <w:lang w:bidi="ar"/>
              </w:rPr>
              <w:t>7.软件中还包含了娱乐项目管理和酒店资料管理。通过娱乐项目、记价方式和单价来添加并管理环境中的娱乐项目。而且客户端可以切身体验酒店的所有娱乐项目。</w:t>
            </w:r>
            <w:r>
              <w:rPr>
                <w:color w:val="auto"/>
                <w:kern w:val="0"/>
                <w:sz w:val="18"/>
                <w:szCs w:val="18"/>
                <w:highlight w:val="none"/>
                <w:lang w:bidi="ar"/>
              </w:rPr>
              <w:br w:type="textWrapping"/>
            </w:r>
            <w:r>
              <w:rPr>
                <w:color w:val="auto"/>
                <w:kern w:val="0"/>
                <w:sz w:val="18"/>
                <w:szCs w:val="18"/>
                <w:highlight w:val="none"/>
                <w:lang w:bidi="ar"/>
              </w:rPr>
              <w:t>8.酒店管理中总经理角色可将所有营业中产生的所有记录都将以报表的格式显示，并提供报表查询和打印功能。</w:t>
            </w:r>
            <w:r>
              <w:rPr>
                <w:color w:val="auto"/>
                <w:kern w:val="0"/>
                <w:sz w:val="18"/>
                <w:szCs w:val="18"/>
                <w:highlight w:val="none"/>
                <w:lang w:bidi="ar"/>
              </w:rPr>
              <w:br w:type="textWrapping"/>
            </w:r>
            <w:r>
              <w:rPr>
                <w:color w:val="auto"/>
                <w:kern w:val="0"/>
                <w:sz w:val="18"/>
                <w:szCs w:val="18"/>
                <w:highlight w:val="none"/>
                <w:lang w:bidi="ar"/>
              </w:rPr>
              <w:t>9.系统提供散客预订、团体预订、取消预订、取消团体、网上预订、恢复取消、自动取消等多种方式的酒店预定或取消预定。极大地方便了客户，也使酒店管理也更加有规则有条理。</w:t>
            </w:r>
          </w:p>
          <w:p w14:paraId="48D492CC">
            <w:pPr>
              <w:widowControl/>
              <w:jc w:val="left"/>
              <w:textAlignment w:val="center"/>
              <w:rPr>
                <w:color w:val="auto"/>
                <w:kern w:val="0"/>
                <w:sz w:val="18"/>
                <w:szCs w:val="18"/>
                <w:highlight w:val="none"/>
                <w:lang w:bidi="ar"/>
              </w:rPr>
            </w:pPr>
            <w:r>
              <w:rPr>
                <w:color w:val="auto"/>
                <w:kern w:val="0"/>
                <w:sz w:val="18"/>
                <w:szCs w:val="18"/>
                <w:highlight w:val="none"/>
                <w:lang w:bidi="ar"/>
              </w:rPr>
              <w:t>10.软件中设计了预定房型选择、日期预定、折扣、会员、用餐等多个细节，以此更加完整的模拟现实环境。</w:t>
            </w:r>
            <w:r>
              <w:rPr>
                <w:color w:val="auto"/>
                <w:kern w:val="0"/>
                <w:sz w:val="18"/>
                <w:szCs w:val="18"/>
                <w:highlight w:val="none"/>
                <w:lang w:bidi="ar"/>
              </w:rPr>
              <w:br w:type="textWrapping"/>
            </w:r>
            <w:r>
              <w:rPr>
                <w:color w:val="auto"/>
                <w:kern w:val="0"/>
                <w:sz w:val="18"/>
                <w:szCs w:val="18"/>
                <w:highlight w:val="none"/>
                <w:lang w:bidi="ar"/>
              </w:rPr>
              <w:t>11.学生端主要功能：酒店经营管理（角色）、酒店客户平台（角色）、酒店行业网平台（网络营销）、酒店企业网平台（网络营销）、酒店知识案例平台。让学生仿真地实现了酒店管理的各项功能和流程，提高了学生的实践能力,软件设计了预定部、总台接待、客房部、餐饮部、信息资料、人事管理、客户管理、总经理查询等这几个方面，构造一个完整的、高信息化管理的酒店。并体验各个部门的岗位职责以及权限，掌握部门与部门之间的相互配合。</w:t>
            </w:r>
            <w:r>
              <w:rPr>
                <w:color w:val="auto"/>
                <w:kern w:val="0"/>
                <w:sz w:val="18"/>
                <w:szCs w:val="18"/>
                <w:highlight w:val="none"/>
                <w:lang w:bidi="ar"/>
              </w:rPr>
              <w:br w:type="textWrapping"/>
            </w:r>
            <w:r>
              <w:rPr>
                <w:color w:val="auto"/>
                <w:kern w:val="0"/>
                <w:sz w:val="18"/>
                <w:szCs w:val="18"/>
                <w:highlight w:val="none"/>
                <w:lang w:bidi="ar"/>
              </w:rPr>
              <w:t>12.酒店角色部门：</w:t>
            </w:r>
            <w:r>
              <w:rPr>
                <w:color w:val="auto"/>
                <w:kern w:val="0"/>
                <w:sz w:val="18"/>
                <w:szCs w:val="18"/>
                <w:highlight w:val="none"/>
                <w:lang w:bidi="ar"/>
              </w:rPr>
              <w:br w:type="textWrapping"/>
            </w:r>
            <w:r>
              <w:rPr>
                <w:color w:val="auto"/>
                <w:kern w:val="0"/>
                <w:sz w:val="18"/>
                <w:szCs w:val="18"/>
                <w:highlight w:val="none"/>
                <w:lang w:bidi="ar"/>
              </w:rPr>
              <w:t xml:space="preserve">  12.1.总经理：总经理对酒店的管理，主要包含酒店经营查询、酒店设置和报表生成。当初次进入系统时，首先应进行酒店设置操作。设置完成后，待酒店的其他业务展开后，便可查看酒店的经营状况。主要功能包括：酒店设置（房型、房间设置、厅房设置、娱乐项目、酒店咨询）；经营查询（预定查询、客房查询、餐厅、康乐查询、投诉查询）；报表生成（酒店经营日报表、客历档案、客人名单表、客人生日表、来自地区、散客预定表、团体主单表、团体预定表、维修房表、预定取消表）。</w:t>
            </w:r>
            <w:r>
              <w:rPr>
                <w:color w:val="auto"/>
                <w:kern w:val="0"/>
                <w:sz w:val="18"/>
                <w:szCs w:val="18"/>
                <w:highlight w:val="none"/>
                <w:lang w:bidi="ar"/>
              </w:rPr>
              <w:br w:type="textWrapping"/>
            </w:r>
            <w:r>
              <w:rPr>
                <w:color w:val="auto"/>
                <w:kern w:val="0"/>
                <w:sz w:val="18"/>
                <w:szCs w:val="18"/>
                <w:highlight w:val="none"/>
                <w:lang w:bidi="ar"/>
              </w:rPr>
              <w:t xml:space="preserve">  12.2.前台部：酒店前厅部操作业务，主要是处理客户预定并接待客户入住。在酒店总经理将酒店资料设置包括：房型、房间、厅房、娱乐项目、酒店资料完成后，方可进入酒店前厅部。主要功能包括：预订处理（散客预订、散客预定处理、散客预订查询、团体预订、团体预定处理、散客预订查询、取消（散客）预订、取消团体、恢复取消、自动取消、网上预定）；前台接待（团队入住、散客入住、厅房操作、自动延期、收银计帐、帐单修改、帐单增加、帐单删除、结帐、客单转帐、房态表、附加功能、投诉意见、商务中心）。</w:t>
            </w:r>
            <w:r>
              <w:rPr>
                <w:color w:val="auto"/>
                <w:kern w:val="0"/>
                <w:sz w:val="18"/>
                <w:szCs w:val="18"/>
                <w:highlight w:val="none"/>
                <w:lang w:bidi="ar"/>
              </w:rPr>
              <w:br w:type="textWrapping"/>
            </w:r>
            <w:r>
              <w:rPr>
                <w:color w:val="auto"/>
                <w:kern w:val="0"/>
                <w:sz w:val="18"/>
                <w:szCs w:val="18"/>
                <w:highlight w:val="none"/>
                <w:lang w:bidi="ar"/>
              </w:rPr>
              <w:t xml:space="preserve">  12.3.客房部：客房部处理房间状态管理、失物管理、计帐、洗衣操作，及房态查看、房价查看等操作。客房部门在客房操作流程中，负责：清扫房间、检查退房。主要功能包括：设置房态（查看每个房间的目前的状态。或在页面楼层下拉框内选择要查看或操作的楼层，显示该楼层的所有房间及状态）；失物招领（酒店客房部将失物归还给客户，即完成失物处理流程）；房型查看（客房部仅有查看信息的权限）；房价查看（客房类型列表：房型、价格、房间数量、介绍）；客房清洁（在客房退房操作流程中，前厅部完成退房操作后，进行清扫工作）；消费计帐（客房列表：房号、客人姓名、入住时间、客单类型）；投诉意见（客人在“投诉处理”中提交的对“客房部”的投诉意见，由客房部进行处理）；洗衣中心（洗衣信息列表：衣物、洗衣方式、数量、取衣时间、费用、状态及操作：处理、查看）。</w:t>
            </w:r>
            <w:r>
              <w:rPr>
                <w:color w:val="auto"/>
                <w:kern w:val="0"/>
                <w:sz w:val="18"/>
                <w:szCs w:val="18"/>
                <w:highlight w:val="none"/>
                <w:lang w:bidi="ar"/>
              </w:rPr>
              <w:br w:type="textWrapping"/>
            </w:r>
            <w:r>
              <w:rPr>
                <w:color w:val="auto"/>
                <w:kern w:val="0"/>
                <w:sz w:val="18"/>
                <w:szCs w:val="18"/>
                <w:highlight w:val="none"/>
                <w:lang w:bidi="ar"/>
              </w:rPr>
              <w:t xml:space="preserve">  12.4.餐饮部：默认进入饭桌状态页面。若还未进行场所和饭桌等设置，将无餐桌显示。只显示图例。主要功能包括：菜单管理（菜式添加、菜式修改、菜式删除；菜式只分菜类，不分场所。添加的菜式，客户在该酒店内的所有场所都可点到菜菜式）；场所设置（添加餐桌前，应先添加该餐桌的场所）；饭桌管理（饭桌作为客户餐饮预定的一个必须元素，在酒店餐饮部添加管理。添加饭桌前请确认该饭桌所在场所是否添加）；饭桌状态；帐单查询（帐单查看（结帐确认）：帐单查询功能使酒店餐饮部可以及时了解到客户的就餐结帐情况；帐单查询：在帐单列表中，点击帐单的操作“查看”，进入帐单操作页面。如下图。帐单操作页面显示客户本次餐厅消费详细记录，包括餐桌信息、折扣、金额、点菜信息等；帐单删除：帐单删除只针对结帐完成（就餐结束状态）的结帐记录，正在就餐和等待结帐确认的帐单不能删除）；投诉意见（投诉列表：投诉人、投诉问题、处理结果、状态）。</w:t>
            </w:r>
            <w:r>
              <w:rPr>
                <w:color w:val="auto"/>
                <w:kern w:val="0"/>
                <w:sz w:val="18"/>
                <w:szCs w:val="18"/>
                <w:highlight w:val="none"/>
                <w:lang w:bidi="ar"/>
              </w:rPr>
              <w:br w:type="textWrapping"/>
            </w:r>
            <w:r>
              <w:rPr>
                <w:color w:val="auto"/>
                <w:kern w:val="0"/>
                <w:sz w:val="18"/>
                <w:szCs w:val="18"/>
                <w:highlight w:val="none"/>
                <w:lang w:bidi="ar"/>
              </w:rPr>
              <w:t xml:space="preserve">  12.5.康乐部：酒店康乐部的操作主要包含：帐单处理和投诉意见处理。帐单查询（帐单管理页面中除了帐单查询，还包含了帐单查看、结帐处理、帐单删除操作）；投诉意见（部门的投诉列表：投诉人、投诉问题、处理结果、状态）。</w:t>
            </w:r>
            <w:r>
              <w:rPr>
                <w:color w:val="auto"/>
                <w:kern w:val="0"/>
                <w:sz w:val="18"/>
                <w:szCs w:val="18"/>
                <w:highlight w:val="none"/>
                <w:lang w:bidi="ar"/>
              </w:rPr>
              <w:br w:type="textWrapping"/>
            </w:r>
            <w:r>
              <w:rPr>
                <w:color w:val="auto"/>
                <w:kern w:val="0"/>
                <w:sz w:val="18"/>
                <w:szCs w:val="18"/>
                <w:highlight w:val="none"/>
                <w:lang w:bidi="ar"/>
              </w:rPr>
              <w:t xml:space="preserve">  12.6.销售部：销售部的主要功能是对酒店的协议单位、会员进行管理，进行酒店推广。并处理客户对该部门的投诉意见等。主要功能包括：协议单位（协议单位由销售部进行添加并管理。客户在进行酒店消费时，可选择协议单位以此来享受适当的折扣）；会员管理（会员列表：会员号、姓名、性别、电话、城市、会员级别、折扣率）；历史记录（其个人信息将保存在历史记录中。为方便下次入住。有历史记录的客人在入住信息填写时，可只输入姓名并点击“历史记录”，将自动填写该客人的个人信息。在销售部，历史记录的管理和查看，并有将该客人加入“黑名单”的权限）；黑名单（黑名单的客人列表）；酒店推广（主要是由学生根据所学的知识，并根据酒店的经营状况，对酒店进行的推广进行文字形式的推广）；投诉意见（客人在“投诉处理”中提交的对“销售部”的投诉意见，由销售部进行处理）。</w:t>
            </w:r>
          </w:p>
          <w:p w14:paraId="1B5BF498">
            <w:pPr>
              <w:widowControl/>
              <w:ind w:firstLine="180" w:firstLineChars="100"/>
              <w:jc w:val="left"/>
              <w:textAlignment w:val="center"/>
              <w:rPr>
                <w:color w:val="auto"/>
                <w:sz w:val="18"/>
                <w:szCs w:val="18"/>
                <w:highlight w:val="none"/>
              </w:rPr>
            </w:pPr>
            <w:r>
              <w:rPr>
                <w:color w:val="auto"/>
                <w:kern w:val="0"/>
                <w:sz w:val="18"/>
                <w:szCs w:val="18"/>
                <w:highlight w:val="none"/>
                <w:lang w:bidi="ar"/>
              </w:rPr>
              <w:t>12.7.财务部：财务部的工作任务是对财务状况（收入和支出），所有支出（包括酒店注册、业务推广等）和收入（包括客户房租、赔偿、餐饮和康乐消费等）将自动计入财务状况中。财务状况按条目显示在财务列表中，分别显示每一笔收入和支出的说明、金额和日期。</w:t>
            </w:r>
            <w:r>
              <w:rPr>
                <w:color w:val="auto"/>
                <w:kern w:val="0"/>
                <w:sz w:val="18"/>
                <w:szCs w:val="18"/>
                <w:highlight w:val="none"/>
                <w:lang w:bidi="ar"/>
              </w:rPr>
              <w:br w:type="textWrapping"/>
            </w:r>
            <w:r>
              <w:rPr>
                <w:color w:val="auto"/>
                <w:kern w:val="0"/>
                <w:sz w:val="18"/>
                <w:szCs w:val="18"/>
                <w:highlight w:val="none"/>
                <w:lang w:bidi="ar"/>
              </w:rPr>
              <w:t xml:space="preserve">  12.8.人事部：人员管理对于所有企业包括酒店都是必不可少的。人事职位根据各企业经营方式而有所变化。酒店人事管理要求学生能熟练的进行人员资料管理、日常考核、请假管理和内部岗位变化管理。主要能包括：员工管理（员工列表：编号、姓名、性别、籍贯、学历、部门、职务）；员工考核（考核列表：员工姓名、考核名称、考核类型、时间、结果）；员工奖惩（员工奖惩列表：员工姓名、奖惩名称、类型、时间、备注）；岗位变动（职务调动列表：姓名、原部门、原职务、现部门、现职务、变动时间）；请假管理（请假记录列表：员工姓名、请假原因、开始时间、结束时间、创建时间、核准人）；员工生日表查看（员工列表中，显示员工信息，包含员工生日）；投诉意见（客人在“投诉处理”中提交的对“人事部”的投诉意见，由人事部进行处理）。</w:t>
            </w:r>
            <w:r>
              <w:rPr>
                <w:color w:val="auto"/>
                <w:kern w:val="0"/>
                <w:sz w:val="18"/>
                <w:szCs w:val="18"/>
                <w:highlight w:val="none"/>
                <w:lang w:bidi="ar"/>
              </w:rPr>
              <w:br w:type="textWrapping"/>
            </w:r>
            <w:r>
              <w:rPr>
                <w:color w:val="auto"/>
                <w:kern w:val="0"/>
                <w:sz w:val="18"/>
                <w:szCs w:val="18"/>
                <w:highlight w:val="none"/>
                <w:lang w:bidi="ar"/>
              </w:rPr>
              <w:t xml:space="preserve">  12.9.工程部：工程部门负责处理房间的维修信息；维修信息列表包含：序号、结束日期、维修费用、维修原因、状态。</w:t>
            </w:r>
            <w:r>
              <w:rPr>
                <w:color w:val="auto"/>
                <w:kern w:val="0"/>
                <w:sz w:val="18"/>
                <w:szCs w:val="18"/>
                <w:highlight w:val="none"/>
                <w:lang w:bidi="ar"/>
              </w:rPr>
              <w:br w:type="textWrapping"/>
            </w:r>
            <w:r>
              <w:rPr>
                <w:color w:val="auto"/>
                <w:kern w:val="0"/>
                <w:sz w:val="18"/>
                <w:szCs w:val="18"/>
                <w:highlight w:val="none"/>
                <w:lang w:bidi="ar"/>
              </w:rPr>
              <w:t xml:space="preserve">  12.10.安保部：安保人员（安保员工信息的添加及维护）；事件处理（酒店突发事件的处理及处理结果进行记录备案）</w:t>
            </w:r>
            <w:r>
              <w:rPr>
                <w:color w:val="auto"/>
                <w:kern w:val="0"/>
                <w:sz w:val="18"/>
                <w:szCs w:val="18"/>
                <w:highlight w:val="none"/>
                <w:lang w:bidi="ar"/>
              </w:rPr>
              <w:br w:type="textWrapping"/>
            </w:r>
            <w:r>
              <w:rPr>
                <w:color w:val="auto"/>
                <w:kern w:val="0"/>
                <w:sz w:val="18"/>
                <w:szCs w:val="18"/>
                <w:highlight w:val="none"/>
                <w:lang w:bidi="ar"/>
              </w:rPr>
              <w:t>13.客户角色功能：</w:t>
            </w:r>
            <w:r>
              <w:rPr>
                <w:color w:val="auto"/>
                <w:kern w:val="0"/>
                <w:sz w:val="18"/>
                <w:szCs w:val="18"/>
                <w:highlight w:val="none"/>
                <w:lang w:bidi="ar"/>
              </w:rPr>
              <w:br w:type="textWrapping"/>
            </w:r>
            <w:r>
              <w:rPr>
                <w:color w:val="auto"/>
                <w:kern w:val="0"/>
                <w:sz w:val="18"/>
                <w:szCs w:val="18"/>
                <w:highlight w:val="none"/>
                <w:lang w:bidi="ar"/>
              </w:rPr>
              <w:t xml:space="preserve">  13.1.选择酒店：客户进行酒店预定、消费等操作，应先选定酒店省份，并从该省份的酒店列表中选择一个酒店进行操作，在地图内，显示全国各省份划分区域。客户在地图内点击省份名称，进入该身份的酒店列表。</w:t>
            </w:r>
            <w:r>
              <w:rPr>
                <w:color w:val="auto"/>
                <w:kern w:val="0"/>
                <w:sz w:val="18"/>
                <w:szCs w:val="18"/>
                <w:highlight w:val="none"/>
                <w:lang w:bidi="ar"/>
              </w:rPr>
              <w:br w:type="textWrapping"/>
            </w:r>
            <w:r>
              <w:rPr>
                <w:color w:val="auto"/>
                <w:kern w:val="0"/>
                <w:sz w:val="18"/>
                <w:szCs w:val="18"/>
                <w:highlight w:val="none"/>
                <w:lang w:bidi="ar"/>
              </w:rPr>
              <w:t xml:space="preserve">  13.2.散客操作：学生将扮演散客的身份，在实验中完成散客在酒店中的行为操作。</w:t>
            </w:r>
            <w:r>
              <w:rPr>
                <w:color w:val="auto"/>
                <w:kern w:val="0"/>
                <w:sz w:val="18"/>
                <w:szCs w:val="18"/>
                <w:highlight w:val="none"/>
                <w:lang w:bidi="ar"/>
              </w:rPr>
              <w:br w:type="textWrapping"/>
            </w:r>
            <w:r>
              <w:rPr>
                <w:color w:val="auto"/>
                <w:kern w:val="0"/>
                <w:sz w:val="18"/>
                <w:szCs w:val="18"/>
                <w:highlight w:val="none"/>
                <w:lang w:bidi="ar"/>
              </w:rPr>
              <w:t xml:space="preserve">    13.2.1.散客预订</w:t>
            </w:r>
            <w:r>
              <w:rPr>
                <w:rFonts w:hint="eastAsia"/>
                <w:color w:val="auto"/>
                <w:kern w:val="0"/>
                <w:sz w:val="18"/>
                <w:szCs w:val="18"/>
                <w:highlight w:val="none"/>
                <w:lang w:bidi="ar"/>
              </w:rPr>
              <w:t>：</w:t>
            </w:r>
            <w:r>
              <w:rPr>
                <w:color w:val="auto"/>
                <w:kern w:val="0"/>
                <w:sz w:val="18"/>
                <w:szCs w:val="18"/>
                <w:highlight w:val="none"/>
                <w:lang w:bidi="ar"/>
              </w:rPr>
              <w:t>散客预定管理页面显示该客户在该酒店提交过待审核的预定列表（房间号、房型、抵店日期、入住天数、预订日期、状态及操作），对酒店还未审核确认的预定，可进行修改。</w:t>
            </w:r>
            <w:r>
              <w:rPr>
                <w:color w:val="auto"/>
                <w:kern w:val="0"/>
                <w:sz w:val="18"/>
                <w:szCs w:val="18"/>
                <w:highlight w:val="none"/>
                <w:lang w:bidi="ar"/>
              </w:rPr>
              <w:br w:type="textWrapping"/>
            </w:r>
            <w:r>
              <w:rPr>
                <w:color w:val="auto"/>
                <w:kern w:val="0"/>
                <w:sz w:val="18"/>
                <w:szCs w:val="18"/>
                <w:highlight w:val="none"/>
                <w:lang w:bidi="ar"/>
              </w:rPr>
              <w:t xml:space="preserve">    13.2.2.预定入住</w:t>
            </w:r>
            <w:r>
              <w:rPr>
                <w:rFonts w:hint="eastAsia"/>
                <w:color w:val="auto"/>
                <w:kern w:val="0"/>
                <w:sz w:val="18"/>
                <w:szCs w:val="18"/>
                <w:highlight w:val="none"/>
                <w:lang w:bidi="ar"/>
              </w:rPr>
              <w:t>：</w:t>
            </w:r>
            <w:r>
              <w:rPr>
                <w:color w:val="auto"/>
                <w:kern w:val="0"/>
                <w:sz w:val="18"/>
                <w:szCs w:val="18"/>
                <w:highlight w:val="none"/>
                <w:lang w:bidi="ar"/>
              </w:rPr>
              <w:t>在页面内显示预订单信息，和客户信息填写单。在这一步骤里，客户需要在入住前填写详细的个人信息，散客入住手续完成后，提交给酒店前厅审核，审核通过后，才能在大厅操作中进入“我的房间”</w:t>
            </w:r>
            <w:r>
              <w:rPr>
                <w:color w:val="auto"/>
                <w:kern w:val="0"/>
                <w:sz w:val="18"/>
                <w:szCs w:val="18"/>
                <w:highlight w:val="none"/>
                <w:lang w:bidi="ar"/>
              </w:rPr>
              <w:br w:type="textWrapping"/>
            </w:r>
            <w:r>
              <w:rPr>
                <w:color w:val="auto"/>
                <w:kern w:val="0"/>
                <w:sz w:val="18"/>
                <w:szCs w:val="18"/>
                <w:highlight w:val="none"/>
                <w:lang w:bidi="ar"/>
              </w:rPr>
              <w:t xml:space="preserve">    13.2.3.散客步入</w:t>
            </w:r>
            <w:r>
              <w:rPr>
                <w:rFonts w:hint="eastAsia"/>
                <w:color w:val="auto"/>
                <w:kern w:val="0"/>
                <w:sz w:val="18"/>
                <w:szCs w:val="18"/>
                <w:highlight w:val="none"/>
                <w:lang w:bidi="ar"/>
              </w:rPr>
              <w:t>：</w:t>
            </w:r>
            <w:r>
              <w:rPr>
                <w:color w:val="auto"/>
                <w:kern w:val="0"/>
                <w:sz w:val="18"/>
                <w:szCs w:val="18"/>
                <w:highlight w:val="none"/>
                <w:lang w:bidi="ar"/>
              </w:rPr>
              <w:t>散客步入入住的信息输入页面内，客户需要填写离店日期、会员信息和客户信息等。</w:t>
            </w:r>
            <w:r>
              <w:rPr>
                <w:color w:val="auto"/>
                <w:kern w:val="0"/>
                <w:sz w:val="18"/>
                <w:szCs w:val="18"/>
                <w:highlight w:val="none"/>
                <w:lang w:bidi="ar"/>
              </w:rPr>
              <w:br w:type="textWrapping"/>
            </w:r>
            <w:r>
              <w:rPr>
                <w:color w:val="auto"/>
                <w:kern w:val="0"/>
                <w:sz w:val="18"/>
                <w:szCs w:val="18"/>
                <w:highlight w:val="none"/>
                <w:lang w:bidi="ar"/>
              </w:rPr>
              <w:t xml:space="preserve">    13.2.4.客单退房：已入住房间办理退房手续。（办理入住手续并通过酒店入住审核的客单，为已入住客单）。</w:t>
            </w:r>
            <w:r>
              <w:rPr>
                <w:color w:val="auto"/>
                <w:kern w:val="0"/>
                <w:sz w:val="18"/>
                <w:szCs w:val="18"/>
                <w:highlight w:val="none"/>
                <w:lang w:bidi="ar"/>
              </w:rPr>
              <w:br w:type="textWrapping"/>
            </w:r>
            <w:r>
              <w:rPr>
                <w:color w:val="auto"/>
                <w:kern w:val="0"/>
                <w:sz w:val="18"/>
                <w:szCs w:val="18"/>
                <w:highlight w:val="none"/>
                <w:lang w:bidi="ar"/>
              </w:rPr>
              <w:t xml:space="preserve">    13.2.5.取消预定</w:t>
            </w:r>
            <w:r>
              <w:rPr>
                <w:rFonts w:hint="eastAsia"/>
                <w:color w:val="auto"/>
                <w:kern w:val="0"/>
                <w:sz w:val="18"/>
                <w:szCs w:val="18"/>
                <w:highlight w:val="none"/>
                <w:lang w:bidi="ar"/>
              </w:rPr>
              <w:t>：</w:t>
            </w:r>
            <w:r>
              <w:rPr>
                <w:color w:val="auto"/>
                <w:kern w:val="0"/>
                <w:sz w:val="18"/>
                <w:szCs w:val="18"/>
                <w:highlight w:val="none"/>
                <w:lang w:bidi="ar"/>
              </w:rPr>
              <w:t>散客预定提交后，无论酒店是否通过预定审核，未入住的客房，都可将预定取消。</w:t>
            </w:r>
            <w:r>
              <w:rPr>
                <w:color w:val="auto"/>
                <w:kern w:val="0"/>
                <w:sz w:val="18"/>
                <w:szCs w:val="18"/>
                <w:highlight w:val="none"/>
                <w:lang w:bidi="ar"/>
              </w:rPr>
              <w:br w:type="textWrapping"/>
            </w:r>
            <w:r>
              <w:rPr>
                <w:color w:val="auto"/>
                <w:kern w:val="0"/>
                <w:sz w:val="18"/>
                <w:szCs w:val="18"/>
                <w:highlight w:val="none"/>
                <w:lang w:bidi="ar"/>
              </w:rPr>
              <w:t xml:space="preserve">  13.3.团体操作：团体操作包含功能与散客操作类似：团体预定、取消预定、团体入住、团体退房。</w:t>
            </w:r>
            <w:r>
              <w:rPr>
                <w:color w:val="auto"/>
                <w:kern w:val="0"/>
                <w:sz w:val="18"/>
                <w:szCs w:val="18"/>
                <w:highlight w:val="none"/>
                <w:lang w:bidi="ar"/>
              </w:rPr>
              <w:br w:type="textWrapping"/>
            </w:r>
            <w:r>
              <w:rPr>
                <w:color w:val="auto"/>
                <w:kern w:val="0"/>
                <w:sz w:val="18"/>
                <w:szCs w:val="18"/>
                <w:highlight w:val="none"/>
                <w:lang w:bidi="ar"/>
              </w:rPr>
              <w:t xml:space="preserve">    13.3.1团队预定</w:t>
            </w:r>
            <w:r>
              <w:rPr>
                <w:rFonts w:hint="eastAsia"/>
                <w:color w:val="auto"/>
                <w:kern w:val="0"/>
                <w:sz w:val="18"/>
                <w:szCs w:val="18"/>
                <w:highlight w:val="none"/>
                <w:lang w:bidi="ar"/>
              </w:rPr>
              <w:t>：</w:t>
            </w:r>
            <w:r>
              <w:rPr>
                <w:color w:val="auto"/>
                <w:kern w:val="0"/>
                <w:sz w:val="18"/>
                <w:szCs w:val="18"/>
                <w:highlight w:val="none"/>
                <w:lang w:bidi="ar"/>
              </w:rPr>
              <w:t>团体预定管理页面显示该客户在该酒店提交过待审核的团体预定列表（团队号、团队名称、团队类型、合同单位、预定时间、状态及操作），对酒店还未审核确认的预定，可进行修改。</w:t>
            </w:r>
            <w:r>
              <w:rPr>
                <w:color w:val="auto"/>
                <w:kern w:val="0"/>
                <w:sz w:val="18"/>
                <w:szCs w:val="18"/>
                <w:highlight w:val="none"/>
                <w:lang w:bidi="ar"/>
              </w:rPr>
              <w:br w:type="textWrapping"/>
            </w:r>
            <w:r>
              <w:rPr>
                <w:color w:val="auto"/>
                <w:kern w:val="0"/>
                <w:sz w:val="18"/>
                <w:szCs w:val="18"/>
                <w:highlight w:val="none"/>
                <w:lang w:bidi="ar"/>
              </w:rPr>
              <w:t xml:space="preserve">    13.3.2取消预定：取消团队预定，即提交的团队预定在入住操作完成前，都可进行取消预定。</w:t>
            </w:r>
            <w:r>
              <w:rPr>
                <w:color w:val="auto"/>
                <w:kern w:val="0"/>
                <w:sz w:val="18"/>
                <w:szCs w:val="18"/>
                <w:highlight w:val="none"/>
                <w:lang w:bidi="ar"/>
              </w:rPr>
              <w:br w:type="textWrapping"/>
            </w:r>
            <w:r>
              <w:rPr>
                <w:color w:val="auto"/>
                <w:kern w:val="0"/>
                <w:sz w:val="18"/>
                <w:szCs w:val="18"/>
                <w:highlight w:val="none"/>
                <w:lang w:bidi="ar"/>
              </w:rPr>
              <w:t xml:space="preserve">    13.3.3团体入住：客户在大厅内选择“团体操作”下的“团体入住”，打开该客户在这个酒店中已经完成预定处理（酒店前厅处理）的团体预订列表。</w:t>
            </w:r>
            <w:r>
              <w:rPr>
                <w:color w:val="auto"/>
                <w:kern w:val="0"/>
                <w:sz w:val="18"/>
                <w:szCs w:val="18"/>
                <w:highlight w:val="none"/>
                <w:lang w:bidi="ar"/>
              </w:rPr>
              <w:br w:type="textWrapping"/>
            </w:r>
            <w:r>
              <w:rPr>
                <w:color w:val="auto"/>
                <w:kern w:val="0"/>
                <w:sz w:val="18"/>
                <w:szCs w:val="18"/>
                <w:highlight w:val="none"/>
                <w:lang w:bidi="ar"/>
              </w:rPr>
              <w:t xml:space="preserve">    13.3.4团体退房：已入住团体房间办理退房手续。（办理入住手续并通过酒店入住审核的团体，为已入住团体）</w:t>
            </w:r>
            <w:r>
              <w:rPr>
                <w:color w:val="auto"/>
                <w:kern w:val="0"/>
                <w:sz w:val="18"/>
                <w:szCs w:val="18"/>
                <w:highlight w:val="none"/>
                <w:lang w:bidi="ar"/>
              </w:rPr>
              <w:br w:type="textWrapping"/>
            </w:r>
            <w:r>
              <w:rPr>
                <w:color w:val="auto"/>
                <w:kern w:val="0"/>
                <w:sz w:val="18"/>
                <w:szCs w:val="18"/>
                <w:highlight w:val="none"/>
                <w:lang w:bidi="ar"/>
              </w:rPr>
              <w:t xml:space="preserve">    13.3.4厅房预定</w:t>
            </w:r>
            <w:r>
              <w:rPr>
                <w:rFonts w:hint="eastAsia"/>
                <w:color w:val="auto"/>
                <w:kern w:val="0"/>
                <w:sz w:val="18"/>
                <w:szCs w:val="18"/>
                <w:highlight w:val="none"/>
                <w:lang w:bidi="ar"/>
              </w:rPr>
              <w:t>：</w:t>
            </w:r>
            <w:r>
              <w:rPr>
                <w:color w:val="auto"/>
                <w:kern w:val="0"/>
                <w:sz w:val="18"/>
                <w:szCs w:val="18"/>
                <w:highlight w:val="none"/>
                <w:lang w:bidi="ar"/>
              </w:rPr>
              <w:t>预订单填写完毕后，提交给酒店审核.</w:t>
            </w:r>
            <w:r>
              <w:rPr>
                <w:color w:val="auto"/>
                <w:kern w:val="0"/>
                <w:sz w:val="18"/>
                <w:szCs w:val="18"/>
                <w:highlight w:val="none"/>
                <w:lang w:bidi="ar"/>
              </w:rPr>
              <w:br w:type="textWrapping"/>
            </w:r>
            <w:r>
              <w:rPr>
                <w:color w:val="auto"/>
                <w:kern w:val="0"/>
                <w:sz w:val="18"/>
                <w:szCs w:val="18"/>
                <w:highlight w:val="none"/>
                <w:lang w:bidi="ar"/>
              </w:rPr>
              <w:t xml:space="preserve">  13.4.厅房操作：客户要先进行厅房预定后，才能进行厅房操作。包括：厅房预定、取消预定、厅房使用。</w:t>
            </w:r>
            <w:r>
              <w:rPr>
                <w:color w:val="auto"/>
                <w:kern w:val="0"/>
                <w:sz w:val="18"/>
                <w:szCs w:val="18"/>
                <w:highlight w:val="none"/>
                <w:lang w:bidi="ar"/>
              </w:rPr>
              <w:br w:type="textWrapping"/>
            </w:r>
            <w:r>
              <w:rPr>
                <w:color w:val="auto"/>
                <w:kern w:val="0"/>
                <w:sz w:val="18"/>
                <w:szCs w:val="18"/>
                <w:highlight w:val="none"/>
                <w:lang w:bidi="ar"/>
              </w:rPr>
              <w:t xml:space="preserve">  13.5.投诉处理：客户端的投诉处理是添加对各部门的投诉，提交到相应部门进行处理，并查看处理结果。</w:t>
            </w:r>
            <w:r>
              <w:rPr>
                <w:color w:val="auto"/>
                <w:kern w:val="0"/>
                <w:sz w:val="18"/>
                <w:szCs w:val="18"/>
                <w:highlight w:val="none"/>
                <w:lang w:bidi="ar"/>
              </w:rPr>
              <w:br w:type="textWrapping"/>
            </w:r>
            <w:r>
              <w:rPr>
                <w:color w:val="auto"/>
                <w:kern w:val="0"/>
                <w:sz w:val="18"/>
                <w:szCs w:val="18"/>
                <w:highlight w:val="none"/>
                <w:lang w:bidi="ar"/>
              </w:rPr>
              <w:t xml:space="preserve">  13.6.餐厅消费：进入该餐饮服务消费页面。点菜、就餐场所、饭桌号、结帐类型。结账分为两种：客房签单、现金结账。</w:t>
            </w:r>
            <w:r>
              <w:rPr>
                <w:color w:val="auto"/>
                <w:kern w:val="0"/>
                <w:sz w:val="18"/>
                <w:szCs w:val="18"/>
                <w:highlight w:val="none"/>
                <w:lang w:bidi="ar"/>
              </w:rPr>
              <w:br w:type="textWrapping"/>
            </w:r>
            <w:r>
              <w:rPr>
                <w:color w:val="auto"/>
                <w:kern w:val="0"/>
                <w:sz w:val="18"/>
                <w:szCs w:val="18"/>
                <w:highlight w:val="none"/>
                <w:lang w:bidi="ar"/>
              </w:rPr>
              <w:t xml:space="preserve">  13.7.康乐消费：查看娱乐项目、结算方式、计费方式等进行消费，结账分为两种：客房签单、现金结账。</w:t>
            </w:r>
            <w:r>
              <w:rPr>
                <w:color w:val="auto"/>
                <w:kern w:val="0"/>
                <w:sz w:val="18"/>
                <w:szCs w:val="18"/>
                <w:highlight w:val="none"/>
                <w:lang w:bidi="ar"/>
              </w:rPr>
              <w:br w:type="textWrapping"/>
            </w:r>
            <w:r>
              <w:rPr>
                <w:color w:val="auto"/>
                <w:kern w:val="0"/>
                <w:sz w:val="18"/>
                <w:szCs w:val="18"/>
                <w:highlight w:val="none"/>
                <w:lang w:bidi="ar"/>
              </w:rPr>
              <w:t xml:space="preserve">  13.8.商务中心：商务中心为客户提供打印、复印、传真服务.</w:t>
            </w:r>
            <w:r>
              <w:rPr>
                <w:color w:val="auto"/>
                <w:kern w:val="0"/>
                <w:sz w:val="18"/>
                <w:szCs w:val="18"/>
                <w:highlight w:val="none"/>
                <w:lang w:bidi="ar"/>
              </w:rPr>
              <w:br w:type="textWrapping"/>
            </w:r>
            <w:r>
              <w:rPr>
                <w:color w:val="auto"/>
                <w:kern w:val="0"/>
                <w:sz w:val="18"/>
                <w:szCs w:val="18"/>
                <w:highlight w:val="none"/>
                <w:lang w:bidi="ar"/>
              </w:rPr>
              <w:t xml:space="preserve">  13.9.我的房间：酒店前厅通过入住审核后，客户便可以相关操作（该客户可以各种身份进行多个酒店预订，若都通过入住审核，则有多个房间供选择。各房间的操作相对独立）。设施损坏（一个房间只存在一份的维修记录。客户和酒店客房部都可编辑客房的维修记录）。遗失物品（房号默认为现进入的房间号。输入姓名、遗失物品；输入物品描述）；洗衣操作（添加洗衣请求、修改洗衣信息、查看完成情况）。</w:t>
            </w:r>
            <w:r>
              <w:rPr>
                <w:color w:val="auto"/>
                <w:kern w:val="0"/>
                <w:sz w:val="18"/>
                <w:szCs w:val="18"/>
                <w:highlight w:val="none"/>
                <w:lang w:bidi="ar"/>
              </w:rPr>
              <w:br w:type="textWrapping"/>
            </w:r>
            <w:r>
              <w:rPr>
                <w:color w:val="auto"/>
                <w:kern w:val="0"/>
                <w:sz w:val="18"/>
                <w:szCs w:val="18"/>
                <w:highlight w:val="none"/>
                <w:lang w:bidi="ar"/>
              </w:rPr>
              <w:t>14.酒店行业网：酒店之间的商业竞争也给酒店经营者带来巨大的挑战，如何通过网络来实现经营赢利增长，给酒店管理者带来了难题。同时也带来了更多的商业机会。酒店行业网站作为系统内所有酒店的集合点，为客户提供酒店比较、查询和网上预订的功能。酒店操作：发布信息（在最新信息栏目：显示各酒店发布的最新信息）；最新加盟酒店（注册成功后，即成为最新加盟。通过加盟酒店，客户可方便的查询到酒店的信息）；酒店查询（不同的是酒店用户查询后，进入所查询酒店，只能浏览酒店信息和房价信息）；客户操作：酒店查询（在酒店行业网站首页——快速查询区内，选择要查询的酒店地区，选择城市后，点击进入该城市存在的酒店列表）；加盟酒店（客户在该页面内可预订该酒店客房或发表评论）；酒店资讯查看（进入资讯列表，查看更多资讯）；网上预订（酒店确认并安排房间后，客户前往该酒店进行入住或预订取消）。</w:t>
            </w:r>
            <w:r>
              <w:rPr>
                <w:color w:val="auto"/>
                <w:kern w:val="0"/>
                <w:sz w:val="18"/>
                <w:szCs w:val="18"/>
                <w:highlight w:val="none"/>
                <w:lang w:bidi="ar"/>
              </w:rPr>
              <w:br w:type="textWrapping"/>
            </w:r>
            <w:r>
              <w:rPr>
                <w:color w:val="auto"/>
                <w:kern w:val="0"/>
                <w:sz w:val="18"/>
                <w:szCs w:val="18"/>
                <w:highlight w:val="none"/>
                <w:lang w:bidi="ar"/>
              </w:rPr>
              <w:t>15.酒店企业网：酒店行业网是面向系统的所有酒店，而企业网站是独立的一个酒店网站。用于本酒店的介绍及宣传。主要模块：公司介绍、最新动态、客房一览、餐馆服务、康乐设置、会议设施、联系方式。</w:t>
            </w:r>
            <w:r>
              <w:rPr>
                <w:color w:val="auto"/>
                <w:kern w:val="0"/>
                <w:sz w:val="18"/>
                <w:szCs w:val="18"/>
                <w:highlight w:val="none"/>
                <w:lang w:bidi="ar"/>
              </w:rPr>
              <w:br w:type="textWrapping"/>
            </w:r>
            <w:r>
              <w:rPr>
                <w:color w:val="auto"/>
                <w:kern w:val="0"/>
                <w:sz w:val="18"/>
                <w:szCs w:val="18"/>
                <w:highlight w:val="none"/>
                <w:lang w:bidi="ar"/>
              </w:rPr>
              <w:t>16.系统需提供酒店企业融资场景模拟仿真，包括企业办公中心办公场景仿真，结合中小企业融资案例企业自身的融资财务可行性分析、融资市场可行性分析、融资法律可行性分析、融资额度计算、制定融资方案，到融资模式设计与相关资本市场对接的全过程仿真模拟。</w:t>
            </w:r>
            <w:r>
              <w:rPr>
                <w:color w:val="auto"/>
                <w:kern w:val="0"/>
                <w:sz w:val="18"/>
                <w:szCs w:val="18"/>
                <w:highlight w:val="none"/>
                <w:lang w:bidi="ar"/>
              </w:rPr>
              <w:br w:type="textWrapping"/>
            </w:r>
            <w:r>
              <w:rPr>
                <w:color w:val="auto"/>
                <w:kern w:val="0"/>
                <w:sz w:val="18"/>
                <w:szCs w:val="18"/>
                <w:highlight w:val="none"/>
                <w:lang w:bidi="ar"/>
              </w:rPr>
              <w:t>17.系统需提供酒店企业融资金融市场仿真，包含银行信贷中心场景仿真、股权交易所场景仿真、风投机构场景仿真、企业融资洽谈中心场景仿真、民间金融市场场景仿真，根据选择不同的融资方式，在仿真金融市场中找到对应的部门进行银行信用贷款、银行抵押贷款、民间借贷、私募股权、企业间借贷、股权抵押、风投、企业上市等多种融资方式的仿真模拟。</w:t>
            </w:r>
            <w:r>
              <w:rPr>
                <w:color w:val="auto"/>
                <w:kern w:val="0"/>
                <w:sz w:val="18"/>
                <w:szCs w:val="18"/>
                <w:highlight w:val="none"/>
                <w:lang w:bidi="ar"/>
              </w:rPr>
              <w:br w:type="textWrapping"/>
            </w:r>
            <w:r>
              <w:rPr>
                <w:color w:val="auto"/>
                <w:kern w:val="0"/>
                <w:sz w:val="18"/>
                <w:szCs w:val="18"/>
                <w:highlight w:val="none"/>
                <w:lang w:bidi="ar"/>
              </w:rPr>
              <w:t>18.系统需提供动画场景模拟酒店企业内部事务处理流程，包含企业内营销部的相关招投标提案流程、起草并填写提案报告；集中会议讨论流程、以模拟会议室为场景进行集中讨论相关提案；提案领导审批流程、总经理对已确定提案进行审批操作；营销部执行相关事务流程等演示。</w:t>
            </w:r>
          </w:p>
        </w:tc>
        <w:tc>
          <w:tcPr>
            <w:tcW w:w="863" w:type="dxa"/>
            <w:tcBorders>
              <w:top w:val="single" w:color="000000" w:sz="4" w:space="0"/>
              <w:left w:val="single" w:color="000000" w:sz="4" w:space="0"/>
              <w:bottom w:val="single" w:color="000000" w:sz="4" w:space="0"/>
              <w:right w:val="single" w:color="000000" w:sz="4" w:space="0"/>
            </w:tcBorders>
            <w:vAlign w:val="center"/>
          </w:tcPr>
          <w:p w14:paraId="63310BED">
            <w:pPr>
              <w:widowControl/>
              <w:jc w:val="left"/>
              <w:textAlignment w:val="center"/>
              <w:rPr>
                <w:color w:val="auto"/>
                <w:kern w:val="0"/>
                <w:sz w:val="18"/>
                <w:szCs w:val="18"/>
                <w:highlight w:val="none"/>
                <w:lang w:bidi="ar"/>
              </w:rPr>
            </w:pPr>
          </w:p>
        </w:tc>
      </w:tr>
      <w:tr w14:paraId="68FE5B87">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72CDA684">
            <w:pPr>
              <w:widowControl/>
              <w:jc w:val="center"/>
              <w:textAlignment w:val="center"/>
              <w:rPr>
                <w:color w:val="auto"/>
                <w:kern w:val="0"/>
                <w:sz w:val="18"/>
                <w:szCs w:val="18"/>
                <w:highlight w:val="none"/>
                <w:lang w:bidi="ar"/>
              </w:rPr>
            </w:pPr>
            <w:r>
              <w:rPr>
                <w:b/>
                <w:bCs/>
                <w:color w:val="auto"/>
                <w:kern w:val="0"/>
                <w:sz w:val="20"/>
                <w:szCs w:val="20"/>
                <w:highlight w:val="none"/>
                <w:lang w:bidi="ar"/>
              </w:rPr>
              <w:t>党建宣传展示系统</w:t>
            </w:r>
          </w:p>
        </w:tc>
        <w:tc>
          <w:tcPr>
            <w:tcW w:w="863" w:type="dxa"/>
            <w:tcBorders>
              <w:top w:val="single" w:color="000000" w:sz="4" w:space="0"/>
              <w:left w:val="single" w:color="000000" w:sz="4" w:space="0"/>
              <w:bottom w:val="single" w:color="000000" w:sz="4" w:space="0"/>
              <w:right w:val="single" w:color="000000" w:sz="4" w:space="0"/>
            </w:tcBorders>
            <w:vAlign w:val="center"/>
          </w:tcPr>
          <w:p w14:paraId="14E651FF">
            <w:pPr>
              <w:widowControl/>
              <w:jc w:val="left"/>
              <w:textAlignment w:val="center"/>
              <w:rPr>
                <w:color w:val="auto"/>
                <w:kern w:val="0"/>
                <w:sz w:val="18"/>
                <w:szCs w:val="18"/>
                <w:highlight w:val="none"/>
                <w:lang w:bidi="ar"/>
              </w:rPr>
            </w:pPr>
          </w:p>
        </w:tc>
      </w:tr>
      <w:tr w14:paraId="7CA8CED0">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72954B20">
            <w:pPr>
              <w:widowControl/>
              <w:jc w:val="left"/>
              <w:textAlignment w:val="center"/>
              <w:rPr>
                <w:color w:val="auto"/>
                <w:sz w:val="18"/>
                <w:szCs w:val="18"/>
                <w:highlight w:val="none"/>
              </w:rPr>
            </w:pPr>
            <w:r>
              <w:rPr>
                <w:color w:val="auto"/>
                <w:kern w:val="0"/>
                <w:sz w:val="18"/>
                <w:szCs w:val="18"/>
                <w:highlight w:val="none"/>
                <w:lang w:bidi="ar"/>
              </w:rPr>
              <w:t xml:space="preserve">屏幕具有低蓝光、无频闪、防眩光、智能感光调节等类纸护眼技术，与云端集中控制系统有机结合。内容云端控制更新：保障基层党建内容时效性，降低更新成本；多种场景匹配：根据不同场景控制对应的显示内容；支持多屏搭配模式：每块屏幕可显示相同或不同的系列内容，随意组合。 云端后台集中管理；影、音、图、文多种展现形式。                                                                                                                                                                                   </w:t>
            </w:r>
            <w:r>
              <w:rPr>
                <w:color w:val="auto"/>
                <w:kern w:val="0"/>
                <w:sz w:val="18"/>
                <w:szCs w:val="18"/>
                <w:highlight w:val="none"/>
                <w:lang w:bidi="ar"/>
              </w:rPr>
              <w:br w:type="textWrapping"/>
            </w:r>
            <w:r>
              <w:rPr>
                <w:color w:val="auto"/>
                <w:kern w:val="0"/>
                <w:sz w:val="18"/>
                <w:szCs w:val="18"/>
                <w:highlight w:val="none"/>
                <w:lang w:bidi="ar"/>
              </w:rPr>
              <w:t>1.数量：5个</w:t>
            </w:r>
            <w:r>
              <w:rPr>
                <w:color w:val="auto"/>
                <w:kern w:val="0"/>
                <w:sz w:val="18"/>
                <w:szCs w:val="18"/>
                <w:highlight w:val="none"/>
                <w:lang w:bidi="ar"/>
              </w:rPr>
              <w:br w:type="textWrapping"/>
            </w:r>
            <w:r>
              <w:rPr>
                <w:color w:val="auto"/>
                <w:kern w:val="0"/>
                <w:sz w:val="18"/>
                <w:szCs w:val="18"/>
                <w:highlight w:val="none"/>
                <w:lang w:bidi="ar"/>
              </w:rPr>
              <w:t>2.屏幕尺寸</w:t>
            </w:r>
            <w:r>
              <w:rPr>
                <w:rFonts w:hint="eastAsia" w:ascii="宋体" w:hAnsi="宋体" w:cs="宋体"/>
                <w:color w:val="auto"/>
                <w:kern w:val="0"/>
                <w:sz w:val="18"/>
                <w:szCs w:val="18"/>
                <w:highlight w:val="none"/>
                <w:lang w:bidi="ar"/>
              </w:rPr>
              <w:t>≥</w:t>
            </w:r>
            <w:r>
              <w:rPr>
                <w:color w:val="auto"/>
                <w:kern w:val="0"/>
                <w:sz w:val="18"/>
                <w:szCs w:val="18"/>
                <w:highlight w:val="none"/>
                <w:lang w:bidi="ar"/>
              </w:rPr>
              <w:t>32寸</w:t>
            </w:r>
            <w:r>
              <w:rPr>
                <w:color w:val="auto"/>
                <w:kern w:val="0"/>
                <w:sz w:val="18"/>
                <w:szCs w:val="18"/>
                <w:highlight w:val="none"/>
                <w:lang w:bidi="ar"/>
              </w:rPr>
              <w:br w:type="textWrapping"/>
            </w:r>
            <w:r>
              <w:rPr>
                <w:color w:val="auto"/>
                <w:kern w:val="0"/>
                <w:sz w:val="18"/>
                <w:szCs w:val="18"/>
                <w:highlight w:val="none"/>
                <w:lang w:bidi="ar"/>
              </w:rPr>
              <w:t>3.液晶屏采用全高清显示屏，物理分辨率</w:t>
            </w:r>
            <w:r>
              <w:rPr>
                <w:rFonts w:hint="eastAsia" w:ascii="宋体" w:hAnsi="宋体" w:cs="宋体"/>
                <w:color w:val="auto"/>
                <w:kern w:val="0"/>
                <w:sz w:val="18"/>
                <w:szCs w:val="18"/>
                <w:highlight w:val="none"/>
                <w:lang w:bidi="ar"/>
              </w:rPr>
              <w:t>≥</w:t>
            </w:r>
            <w:r>
              <w:rPr>
                <w:color w:val="auto"/>
                <w:kern w:val="0"/>
                <w:sz w:val="18"/>
                <w:szCs w:val="18"/>
                <w:highlight w:val="none"/>
                <w:lang w:bidi="ar"/>
              </w:rPr>
              <w:t>1920*1080，高宽比16:9，响应速度快，色彩还原度高。</w:t>
            </w:r>
            <w:r>
              <w:rPr>
                <w:color w:val="auto"/>
                <w:kern w:val="0"/>
                <w:sz w:val="18"/>
                <w:szCs w:val="18"/>
                <w:highlight w:val="none"/>
                <w:lang w:bidi="ar"/>
              </w:rPr>
              <w:br w:type="textWrapping"/>
            </w:r>
            <w:r>
              <w:rPr>
                <w:color w:val="auto"/>
                <w:kern w:val="0"/>
                <w:sz w:val="18"/>
                <w:szCs w:val="18"/>
                <w:highlight w:val="none"/>
                <w:lang w:bidi="ar"/>
              </w:rPr>
              <w:t>4.液晶屏亮度</w:t>
            </w:r>
            <w:r>
              <w:rPr>
                <w:rFonts w:hint="eastAsia"/>
                <w:color w:val="auto"/>
                <w:kern w:val="0"/>
                <w:sz w:val="18"/>
                <w:szCs w:val="18"/>
                <w:highlight w:val="none"/>
                <w:lang w:bidi="ar"/>
              </w:rPr>
              <w:t>≥</w:t>
            </w:r>
            <w:r>
              <w:rPr>
                <w:color w:val="auto"/>
                <w:kern w:val="0"/>
                <w:sz w:val="18"/>
                <w:szCs w:val="18"/>
                <w:highlight w:val="none"/>
                <w:lang w:bidi="ar"/>
              </w:rPr>
              <w:t>180cd/㎡，可视角度178°，对比度700:1，色域72%（NTSC标准）。</w:t>
            </w:r>
            <w:r>
              <w:rPr>
                <w:color w:val="auto"/>
                <w:kern w:val="0"/>
                <w:sz w:val="18"/>
                <w:szCs w:val="18"/>
                <w:highlight w:val="none"/>
                <w:lang w:bidi="ar"/>
              </w:rPr>
              <w:br w:type="textWrapping"/>
            </w:r>
            <w:r>
              <w:rPr>
                <w:color w:val="auto"/>
                <w:kern w:val="0"/>
                <w:sz w:val="18"/>
                <w:szCs w:val="18"/>
                <w:highlight w:val="none"/>
                <w:lang w:bidi="ar"/>
              </w:rPr>
              <w:t>5.刷新率</w:t>
            </w:r>
            <w:r>
              <w:rPr>
                <w:rFonts w:hint="eastAsia" w:ascii="宋体" w:hAnsi="宋体" w:cs="宋体"/>
                <w:color w:val="auto"/>
                <w:kern w:val="0"/>
                <w:sz w:val="18"/>
                <w:szCs w:val="18"/>
                <w:highlight w:val="none"/>
                <w:lang w:bidi="ar"/>
              </w:rPr>
              <w:t>≥</w:t>
            </w:r>
            <w:r>
              <w:rPr>
                <w:color w:val="auto"/>
                <w:kern w:val="0"/>
                <w:sz w:val="18"/>
                <w:szCs w:val="18"/>
                <w:highlight w:val="none"/>
                <w:lang w:bidi="ar"/>
              </w:rPr>
              <w:t>60Hz，采用侧入式背光源。</w:t>
            </w:r>
            <w:r>
              <w:rPr>
                <w:color w:val="auto"/>
                <w:kern w:val="0"/>
                <w:sz w:val="18"/>
                <w:szCs w:val="18"/>
                <w:highlight w:val="none"/>
                <w:lang w:bidi="ar"/>
              </w:rPr>
              <w:br w:type="textWrapping"/>
            </w:r>
            <w:r>
              <w:rPr>
                <w:color w:val="auto"/>
                <w:kern w:val="0"/>
                <w:sz w:val="18"/>
                <w:szCs w:val="18"/>
                <w:highlight w:val="none"/>
                <w:lang w:bidi="ar"/>
              </w:rPr>
              <w:t>6.整机采用不低于安卓系统7.0，搭配不低于T960中央处理器，CPU架构2*Cortex A73，运行内存</w:t>
            </w:r>
            <w:r>
              <w:rPr>
                <w:rFonts w:hint="eastAsia" w:ascii="宋体" w:hAnsi="宋体" w:cs="宋体"/>
                <w:color w:val="auto"/>
                <w:kern w:val="0"/>
                <w:sz w:val="18"/>
                <w:szCs w:val="18"/>
                <w:highlight w:val="none"/>
                <w:lang w:bidi="ar"/>
              </w:rPr>
              <w:t>≥</w:t>
            </w:r>
            <w:r>
              <w:rPr>
                <w:color w:val="auto"/>
                <w:kern w:val="0"/>
                <w:sz w:val="18"/>
                <w:szCs w:val="18"/>
                <w:highlight w:val="none"/>
                <w:lang w:bidi="ar"/>
              </w:rPr>
              <w:t>1G，存储内存</w:t>
            </w:r>
            <w:r>
              <w:rPr>
                <w:rFonts w:hint="eastAsia" w:ascii="宋体" w:hAnsi="宋体" w:cs="宋体"/>
                <w:color w:val="auto"/>
                <w:kern w:val="0"/>
                <w:sz w:val="18"/>
                <w:szCs w:val="18"/>
                <w:highlight w:val="none"/>
                <w:lang w:bidi="ar"/>
              </w:rPr>
              <w:t>≥</w:t>
            </w:r>
            <w:r>
              <w:rPr>
                <w:color w:val="auto"/>
                <w:kern w:val="0"/>
                <w:sz w:val="18"/>
                <w:szCs w:val="18"/>
                <w:highlight w:val="none"/>
                <w:lang w:bidi="ar"/>
              </w:rPr>
              <w:t>8G，系统运行流畅，搭载Mali-450 GPU改善图像细节，支持双wifi频段2.4GHz，内置2*5W音箱。</w:t>
            </w:r>
            <w:r>
              <w:rPr>
                <w:color w:val="auto"/>
                <w:kern w:val="0"/>
                <w:sz w:val="18"/>
                <w:szCs w:val="18"/>
                <w:highlight w:val="none"/>
                <w:lang w:bidi="ar"/>
              </w:rPr>
              <w:br w:type="textWrapping"/>
            </w:r>
            <w:r>
              <w:rPr>
                <w:color w:val="auto"/>
                <w:kern w:val="0"/>
                <w:sz w:val="18"/>
                <w:szCs w:val="18"/>
                <w:highlight w:val="none"/>
                <w:lang w:bidi="ar"/>
              </w:rPr>
              <w:t>7.整机接口：USB 3.0*1，HDMI2.0*1，microUSB接口（调试升级）*1，RJ45以太网接口,*1，3.5mm耳机插孔*1。</w:t>
            </w:r>
            <w:r>
              <w:rPr>
                <w:color w:val="auto"/>
                <w:kern w:val="0"/>
                <w:sz w:val="18"/>
                <w:szCs w:val="18"/>
                <w:highlight w:val="none"/>
                <w:lang w:bidi="ar"/>
              </w:rPr>
              <w:br w:type="textWrapping"/>
            </w:r>
            <w:r>
              <w:rPr>
                <w:rFonts w:hint="eastAsia"/>
                <w:color w:val="auto"/>
                <w:kern w:val="0"/>
                <w:sz w:val="18"/>
                <w:szCs w:val="18"/>
                <w:highlight w:val="none"/>
                <w:lang w:bidi="ar"/>
              </w:rPr>
              <w:t>8</w:t>
            </w:r>
            <w:r>
              <w:rPr>
                <w:color w:val="auto"/>
                <w:kern w:val="0"/>
                <w:sz w:val="18"/>
                <w:szCs w:val="18"/>
                <w:highlight w:val="none"/>
                <w:lang w:bidi="ar"/>
              </w:rPr>
              <w:t>.工作电源AC100V～240V，50/60HZ，最大功耗≤65W，待机功耗≤0.5W。</w:t>
            </w:r>
            <w:r>
              <w:rPr>
                <w:color w:val="auto"/>
                <w:kern w:val="0"/>
                <w:sz w:val="18"/>
                <w:szCs w:val="18"/>
                <w:highlight w:val="none"/>
                <w:lang w:bidi="ar"/>
              </w:rPr>
              <w:br w:type="textWrapping"/>
            </w:r>
            <w:r>
              <w:rPr>
                <w:rFonts w:hint="eastAsia"/>
                <w:color w:val="auto"/>
                <w:kern w:val="0"/>
                <w:sz w:val="18"/>
                <w:szCs w:val="18"/>
                <w:highlight w:val="none"/>
                <w:lang w:bidi="ar"/>
              </w:rPr>
              <w:t>9</w:t>
            </w:r>
            <w:r>
              <w:rPr>
                <w:color w:val="auto"/>
                <w:kern w:val="0"/>
                <w:sz w:val="18"/>
                <w:szCs w:val="18"/>
                <w:highlight w:val="none"/>
                <w:lang w:bidi="ar"/>
              </w:rPr>
              <w:t>.商用信发系统：支持多台设备分组管理，远程控制，在线编辑，实时监控，定时开关机，调节亮度和音量，分时段播放。丰富的播放形式，支持公有云，私有云，局域网发布和管理的同时，支持USB离线节目，即插即播，省时省力。</w:t>
            </w:r>
            <w:r>
              <w:rPr>
                <w:color w:val="auto"/>
                <w:kern w:val="0"/>
                <w:sz w:val="18"/>
                <w:szCs w:val="18"/>
                <w:highlight w:val="none"/>
                <w:lang w:bidi="ar"/>
              </w:rPr>
              <w:br w:type="textWrapping"/>
            </w:r>
            <w:r>
              <w:rPr>
                <w:color w:val="auto"/>
                <w:kern w:val="0"/>
                <w:sz w:val="18"/>
                <w:szCs w:val="18"/>
                <w:highlight w:val="none"/>
                <w:lang w:bidi="ar"/>
              </w:rPr>
              <w:t>1</w:t>
            </w:r>
            <w:r>
              <w:rPr>
                <w:rFonts w:hint="eastAsia"/>
                <w:color w:val="auto"/>
                <w:kern w:val="0"/>
                <w:sz w:val="18"/>
                <w:szCs w:val="18"/>
                <w:highlight w:val="none"/>
                <w:lang w:bidi="ar"/>
              </w:rPr>
              <w:t>0</w:t>
            </w:r>
            <w:r>
              <w:rPr>
                <w:color w:val="auto"/>
                <w:kern w:val="0"/>
                <w:sz w:val="18"/>
                <w:szCs w:val="18"/>
                <w:highlight w:val="none"/>
                <w:lang w:bidi="ar"/>
              </w:rPr>
              <w:t>.DIY系统：用户可用U盘或浏览器下载应用自行安装</w:t>
            </w:r>
            <w:r>
              <w:rPr>
                <w:color w:val="auto"/>
                <w:kern w:val="0"/>
                <w:sz w:val="18"/>
                <w:szCs w:val="18"/>
                <w:highlight w:val="none"/>
                <w:lang w:bidi="ar"/>
              </w:rPr>
              <w:br w:type="textWrapping"/>
            </w:r>
            <w:r>
              <w:rPr>
                <w:color w:val="auto"/>
                <w:kern w:val="0"/>
                <w:sz w:val="18"/>
                <w:szCs w:val="18"/>
                <w:highlight w:val="none"/>
                <w:lang w:bidi="ar"/>
              </w:rPr>
              <w:t>1</w:t>
            </w:r>
            <w:r>
              <w:rPr>
                <w:rFonts w:hint="eastAsia"/>
                <w:color w:val="auto"/>
                <w:kern w:val="0"/>
                <w:sz w:val="18"/>
                <w:szCs w:val="18"/>
                <w:highlight w:val="none"/>
                <w:lang w:bidi="ar"/>
              </w:rPr>
              <w:t>1</w:t>
            </w:r>
            <w:r>
              <w:rPr>
                <w:color w:val="auto"/>
                <w:kern w:val="0"/>
                <w:sz w:val="18"/>
                <w:szCs w:val="18"/>
                <w:highlight w:val="none"/>
                <w:lang w:bidi="ar"/>
              </w:rPr>
              <w:t>.系统具有记忆功能，选定系统后，系统关机重启后还是选定的系统，系统之间可以自由切换。</w:t>
            </w:r>
            <w:r>
              <w:rPr>
                <w:color w:val="auto"/>
                <w:kern w:val="0"/>
                <w:sz w:val="18"/>
                <w:szCs w:val="18"/>
                <w:highlight w:val="none"/>
                <w:lang w:bidi="ar"/>
              </w:rPr>
              <w:br w:type="textWrapping"/>
            </w:r>
            <w:r>
              <w:rPr>
                <w:color w:val="auto"/>
                <w:kern w:val="0"/>
                <w:sz w:val="18"/>
                <w:szCs w:val="18"/>
                <w:highlight w:val="none"/>
                <w:lang w:bidi="ar"/>
              </w:rPr>
              <w:t>1</w:t>
            </w:r>
            <w:r>
              <w:rPr>
                <w:rFonts w:hint="eastAsia"/>
                <w:color w:val="auto"/>
                <w:kern w:val="0"/>
                <w:sz w:val="18"/>
                <w:szCs w:val="18"/>
                <w:highlight w:val="none"/>
                <w:lang w:bidi="ar"/>
              </w:rPr>
              <w:t>2</w:t>
            </w:r>
            <w:r>
              <w:rPr>
                <w:color w:val="auto"/>
                <w:kern w:val="0"/>
                <w:sz w:val="18"/>
                <w:szCs w:val="18"/>
                <w:highlight w:val="none"/>
                <w:lang w:bidi="ar"/>
              </w:rPr>
              <w:t>.无损灰阶技术：画面对比度和色彩还原更真实，高度还原艺术作品图像，不丢失画面笔墨质感，画作真迹般呈现。</w:t>
            </w:r>
            <w:r>
              <w:rPr>
                <w:color w:val="auto"/>
                <w:kern w:val="0"/>
                <w:sz w:val="18"/>
                <w:szCs w:val="18"/>
                <w:highlight w:val="none"/>
                <w:lang w:bidi="ar"/>
              </w:rPr>
              <w:br w:type="textWrapping"/>
            </w:r>
            <w:r>
              <w:rPr>
                <w:color w:val="auto"/>
                <w:kern w:val="0"/>
                <w:sz w:val="18"/>
                <w:szCs w:val="18"/>
                <w:highlight w:val="none"/>
                <w:lang w:bidi="ar"/>
              </w:rPr>
              <w:t>1</w:t>
            </w:r>
            <w:r>
              <w:rPr>
                <w:rFonts w:hint="eastAsia"/>
                <w:color w:val="auto"/>
                <w:kern w:val="0"/>
                <w:sz w:val="18"/>
                <w:szCs w:val="18"/>
                <w:highlight w:val="none"/>
                <w:lang w:bidi="ar"/>
              </w:rPr>
              <w:t>3</w:t>
            </w:r>
            <w:r>
              <w:rPr>
                <w:color w:val="auto"/>
                <w:kern w:val="0"/>
                <w:sz w:val="18"/>
                <w:szCs w:val="18"/>
                <w:highlight w:val="none"/>
                <w:lang w:bidi="ar"/>
              </w:rPr>
              <w:t>.眩光护眼显示：通过优化HAZE参数，镜面反射转化成类纸面漫反射减少对使用者眼睛的损害。</w:t>
            </w:r>
            <w:r>
              <w:rPr>
                <w:color w:val="auto"/>
                <w:kern w:val="0"/>
                <w:sz w:val="18"/>
                <w:szCs w:val="18"/>
                <w:highlight w:val="none"/>
                <w:lang w:bidi="ar"/>
              </w:rPr>
              <w:br w:type="textWrapping"/>
            </w:r>
            <w:r>
              <w:rPr>
                <w:color w:val="auto"/>
                <w:kern w:val="0"/>
                <w:sz w:val="18"/>
                <w:szCs w:val="18"/>
                <w:highlight w:val="none"/>
                <w:lang w:bidi="ar"/>
              </w:rPr>
              <w:t>1</w:t>
            </w:r>
            <w:r>
              <w:rPr>
                <w:rFonts w:hint="eastAsia"/>
                <w:color w:val="auto"/>
                <w:kern w:val="0"/>
                <w:sz w:val="18"/>
                <w:szCs w:val="18"/>
                <w:highlight w:val="none"/>
                <w:lang w:bidi="ar"/>
              </w:rPr>
              <w:t>4</w:t>
            </w:r>
            <w:r>
              <w:rPr>
                <w:color w:val="auto"/>
                <w:kern w:val="0"/>
                <w:sz w:val="18"/>
                <w:szCs w:val="18"/>
                <w:highlight w:val="none"/>
                <w:lang w:bidi="ar"/>
              </w:rPr>
              <w:t>.无频闪显示技术：画面稳定无频闪缓解用眼疲劳。</w:t>
            </w:r>
            <w:r>
              <w:rPr>
                <w:color w:val="auto"/>
                <w:kern w:val="0"/>
                <w:sz w:val="18"/>
                <w:szCs w:val="18"/>
                <w:highlight w:val="none"/>
                <w:lang w:bidi="ar"/>
              </w:rPr>
              <w:br w:type="textWrapping"/>
            </w:r>
            <w:r>
              <w:rPr>
                <w:color w:val="auto"/>
                <w:kern w:val="0"/>
                <w:sz w:val="18"/>
                <w:szCs w:val="18"/>
                <w:highlight w:val="none"/>
                <w:lang w:bidi="ar"/>
              </w:rPr>
              <w:t>1</w:t>
            </w:r>
            <w:r>
              <w:rPr>
                <w:rFonts w:hint="eastAsia"/>
                <w:color w:val="auto"/>
                <w:kern w:val="0"/>
                <w:sz w:val="18"/>
                <w:szCs w:val="18"/>
                <w:highlight w:val="none"/>
                <w:lang w:bidi="ar"/>
              </w:rPr>
              <w:t>5</w:t>
            </w:r>
            <w:r>
              <w:rPr>
                <w:color w:val="auto"/>
                <w:kern w:val="0"/>
                <w:sz w:val="18"/>
                <w:szCs w:val="18"/>
                <w:highlight w:val="none"/>
                <w:lang w:bidi="ar"/>
              </w:rPr>
              <w:t xml:space="preserve">.智能感光技术：依据智能算法，可根据环境自动调节屏幕亮度，弥补光线不足带来的视觉疲劳。                                                                                                                                                                                   </w:t>
            </w:r>
            <w:r>
              <w:rPr>
                <w:rFonts w:hint="eastAsia"/>
                <w:color w:val="auto"/>
                <w:kern w:val="0"/>
                <w:sz w:val="18"/>
                <w:szCs w:val="18"/>
                <w:highlight w:val="none"/>
                <w:lang w:bidi="ar"/>
              </w:rPr>
              <w:t>16</w:t>
            </w:r>
            <w:r>
              <w:rPr>
                <w:color w:val="auto"/>
                <w:kern w:val="0"/>
                <w:sz w:val="18"/>
                <w:szCs w:val="18"/>
                <w:highlight w:val="none"/>
                <w:lang w:bidi="ar"/>
              </w:rPr>
              <w:t>.数智党建宣传资源包*1套</w:t>
            </w:r>
            <w:r>
              <w:rPr>
                <w:rFonts w:hint="eastAsia"/>
                <w:color w:val="auto"/>
                <w:kern w:val="0"/>
                <w:sz w:val="18"/>
                <w:szCs w:val="18"/>
                <w:highlight w:val="none"/>
                <w:lang w:bidi="ar"/>
              </w:rPr>
              <w:t>。</w:t>
            </w:r>
          </w:p>
        </w:tc>
        <w:tc>
          <w:tcPr>
            <w:tcW w:w="863" w:type="dxa"/>
            <w:tcBorders>
              <w:top w:val="single" w:color="000000" w:sz="4" w:space="0"/>
              <w:left w:val="single" w:color="000000" w:sz="4" w:space="0"/>
              <w:bottom w:val="single" w:color="000000" w:sz="4" w:space="0"/>
              <w:right w:val="single" w:color="000000" w:sz="4" w:space="0"/>
            </w:tcBorders>
            <w:vAlign w:val="center"/>
          </w:tcPr>
          <w:p w14:paraId="1632C395">
            <w:pPr>
              <w:widowControl/>
              <w:jc w:val="left"/>
              <w:textAlignment w:val="center"/>
              <w:rPr>
                <w:color w:val="auto"/>
                <w:kern w:val="0"/>
                <w:sz w:val="18"/>
                <w:szCs w:val="18"/>
                <w:highlight w:val="none"/>
                <w:lang w:bidi="ar"/>
              </w:rPr>
            </w:pPr>
          </w:p>
        </w:tc>
      </w:tr>
      <w:tr w14:paraId="19A27146">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2AD4A6FD">
            <w:pPr>
              <w:widowControl/>
              <w:jc w:val="center"/>
              <w:textAlignment w:val="center"/>
              <w:rPr>
                <w:color w:val="auto"/>
                <w:kern w:val="0"/>
                <w:sz w:val="18"/>
                <w:szCs w:val="18"/>
                <w:highlight w:val="none"/>
                <w:lang w:bidi="ar"/>
              </w:rPr>
            </w:pPr>
            <w:r>
              <w:rPr>
                <w:b/>
                <w:bCs/>
                <w:color w:val="auto"/>
                <w:kern w:val="0"/>
                <w:sz w:val="20"/>
                <w:szCs w:val="20"/>
                <w:highlight w:val="none"/>
                <w:lang w:bidi="ar"/>
              </w:rPr>
              <w:t>会展管理模拟实训系统</w:t>
            </w:r>
          </w:p>
        </w:tc>
        <w:tc>
          <w:tcPr>
            <w:tcW w:w="863" w:type="dxa"/>
            <w:tcBorders>
              <w:top w:val="single" w:color="000000" w:sz="4" w:space="0"/>
              <w:left w:val="single" w:color="000000" w:sz="4" w:space="0"/>
              <w:bottom w:val="single" w:color="000000" w:sz="4" w:space="0"/>
              <w:right w:val="single" w:color="000000" w:sz="4" w:space="0"/>
            </w:tcBorders>
            <w:vAlign w:val="center"/>
          </w:tcPr>
          <w:p w14:paraId="25FA3EAC">
            <w:pPr>
              <w:widowControl/>
              <w:jc w:val="left"/>
              <w:textAlignment w:val="center"/>
              <w:rPr>
                <w:color w:val="auto"/>
                <w:kern w:val="0"/>
                <w:sz w:val="18"/>
                <w:szCs w:val="18"/>
                <w:highlight w:val="none"/>
                <w:lang w:bidi="ar"/>
              </w:rPr>
            </w:pPr>
          </w:p>
        </w:tc>
      </w:tr>
      <w:tr w14:paraId="07A835EA">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E169A39">
            <w:pPr>
              <w:widowControl/>
              <w:jc w:val="left"/>
              <w:textAlignment w:val="center"/>
              <w:rPr>
                <w:color w:val="auto"/>
                <w:sz w:val="18"/>
                <w:szCs w:val="18"/>
                <w:highlight w:val="none"/>
              </w:rPr>
            </w:pPr>
            <w:r>
              <w:rPr>
                <w:color w:val="auto"/>
                <w:kern w:val="0"/>
                <w:sz w:val="18"/>
                <w:szCs w:val="18"/>
                <w:highlight w:val="none"/>
                <w:lang w:bidi="ar"/>
              </w:rPr>
              <w:t>【运行环境】</w:t>
            </w:r>
            <w:r>
              <w:rPr>
                <w:color w:val="auto"/>
                <w:kern w:val="0"/>
                <w:sz w:val="18"/>
                <w:szCs w:val="18"/>
                <w:highlight w:val="none"/>
                <w:lang w:bidi="ar"/>
              </w:rPr>
              <w:br w:type="textWrapping"/>
            </w:r>
            <w:r>
              <w:rPr>
                <w:color w:val="auto"/>
                <w:kern w:val="0"/>
                <w:sz w:val="18"/>
                <w:szCs w:val="18"/>
                <w:highlight w:val="none"/>
                <w:lang w:bidi="ar"/>
              </w:rPr>
              <w:t>1.系统安装于固定服务器，客户端通过网络访问并且无人数限制，易安装易维护。</w:t>
            </w:r>
            <w:r>
              <w:rPr>
                <w:color w:val="auto"/>
                <w:kern w:val="0"/>
                <w:sz w:val="18"/>
                <w:szCs w:val="18"/>
                <w:highlight w:val="none"/>
                <w:lang w:bidi="ar"/>
              </w:rPr>
              <w:br w:type="textWrapping"/>
            </w:r>
            <w:r>
              <w:rPr>
                <w:color w:val="auto"/>
                <w:kern w:val="0"/>
                <w:sz w:val="18"/>
                <w:szCs w:val="18"/>
                <w:highlight w:val="none"/>
                <w:lang w:bidi="ar"/>
              </w:rPr>
              <w:t>2.系统数据库基于SQL Server 2005/2008数据库、服务器环境基于Windows 2003 Server企业版、Windows 2008 Server R2或更高版本。</w:t>
            </w:r>
            <w:r>
              <w:rPr>
                <w:color w:val="auto"/>
                <w:kern w:val="0"/>
                <w:sz w:val="18"/>
                <w:szCs w:val="18"/>
                <w:highlight w:val="none"/>
                <w:lang w:bidi="ar"/>
              </w:rPr>
              <w:br w:type="textWrapping"/>
            </w:r>
            <w:r>
              <w:rPr>
                <w:color w:val="auto"/>
                <w:kern w:val="0"/>
                <w:sz w:val="18"/>
                <w:szCs w:val="18"/>
                <w:highlight w:val="none"/>
                <w:lang w:bidi="ar"/>
              </w:rPr>
              <w:t>【系统功能】</w:t>
            </w:r>
            <w:r>
              <w:rPr>
                <w:color w:val="auto"/>
                <w:kern w:val="0"/>
                <w:sz w:val="18"/>
                <w:szCs w:val="18"/>
                <w:highlight w:val="none"/>
                <w:lang w:bidi="ar"/>
              </w:rPr>
              <w:br w:type="textWrapping"/>
            </w:r>
            <w:r>
              <w:rPr>
                <w:color w:val="auto"/>
                <w:kern w:val="0"/>
                <w:sz w:val="18"/>
                <w:szCs w:val="18"/>
                <w:highlight w:val="none"/>
                <w:lang w:bidi="ar"/>
              </w:rPr>
              <w:t>1.系统基于B/S架构和.NET技术，具有良好的易维护性和易操作性。</w:t>
            </w:r>
            <w:r>
              <w:rPr>
                <w:color w:val="auto"/>
                <w:kern w:val="0"/>
                <w:sz w:val="18"/>
                <w:szCs w:val="18"/>
                <w:highlight w:val="none"/>
                <w:lang w:bidi="ar"/>
              </w:rPr>
              <w:br w:type="textWrapping"/>
            </w:r>
            <w:r>
              <w:rPr>
                <w:color w:val="auto"/>
                <w:kern w:val="0"/>
                <w:sz w:val="18"/>
                <w:szCs w:val="18"/>
                <w:highlight w:val="none"/>
                <w:lang w:bidi="ar"/>
              </w:rPr>
              <w:t>2.系统分为三级管理及操作端口，其中角色定义为管理员、教师和学生，管理员负责教师用户的添加管理及数据维护，教师负责班级学生的添加管理及实验管理，学生为实验主体进行模拟实训。</w:t>
            </w:r>
            <w:r>
              <w:rPr>
                <w:color w:val="auto"/>
                <w:kern w:val="0"/>
                <w:sz w:val="18"/>
                <w:szCs w:val="18"/>
                <w:highlight w:val="none"/>
                <w:lang w:bidi="ar"/>
              </w:rPr>
              <w:br w:type="textWrapping"/>
            </w:r>
            <w:r>
              <w:rPr>
                <w:color w:val="auto"/>
                <w:kern w:val="0"/>
                <w:sz w:val="18"/>
                <w:szCs w:val="18"/>
                <w:highlight w:val="none"/>
                <w:lang w:bidi="ar"/>
              </w:rPr>
              <w:t>3.系统管理员是系统的基础用户，不仅负责系统人员的管理还负责系统基础数据的日常维护。系统管理平台不但是整个实验平台的基础，更为我们的实验活动提供了有力保证，另外他还大大提升了实验平台的实验兼容性和业务扩展性。系统管理员可以在此对个人信息和教师信息进行维护，同时对系统内的各种参数进行管理和维护。</w:t>
            </w:r>
            <w:r>
              <w:rPr>
                <w:color w:val="auto"/>
                <w:kern w:val="0"/>
                <w:sz w:val="18"/>
                <w:szCs w:val="18"/>
                <w:highlight w:val="none"/>
                <w:lang w:bidi="ar"/>
              </w:rPr>
              <w:br w:type="textWrapping"/>
            </w:r>
            <w:r>
              <w:rPr>
                <w:color w:val="auto"/>
                <w:kern w:val="0"/>
                <w:sz w:val="18"/>
                <w:szCs w:val="18"/>
                <w:highlight w:val="none"/>
                <w:lang w:bidi="ar"/>
              </w:rPr>
              <w:t>4.系统管理员端需涉及教师管理、信息中心（个人信息、电子邮箱、公告管理、供应商管理）；参数设置（展品类别管理、印刷品类别管理、身份类别管理、公司规模管理、模版设置）；教学评估（教师评估、班级评估、学生评估、成绩评估、成绩统计评估、系统评估）；知识库（会展知识、行业规范、经典案例、图览会展）模块。</w:t>
            </w:r>
            <w:r>
              <w:rPr>
                <w:color w:val="auto"/>
                <w:kern w:val="0"/>
                <w:sz w:val="18"/>
                <w:szCs w:val="18"/>
                <w:highlight w:val="none"/>
                <w:lang w:bidi="ar"/>
              </w:rPr>
              <w:br w:type="textWrapping"/>
            </w:r>
            <w:r>
              <w:rPr>
                <w:color w:val="auto"/>
                <w:kern w:val="0"/>
                <w:sz w:val="18"/>
                <w:szCs w:val="18"/>
                <w:highlight w:val="none"/>
                <w:lang w:bidi="ar"/>
              </w:rPr>
              <w:t>5.教师端老师可以方便的了解到班级学生、实验情况和学生成绩的统计信息。老师首先要为班级学生创建实验账号，然后根据实验教学计划安排学生们进行具体的模拟练习，我们的每一个实验都注重真实业务环境的实战性，立足课本又切合于实际。在此，老师可以对整个实验模拟的过程进行管理和监控，系统为老师提供了简单灵活的操作流程，包括评分管理、成绩分析、实验分析等，可以在一定程度上简化老师工作，提高效率。</w:t>
            </w:r>
            <w:r>
              <w:rPr>
                <w:color w:val="auto"/>
                <w:kern w:val="0"/>
                <w:sz w:val="18"/>
                <w:szCs w:val="18"/>
                <w:highlight w:val="none"/>
                <w:lang w:bidi="ar"/>
              </w:rPr>
              <w:br w:type="textWrapping"/>
            </w:r>
            <w:r>
              <w:rPr>
                <w:color w:val="auto"/>
                <w:kern w:val="0"/>
                <w:sz w:val="18"/>
                <w:szCs w:val="18"/>
                <w:highlight w:val="none"/>
                <w:lang w:bidi="ar"/>
              </w:rPr>
              <w:t>6.教师端需涉及教学管理（班级管理、学生管理、课件管理、案例管理、题目管理）；信息管理（个人信息、电子邮件、公告管理、供应商管理）；文案管理（立项策划书、可行性研究报告、总结报告）；实验管理（实验安排、实验报告、实验日志、实验成绩、实验统计）；知识库（会展知识、行业规范、经典案例、图览会展）模块。</w:t>
            </w:r>
            <w:r>
              <w:rPr>
                <w:color w:val="auto"/>
                <w:kern w:val="0"/>
                <w:sz w:val="18"/>
                <w:szCs w:val="18"/>
                <w:highlight w:val="none"/>
                <w:lang w:bidi="ar"/>
              </w:rPr>
              <w:br w:type="textWrapping"/>
            </w:r>
            <w:r>
              <w:rPr>
                <w:color w:val="auto"/>
                <w:kern w:val="0"/>
                <w:sz w:val="18"/>
                <w:szCs w:val="18"/>
                <w:highlight w:val="none"/>
                <w:lang w:bidi="ar"/>
              </w:rPr>
              <w:t>7.学生端需包含信息中心、策划部、外联部、招商部、服务部、人事部、财务部、总经办等部门业务处理模块。</w:t>
            </w:r>
            <w:r>
              <w:rPr>
                <w:color w:val="auto"/>
                <w:kern w:val="0"/>
                <w:sz w:val="18"/>
                <w:szCs w:val="18"/>
                <w:highlight w:val="none"/>
                <w:lang w:bidi="ar"/>
              </w:rPr>
              <w:br w:type="textWrapping"/>
            </w:r>
            <w:r>
              <w:rPr>
                <w:color w:val="auto"/>
                <w:kern w:val="0"/>
                <w:sz w:val="18"/>
                <w:szCs w:val="18"/>
                <w:highlight w:val="none"/>
                <w:lang w:bidi="ar"/>
              </w:rPr>
              <w:t>8.学生端信息中心需包含信息管理（基本信息、我的邮箱、信息公告）；学习园地（课件下载、练习题目、案例查看、实验安排、实验报告）；知识库（会展知识、行业规范、经典案例、图览会展）模块。</w:t>
            </w:r>
            <w:r>
              <w:rPr>
                <w:color w:val="auto"/>
                <w:kern w:val="0"/>
                <w:sz w:val="18"/>
                <w:szCs w:val="18"/>
                <w:highlight w:val="none"/>
                <w:lang w:bidi="ar"/>
              </w:rPr>
              <w:br w:type="textWrapping"/>
            </w:r>
            <w:r>
              <w:rPr>
                <w:color w:val="auto"/>
                <w:kern w:val="0"/>
                <w:sz w:val="18"/>
                <w:szCs w:val="18"/>
                <w:highlight w:val="none"/>
                <w:lang w:bidi="ar"/>
              </w:rPr>
              <w:t>9.学生端策划部需包含会展立项（会展信息、举办机构、立项策划书、可行性研究报告、项目提交）；招展策划（招展/商方案、招展书、邀请函）；组织策划（项目进度策划、接待方案、开幕式策划、印刷品管理、项目预算）；营销策划（营销方案、广告策划、公关方案）。</w:t>
            </w:r>
            <w:r>
              <w:rPr>
                <w:color w:val="auto"/>
                <w:kern w:val="0"/>
                <w:sz w:val="18"/>
                <w:szCs w:val="18"/>
                <w:highlight w:val="none"/>
                <w:lang w:bidi="ar"/>
              </w:rPr>
              <w:br w:type="textWrapping"/>
            </w:r>
            <w:r>
              <w:rPr>
                <w:color w:val="auto"/>
                <w:kern w:val="0"/>
                <w:sz w:val="18"/>
                <w:szCs w:val="18"/>
                <w:highlight w:val="none"/>
                <w:lang w:bidi="ar"/>
              </w:rPr>
              <w:t>10.学生端外联部需包含项目审批（立项策划书、可行性研究报告、地方审批、国家审批）；会展审批（赞助商管理、媒体管理、宣传推广、观众邀请）；服务商管理（系统服务商、单位服务商、场馆信息、服务协议管理）。</w:t>
            </w:r>
            <w:r>
              <w:rPr>
                <w:color w:val="auto"/>
                <w:kern w:val="0"/>
                <w:sz w:val="18"/>
                <w:szCs w:val="18"/>
                <w:highlight w:val="none"/>
                <w:lang w:bidi="ar"/>
              </w:rPr>
              <w:br w:type="textWrapping"/>
            </w:r>
            <w:r>
              <w:rPr>
                <w:color w:val="auto"/>
                <w:kern w:val="0"/>
                <w:sz w:val="18"/>
                <w:szCs w:val="18"/>
                <w:highlight w:val="none"/>
                <w:lang w:bidi="ar"/>
              </w:rPr>
              <w:t>11.学生端招商部需包含客户管理（企业客户、个人客户）；招展招商（招展公告、参展合同、展商管理、客商管理）；客服管理（投诉管理、客户回访）。</w:t>
            </w:r>
            <w:r>
              <w:rPr>
                <w:color w:val="auto"/>
                <w:kern w:val="0"/>
                <w:sz w:val="18"/>
                <w:szCs w:val="18"/>
                <w:highlight w:val="none"/>
                <w:lang w:bidi="ar"/>
              </w:rPr>
              <w:br w:type="textWrapping"/>
            </w:r>
            <w:r>
              <w:rPr>
                <w:color w:val="auto"/>
                <w:kern w:val="0"/>
                <w:sz w:val="18"/>
                <w:szCs w:val="18"/>
                <w:highlight w:val="none"/>
                <w:lang w:bidi="ar"/>
              </w:rPr>
              <w:t>12.学生端服务部需包含接待服务（接站服务、人员信息、会期活动）；会议管理（会场布置、设备管理、会中服务）；布展（展商入场、展台搭建、预展管理）；开展（门票销售、观众入场、开幕式、洽谈区管理、安全管理）；撤展（撤展管理、总结报告）。</w:t>
            </w:r>
            <w:r>
              <w:rPr>
                <w:color w:val="auto"/>
                <w:kern w:val="0"/>
                <w:sz w:val="18"/>
                <w:szCs w:val="18"/>
                <w:highlight w:val="none"/>
                <w:lang w:bidi="ar"/>
              </w:rPr>
              <w:br w:type="textWrapping"/>
            </w:r>
            <w:r>
              <w:rPr>
                <w:color w:val="auto"/>
                <w:kern w:val="0"/>
                <w:sz w:val="18"/>
                <w:szCs w:val="18"/>
                <w:highlight w:val="none"/>
                <w:lang w:bidi="ar"/>
              </w:rPr>
              <w:t>13.学生端人事部需包含人员招聘（人才中心、员工招聘、人员解聘）；员工管理（员工管理、兼职管理、薪资管理、岗位变动）；员工培训（培训计划、培训管理、员工考核）。</w:t>
            </w:r>
            <w:r>
              <w:rPr>
                <w:color w:val="auto"/>
                <w:kern w:val="0"/>
                <w:sz w:val="18"/>
                <w:szCs w:val="18"/>
                <w:highlight w:val="none"/>
                <w:lang w:bidi="ar"/>
              </w:rPr>
              <w:br w:type="textWrapping"/>
            </w:r>
            <w:r>
              <w:rPr>
                <w:color w:val="auto"/>
                <w:kern w:val="0"/>
                <w:sz w:val="18"/>
                <w:szCs w:val="18"/>
                <w:highlight w:val="none"/>
                <w:lang w:bidi="ar"/>
              </w:rPr>
              <w:t>14.学生端财务部需包含应收账款（赞助收入、广告收入、展位费收入、门票收入、其他收入）；应付账款（印刷品费、招展招商费、广告宣传费、展台搭建费）；财务统计（收支明细、项目收支明细、年度统计、季度统计、月度统计）。</w:t>
            </w:r>
            <w:r>
              <w:rPr>
                <w:color w:val="auto"/>
                <w:kern w:val="0"/>
                <w:sz w:val="18"/>
                <w:szCs w:val="18"/>
                <w:highlight w:val="none"/>
                <w:lang w:bidi="ar"/>
              </w:rPr>
              <w:br w:type="textWrapping"/>
            </w:r>
            <w:r>
              <w:rPr>
                <w:color w:val="auto"/>
                <w:kern w:val="0"/>
                <w:sz w:val="18"/>
                <w:szCs w:val="18"/>
                <w:highlight w:val="none"/>
                <w:lang w:bidi="ar"/>
              </w:rPr>
              <w:t>15.学生端总经办需包含工作审批（项目审批、总结报告）；财务查询（收支明细、项目收支明细、年度统计、季度统计、月度统计）；统计分析（企业规模统计、企业地区分布统计、参展观众统计、合同性质统计、合同结果统计）。</w:t>
            </w:r>
          </w:p>
        </w:tc>
        <w:tc>
          <w:tcPr>
            <w:tcW w:w="863" w:type="dxa"/>
            <w:tcBorders>
              <w:top w:val="single" w:color="000000" w:sz="4" w:space="0"/>
              <w:left w:val="single" w:color="000000" w:sz="4" w:space="0"/>
              <w:bottom w:val="single" w:color="000000" w:sz="4" w:space="0"/>
              <w:right w:val="single" w:color="000000" w:sz="4" w:space="0"/>
            </w:tcBorders>
            <w:vAlign w:val="center"/>
          </w:tcPr>
          <w:p w14:paraId="57D73181">
            <w:pPr>
              <w:widowControl/>
              <w:jc w:val="left"/>
              <w:textAlignment w:val="center"/>
              <w:rPr>
                <w:color w:val="auto"/>
                <w:kern w:val="0"/>
                <w:sz w:val="18"/>
                <w:szCs w:val="18"/>
                <w:highlight w:val="none"/>
                <w:lang w:bidi="ar"/>
              </w:rPr>
            </w:pPr>
          </w:p>
        </w:tc>
      </w:tr>
      <w:tr w14:paraId="68A27084">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574FCEC1">
            <w:pPr>
              <w:widowControl/>
              <w:jc w:val="center"/>
              <w:textAlignment w:val="center"/>
              <w:rPr>
                <w:color w:val="auto"/>
                <w:kern w:val="0"/>
                <w:sz w:val="18"/>
                <w:szCs w:val="18"/>
                <w:highlight w:val="none"/>
                <w:lang w:bidi="ar"/>
              </w:rPr>
            </w:pPr>
            <w:r>
              <w:rPr>
                <w:b/>
                <w:bCs/>
                <w:color w:val="auto"/>
                <w:kern w:val="0"/>
                <w:sz w:val="20"/>
                <w:szCs w:val="20"/>
                <w:highlight w:val="none"/>
                <w:lang w:bidi="ar"/>
              </w:rPr>
              <w:t>数字党建思政资源系统（PAD版）</w:t>
            </w:r>
          </w:p>
        </w:tc>
        <w:tc>
          <w:tcPr>
            <w:tcW w:w="863" w:type="dxa"/>
            <w:tcBorders>
              <w:top w:val="single" w:color="000000" w:sz="4" w:space="0"/>
              <w:left w:val="single" w:color="000000" w:sz="4" w:space="0"/>
              <w:bottom w:val="single" w:color="000000" w:sz="4" w:space="0"/>
              <w:right w:val="single" w:color="000000" w:sz="4" w:space="0"/>
            </w:tcBorders>
            <w:vAlign w:val="center"/>
          </w:tcPr>
          <w:p w14:paraId="0D705E35">
            <w:pPr>
              <w:widowControl/>
              <w:jc w:val="left"/>
              <w:textAlignment w:val="center"/>
              <w:rPr>
                <w:color w:val="auto"/>
                <w:kern w:val="0"/>
                <w:sz w:val="18"/>
                <w:szCs w:val="18"/>
                <w:highlight w:val="none"/>
                <w:lang w:bidi="ar"/>
              </w:rPr>
            </w:pPr>
          </w:p>
        </w:tc>
      </w:tr>
      <w:tr w14:paraId="2FFB6D1B">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615A2290">
            <w:pPr>
              <w:widowControl/>
              <w:jc w:val="left"/>
              <w:textAlignment w:val="center"/>
              <w:rPr>
                <w:color w:val="auto"/>
                <w:kern w:val="0"/>
                <w:sz w:val="18"/>
                <w:szCs w:val="18"/>
                <w:highlight w:val="none"/>
                <w:lang w:bidi="ar"/>
              </w:rPr>
            </w:pPr>
            <w:r>
              <w:rPr>
                <w:b/>
                <w:bCs/>
                <w:color w:val="auto"/>
                <w:kern w:val="0"/>
                <w:sz w:val="18"/>
                <w:szCs w:val="18"/>
                <w:highlight w:val="none"/>
                <w:lang w:bidi="ar"/>
              </w:rPr>
              <w:t>一、终端显示设备灯珠数：</w:t>
            </w:r>
            <w:r>
              <w:rPr>
                <w:color w:val="auto"/>
                <w:kern w:val="0"/>
                <w:sz w:val="18"/>
                <w:szCs w:val="18"/>
                <w:highlight w:val="none"/>
                <w:lang w:bidi="ar"/>
              </w:rPr>
              <w:t>1024</w:t>
            </w:r>
            <w:r>
              <w:rPr>
                <w:color w:val="auto"/>
                <w:kern w:val="0"/>
                <w:sz w:val="18"/>
                <w:szCs w:val="18"/>
                <w:highlight w:val="none"/>
                <w:lang w:bidi="ar"/>
              </w:rPr>
              <w:br w:type="textWrapping"/>
            </w:r>
            <w:r>
              <w:rPr>
                <w:color w:val="auto"/>
                <w:kern w:val="0"/>
                <w:sz w:val="18"/>
                <w:szCs w:val="18"/>
                <w:highlight w:val="none"/>
                <w:lang w:bidi="ar"/>
              </w:rPr>
              <w:t>1.分辨率：</w:t>
            </w:r>
            <w:r>
              <w:rPr>
                <w:rFonts w:hint="eastAsia"/>
                <w:color w:val="auto"/>
                <w:kern w:val="0"/>
                <w:sz w:val="18"/>
                <w:szCs w:val="18"/>
                <w:highlight w:val="none"/>
                <w:lang w:bidi="ar"/>
              </w:rPr>
              <w:t>≥</w:t>
            </w:r>
            <w:r>
              <w:rPr>
                <w:color w:val="auto"/>
                <w:kern w:val="0"/>
                <w:sz w:val="18"/>
                <w:szCs w:val="18"/>
                <w:highlight w:val="none"/>
                <w:lang w:bidi="ar"/>
              </w:rPr>
              <w:t>1600x1024dpi</w:t>
            </w:r>
            <w:r>
              <w:rPr>
                <w:color w:val="auto"/>
                <w:kern w:val="0"/>
                <w:sz w:val="18"/>
                <w:szCs w:val="18"/>
                <w:highlight w:val="none"/>
                <w:lang w:bidi="ar"/>
              </w:rPr>
              <w:br w:type="textWrapping"/>
            </w:r>
            <w:r>
              <w:rPr>
                <w:color w:val="auto"/>
                <w:kern w:val="0"/>
                <w:sz w:val="18"/>
                <w:szCs w:val="18"/>
                <w:highlight w:val="none"/>
                <w:lang w:bidi="ar"/>
              </w:rPr>
              <w:t>2.产品尺寸：</w:t>
            </w:r>
            <w:r>
              <w:rPr>
                <w:rFonts w:hint="eastAsia"/>
                <w:color w:val="auto"/>
                <w:kern w:val="0"/>
                <w:sz w:val="18"/>
                <w:szCs w:val="18"/>
                <w:highlight w:val="none"/>
                <w:lang w:bidi="ar"/>
              </w:rPr>
              <w:t>≥</w:t>
            </w:r>
            <w:r>
              <w:rPr>
                <w:color w:val="auto"/>
                <w:kern w:val="0"/>
                <w:sz w:val="18"/>
                <w:szCs w:val="18"/>
                <w:highlight w:val="none"/>
                <w:lang w:bidi="ar"/>
              </w:rPr>
              <w:t>1000*1000*7</w:t>
            </w:r>
            <w:r>
              <w:rPr>
                <w:rFonts w:hint="eastAsia"/>
                <w:color w:val="auto"/>
                <w:kern w:val="0"/>
                <w:sz w:val="18"/>
                <w:szCs w:val="18"/>
                <w:highlight w:val="none"/>
                <w:lang w:bidi="ar"/>
              </w:rPr>
              <w:t>5</w:t>
            </w:r>
            <w:r>
              <w:rPr>
                <w:color w:val="auto"/>
                <w:kern w:val="0"/>
                <w:sz w:val="18"/>
                <w:szCs w:val="18"/>
                <w:highlight w:val="none"/>
                <w:lang w:bidi="ar"/>
              </w:rPr>
              <w:t>mm</w:t>
            </w:r>
            <w:r>
              <w:rPr>
                <w:color w:val="auto"/>
                <w:kern w:val="0"/>
                <w:sz w:val="18"/>
                <w:szCs w:val="18"/>
                <w:highlight w:val="none"/>
                <w:lang w:bidi="ar"/>
              </w:rPr>
              <w:br w:type="textWrapping"/>
            </w:r>
            <w:r>
              <w:rPr>
                <w:color w:val="auto"/>
                <w:kern w:val="0"/>
                <w:sz w:val="18"/>
                <w:szCs w:val="18"/>
                <w:highlight w:val="none"/>
                <w:lang w:bidi="ar"/>
              </w:rPr>
              <w:t>3.流明度：</w:t>
            </w:r>
            <w:r>
              <w:rPr>
                <w:rFonts w:hint="eastAsia" w:ascii="宋体" w:hAnsi="宋体" w:cs="宋体"/>
                <w:color w:val="auto"/>
                <w:kern w:val="0"/>
                <w:sz w:val="18"/>
                <w:szCs w:val="18"/>
                <w:highlight w:val="none"/>
                <w:lang w:bidi="ar"/>
              </w:rPr>
              <w:t>≥</w:t>
            </w:r>
            <w:r>
              <w:rPr>
                <w:color w:val="auto"/>
                <w:kern w:val="0"/>
                <w:sz w:val="18"/>
                <w:szCs w:val="18"/>
                <w:highlight w:val="none"/>
                <w:lang w:bidi="ar"/>
              </w:rPr>
              <w:t>2000cd/m2</w:t>
            </w:r>
            <w:r>
              <w:rPr>
                <w:color w:val="auto"/>
                <w:kern w:val="0"/>
                <w:sz w:val="18"/>
                <w:szCs w:val="18"/>
                <w:highlight w:val="none"/>
                <w:lang w:bidi="ar"/>
              </w:rPr>
              <w:br w:type="textWrapping"/>
            </w:r>
            <w:r>
              <w:rPr>
                <w:color w:val="auto"/>
                <w:kern w:val="0"/>
                <w:sz w:val="18"/>
                <w:szCs w:val="18"/>
                <w:highlight w:val="none"/>
                <w:lang w:bidi="ar"/>
              </w:rPr>
              <w:t xml:space="preserve">4.支持系统：windows &amp; Android &amp; IOS &amp; 云端。   </w:t>
            </w:r>
            <w:r>
              <w:rPr>
                <w:color w:val="auto"/>
                <w:kern w:val="0"/>
                <w:sz w:val="18"/>
                <w:szCs w:val="18"/>
                <w:highlight w:val="none"/>
                <w:lang w:bidi="ar"/>
              </w:rPr>
              <w:br w:type="textWrapping"/>
            </w:r>
            <w:r>
              <w:rPr>
                <w:color w:val="auto"/>
                <w:kern w:val="0"/>
                <w:sz w:val="18"/>
                <w:szCs w:val="18"/>
                <w:highlight w:val="none"/>
                <w:lang w:bidi="ar"/>
              </w:rPr>
              <w:t>5.内存：</w:t>
            </w:r>
            <w:r>
              <w:rPr>
                <w:rFonts w:hint="eastAsia" w:ascii="宋体" w:hAnsi="宋体" w:cs="宋体"/>
                <w:color w:val="auto"/>
                <w:kern w:val="0"/>
                <w:sz w:val="18"/>
                <w:szCs w:val="18"/>
                <w:highlight w:val="none"/>
                <w:lang w:bidi="ar"/>
              </w:rPr>
              <w:t>≥</w:t>
            </w:r>
            <w:r>
              <w:rPr>
                <w:color w:val="auto"/>
                <w:kern w:val="0"/>
                <w:sz w:val="18"/>
                <w:szCs w:val="18"/>
                <w:highlight w:val="none"/>
                <w:lang w:bidi="ar"/>
              </w:rPr>
              <w:t xml:space="preserve">16g </w:t>
            </w:r>
            <w:r>
              <w:rPr>
                <w:color w:val="auto"/>
                <w:kern w:val="0"/>
                <w:sz w:val="18"/>
                <w:szCs w:val="18"/>
                <w:highlight w:val="none"/>
                <w:lang w:bidi="ar"/>
              </w:rPr>
              <w:br w:type="textWrapping"/>
            </w:r>
            <w:r>
              <w:rPr>
                <w:color w:val="auto"/>
                <w:kern w:val="0"/>
                <w:sz w:val="18"/>
                <w:szCs w:val="18"/>
                <w:highlight w:val="none"/>
                <w:lang w:bidi="ar"/>
              </w:rPr>
              <w:t>6.支持格式：（mp4.avi.rmvb.mkv.gif.jpg.png）</w:t>
            </w:r>
            <w:r>
              <w:rPr>
                <w:color w:val="auto"/>
                <w:kern w:val="0"/>
                <w:sz w:val="18"/>
                <w:szCs w:val="18"/>
                <w:highlight w:val="none"/>
                <w:lang w:bidi="ar"/>
              </w:rPr>
              <w:br w:type="textWrapping"/>
            </w:r>
            <w:r>
              <w:rPr>
                <w:color w:val="auto"/>
                <w:kern w:val="0"/>
                <w:sz w:val="18"/>
                <w:szCs w:val="18"/>
                <w:highlight w:val="none"/>
                <w:lang w:bidi="ar"/>
              </w:rPr>
              <w:t>7.终端显示设备灯珠寿命&gt;30000小时。</w:t>
            </w:r>
            <w:r>
              <w:rPr>
                <w:color w:val="auto"/>
                <w:kern w:val="0"/>
                <w:sz w:val="18"/>
                <w:szCs w:val="18"/>
                <w:highlight w:val="none"/>
                <w:lang w:bidi="ar"/>
              </w:rPr>
              <w:br w:type="textWrapping"/>
            </w:r>
            <w:r>
              <w:rPr>
                <w:color w:val="auto"/>
                <w:kern w:val="0"/>
                <w:sz w:val="18"/>
                <w:szCs w:val="18"/>
                <w:highlight w:val="none"/>
                <w:lang w:bidi="ar"/>
              </w:rPr>
              <w:t xml:space="preserve">8.控制方式：手机+遥控器+PC控制。     </w:t>
            </w:r>
            <w:r>
              <w:rPr>
                <w:color w:val="auto"/>
                <w:kern w:val="0"/>
                <w:sz w:val="18"/>
                <w:szCs w:val="18"/>
                <w:highlight w:val="none"/>
                <w:lang w:bidi="ar"/>
              </w:rPr>
              <w:br w:type="textWrapping"/>
            </w:r>
            <w:r>
              <w:rPr>
                <w:color w:val="auto"/>
                <w:kern w:val="0"/>
                <w:sz w:val="18"/>
                <w:szCs w:val="18"/>
                <w:highlight w:val="none"/>
                <w:lang w:bidi="ar"/>
              </w:rPr>
              <w:t xml:space="preserve">9.电源适配器:24v/6A </w:t>
            </w:r>
            <w:r>
              <w:rPr>
                <w:color w:val="auto"/>
                <w:kern w:val="0"/>
                <w:sz w:val="18"/>
                <w:szCs w:val="18"/>
                <w:highlight w:val="none"/>
                <w:lang w:bidi="ar"/>
              </w:rPr>
              <w:br w:type="textWrapping"/>
            </w:r>
            <w:r>
              <w:rPr>
                <w:color w:val="auto"/>
                <w:kern w:val="0"/>
                <w:sz w:val="18"/>
                <w:szCs w:val="18"/>
                <w:highlight w:val="none"/>
                <w:lang w:bidi="ar"/>
              </w:rPr>
              <w:t>10.转速</w:t>
            </w:r>
            <w:r>
              <w:rPr>
                <w:rFonts w:hint="eastAsia"/>
                <w:color w:val="auto"/>
                <w:kern w:val="0"/>
                <w:sz w:val="18"/>
                <w:szCs w:val="18"/>
                <w:highlight w:val="none"/>
                <w:lang w:bidi="ar"/>
              </w:rPr>
              <w:t>：</w:t>
            </w:r>
            <w:r>
              <w:rPr>
                <w:rFonts w:hint="eastAsia" w:ascii="宋体" w:hAnsi="宋体" w:cs="宋体"/>
                <w:color w:val="auto"/>
                <w:kern w:val="0"/>
                <w:sz w:val="18"/>
                <w:szCs w:val="18"/>
                <w:highlight w:val="none"/>
                <w:lang w:bidi="ar"/>
              </w:rPr>
              <w:t>≥</w:t>
            </w:r>
            <w:r>
              <w:rPr>
                <w:color w:val="auto"/>
                <w:kern w:val="0"/>
                <w:sz w:val="18"/>
                <w:szCs w:val="18"/>
                <w:highlight w:val="none"/>
                <w:lang w:bidi="ar"/>
              </w:rPr>
              <w:t>700转/分钟</w:t>
            </w:r>
            <w:r>
              <w:rPr>
                <w:color w:val="auto"/>
                <w:kern w:val="0"/>
                <w:sz w:val="18"/>
                <w:szCs w:val="18"/>
                <w:highlight w:val="none"/>
                <w:lang w:bidi="ar"/>
              </w:rPr>
              <w:br w:type="textWrapping"/>
            </w:r>
            <w:r>
              <w:rPr>
                <w:color w:val="auto"/>
                <w:kern w:val="0"/>
                <w:sz w:val="18"/>
                <w:szCs w:val="18"/>
                <w:highlight w:val="none"/>
                <w:lang w:bidi="ar"/>
              </w:rPr>
              <w:t xml:space="preserve">11.额定电压AC100-240V </w:t>
            </w:r>
            <w:r>
              <w:rPr>
                <w:color w:val="auto"/>
                <w:kern w:val="0"/>
                <w:sz w:val="18"/>
                <w:szCs w:val="18"/>
                <w:highlight w:val="none"/>
                <w:lang w:bidi="ar"/>
              </w:rPr>
              <w:br w:type="textWrapping"/>
            </w:r>
            <w:r>
              <w:rPr>
                <w:color w:val="auto"/>
                <w:kern w:val="0"/>
                <w:sz w:val="18"/>
                <w:szCs w:val="18"/>
                <w:highlight w:val="none"/>
                <w:lang w:bidi="ar"/>
              </w:rPr>
              <w:t>12.额定功率：</w:t>
            </w:r>
            <w:r>
              <w:rPr>
                <w:rFonts w:hint="eastAsia" w:ascii="宋体" w:hAnsi="宋体" w:cs="宋体"/>
                <w:color w:val="auto"/>
                <w:kern w:val="0"/>
                <w:sz w:val="18"/>
                <w:szCs w:val="18"/>
                <w:highlight w:val="none"/>
                <w:lang w:bidi="ar"/>
              </w:rPr>
              <w:t>≥</w:t>
            </w:r>
            <w:r>
              <w:rPr>
                <w:color w:val="auto"/>
                <w:kern w:val="0"/>
                <w:sz w:val="18"/>
                <w:szCs w:val="18"/>
                <w:highlight w:val="none"/>
                <w:lang w:bidi="ar"/>
              </w:rPr>
              <w:t>96w</w:t>
            </w:r>
            <w:r>
              <w:rPr>
                <w:color w:val="auto"/>
                <w:kern w:val="0"/>
                <w:sz w:val="18"/>
                <w:szCs w:val="18"/>
                <w:highlight w:val="none"/>
                <w:lang w:bidi="ar"/>
              </w:rPr>
              <w:br w:type="textWrapping"/>
            </w:r>
            <w:r>
              <w:rPr>
                <w:color w:val="auto"/>
                <w:kern w:val="0"/>
                <w:sz w:val="18"/>
                <w:szCs w:val="18"/>
                <w:highlight w:val="none"/>
                <w:lang w:bidi="ar"/>
              </w:rPr>
              <w:t>13.蓝牙：模块。</w:t>
            </w:r>
            <w:r>
              <w:rPr>
                <w:color w:val="auto"/>
                <w:kern w:val="0"/>
                <w:sz w:val="18"/>
                <w:szCs w:val="18"/>
                <w:highlight w:val="none"/>
                <w:lang w:bidi="ar"/>
              </w:rPr>
              <w:br w:type="textWrapping"/>
            </w:r>
            <w:r>
              <w:rPr>
                <w:color w:val="auto"/>
                <w:kern w:val="0"/>
                <w:sz w:val="18"/>
                <w:szCs w:val="18"/>
                <w:highlight w:val="none"/>
                <w:lang w:bidi="ar"/>
              </w:rPr>
              <w:t xml:space="preserve">14.定向开发：提供通信协议可自定义修改。                                                                                                                                                </w:t>
            </w:r>
            <w:r>
              <w:rPr>
                <w:color w:val="auto"/>
                <w:kern w:val="0"/>
                <w:sz w:val="18"/>
                <w:szCs w:val="18"/>
                <w:highlight w:val="none"/>
                <w:lang w:bidi="ar"/>
              </w:rPr>
              <w:br w:type="textWrapping"/>
            </w:r>
            <w:r>
              <w:rPr>
                <w:b/>
                <w:bCs/>
                <w:color w:val="auto"/>
                <w:kern w:val="0"/>
                <w:sz w:val="18"/>
                <w:szCs w:val="18"/>
                <w:highlight w:val="none"/>
                <w:lang w:bidi="ar"/>
              </w:rPr>
              <w:t>二、处理器：</w:t>
            </w:r>
            <w:r>
              <w:rPr>
                <w:color w:val="auto"/>
                <w:kern w:val="0"/>
                <w:sz w:val="18"/>
                <w:szCs w:val="18"/>
                <w:highlight w:val="none"/>
                <w:lang w:bidi="ar"/>
              </w:rPr>
              <w:t>不低于ARM64 2 核</w:t>
            </w:r>
            <w:r>
              <w:rPr>
                <w:color w:val="auto"/>
                <w:kern w:val="0"/>
                <w:sz w:val="18"/>
                <w:szCs w:val="18"/>
                <w:highlight w:val="none"/>
                <w:lang w:bidi="ar"/>
              </w:rPr>
              <w:br w:type="textWrapping"/>
            </w:r>
            <w:r>
              <w:rPr>
                <w:color w:val="auto"/>
                <w:kern w:val="0"/>
                <w:sz w:val="18"/>
                <w:szCs w:val="18"/>
                <w:highlight w:val="none"/>
                <w:lang w:bidi="ar"/>
              </w:rPr>
              <w:t>1.转发性能：1Mpps</w:t>
            </w:r>
            <w:r>
              <w:rPr>
                <w:color w:val="auto"/>
                <w:kern w:val="0"/>
                <w:sz w:val="18"/>
                <w:szCs w:val="18"/>
                <w:highlight w:val="none"/>
                <w:lang w:bidi="ar"/>
              </w:rPr>
              <w:br w:type="textWrapping"/>
            </w:r>
            <w:r>
              <w:rPr>
                <w:color w:val="auto"/>
                <w:kern w:val="0"/>
                <w:sz w:val="18"/>
                <w:szCs w:val="18"/>
                <w:highlight w:val="none"/>
                <w:lang w:bidi="ar"/>
              </w:rPr>
              <w:t>2.带机量：</w:t>
            </w:r>
            <w:r>
              <w:rPr>
                <w:rFonts w:hint="eastAsia" w:ascii="宋体" w:hAnsi="宋体" w:cs="宋体"/>
                <w:color w:val="auto"/>
                <w:kern w:val="0"/>
                <w:sz w:val="18"/>
                <w:szCs w:val="18"/>
                <w:highlight w:val="none"/>
                <w:lang w:bidi="ar"/>
              </w:rPr>
              <w:t>≥</w:t>
            </w:r>
            <w:r>
              <w:rPr>
                <w:color w:val="auto"/>
                <w:kern w:val="0"/>
                <w:sz w:val="18"/>
                <w:szCs w:val="18"/>
                <w:highlight w:val="none"/>
                <w:lang w:bidi="ar"/>
              </w:rPr>
              <w:t>100 台 PC</w:t>
            </w:r>
            <w:r>
              <w:rPr>
                <w:color w:val="auto"/>
                <w:kern w:val="0"/>
                <w:sz w:val="18"/>
                <w:szCs w:val="18"/>
                <w:highlight w:val="none"/>
                <w:lang w:bidi="ar"/>
              </w:rPr>
              <w:br w:type="textWrapping"/>
            </w:r>
            <w:r>
              <w:rPr>
                <w:color w:val="auto"/>
                <w:kern w:val="0"/>
                <w:sz w:val="18"/>
                <w:szCs w:val="18"/>
                <w:highlight w:val="none"/>
                <w:lang w:bidi="ar"/>
              </w:rPr>
              <w:t>3.固定 WAN 接口：1*GE Combo</w:t>
            </w:r>
            <w:r>
              <w:rPr>
                <w:color w:val="auto"/>
                <w:kern w:val="0"/>
                <w:sz w:val="18"/>
                <w:szCs w:val="18"/>
                <w:highlight w:val="none"/>
                <w:lang w:bidi="ar"/>
              </w:rPr>
              <w:br w:type="textWrapping"/>
            </w:r>
            <w:r>
              <w:rPr>
                <w:color w:val="auto"/>
                <w:kern w:val="0"/>
                <w:sz w:val="18"/>
                <w:szCs w:val="18"/>
                <w:highlight w:val="none"/>
                <w:lang w:bidi="ar"/>
              </w:rPr>
              <w:t>4.固定 LAN 接口：4*GE 电（可切换为 WAN 口）</w:t>
            </w:r>
            <w:r>
              <w:rPr>
                <w:color w:val="auto"/>
                <w:kern w:val="0"/>
                <w:sz w:val="18"/>
                <w:szCs w:val="18"/>
                <w:highlight w:val="none"/>
                <w:lang w:bidi="ar"/>
              </w:rPr>
              <w:br w:type="textWrapping"/>
            </w:r>
            <w:r>
              <w:rPr>
                <w:color w:val="auto"/>
                <w:kern w:val="0"/>
                <w:sz w:val="18"/>
                <w:szCs w:val="18"/>
                <w:highlight w:val="none"/>
                <w:lang w:bidi="ar"/>
              </w:rPr>
              <w:t>5.Wi-Fi：双频，802.11ac/b/g/n</w:t>
            </w:r>
            <w:r>
              <w:rPr>
                <w:color w:val="auto"/>
                <w:kern w:val="0"/>
                <w:sz w:val="18"/>
                <w:szCs w:val="18"/>
                <w:highlight w:val="none"/>
                <w:lang w:bidi="ar"/>
              </w:rPr>
              <w:br w:type="textWrapping"/>
            </w:r>
            <w:r>
              <w:rPr>
                <w:rFonts w:hint="eastAsia"/>
                <w:color w:val="auto"/>
                <w:kern w:val="0"/>
                <w:sz w:val="18"/>
                <w:szCs w:val="18"/>
                <w:highlight w:val="none"/>
                <w:lang w:bidi="ar"/>
              </w:rPr>
              <w:t>6</w:t>
            </w:r>
            <w:r>
              <w:rPr>
                <w:color w:val="auto"/>
                <w:kern w:val="0"/>
                <w:sz w:val="18"/>
                <w:szCs w:val="18"/>
                <w:highlight w:val="none"/>
                <w:lang w:bidi="ar"/>
              </w:rPr>
              <w:t>.USB 端口：1*USB</w:t>
            </w:r>
            <w:r>
              <w:rPr>
                <w:color w:val="auto"/>
                <w:kern w:val="0"/>
                <w:sz w:val="18"/>
                <w:szCs w:val="18"/>
                <w:highlight w:val="none"/>
                <w:lang w:bidi="ar"/>
              </w:rPr>
              <w:br w:type="textWrapping"/>
            </w:r>
            <w:r>
              <w:rPr>
                <w:color w:val="auto"/>
                <w:kern w:val="0"/>
                <w:sz w:val="18"/>
                <w:szCs w:val="18"/>
                <w:highlight w:val="none"/>
                <w:lang w:bidi="ar"/>
              </w:rPr>
              <w:t>8.串行辅助/控制台端口：1*RJ45 Console 串口</w:t>
            </w:r>
            <w:r>
              <w:rPr>
                <w:color w:val="auto"/>
                <w:kern w:val="0"/>
                <w:sz w:val="18"/>
                <w:szCs w:val="18"/>
                <w:highlight w:val="none"/>
                <w:lang w:bidi="ar"/>
              </w:rPr>
              <w:br w:type="textWrapping"/>
            </w:r>
            <w:r>
              <w:rPr>
                <w:color w:val="auto"/>
                <w:kern w:val="0"/>
                <w:sz w:val="18"/>
                <w:szCs w:val="18"/>
                <w:highlight w:val="none"/>
                <w:lang w:bidi="ar"/>
              </w:rPr>
              <w:t>9.内存：</w:t>
            </w:r>
            <w:r>
              <w:rPr>
                <w:rFonts w:hint="eastAsia" w:ascii="宋体" w:hAnsi="宋体" w:cs="宋体"/>
                <w:color w:val="auto"/>
                <w:kern w:val="0"/>
                <w:sz w:val="18"/>
                <w:szCs w:val="18"/>
                <w:highlight w:val="none"/>
                <w:lang w:bidi="ar"/>
              </w:rPr>
              <w:t>≥</w:t>
            </w:r>
            <w:r>
              <w:rPr>
                <w:color w:val="auto"/>
                <w:kern w:val="0"/>
                <w:sz w:val="18"/>
                <w:szCs w:val="18"/>
                <w:highlight w:val="none"/>
                <w:lang w:bidi="ar"/>
              </w:rPr>
              <w:t>1GB</w:t>
            </w:r>
            <w:r>
              <w:rPr>
                <w:color w:val="auto"/>
                <w:kern w:val="0"/>
                <w:sz w:val="18"/>
                <w:szCs w:val="18"/>
                <w:highlight w:val="none"/>
                <w:lang w:bidi="ar"/>
              </w:rPr>
              <w:br w:type="textWrapping"/>
            </w:r>
            <w:r>
              <w:rPr>
                <w:color w:val="auto"/>
                <w:kern w:val="0"/>
                <w:sz w:val="18"/>
                <w:szCs w:val="18"/>
                <w:highlight w:val="none"/>
                <w:lang w:bidi="ar"/>
              </w:rPr>
              <w:t>10.Flash：</w:t>
            </w:r>
            <w:r>
              <w:rPr>
                <w:rFonts w:hint="eastAsia" w:ascii="宋体" w:hAnsi="宋体" w:cs="宋体"/>
                <w:color w:val="auto"/>
                <w:kern w:val="0"/>
                <w:sz w:val="18"/>
                <w:szCs w:val="18"/>
                <w:highlight w:val="none"/>
                <w:lang w:bidi="ar"/>
              </w:rPr>
              <w:t>≥</w:t>
            </w:r>
            <w:r>
              <w:rPr>
                <w:color w:val="auto"/>
                <w:kern w:val="0"/>
                <w:sz w:val="18"/>
                <w:szCs w:val="18"/>
                <w:highlight w:val="none"/>
                <w:lang w:bidi="ar"/>
              </w:rPr>
              <w:t>1GB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11.最小功耗：≥7W</w:t>
            </w:r>
            <w:r>
              <w:rPr>
                <w:rFonts w:hint="eastAsia" w:ascii="宋体" w:hAnsi="宋体" w:cs="宋体"/>
                <w:color w:val="auto"/>
                <w:kern w:val="0"/>
                <w:sz w:val="18"/>
                <w:szCs w:val="18"/>
                <w:highlight w:val="none"/>
                <w:lang w:bidi="ar"/>
              </w:rPr>
              <w:br w:type="textWrapping"/>
            </w:r>
            <w:r>
              <w:rPr>
                <w:color w:val="auto"/>
                <w:kern w:val="0"/>
                <w:sz w:val="18"/>
                <w:szCs w:val="18"/>
                <w:highlight w:val="none"/>
                <w:lang w:bidi="ar"/>
              </w:rPr>
              <w:t>1</w:t>
            </w:r>
            <w:r>
              <w:rPr>
                <w:rFonts w:hint="eastAsia"/>
                <w:color w:val="auto"/>
                <w:kern w:val="0"/>
                <w:sz w:val="18"/>
                <w:szCs w:val="18"/>
                <w:highlight w:val="none"/>
                <w:lang w:bidi="ar"/>
              </w:rPr>
              <w:t>2</w:t>
            </w:r>
            <w:r>
              <w:rPr>
                <w:color w:val="auto"/>
                <w:kern w:val="0"/>
                <w:sz w:val="18"/>
                <w:szCs w:val="18"/>
                <w:highlight w:val="none"/>
                <w:lang w:bidi="ar"/>
              </w:rPr>
              <w:t>.最大功耗</w:t>
            </w:r>
            <w:r>
              <w:rPr>
                <w:rFonts w:hint="eastAsia" w:ascii="宋体" w:hAnsi="宋体" w:cs="宋体"/>
                <w:color w:val="auto"/>
                <w:kern w:val="0"/>
                <w:sz w:val="18"/>
                <w:szCs w:val="18"/>
                <w:highlight w:val="none"/>
                <w:lang w:bidi="ar"/>
              </w:rPr>
              <w:t>：≤12W</w:t>
            </w:r>
            <w:r>
              <w:rPr>
                <w:color w:val="auto"/>
                <w:kern w:val="0"/>
                <w:sz w:val="18"/>
                <w:szCs w:val="18"/>
                <w:highlight w:val="none"/>
                <w:lang w:bidi="ar"/>
              </w:rPr>
              <w:br w:type="textWrapping"/>
            </w:r>
            <w:r>
              <w:rPr>
                <w:color w:val="auto"/>
                <w:kern w:val="0"/>
                <w:sz w:val="18"/>
                <w:szCs w:val="18"/>
                <w:highlight w:val="none"/>
                <w:lang w:bidi="ar"/>
              </w:rPr>
              <w:t>1</w:t>
            </w:r>
            <w:r>
              <w:rPr>
                <w:rFonts w:hint="eastAsia"/>
                <w:color w:val="auto"/>
                <w:kern w:val="0"/>
                <w:sz w:val="18"/>
                <w:szCs w:val="18"/>
                <w:highlight w:val="none"/>
                <w:lang w:bidi="ar"/>
              </w:rPr>
              <w:t>3</w:t>
            </w:r>
            <w:r>
              <w:rPr>
                <w:color w:val="auto"/>
                <w:kern w:val="0"/>
                <w:sz w:val="18"/>
                <w:szCs w:val="18"/>
                <w:highlight w:val="none"/>
                <w:lang w:bidi="ar"/>
              </w:rPr>
              <w:t xml:space="preserve">.安全：内置防火墙、URL 过滤、多种 VPN 技术，为用户提供全面的安全防护能力 。                                                                                                                   </w:t>
            </w:r>
            <w:r>
              <w:rPr>
                <w:color w:val="auto"/>
                <w:kern w:val="0"/>
                <w:sz w:val="18"/>
                <w:szCs w:val="18"/>
                <w:highlight w:val="none"/>
                <w:lang w:bidi="ar"/>
              </w:rPr>
              <w:br w:type="textWrapping"/>
            </w:r>
            <w:r>
              <w:rPr>
                <w:b/>
                <w:bCs/>
                <w:color w:val="auto"/>
                <w:kern w:val="0"/>
                <w:sz w:val="18"/>
                <w:szCs w:val="18"/>
                <w:highlight w:val="none"/>
                <w:lang w:bidi="ar"/>
              </w:rPr>
              <w:t>三、</w:t>
            </w:r>
            <w:r>
              <w:rPr>
                <w:rFonts w:hint="eastAsia"/>
                <w:b/>
                <w:bCs/>
                <w:color w:val="auto"/>
                <w:kern w:val="0"/>
                <w:sz w:val="18"/>
                <w:szCs w:val="18"/>
                <w:highlight w:val="none"/>
                <w:lang w:bidi="ar"/>
              </w:rPr>
              <w:t>互动桌</w:t>
            </w:r>
          </w:p>
          <w:p w14:paraId="4183C41F">
            <w:pPr>
              <w:widowControl/>
              <w:jc w:val="left"/>
              <w:textAlignment w:val="center"/>
              <w:rPr>
                <w:color w:val="auto"/>
                <w:sz w:val="18"/>
                <w:szCs w:val="18"/>
                <w:highlight w:val="none"/>
              </w:rPr>
            </w:pPr>
            <w:r>
              <w:rPr>
                <w:color w:val="auto"/>
                <w:kern w:val="0"/>
                <w:sz w:val="18"/>
                <w:szCs w:val="18"/>
                <w:highlight w:val="none"/>
                <w:lang w:bidi="ar"/>
              </w:rPr>
              <w:t>1.设备通过HDMI外接显示器，桌案终端作为控制界面，外接显示终端作为内容展示界面，形成双屏互动操作。</w:t>
            </w:r>
            <w:r>
              <w:rPr>
                <w:color w:val="auto"/>
                <w:kern w:val="0"/>
                <w:sz w:val="18"/>
                <w:szCs w:val="18"/>
                <w:highlight w:val="none"/>
                <w:lang w:bidi="ar"/>
              </w:rPr>
              <w:br w:type="textWrapping"/>
            </w:r>
            <w:r>
              <w:rPr>
                <w:color w:val="auto"/>
                <w:kern w:val="0"/>
                <w:sz w:val="18"/>
                <w:szCs w:val="18"/>
                <w:highlight w:val="none"/>
                <w:lang w:bidi="ar"/>
              </w:rPr>
              <w:t>2.设备采用</w:t>
            </w:r>
            <w:r>
              <w:rPr>
                <w:rFonts w:hint="eastAsia"/>
                <w:color w:val="auto"/>
                <w:kern w:val="0"/>
                <w:sz w:val="18"/>
                <w:szCs w:val="18"/>
                <w:highlight w:val="none"/>
                <w:lang w:bidi="ar"/>
              </w:rPr>
              <w:t>≥</w:t>
            </w:r>
            <w:r>
              <w:rPr>
                <w:color w:val="auto"/>
                <w:kern w:val="0"/>
                <w:sz w:val="18"/>
                <w:szCs w:val="18"/>
                <w:highlight w:val="none"/>
                <w:lang w:bidi="ar"/>
              </w:rPr>
              <w:t>55寸LCD显示屏，分辨率达不低于3840×2160，显示亮度</w:t>
            </w:r>
            <w:r>
              <w:rPr>
                <w:rFonts w:hint="eastAsia"/>
                <w:color w:val="auto"/>
                <w:kern w:val="0"/>
                <w:sz w:val="18"/>
                <w:szCs w:val="18"/>
                <w:highlight w:val="none"/>
                <w:lang w:bidi="ar"/>
              </w:rPr>
              <w:t>≥</w:t>
            </w:r>
            <w:r>
              <w:rPr>
                <w:color w:val="auto"/>
                <w:kern w:val="0"/>
                <w:sz w:val="18"/>
                <w:szCs w:val="18"/>
                <w:highlight w:val="none"/>
                <w:lang w:bidi="ar"/>
              </w:rPr>
              <w:t>500cd/㎡。</w:t>
            </w:r>
            <w:r>
              <w:rPr>
                <w:color w:val="auto"/>
                <w:kern w:val="0"/>
                <w:sz w:val="18"/>
                <w:szCs w:val="18"/>
                <w:highlight w:val="none"/>
                <w:lang w:bidi="ar"/>
              </w:rPr>
              <w:br w:type="textWrapping"/>
            </w:r>
            <w:r>
              <w:rPr>
                <w:color w:val="auto"/>
                <w:kern w:val="0"/>
                <w:sz w:val="18"/>
                <w:szCs w:val="18"/>
                <w:highlight w:val="none"/>
                <w:lang w:bidi="ar"/>
              </w:rPr>
              <w:t>3.设备采用高通道电容触摸屏，支持手指和令牌（Marker）同时触摸，都流畅顺滑，配合令牌（Marker）可实现物体识别功能。</w:t>
            </w:r>
            <w:r>
              <w:rPr>
                <w:color w:val="auto"/>
                <w:kern w:val="0"/>
                <w:sz w:val="18"/>
                <w:szCs w:val="18"/>
                <w:highlight w:val="none"/>
                <w:lang w:bidi="ar"/>
              </w:rPr>
              <w:br w:type="textWrapping"/>
            </w:r>
            <w:r>
              <w:rPr>
                <w:color w:val="auto"/>
                <w:kern w:val="0"/>
                <w:sz w:val="18"/>
                <w:szCs w:val="18"/>
                <w:highlight w:val="none"/>
                <w:lang w:bidi="ar"/>
              </w:rPr>
              <w:t>4.采用莫氏7级防爆钢化玻璃，坚固耐用，保护LCD屏幕。</w:t>
            </w:r>
            <w:r>
              <w:rPr>
                <w:color w:val="auto"/>
                <w:kern w:val="0"/>
                <w:sz w:val="18"/>
                <w:szCs w:val="18"/>
                <w:highlight w:val="none"/>
                <w:lang w:bidi="ar"/>
              </w:rPr>
              <w:br w:type="textWrapping"/>
            </w:r>
            <w:r>
              <w:rPr>
                <w:color w:val="auto"/>
                <w:kern w:val="0"/>
                <w:sz w:val="18"/>
                <w:szCs w:val="18"/>
                <w:highlight w:val="none"/>
                <w:lang w:bidi="ar"/>
              </w:rPr>
              <w:t>5.设备显示屏采用全贴合工艺，防止玻璃盖板与液晶屏之间进入水雾和灰尘杂质，Maker识别更灵敏，玻璃穿透率＞85%</w:t>
            </w:r>
            <w:r>
              <w:rPr>
                <w:color w:val="auto"/>
                <w:kern w:val="0"/>
                <w:sz w:val="18"/>
                <w:szCs w:val="18"/>
                <w:highlight w:val="none"/>
                <w:lang w:bidi="ar"/>
              </w:rPr>
              <w:br w:type="textWrapping"/>
            </w:r>
            <w:r>
              <w:rPr>
                <w:color w:val="auto"/>
                <w:kern w:val="0"/>
                <w:sz w:val="18"/>
                <w:szCs w:val="18"/>
                <w:highlight w:val="none"/>
                <w:lang w:bidi="ar"/>
              </w:rPr>
              <w:t>6.标配有互动令牌，实现旋转、移动等令牌互动操作。</w:t>
            </w:r>
            <w:r>
              <w:rPr>
                <w:color w:val="auto"/>
                <w:kern w:val="0"/>
                <w:sz w:val="18"/>
                <w:szCs w:val="18"/>
                <w:highlight w:val="none"/>
                <w:lang w:bidi="ar"/>
              </w:rPr>
              <w:br w:type="textWrapping"/>
            </w:r>
            <w:r>
              <w:rPr>
                <w:color w:val="auto"/>
                <w:kern w:val="0"/>
                <w:sz w:val="18"/>
                <w:szCs w:val="18"/>
                <w:highlight w:val="none"/>
                <w:lang w:bidi="ar"/>
              </w:rPr>
              <w:t>7.提供有针对令牌的开发SDK，可识别令牌移动、旋转、以及令牌编码识别。</w:t>
            </w:r>
            <w:r>
              <w:rPr>
                <w:b/>
                <w:bCs/>
                <w:color w:val="auto"/>
                <w:kern w:val="0"/>
                <w:sz w:val="18"/>
                <w:szCs w:val="18"/>
                <w:highlight w:val="none"/>
                <w:lang w:bidi="ar"/>
              </w:rPr>
              <w:br w:type="textWrapping"/>
            </w:r>
            <w:r>
              <w:rPr>
                <w:color w:val="auto"/>
                <w:kern w:val="0"/>
                <w:sz w:val="18"/>
                <w:szCs w:val="18"/>
                <w:highlight w:val="none"/>
                <w:lang w:bidi="ar"/>
              </w:rPr>
              <w:t>8. 采用高配置桌面级电脑，服务器级电源，通风散热良好，可支撑CPU、GPU满负荷稳定输出。</w:t>
            </w:r>
            <w:r>
              <w:rPr>
                <w:color w:val="auto"/>
                <w:kern w:val="0"/>
                <w:sz w:val="18"/>
                <w:szCs w:val="18"/>
                <w:highlight w:val="none"/>
                <w:lang w:bidi="ar"/>
              </w:rPr>
              <w:br w:type="textWrapping"/>
            </w:r>
            <w:r>
              <w:rPr>
                <w:color w:val="auto"/>
                <w:kern w:val="0"/>
                <w:sz w:val="18"/>
                <w:szCs w:val="18"/>
                <w:highlight w:val="none"/>
                <w:lang w:bidi="ar"/>
              </w:rPr>
              <w:t>9.PC</w:t>
            </w:r>
            <w:r>
              <w:rPr>
                <w:rFonts w:hint="eastAsia"/>
                <w:color w:val="auto"/>
                <w:kern w:val="0"/>
                <w:sz w:val="18"/>
                <w:szCs w:val="18"/>
                <w:highlight w:val="none"/>
                <w:lang w:bidi="ar"/>
              </w:rPr>
              <w:t>最低</w:t>
            </w:r>
            <w:r>
              <w:rPr>
                <w:color w:val="auto"/>
                <w:kern w:val="0"/>
                <w:sz w:val="18"/>
                <w:szCs w:val="18"/>
                <w:highlight w:val="none"/>
                <w:lang w:bidi="ar"/>
              </w:rPr>
              <w:t>配置： CPU</w:t>
            </w:r>
            <w:r>
              <w:rPr>
                <w:rFonts w:hint="eastAsia"/>
                <w:color w:val="auto"/>
                <w:kern w:val="0"/>
                <w:sz w:val="18"/>
                <w:szCs w:val="18"/>
                <w:highlight w:val="none"/>
                <w:lang w:bidi="ar"/>
              </w:rPr>
              <w:t>：</w:t>
            </w:r>
            <w:r>
              <w:rPr>
                <w:color w:val="auto"/>
                <w:kern w:val="0"/>
                <w:sz w:val="18"/>
                <w:szCs w:val="18"/>
                <w:highlight w:val="none"/>
                <w:lang w:bidi="ar"/>
              </w:rPr>
              <w:t xml:space="preserve"> I5、GPU</w:t>
            </w:r>
            <w:r>
              <w:rPr>
                <w:rFonts w:hint="eastAsia"/>
                <w:color w:val="auto"/>
                <w:kern w:val="0"/>
                <w:sz w:val="18"/>
                <w:szCs w:val="18"/>
                <w:highlight w:val="none"/>
                <w:lang w:bidi="ar"/>
              </w:rPr>
              <w:t>：</w:t>
            </w:r>
            <w:r>
              <w:rPr>
                <w:color w:val="auto"/>
                <w:kern w:val="0"/>
                <w:sz w:val="18"/>
                <w:szCs w:val="18"/>
                <w:highlight w:val="none"/>
                <w:lang w:bidi="ar"/>
              </w:rPr>
              <w:t>GTX 1660 内存 8GB、显存6GB、硬盘240G SSD，无线连接 WIFI，支持WIFI 6。</w:t>
            </w:r>
            <w:r>
              <w:rPr>
                <w:color w:val="auto"/>
                <w:kern w:val="0"/>
                <w:sz w:val="18"/>
                <w:szCs w:val="18"/>
                <w:highlight w:val="none"/>
                <w:lang w:bidi="ar"/>
              </w:rPr>
              <w:br w:type="textWrapping"/>
            </w:r>
            <w:r>
              <w:rPr>
                <w:color w:val="auto"/>
                <w:kern w:val="0"/>
                <w:sz w:val="18"/>
                <w:szCs w:val="18"/>
                <w:highlight w:val="none"/>
                <w:lang w:bidi="ar"/>
              </w:rPr>
              <w:t xml:space="preserve">10.该设备电源一体化设计，只需一根电源线。 </w:t>
            </w:r>
            <w:r>
              <w:rPr>
                <w:color w:val="auto"/>
                <w:kern w:val="0"/>
                <w:sz w:val="18"/>
                <w:szCs w:val="18"/>
                <w:highlight w:val="none"/>
                <w:lang w:bidi="ar"/>
              </w:rPr>
              <w:br w:type="textWrapping"/>
            </w:r>
            <w:r>
              <w:rPr>
                <w:color w:val="auto"/>
                <w:kern w:val="0"/>
                <w:sz w:val="18"/>
                <w:szCs w:val="18"/>
                <w:highlight w:val="none"/>
                <w:lang w:bidi="ar"/>
              </w:rPr>
              <w:t xml:space="preserve">11.可拆装式桌腿，方便分体运输。 </w:t>
            </w:r>
            <w:r>
              <w:rPr>
                <w:color w:val="auto"/>
                <w:kern w:val="0"/>
                <w:sz w:val="18"/>
                <w:szCs w:val="18"/>
                <w:highlight w:val="none"/>
                <w:lang w:bidi="ar"/>
              </w:rPr>
              <w:br w:type="textWrapping"/>
            </w:r>
            <w:r>
              <w:rPr>
                <w:color w:val="auto"/>
                <w:kern w:val="0"/>
                <w:sz w:val="18"/>
                <w:szCs w:val="18"/>
                <w:highlight w:val="none"/>
                <w:lang w:bidi="ar"/>
              </w:rPr>
              <w:t xml:space="preserve">12.提供整机前置的整机电源开关，和前置USB*2, 方便用户操作。 </w:t>
            </w:r>
            <w:r>
              <w:rPr>
                <w:color w:val="auto"/>
                <w:kern w:val="0"/>
                <w:sz w:val="18"/>
                <w:szCs w:val="18"/>
                <w:highlight w:val="none"/>
                <w:lang w:bidi="ar"/>
              </w:rPr>
              <w:br w:type="textWrapping"/>
            </w:r>
            <w:r>
              <w:rPr>
                <w:color w:val="auto"/>
                <w:kern w:val="0"/>
                <w:sz w:val="18"/>
                <w:szCs w:val="18"/>
                <w:highlight w:val="none"/>
                <w:lang w:bidi="ar"/>
              </w:rPr>
              <w:t xml:space="preserve">13.提供隐藏的触摸功能复位开关，便于维护触摸功能。                                                                                                                                                                  </w:t>
            </w:r>
            <w:r>
              <w:rPr>
                <w:color w:val="auto"/>
                <w:kern w:val="0"/>
                <w:sz w:val="18"/>
                <w:szCs w:val="18"/>
                <w:highlight w:val="none"/>
                <w:lang w:bidi="ar"/>
              </w:rPr>
              <w:br w:type="textWrapping"/>
            </w:r>
            <w:r>
              <w:rPr>
                <w:color w:val="auto"/>
                <w:kern w:val="0"/>
                <w:sz w:val="18"/>
                <w:szCs w:val="18"/>
                <w:highlight w:val="none"/>
                <w:lang w:bidi="ar"/>
              </w:rPr>
              <w:t>四、数字化党建思政资源库平台:</w:t>
            </w:r>
            <w:r>
              <w:rPr>
                <w:color w:val="auto"/>
                <w:kern w:val="0"/>
                <w:sz w:val="18"/>
                <w:szCs w:val="18"/>
                <w:highlight w:val="none"/>
                <w:lang w:bidi="ar"/>
              </w:rPr>
              <w:br w:type="textWrapping"/>
            </w:r>
            <w:r>
              <w:rPr>
                <w:color w:val="auto"/>
                <w:kern w:val="0"/>
                <w:sz w:val="18"/>
                <w:szCs w:val="18"/>
                <w:highlight w:val="none"/>
                <w:lang w:bidi="ar"/>
              </w:rPr>
              <w:t>1.党建思政教学资源平台基于可伸缩、分布式、多媒体大文件存储、管理、资源极速检索等互联网先进技术，运用大数据思维、建设课程思政教学资源管理平台，提供多样化教学资源融合、教学素材自由组合、多级存储，化繁为简、提供丰富的、多样的课程思政资源管理平台，将丰富的融媒体课程思政学习资源融入到教学应用中，助力高校开启创新型“课程思政+”教育新模式。</w:t>
            </w:r>
            <w:r>
              <w:rPr>
                <w:color w:val="auto"/>
                <w:kern w:val="0"/>
                <w:sz w:val="18"/>
                <w:szCs w:val="18"/>
                <w:highlight w:val="none"/>
                <w:lang w:bidi="ar"/>
              </w:rPr>
              <w:br w:type="textWrapping"/>
            </w:r>
            <w:r>
              <w:rPr>
                <w:color w:val="auto"/>
                <w:kern w:val="0"/>
                <w:sz w:val="18"/>
                <w:szCs w:val="18"/>
                <w:highlight w:val="none"/>
                <w:lang w:bidi="ar"/>
              </w:rPr>
              <w:t xml:space="preserve">  （1）多种教学素材自由组合</w:t>
            </w:r>
            <w:r>
              <w:rPr>
                <w:color w:val="auto"/>
                <w:kern w:val="0"/>
                <w:sz w:val="18"/>
                <w:szCs w:val="18"/>
                <w:highlight w:val="none"/>
                <w:lang w:bidi="ar"/>
              </w:rPr>
              <w:br w:type="textWrapping"/>
            </w:r>
            <w:r>
              <w:rPr>
                <w:color w:val="auto"/>
                <w:kern w:val="0"/>
                <w:sz w:val="18"/>
                <w:szCs w:val="18"/>
                <w:highlight w:val="none"/>
                <w:lang w:bidi="ar"/>
              </w:rPr>
              <w:t xml:space="preserve">   支持音频、图片、视频、微视频、微课、图文、问答、公开课、文档等多种教学素材，多种教学资源的展现形式，满足不同场景下的教学需求。</w:t>
            </w:r>
            <w:r>
              <w:rPr>
                <w:color w:val="auto"/>
                <w:kern w:val="0"/>
                <w:sz w:val="18"/>
                <w:szCs w:val="18"/>
                <w:highlight w:val="none"/>
                <w:lang w:bidi="ar"/>
              </w:rPr>
              <w:br w:type="textWrapping"/>
            </w:r>
            <w:r>
              <w:rPr>
                <w:color w:val="auto"/>
                <w:kern w:val="0"/>
                <w:sz w:val="18"/>
                <w:szCs w:val="18"/>
                <w:highlight w:val="none"/>
                <w:lang w:bidi="ar"/>
              </w:rPr>
              <w:t xml:space="preserve">  （2）资源多级别储存，化繁为简</w:t>
            </w:r>
            <w:r>
              <w:rPr>
                <w:color w:val="auto"/>
                <w:kern w:val="0"/>
                <w:sz w:val="18"/>
                <w:szCs w:val="18"/>
                <w:highlight w:val="none"/>
                <w:lang w:bidi="ar"/>
              </w:rPr>
              <w:br w:type="textWrapping"/>
            </w:r>
            <w:r>
              <w:rPr>
                <w:color w:val="auto"/>
                <w:kern w:val="0"/>
                <w:sz w:val="18"/>
                <w:szCs w:val="18"/>
                <w:highlight w:val="none"/>
                <w:lang w:bidi="ar"/>
              </w:rPr>
              <w:t xml:space="preserve">   支持资源多级存储，实现资源分布式存储、检索信息集中统一管理；教师可随时添加各类优秀素材以及示范性教学案例等教学基本素材，使学校教育资源建设化繁为简，变难为易。</w:t>
            </w:r>
            <w:r>
              <w:rPr>
                <w:color w:val="auto"/>
                <w:kern w:val="0"/>
                <w:sz w:val="18"/>
                <w:szCs w:val="18"/>
                <w:highlight w:val="none"/>
                <w:lang w:bidi="ar"/>
              </w:rPr>
              <w:br w:type="textWrapping"/>
            </w:r>
            <w:r>
              <w:rPr>
                <w:color w:val="auto"/>
                <w:kern w:val="0"/>
                <w:sz w:val="18"/>
                <w:szCs w:val="18"/>
                <w:highlight w:val="none"/>
                <w:lang w:bidi="ar"/>
              </w:rPr>
              <w:t xml:space="preserve">  （3）数据评价与分析</w:t>
            </w:r>
            <w:r>
              <w:rPr>
                <w:color w:val="auto"/>
                <w:kern w:val="0"/>
                <w:sz w:val="18"/>
                <w:szCs w:val="18"/>
                <w:highlight w:val="none"/>
                <w:lang w:bidi="ar"/>
              </w:rPr>
              <w:br w:type="textWrapping"/>
            </w:r>
            <w:r>
              <w:rPr>
                <w:color w:val="auto"/>
                <w:kern w:val="0"/>
                <w:sz w:val="18"/>
                <w:szCs w:val="18"/>
                <w:highlight w:val="none"/>
                <w:lang w:bidi="ar"/>
              </w:rPr>
              <w:t xml:space="preserve">   为思政教师提供资源使用效果评价分析，通过平台应用、教师评估、学生评估三个层次进行统计评价分析，采用直观的统计图表展示平台应用效果。</w:t>
            </w:r>
            <w:r>
              <w:rPr>
                <w:color w:val="auto"/>
                <w:kern w:val="0"/>
                <w:sz w:val="18"/>
                <w:szCs w:val="18"/>
                <w:highlight w:val="none"/>
                <w:lang w:bidi="ar"/>
              </w:rPr>
              <w:br w:type="textWrapping"/>
            </w:r>
            <w:r>
              <w:rPr>
                <w:color w:val="auto"/>
                <w:kern w:val="0"/>
                <w:sz w:val="18"/>
                <w:szCs w:val="18"/>
                <w:highlight w:val="none"/>
                <w:lang w:bidi="ar"/>
              </w:rPr>
              <w:t>2.党建思政教学资源库包含党建思政、爱国主义教育、专业资源、电子图书、时政信息、精品课程等全方位数字化资源。实现了教学资源的共享和多终端教学资源的突破，为高校实现优质教学资源提供了支撑。</w:t>
            </w:r>
          </w:p>
        </w:tc>
        <w:tc>
          <w:tcPr>
            <w:tcW w:w="863" w:type="dxa"/>
            <w:tcBorders>
              <w:top w:val="single" w:color="000000" w:sz="4" w:space="0"/>
              <w:left w:val="single" w:color="000000" w:sz="4" w:space="0"/>
              <w:bottom w:val="single" w:color="000000" w:sz="4" w:space="0"/>
              <w:right w:val="single" w:color="000000" w:sz="4" w:space="0"/>
            </w:tcBorders>
            <w:vAlign w:val="center"/>
          </w:tcPr>
          <w:p w14:paraId="526DDC7B">
            <w:pPr>
              <w:widowControl/>
              <w:jc w:val="left"/>
              <w:textAlignment w:val="center"/>
              <w:rPr>
                <w:color w:val="auto"/>
                <w:kern w:val="0"/>
                <w:sz w:val="18"/>
                <w:szCs w:val="18"/>
                <w:highlight w:val="none"/>
                <w:lang w:bidi="ar"/>
              </w:rPr>
            </w:pPr>
          </w:p>
        </w:tc>
      </w:tr>
      <w:tr w14:paraId="232D6557">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66EEFDC5">
            <w:pPr>
              <w:widowControl/>
              <w:jc w:val="center"/>
              <w:textAlignment w:val="center"/>
              <w:rPr>
                <w:color w:val="auto"/>
                <w:kern w:val="0"/>
                <w:sz w:val="18"/>
                <w:szCs w:val="18"/>
                <w:highlight w:val="none"/>
                <w:lang w:bidi="ar"/>
              </w:rPr>
            </w:pPr>
            <w:r>
              <w:rPr>
                <w:b/>
                <w:bCs/>
                <w:color w:val="auto"/>
                <w:kern w:val="0"/>
                <w:sz w:val="20"/>
                <w:szCs w:val="20"/>
                <w:highlight w:val="none"/>
                <w:lang w:bidi="ar"/>
              </w:rPr>
              <w:t>中控系统</w:t>
            </w:r>
          </w:p>
        </w:tc>
        <w:tc>
          <w:tcPr>
            <w:tcW w:w="863" w:type="dxa"/>
            <w:tcBorders>
              <w:top w:val="single" w:color="000000" w:sz="4" w:space="0"/>
              <w:left w:val="single" w:color="000000" w:sz="4" w:space="0"/>
              <w:bottom w:val="single" w:color="000000" w:sz="4" w:space="0"/>
              <w:right w:val="single" w:color="000000" w:sz="4" w:space="0"/>
            </w:tcBorders>
            <w:vAlign w:val="center"/>
          </w:tcPr>
          <w:p w14:paraId="1CD52B63">
            <w:pPr>
              <w:widowControl/>
              <w:jc w:val="left"/>
              <w:textAlignment w:val="center"/>
              <w:rPr>
                <w:color w:val="auto"/>
                <w:kern w:val="0"/>
                <w:sz w:val="18"/>
                <w:szCs w:val="18"/>
                <w:highlight w:val="none"/>
                <w:lang w:bidi="ar"/>
              </w:rPr>
            </w:pPr>
          </w:p>
        </w:tc>
      </w:tr>
      <w:tr w14:paraId="20E273D5">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7CB1045B">
            <w:pPr>
              <w:widowControl/>
              <w:jc w:val="left"/>
              <w:textAlignment w:val="center"/>
              <w:rPr>
                <w:color w:val="auto"/>
                <w:sz w:val="18"/>
                <w:szCs w:val="18"/>
                <w:highlight w:val="none"/>
              </w:rPr>
            </w:pPr>
            <w:r>
              <w:rPr>
                <w:color w:val="auto"/>
                <w:kern w:val="0"/>
                <w:sz w:val="18"/>
                <w:szCs w:val="18"/>
                <w:highlight w:val="none"/>
                <w:lang w:bidi="ar"/>
              </w:rPr>
              <w:t>1.控制端控制多客户端或指定数量客户端同步体验统一VR内容。包括并不限于VR立体视频、VR180°全景视频、VR360°全景视频、VR180°全景立体视频、VR360°全景立体视频、VR立体图片、VR180°全景图片、VR360°全景图片、VR180°全景立体图片、VR360°全景立体图片、各种VR立体场景应用软件等。</w:t>
            </w:r>
            <w:r>
              <w:rPr>
                <w:color w:val="auto"/>
                <w:kern w:val="0"/>
                <w:sz w:val="18"/>
                <w:szCs w:val="18"/>
                <w:highlight w:val="none"/>
                <w:lang w:bidi="ar"/>
              </w:rPr>
              <w:br w:type="textWrapping"/>
            </w:r>
            <w:r>
              <w:rPr>
                <w:color w:val="auto"/>
                <w:kern w:val="0"/>
                <w:sz w:val="18"/>
                <w:szCs w:val="18"/>
                <w:highlight w:val="none"/>
                <w:lang w:bidi="ar"/>
              </w:rPr>
              <w:t>2.全面支持播放所有主流VR内容。</w:t>
            </w:r>
            <w:r>
              <w:rPr>
                <w:color w:val="auto"/>
                <w:kern w:val="0"/>
                <w:sz w:val="18"/>
                <w:szCs w:val="18"/>
                <w:highlight w:val="none"/>
                <w:lang w:bidi="ar"/>
              </w:rPr>
              <w:br w:type="textWrapping"/>
            </w:r>
            <w:r>
              <w:rPr>
                <w:color w:val="auto"/>
                <w:kern w:val="0"/>
                <w:sz w:val="18"/>
                <w:szCs w:val="18"/>
                <w:highlight w:val="none"/>
                <w:lang w:bidi="ar"/>
              </w:rPr>
              <w:t xml:space="preserve">3.整个系统中所有环节多层安全加密，保证VR内容安全。 </w:t>
            </w:r>
            <w:r>
              <w:rPr>
                <w:color w:val="auto"/>
                <w:kern w:val="0"/>
                <w:sz w:val="18"/>
                <w:szCs w:val="18"/>
                <w:highlight w:val="none"/>
                <w:lang w:bidi="ar"/>
              </w:rPr>
              <w:br w:type="textWrapping"/>
            </w:r>
            <w:r>
              <w:rPr>
                <w:color w:val="auto"/>
                <w:kern w:val="0"/>
                <w:sz w:val="18"/>
                <w:szCs w:val="18"/>
                <w:highlight w:val="none"/>
                <w:lang w:bidi="ar"/>
              </w:rPr>
              <w:t xml:space="preserve">  3.1.“真正自主”的加密 VR 视频、应用和游戏。</w:t>
            </w:r>
            <w:r>
              <w:rPr>
                <w:color w:val="auto"/>
                <w:kern w:val="0"/>
                <w:sz w:val="18"/>
                <w:szCs w:val="18"/>
                <w:highlight w:val="none"/>
                <w:lang w:bidi="ar"/>
              </w:rPr>
              <w:br w:type="textWrapping"/>
            </w:r>
            <w:r>
              <w:rPr>
                <w:color w:val="auto"/>
                <w:kern w:val="0"/>
                <w:sz w:val="18"/>
                <w:szCs w:val="18"/>
                <w:highlight w:val="none"/>
                <w:lang w:bidi="ar"/>
              </w:rPr>
              <w:t xml:space="preserve">  3.2.在大批量产品出厂时就得到授权，无需开箱。</w:t>
            </w:r>
            <w:r>
              <w:rPr>
                <w:color w:val="auto"/>
                <w:kern w:val="0"/>
                <w:sz w:val="18"/>
                <w:szCs w:val="18"/>
                <w:highlight w:val="none"/>
                <w:lang w:bidi="ar"/>
              </w:rPr>
              <w:br w:type="textWrapping"/>
            </w:r>
            <w:r>
              <w:rPr>
                <w:color w:val="auto"/>
                <w:kern w:val="0"/>
                <w:sz w:val="18"/>
                <w:szCs w:val="18"/>
                <w:highlight w:val="none"/>
                <w:lang w:bidi="ar"/>
              </w:rPr>
              <w:t xml:space="preserve">  3.3.让受保护的版权内容和密钥一起，通过任意介质安全可控传播。</w:t>
            </w:r>
            <w:r>
              <w:rPr>
                <w:color w:val="auto"/>
                <w:kern w:val="0"/>
                <w:sz w:val="18"/>
                <w:szCs w:val="18"/>
                <w:highlight w:val="none"/>
                <w:lang w:bidi="ar"/>
              </w:rPr>
              <w:br w:type="textWrapping"/>
            </w:r>
            <w:r>
              <w:rPr>
                <w:color w:val="auto"/>
                <w:kern w:val="0"/>
                <w:sz w:val="18"/>
                <w:szCs w:val="18"/>
                <w:highlight w:val="none"/>
                <w:lang w:bidi="ar"/>
              </w:rPr>
              <w:t xml:space="preserve">  3.4.让授权、产生密钥和加各个环节分开独立工作。</w:t>
            </w:r>
            <w:r>
              <w:rPr>
                <w:color w:val="auto"/>
                <w:kern w:val="0"/>
                <w:sz w:val="18"/>
                <w:szCs w:val="18"/>
                <w:highlight w:val="none"/>
                <w:lang w:bidi="ar"/>
              </w:rPr>
              <w:br w:type="textWrapping"/>
            </w:r>
            <w:r>
              <w:rPr>
                <w:color w:val="auto"/>
                <w:kern w:val="0"/>
                <w:sz w:val="18"/>
                <w:szCs w:val="18"/>
                <w:highlight w:val="none"/>
                <w:lang w:bidi="ar"/>
              </w:rPr>
              <w:t xml:space="preserve">  3.5.对客户的需求进行深度定制开发。</w:t>
            </w:r>
            <w:r>
              <w:rPr>
                <w:color w:val="auto"/>
                <w:kern w:val="0"/>
                <w:sz w:val="18"/>
                <w:szCs w:val="18"/>
                <w:highlight w:val="none"/>
                <w:lang w:bidi="ar"/>
              </w:rPr>
              <w:br w:type="textWrapping"/>
            </w:r>
            <w:r>
              <w:rPr>
                <w:color w:val="auto"/>
                <w:kern w:val="0"/>
                <w:sz w:val="18"/>
                <w:szCs w:val="18"/>
                <w:highlight w:val="none"/>
                <w:lang w:bidi="ar"/>
              </w:rPr>
              <w:t>4.控制端管理所有客户端，及实时监察设备包括设备ID、SN号码、在线情况、运行情况、电量、设备是否正常运行等，并可实现指定设备遥控关机等功能。</w:t>
            </w:r>
            <w:r>
              <w:rPr>
                <w:color w:val="auto"/>
                <w:kern w:val="0"/>
                <w:sz w:val="18"/>
                <w:szCs w:val="18"/>
                <w:highlight w:val="none"/>
                <w:lang w:bidi="ar"/>
              </w:rPr>
              <w:br w:type="textWrapping"/>
            </w:r>
            <w:r>
              <w:rPr>
                <w:color w:val="auto"/>
                <w:kern w:val="0"/>
                <w:sz w:val="18"/>
                <w:szCs w:val="18"/>
                <w:highlight w:val="none"/>
                <w:lang w:bidi="ar"/>
              </w:rPr>
              <w:t>5.可以实时监控（代码实现完全同步）用户的视频画面。</w:t>
            </w:r>
            <w:r>
              <w:rPr>
                <w:color w:val="auto"/>
                <w:kern w:val="0"/>
                <w:sz w:val="18"/>
                <w:szCs w:val="18"/>
                <w:highlight w:val="none"/>
                <w:lang w:bidi="ar"/>
              </w:rPr>
              <w:br w:type="textWrapping"/>
            </w:r>
            <w:r>
              <w:rPr>
                <w:color w:val="auto"/>
                <w:kern w:val="0"/>
                <w:sz w:val="18"/>
                <w:szCs w:val="18"/>
                <w:highlight w:val="none"/>
                <w:lang w:bidi="ar"/>
              </w:rPr>
              <w:t>6.可以快速设置指定客户端自由/受控模式。</w:t>
            </w:r>
            <w:r>
              <w:rPr>
                <w:color w:val="auto"/>
                <w:kern w:val="0"/>
                <w:sz w:val="18"/>
                <w:szCs w:val="18"/>
                <w:highlight w:val="none"/>
                <w:lang w:bidi="ar"/>
              </w:rPr>
              <w:br w:type="textWrapping"/>
            </w:r>
            <w:r>
              <w:rPr>
                <w:color w:val="auto"/>
                <w:kern w:val="0"/>
                <w:sz w:val="18"/>
                <w:szCs w:val="18"/>
                <w:highlight w:val="none"/>
                <w:lang w:bidi="ar"/>
              </w:rPr>
              <w:t>7.可以实施管理和监控客户端用户体验内容。</w:t>
            </w:r>
            <w:r>
              <w:rPr>
                <w:color w:val="auto"/>
                <w:kern w:val="0"/>
                <w:sz w:val="18"/>
                <w:szCs w:val="18"/>
                <w:highlight w:val="none"/>
                <w:lang w:bidi="ar"/>
              </w:rPr>
              <w:br w:type="textWrapping"/>
            </w:r>
            <w:r>
              <w:rPr>
                <w:color w:val="auto"/>
                <w:kern w:val="0"/>
                <w:sz w:val="18"/>
                <w:szCs w:val="18"/>
                <w:highlight w:val="none"/>
                <w:lang w:bidi="ar"/>
              </w:rPr>
              <w:t>8.控制端基于PC机，并可扩展安卓系统平板。</w:t>
            </w:r>
            <w:r>
              <w:rPr>
                <w:color w:val="auto"/>
                <w:kern w:val="0"/>
                <w:sz w:val="18"/>
                <w:szCs w:val="18"/>
                <w:highlight w:val="none"/>
                <w:lang w:bidi="ar"/>
              </w:rPr>
              <w:br w:type="textWrapping"/>
            </w:r>
            <w:r>
              <w:rPr>
                <w:color w:val="auto"/>
                <w:kern w:val="0"/>
                <w:sz w:val="18"/>
                <w:szCs w:val="18"/>
                <w:highlight w:val="none"/>
                <w:lang w:bidi="ar"/>
              </w:rPr>
              <w:t>9.控制端通过控制程序进行资源管理和设备管理。</w:t>
            </w:r>
            <w:r>
              <w:rPr>
                <w:color w:val="auto"/>
                <w:kern w:val="0"/>
                <w:sz w:val="18"/>
                <w:szCs w:val="18"/>
                <w:highlight w:val="none"/>
                <w:lang w:bidi="ar"/>
              </w:rPr>
              <w:br w:type="textWrapping"/>
            </w:r>
            <w:r>
              <w:rPr>
                <w:color w:val="auto"/>
                <w:kern w:val="0"/>
                <w:sz w:val="18"/>
                <w:szCs w:val="18"/>
                <w:highlight w:val="none"/>
                <w:lang w:bidi="ar"/>
              </w:rPr>
              <w:t>10.客户端接受并执行控制端的各种命令，同时向客户端反馈设备状态。</w:t>
            </w:r>
            <w:r>
              <w:rPr>
                <w:color w:val="auto"/>
                <w:kern w:val="0"/>
                <w:sz w:val="18"/>
                <w:szCs w:val="18"/>
                <w:highlight w:val="none"/>
                <w:lang w:bidi="ar"/>
              </w:rPr>
              <w:br w:type="textWrapping"/>
            </w:r>
            <w:r>
              <w:rPr>
                <w:color w:val="auto"/>
                <w:kern w:val="0"/>
                <w:sz w:val="18"/>
                <w:szCs w:val="18"/>
                <w:highlight w:val="none"/>
                <w:lang w:bidi="ar"/>
              </w:rPr>
              <w:t>11.支持客户端数量不受限制。</w:t>
            </w:r>
          </w:p>
        </w:tc>
        <w:tc>
          <w:tcPr>
            <w:tcW w:w="863" w:type="dxa"/>
            <w:tcBorders>
              <w:top w:val="single" w:color="000000" w:sz="4" w:space="0"/>
              <w:left w:val="single" w:color="000000" w:sz="4" w:space="0"/>
              <w:bottom w:val="single" w:color="000000" w:sz="4" w:space="0"/>
              <w:right w:val="single" w:color="000000" w:sz="4" w:space="0"/>
            </w:tcBorders>
            <w:vAlign w:val="center"/>
          </w:tcPr>
          <w:p w14:paraId="0572B097">
            <w:pPr>
              <w:widowControl/>
              <w:jc w:val="left"/>
              <w:textAlignment w:val="center"/>
              <w:rPr>
                <w:color w:val="auto"/>
                <w:kern w:val="0"/>
                <w:sz w:val="18"/>
                <w:szCs w:val="18"/>
                <w:highlight w:val="none"/>
                <w:lang w:bidi="ar"/>
              </w:rPr>
            </w:pPr>
          </w:p>
        </w:tc>
      </w:tr>
      <w:tr w14:paraId="1D7574CF">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2C87E213">
            <w:pPr>
              <w:widowControl/>
              <w:jc w:val="center"/>
              <w:textAlignment w:val="center"/>
              <w:rPr>
                <w:color w:val="auto"/>
                <w:kern w:val="0"/>
                <w:sz w:val="18"/>
                <w:szCs w:val="18"/>
                <w:highlight w:val="none"/>
                <w:lang w:bidi="ar"/>
              </w:rPr>
            </w:pPr>
            <w:r>
              <w:rPr>
                <w:b/>
                <w:bCs/>
                <w:color w:val="auto"/>
                <w:kern w:val="0"/>
                <w:sz w:val="20"/>
                <w:szCs w:val="20"/>
                <w:highlight w:val="none"/>
                <w:lang w:bidi="ar"/>
              </w:rPr>
              <w:t>实训室文化设计及环境建设</w:t>
            </w:r>
          </w:p>
        </w:tc>
        <w:tc>
          <w:tcPr>
            <w:tcW w:w="863" w:type="dxa"/>
            <w:tcBorders>
              <w:top w:val="single" w:color="000000" w:sz="4" w:space="0"/>
              <w:left w:val="single" w:color="000000" w:sz="4" w:space="0"/>
              <w:bottom w:val="single" w:color="000000" w:sz="4" w:space="0"/>
              <w:right w:val="single" w:color="000000" w:sz="4" w:space="0"/>
            </w:tcBorders>
            <w:vAlign w:val="center"/>
          </w:tcPr>
          <w:p w14:paraId="1EA245BA">
            <w:pPr>
              <w:widowControl/>
              <w:jc w:val="left"/>
              <w:textAlignment w:val="center"/>
              <w:rPr>
                <w:color w:val="auto"/>
                <w:kern w:val="0"/>
                <w:sz w:val="18"/>
                <w:szCs w:val="18"/>
                <w:highlight w:val="none"/>
                <w:lang w:bidi="ar"/>
              </w:rPr>
            </w:pPr>
          </w:p>
        </w:tc>
      </w:tr>
      <w:tr w14:paraId="4D19F11D">
        <w:tblPrEx>
          <w:tblCellMar>
            <w:top w:w="0" w:type="dxa"/>
            <w:left w:w="108" w:type="dxa"/>
            <w:bottom w:w="0" w:type="dxa"/>
            <w:right w:w="108" w:type="dxa"/>
          </w:tblCellMar>
        </w:tblPrEx>
        <w:trPr>
          <w:trHeight w:val="5772"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4C6A066C">
            <w:pPr>
              <w:widowControl/>
              <w:ind w:firstLine="360" w:firstLineChars="200"/>
              <w:jc w:val="left"/>
              <w:textAlignment w:val="center"/>
              <w:rPr>
                <w:color w:val="auto"/>
                <w:kern w:val="0"/>
                <w:sz w:val="18"/>
                <w:szCs w:val="18"/>
                <w:highlight w:val="none"/>
                <w:lang w:bidi="ar"/>
              </w:rPr>
            </w:pPr>
            <w:r>
              <w:rPr>
                <w:color w:val="auto"/>
                <w:kern w:val="0"/>
                <w:sz w:val="18"/>
                <w:szCs w:val="18"/>
                <w:highlight w:val="none"/>
                <w:lang w:bidi="ar"/>
              </w:rPr>
              <w:t>定制，根据实训室课程及学习内容设计天花板与墙面施工。包括教室内地面面积228平，棚顶228平，墙体面积198平，墙面喷刷涂料、平面块料拆除、地面铺设、天棚面龙骨及饰面拆除及设计安装、踢脚线、吊顶天棚、墙纸裱糊、木质装饰线、窗帘、插座、线路改造、普通灯具、温感烟感、配管配线、混凝土、钢筋混凝土模板及支架、施工排水、降水、垃圾清运、水平防护架、垂直防护架、外架、定制灯具、PVC发光字等。                                                                                                                                                   装饰板墙面施工工艺</w:t>
            </w:r>
            <w:r>
              <w:rPr>
                <w:color w:val="auto"/>
                <w:kern w:val="0"/>
                <w:sz w:val="18"/>
                <w:szCs w:val="18"/>
                <w:highlight w:val="none"/>
                <w:lang w:bidi="ar"/>
              </w:rPr>
              <w:br w:type="textWrapping"/>
            </w:r>
            <w:r>
              <w:rPr>
                <w:color w:val="auto"/>
                <w:kern w:val="0"/>
                <w:sz w:val="18"/>
                <w:szCs w:val="18"/>
                <w:highlight w:val="none"/>
                <w:lang w:bidi="ar"/>
              </w:rPr>
              <w:t>1.材料要求：</w:t>
            </w:r>
            <w:r>
              <w:rPr>
                <w:color w:val="auto"/>
                <w:kern w:val="0"/>
                <w:sz w:val="18"/>
                <w:szCs w:val="18"/>
                <w:highlight w:val="none"/>
                <w:lang w:bidi="ar"/>
              </w:rPr>
              <w:br w:type="textWrapping"/>
            </w:r>
            <w:r>
              <w:rPr>
                <w:color w:val="auto"/>
                <w:kern w:val="0"/>
                <w:sz w:val="18"/>
                <w:szCs w:val="18"/>
                <w:highlight w:val="none"/>
                <w:lang w:bidi="ar"/>
              </w:rPr>
              <w:t>1.1木材的树种、规格、材质等级，应符合</w:t>
            </w:r>
            <w:r>
              <w:rPr>
                <w:rFonts w:hint="eastAsia"/>
                <w:color w:val="auto"/>
                <w:kern w:val="0"/>
                <w:sz w:val="18"/>
                <w:szCs w:val="18"/>
                <w:highlight w:val="none"/>
                <w:lang w:bidi="ar"/>
              </w:rPr>
              <w:t>设计图例</w:t>
            </w:r>
            <w:r>
              <w:rPr>
                <w:color w:val="auto"/>
                <w:kern w:val="0"/>
                <w:sz w:val="18"/>
                <w:szCs w:val="18"/>
                <w:highlight w:val="none"/>
                <w:lang w:bidi="ar"/>
              </w:rPr>
              <w:t>要求及《木结构工程施工及验收规范》的规定。</w:t>
            </w:r>
            <w:r>
              <w:rPr>
                <w:color w:val="auto"/>
                <w:kern w:val="0"/>
                <w:sz w:val="18"/>
                <w:szCs w:val="18"/>
                <w:highlight w:val="none"/>
                <w:lang w:bidi="ar"/>
              </w:rPr>
              <w:br w:type="textWrapping"/>
            </w:r>
            <w:r>
              <w:rPr>
                <w:color w:val="auto"/>
                <w:kern w:val="0"/>
                <w:sz w:val="18"/>
                <w:szCs w:val="18"/>
                <w:highlight w:val="none"/>
                <w:lang w:bidi="ar"/>
              </w:rPr>
              <w:t>1.2龙骨料一般用红松烘干料，含水率不大于12％，材质不得有腐朽、节疤、劈裂、扭曲等缺陷，并预先经防腐处理。</w:t>
            </w:r>
            <w:r>
              <w:rPr>
                <w:color w:val="auto"/>
                <w:kern w:val="0"/>
                <w:sz w:val="18"/>
                <w:szCs w:val="18"/>
                <w:highlight w:val="none"/>
                <w:lang w:bidi="ar"/>
              </w:rPr>
              <w:br w:type="textWrapping"/>
            </w:r>
            <w:r>
              <w:rPr>
                <w:color w:val="auto"/>
                <w:kern w:val="0"/>
                <w:sz w:val="18"/>
                <w:szCs w:val="18"/>
                <w:highlight w:val="none"/>
                <w:lang w:bidi="ar"/>
              </w:rPr>
              <w:t>1.3衬板选用</w:t>
            </w:r>
            <w:r>
              <w:rPr>
                <w:rFonts w:hint="eastAsia"/>
                <w:color w:val="auto"/>
                <w:kern w:val="0"/>
                <w:sz w:val="18"/>
                <w:szCs w:val="18"/>
                <w:highlight w:val="none"/>
                <w:lang w:bidi="ar"/>
              </w:rPr>
              <w:t>≥</w:t>
            </w:r>
            <w:r>
              <w:rPr>
                <w:color w:val="auto"/>
                <w:kern w:val="0"/>
                <w:sz w:val="18"/>
                <w:szCs w:val="18"/>
                <w:highlight w:val="none"/>
                <w:lang w:bidi="ar"/>
              </w:rPr>
              <w:t>15mm厚细木工板。</w:t>
            </w:r>
            <w:r>
              <w:rPr>
                <w:color w:val="auto"/>
                <w:kern w:val="0"/>
                <w:sz w:val="18"/>
                <w:szCs w:val="18"/>
                <w:highlight w:val="none"/>
                <w:lang w:bidi="ar"/>
              </w:rPr>
              <w:br w:type="textWrapping"/>
            </w:r>
            <w:r>
              <w:rPr>
                <w:color w:val="auto"/>
                <w:kern w:val="0"/>
                <w:sz w:val="18"/>
                <w:szCs w:val="18"/>
                <w:highlight w:val="none"/>
                <w:lang w:bidi="ar"/>
              </w:rPr>
              <w:t>1.4面板采用竹丝吸音板。</w:t>
            </w:r>
            <w:r>
              <w:rPr>
                <w:color w:val="auto"/>
                <w:kern w:val="0"/>
                <w:sz w:val="18"/>
                <w:szCs w:val="18"/>
                <w:highlight w:val="none"/>
                <w:lang w:bidi="ar"/>
              </w:rPr>
              <w:br w:type="textWrapping"/>
            </w:r>
            <w:r>
              <w:rPr>
                <w:color w:val="auto"/>
                <w:kern w:val="0"/>
                <w:sz w:val="18"/>
                <w:szCs w:val="18"/>
                <w:highlight w:val="none"/>
                <w:lang w:bidi="ar"/>
              </w:rPr>
              <w:t>1.5辅料：粘贴剂、防腐剂、乳胶、氟化钠（纯度应在75％以上，不含游离氟化氢，它的粘度应通过120＃筛）；钉子：选长度规格应是面板厚度的2-2.5倍。</w:t>
            </w:r>
            <w:r>
              <w:rPr>
                <w:color w:val="auto"/>
                <w:kern w:val="0"/>
                <w:sz w:val="18"/>
                <w:szCs w:val="18"/>
                <w:highlight w:val="none"/>
                <w:lang w:bidi="ar"/>
              </w:rPr>
              <w:br w:type="textWrapping"/>
            </w:r>
            <w:r>
              <w:rPr>
                <w:rFonts w:hint="eastAsia"/>
                <w:color w:val="auto"/>
                <w:kern w:val="0"/>
                <w:sz w:val="18"/>
                <w:szCs w:val="18"/>
                <w:highlight w:val="none"/>
                <w:lang w:bidi="ar"/>
              </w:rPr>
              <w:t>2</w:t>
            </w:r>
            <w:r>
              <w:rPr>
                <w:color w:val="auto"/>
                <w:kern w:val="0"/>
                <w:sz w:val="18"/>
                <w:szCs w:val="18"/>
                <w:highlight w:val="none"/>
                <w:lang w:bidi="ar"/>
              </w:rPr>
              <w:t>、质量标准</w:t>
            </w:r>
            <w:r>
              <w:rPr>
                <w:color w:val="auto"/>
                <w:kern w:val="0"/>
                <w:sz w:val="18"/>
                <w:szCs w:val="18"/>
                <w:highlight w:val="none"/>
                <w:lang w:bidi="ar"/>
              </w:rPr>
              <w:br w:type="textWrapping"/>
            </w:r>
            <w:r>
              <w:rPr>
                <w:rFonts w:hint="eastAsia"/>
                <w:color w:val="auto"/>
                <w:kern w:val="0"/>
                <w:sz w:val="18"/>
                <w:szCs w:val="18"/>
                <w:highlight w:val="none"/>
                <w:lang w:bidi="ar"/>
              </w:rPr>
              <w:t>2</w:t>
            </w:r>
            <w:r>
              <w:rPr>
                <w:color w:val="auto"/>
                <w:kern w:val="0"/>
                <w:sz w:val="18"/>
                <w:szCs w:val="18"/>
                <w:highlight w:val="none"/>
                <w:lang w:bidi="ar"/>
              </w:rPr>
              <w:t>.1保证项目：</w:t>
            </w:r>
            <w:r>
              <w:rPr>
                <w:color w:val="auto"/>
                <w:kern w:val="0"/>
                <w:sz w:val="18"/>
                <w:szCs w:val="18"/>
                <w:highlight w:val="none"/>
                <w:lang w:bidi="ar"/>
              </w:rPr>
              <w:br w:type="textWrapping"/>
            </w:r>
            <w:r>
              <w:rPr>
                <w:color w:val="auto"/>
                <w:kern w:val="0"/>
                <w:sz w:val="18"/>
                <w:szCs w:val="18"/>
                <w:highlight w:val="none"/>
                <w:lang w:bidi="ar"/>
              </w:rPr>
              <w:t>（1）树种、材质等级、胶合板的品种、木材的含水率和防腐、防火措施必须符合设计要求和施工规范规定。</w:t>
            </w:r>
            <w:r>
              <w:rPr>
                <w:color w:val="auto"/>
                <w:kern w:val="0"/>
                <w:sz w:val="18"/>
                <w:szCs w:val="18"/>
                <w:highlight w:val="none"/>
                <w:lang w:bidi="ar"/>
              </w:rPr>
              <w:br w:type="textWrapping"/>
            </w:r>
            <w:r>
              <w:rPr>
                <w:color w:val="auto"/>
                <w:kern w:val="0"/>
                <w:sz w:val="18"/>
                <w:szCs w:val="18"/>
                <w:highlight w:val="none"/>
                <w:lang w:bidi="ar"/>
              </w:rPr>
              <w:t>（2）细木制品与基层或木砖镶钉必须牢固无松动。</w:t>
            </w:r>
            <w:r>
              <w:rPr>
                <w:color w:val="auto"/>
                <w:kern w:val="0"/>
                <w:sz w:val="18"/>
                <w:szCs w:val="18"/>
                <w:highlight w:val="none"/>
                <w:lang w:bidi="ar"/>
              </w:rPr>
              <w:br w:type="textWrapping"/>
            </w:r>
            <w:r>
              <w:rPr>
                <w:rFonts w:hint="eastAsia"/>
                <w:color w:val="auto"/>
                <w:kern w:val="0"/>
                <w:sz w:val="18"/>
                <w:szCs w:val="18"/>
                <w:highlight w:val="none"/>
                <w:lang w:bidi="ar"/>
              </w:rPr>
              <w:t>2</w:t>
            </w:r>
            <w:r>
              <w:rPr>
                <w:color w:val="auto"/>
                <w:kern w:val="0"/>
                <w:sz w:val="18"/>
                <w:szCs w:val="18"/>
                <w:highlight w:val="none"/>
                <w:lang w:bidi="ar"/>
              </w:rPr>
              <w:t>.2一般项目</w:t>
            </w:r>
            <w:r>
              <w:rPr>
                <w:color w:val="auto"/>
                <w:kern w:val="0"/>
                <w:sz w:val="18"/>
                <w:szCs w:val="18"/>
                <w:highlight w:val="none"/>
                <w:lang w:bidi="ar"/>
              </w:rPr>
              <w:br w:type="textWrapping"/>
            </w:r>
            <w:r>
              <w:rPr>
                <w:color w:val="auto"/>
                <w:kern w:val="0"/>
                <w:sz w:val="18"/>
                <w:szCs w:val="18"/>
                <w:highlight w:val="none"/>
                <w:lang w:bidi="ar"/>
              </w:rPr>
              <w:t>（1）制作：尺寸正确、表面平直光滑，棱角方正，线条顺直，不露钉帽，无刨槎、刨痕、毛刺和锤印。</w:t>
            </w:r>
            <w:r>
              <w:rPr>
                <w:color w:val="auto"/>
                <w:kern w:val="0"/>
                <w:sz w:val="18"/>
                <w:szCs w:val="18"/>
                <w:highlight w:val="none"/>
                <w:lang w:bidi="ar"/>
              </w:rPr>
              <w:br w:type="textWrapping"/>
            </w:r>
            <w:r>
              <w:rPr>
                <w:color w:val="auto"/>
                <w:kern w:val="0"/>
                <w:sz w:val="18"/>
                <w:szCs w:val="18"/>
                <w:highlight w:val="none"/>
                <w:lang w:bidi="ar"/>
              </w:rPr>
              <w:t>（2）安装：位置正确，割角整齐，交圈、接缝严密，平直通顺，与墙面紧贴，出墙尺寸一致。木护墙、木筒子板、贴脸安装允许偏差。</w:t>
            </w:r>
          </w:p>
          <w:p w14:paraId="2C8C6CA5">
            <w:pPr>
              <w:widowControl/>
              <w:jc w:val="left"/>
              <w:textAlignment w:val="center"/>
              <w:rPr>
                <w:color w:val="auto"/>
                <w:highlight w:val="none"/>
              </w:rPr>
            </w:pPr>
            <w:r>
              <w:rPr>
                <w:rFonts w:hint="eastAsia"/>
                <w:color w:val="auto"/>
                <w:kern w:val="0"/>
                <w:sz w:val="18"/>
                <w:szCs w:val="18"/>
                <w:highlight w:val="none"/>
                <w:lang w:bidi="ar"/>
              </w:rPr>
              <w:t>3.设计图例</w:t>
            </w:r>
          </w:p>
          <w:p w14:paraId="6836889F">
            <w:pPr>
              <w:widowControl/>
              <w:jc w:val="left"/>
              <w:textAlignment w:val="center"/>
              <w:rPr>
                <w:color w:val="auto"/>
                <w:highlight w:val="none"/>
              </w:rPr>
            </w:pPr>
            <w:r>
              <w:rPr>
                <w:color w:val="auto"/>
                <w:highlight w:val="none"/>
              </w:rPr>
              <w:drawing>
                <wp:inline distT="0" distB="0" distL="114300" distR="114300">
                  <wp:extent cx="2653665" cy="3168650"/>
                  <wp:effectExtent l="0" t="0" r="13335" b="12700"/>
                  <wp:docPr id="5" name="图片 2" descr=" "/>
                  <wp:cNvGraphicFramePr/>
                  <a:graphic xmlns:a="http://schemas.openxmlformats.org/drawingml/2006/main">
                    <a:graphicData uri="http://schemas.openxmlformats.org/drawingml/2006/picture">
                      <pic:pic xmlns:pic="http://schemas.openxmlformats.org/drawingml/2006/picture">
                        <pic:nvPicPr>
                          <pic:cNvPr id="5" name="图片 2" descr=" "/>
                          <pic:cNvPicPr/>
                        </pic:nvPicPr>
                        <pic:blipFill>
                          <a:blip r:embed="rId13"/>
                          <a:srcRect/>
                          <a:stretch>
                            <a:fillRect/>
                          </a:stretch>
                        </pic:blipFill>
                        <pic:spPr>
                          <a:xfrm>
                            <a:off x="0" y="0"/>
                            <a:ext cx="2653665" cy="3168650"/>
                          </a:xfrm>
                          <a:prstGeom prst="rect">
                            <a:avLst/>
                          </a:prstGeom>
                          <a:noFill/>
                          <a:ln w="9525" cap="flat" cmpd="sng">
                            <a:noFill/>
                            <a:prstDash val="solid"/>
                            <a:miter/>
                          </a:ln>
                          <a:effectLst/>
                        </pic:spPr>
                      </pic:pic>
                    </a:graphicData>
                  </a:graphic>
                </wp:inline>
              </w:drawing>
            </w:r>
          </w:p>
        </w:tc>
        <w:tc>
          <w:tcPr>
            <w:tcW w:w="863" w:type="dxa"/>
            <w:tcBorders>
              <w:top w:val="single" w:color="000000" w:sz="4" w:space="0"/>
              <w:left w:val="single" w:color="000000" w:sz="4" w:space="0"/>
              <w:bottom w:val="single" w:color="000000" w:sz="4" w:space="0"/>
              <w:right w:val="single" w:color="000000" w:sz="4" w:space="0"/>
            </w:tcBorders>
            <w:vAlign w:val="center"/>
          </w:tcPr>
          <w:p w14:paraId="7A0F4F8F">
            <w:pPr>
              <w:widowControl/>
              <w:jc w:val="left"/>
              <w:textAlignment w:val="center"/>
              <w:rPr>
                <w:color w:val="auto"/>
                <w:kern w:val="0"/>
                <w:sz w:val="18"/>
                <w:szCs w:val="18"/>
                <w:highlight w:val="none"/>
                <w:lang w:bidi="ar"/>
              </w:rPr>
            </w:pPr>
          </w:p>
        </w:tc>
      </w:tr>
      <w:tr w14:paraId="68ADD05E">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2B25E775">
            <w:pPr>
              <w:widowControl/>
              <w:jc w:val="center"/>
              <w:textAlignment w:val="center"/>
              <w:rPr>
                <w:color w:val="auto"/>
                <w:kern w:val="0"/>
                <w:sz w:val="18"/>
                <w:szCs w:val="18"/>
                <w:highlight w:val="none"/>
                <w:lang w:bidi="ar"/>
              </w:rPr>
            </w:pPr>
            <w:r>
              <w:rPr>
                <w:b/>
                <w:bCs/>
                <w:color w:val="auto"/>
                <w:kern w:val="0"/>
                <w:sz w:val="20"/>
                <w:szCs w:val="20"/>
                <w:highlight w:val="none"/>
                <w:lang w:bidi="ar"/>
              </w:rPr>
              <w:t>实训室内外文化设计及环境建设</w:t>
            </w:r>
          </w:p>
        </w:tc>
        <w:tc>
          <w:tcPr>
            <w:tcW w:w="863" w:type="dxa"/>
            <w:tcBorders>
              <w:top w:val="single" w:color="000000" w:sz="4" w:space="0"/>
              <w:left w:val="single" w:color="000000" w:sz="4" w:space="0"/>
              <w:bottom w:val="single" w:color="000000" w:sz="4" w:space="0"/>
              <w:right w:val="single" w:color="000000" w:sz="4" w:space="0"/>
            </w:tcBorders>
            <w:vAlign w:val="center"/>
          </w:tcPr>
          <w:p w14:paraId="66349EF7">
            <w:pPr>
              <w:widowControl/>
              <w:jc w:val="left"/>
              <w:textAlignment w:val="center"/>
              <w:rPr>
                <w:color w:val="auto"/>
                <w:kern w:val="0"/>
                <w:sz w:val="18"/>
                <w:szCs w:val="18"/>
                <w:highlight w:val="none"/>
                <w:lang w:bidi="ar"/>
              </w:rPr>
            </w:pPr>
          </w:p>
        </w:tc>
      </w:tr>
      <w:tr w14:paraId="1754A846">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2C7459B7">
            <w:pPr>
              <w:widowControl/>
              <w:jc w:val="left"/>
              <w:textAlignment w:val="center"/>
              <w:rPr>
                <w:color w:val="auto"/>
                <w:kern w:val="0"/>
                <w:sz w:val="18"/>
                <w:szCs w:val="18"/>
                <w:highlight w:val="none"/>
                <w:lang w:bidi="ar"/>
              </w:rPr>
            </w:pPr>
            <w:r>
              <w:rPr>
                <w:color w:val="auto"/>
                <w:kern w:val="0"/>
                <w:sz w:val="18"/>
                <w:szCs w:val="18"/>
                <w:highlight w:val="none"/>
                <w:lang w:bidi="ar"/>
              </w:rPr>
              <w:t>定制，体现院系优势、亮点、主题明确并兼具科技感。包括走廊内文化设计及建设，地面面积303平，棚顶303平，墙体面积266平，墙面喷刷涂料、平面块料拆除、地面铺设、装饰板、衬板、发光灯带、吸顶灯、天棚面龙骨及饰面拆除及设计安装、吊顶天棚、墙纸裱糊、木质装饰线、窗帘、插座、线路改造、普通灯具、配管配线、混凝土、钢筋混凝土模板及支架、施工排水、降水、垃圾清运、水平防护架、垂直防护架、外架、定制灯具、PVC发光字等。                                                                                                                        装饰板墙面施工工艺</w:t>
            </w:r>
            <w:r>
              <w:rPr>
                <w:color w:val="auto"/>
                <w:kern w:val="0"/>
                <w:sz w:val="18"/>
                <w:szCs w:val="18"/>
                <w:highlight w:val="none"/>
                <w:lang w:bidi="ar"/>
              </w:rPr>
              <w:br w:type="textWrapping"/>
            </w:r>
            <w:r>
              <w:rPr>
                <w:color w:val="auto"/>
                <w:kern w:val="0"/>
                <w:sz w:val="18"/>
                <w:szCs w:val="18"/>
                <w:highlight w:val="none"/>
                <w:lang w:bidi="ar"/>
              </w:rPr>
              <w:t>1、材料要求：</w:t>
            </w:r>
            <w:r>
              <w:rPr>
                <w:color w:val="auto"/>
                <w:kern w:val="0"/>
                <w:sz w:val="18"/>
                <w:szCs w:val="18"/>
                <w:highlight w:val="none"/>
                <w:lang w:bidi="ar"/>
              </w:rPr>
              <w:br w:type="textWrapping"/>
            </w:r>
            <w:r>
              <w:rPr>
                <w:color w:val="auto"/>
                <w:kern w:val="0"/>
                <w:sz w:val="18"/>
                <w:szCs w:val="18"/>
                <w:highlight w:val="none"/>
                <w:lang w:bidi="ar"/>
              </w:rPr>
              <w:t>1.1木材的树种、规格、材质等级，应符合</w:t>
            </w:r>
            <w:r>
              <w:rPr>
                <w:rFonts w:hint="eastAsia"/>
                <w:color w:val="auto"/>
                <w:kern w:val="0"/>
                <w:sz w:val="18"/>
                <w:szCs w:val="18"/>
                <w:highlight w:val="none"/>
                <w:lang w:bidi="ar"/>
              </w:rPr>
              <w:t>设计图例</w:t>
            </w:r>
            <w:r>
              <w:rPr>
                <w:color w:val="auto"/>
                <w:kern w:val="0"/>
                <w:sz w:val="18"/>
                <w:szCs w:val="18"/>
                <w:highlight w:val="none"/>
                <w:lang w:bidi="ar"/>
              </w:rPr>
              <w:t>要求及《木结构工程施工及验收规范》的规定。</w:t>
            </w:r>
            <w:r>
              <w:rPr>
                <w:color w:val="auto"/>
                <w:kern w:val="0"/>
                <w:sz w:val="18"/>
                <w:szCs w:val="18"/>
                <w:highlight w:val="none"/>
                <w:lang w:bidi="ar"/>
              </w:rPr>
              <w:br w:type="textWrapping"/>
            </w:r>
            <w:r>
              <w:rPr>
                <w:color w:val="auto"/>
                <w:kern w:val="0"/>
                <w:sz w:val="18"/>
                <w:szCs w:val="18"/>
                <w:highlight w:val="none"/>
                <w:lang w:bidi="ar"/>
              </w:rPr>
              <w:t>1.2龙骨料一般用红松烘干料，含水率不大于12％，材质不得有腐朽、节疤、劈裂、扭曲等缺陷，并预先经防腐处理。</w:t>
            </w:r>
            <w:r>
              <w:rPr>
                <w:color w:val="auto"/>
                <w:kern w:val="0"/>
                <w:sz w:val="18"/>
                <w:szCs w:val="18"/>
                <w:highlight w:val="none"/>
                <w:lang w:bidi="ar"/>
              </w:rPr>
              <w:br w:type="textWrapping"/>
            </w:r>
            <w:r>
              <w:rPr>
                <w:color w:val="auto"/>
                <w:kern w:val="0"/>
                <w:sz w:val="18"/>
                <w:szCs w:val="18"/>
                <w:highlight w:val="none"/>
                <w:lang w:bidi="ar"/>
              </w:rPr>
              <w:t>1.3衬板选用</w:t>
            </w:r>
            <w:r>
              <w:rPr>
                <w:rFonts w:hint="eastAsia"/>
                <w:color w:val="auto"/>
                <w:kern w:val="0"/>
                <w:sz w:val="18"/>
                <w:szCs w:val="18"/>
                <w:highlight w:val="none"/>
                <w:lang w:bidi="ar"/>
              </w:rPr>
              <w:t>≥</w:t>
            </w:r>
            <w:r>
              <w:rPr>
                <w:color w:val="auto"/>
                <w:kern w:val="0"/>
                <w:sz w:val="18"/>
                <w:szCs w:val="18"/>
                <w:highlight w:val="none"/>
                <w:lang w:bidi="ar"/>
              </w:rPr>
              <w:t>15mm厚细木工板。</w:t>
            </w:r>
            <w:r>
              <w:rPr>
                <w:color w:val="auto"/>
                <w:kern w:val="0"/>
                <w:sz w:val="18"/>
                <w:szCs w:val="18"/>
                <w:highlight w:val="none"/>
                <w:lang w:bidi="ar"/>
              </w:rPr>
              <w:br w:type="textWrapping"/>
            </w:r>
            <w:r>
              <w:rPr>
                <w:color w:val="auto"/>
                <w:kern w:val="0"/>
                <w:sz w:val="18"/>
                <w:szCs w:val="18"/>
                <w:highlight w:val="none"/>
                <w:lang w:bidi="ar"/>
              </w:rPr>
              <w:t>1.4面板采用竹丝吸音板。</w:t>
            </w:r>
            <w:r>
              <w:rPr>
                <w:color w:val="auto"/>
                <w:kern w:val="0"/>
                <w:sz w:val="18"/>
                <w:szCs w:val="18"/>
                <w:highlight w:val="none"/>
                <w:lang w:bidi="ar"/>
              </w:rPr>
              <w:br w:type="textWrapping"/>
            </w:r>
            <w:r>
              <w:rPr>
                <w:color w:val="auto"/>
                <w:kern w:val="0"/>
                <w:sz w:val="18"/>
                <w:szCs w:val="18"/>
                <w:highlight w:val="none"/>
                <w:lang w:bidi="ar"/>
              </w:rPr>
              <w:t>1.5辅料：粘贴剂、防腐剂、乳胶、氟化钠（纯度应在75％以上，不含游离氟化氢，它的粘度应通过120＃筛）；钉子：选长度规格应是面板厚度的2-2.5倍。</w:t>
            </w:r>
            <w:r>
              <w:rPr>
                <w:color w:val="auto"/>
                <w:kern w:val="0"/>
                <w:sz w:val="18"/>
                <w:szCs w:val="18"/>
                <w:highlight w:val="none"/>
                <w:lang w:bidi="ar"/>
              </w:rPr>
              <w:br w:type="textWrapping"/>
            </w:r>
            <w:r>
              <w:rPr>
                <w:rFonts w:hint="eastAsia"/>
                <w:color w:val="auto"/>
                <w:kern w:val="0"/>
                <w:sz w:val="18"/>
                <w:szCs w:val="18"/>
                <w:highlight w:val="none"/>
                <w:lang w:bidi="ar"/>
              </w:rPr>
              <w:t>2</w:t>
            </w:r>
            <w:r>
              <w:rPr>
                <w:color w:val="auto"/>
                <w:kern w:val="0"/>
                <w:sz w:val="18"/>
                <w:szCs w:val="18"/>
                <w:highlight w:val="none"/>
                <w:lang w:bidi="ar"/>
              </w:rPr>
              <w:t>、质量标准</w:t>
            </w:r>
            <w:r>
              <w:rPr>
                <w:color w:val="auto"/>
                <w:kern w:val="0"/>
                <w:sz w:val="18"/>
                <w:szCs w:val="18"/>
                <w:highlight w:val="none"/>
                <w:lang w:bidi="ar"/>
              </w:rPr>
              <w:br w:type="textWrapping"/>
            </w:r>
            <w:r>
              <w:rPr>
                <w:rFonts w:hint="eastAsia"/>
                <w:color w:val="auto"/>
                <w:kern w:val="0"/>
                <w:sz w:val="18"/>
                <w:szCs w:val="18"/>
                <w:highlight w:val="none"/>
                <w:lang w:bidi="ar"/>
              </w:rPr>
              <w:t>2</w:t>
            </w:r>
            <w:r>
              <w:rPr>
                <w:color w:val="auto"/>
                <w:kern w:val="0"/>
                <w:sz w:val="18"/>
                <w:szCs w:val="18"/>
                <w:highlight w:val="none"/>
                <w:lang w:bidi="ar"/>
              </w:rPr>
              <w:t>.1保证项目：</w:t>
            </w:r>
            <w:r>
              <w:rPr>
                <w:color w:val="auto"/>
                <w:kern w:val="0"/>
                <w:sz w:val="18"/>
                <w:szCs w:val="18"/>
                <w:highlight w:val="none"/>
                <w:lang w:bidi="ar"/>
              </w:rPr>
              <w:br w:type="textWrapping"/>
            </w:r>
            <w:r>
              <w:rPr>
                <w:color w:val="auto"/>
                <w:kern w:val="0"/>
                <w:sz w:val="18"/>
                <w:szCs w:val="18"/>
                <w:highlight w:val="none"/>
                <w:lang w:bidi="ar"/>
              </w:rPr>
              <w:t>（1）树种、材质等级、胶合板的品种、木材的含水率和防腐、防火措施必须符合设计要求和施工规范规定。</w:t>
            </w:r>
            <w:r>
              <w:rPr>
                <w:color w:val="auto"/>
                <w:kern w:val="0"/>
                <w:sz w:val="18"/>
                <w:szCs w:val="18"/>
                <w:highlight w:val="none"/>
                <w:lang w:bidi="ar"/>
              </w:rPr>
              <w:br w:type="textWrapping"/>
            </w:r>
            <w:r>
              <w:rPr>
                <w:color w:val="auto"/>
                <w:kern w:val="0"/>
                <w:sz w:val="18"/>
                <w:szCs w:val="18"/>
                <w:highlight w:val="none"/>
                <w:lang w:bidi="ar"/>
              </w:rPr>
              <w:t>（2）细木制品与基层或木砖镶钉必须牢固无松动。</w:t>
            </w:r>
            <w:r>
              <w:rPr>
                <w:color w:val="auto"/>
                <w:kern w:val="0"/>
                <w:sz w:val="18"/>
                <w:szCs w:val="18"/>
                <w:highlight w:val="none"/>
                <w:lang w:bidi="ar"/>
              </w:rPr>
              <w:br w:type="textWrapping"/>
            </w:r>
            <w:r>
              <w:rPr>
                <w:rFonts w:hint="eastAsia"/>
                <w:color w:val="auto"/>
                <w:kern w:val="0"/>
                <w:sz w:val="18"/>
                <w:szCs w:val="18"/>
                <w:highlight w:val="none"/>
                <w:lang w:bidi="ar"/>
              </w:rPr>
              <w:t>2</w:t>
            </w:r>
            <w:r>
              <w:rPr>
                <w:color w:val="auto"/>
                <w:kern w:val="0"/>
                <w:sz w:val="18"/>
                <w:szCs w:val="18"/>
                <w:highlight w:val="none"/>
                <w:lang w:bidi="ar"/>
              </w:rPr>
              <w:t>.2一般项目</w:t>
            </w:r>
            <w:r>
              <w:rPr>
                <w:color w:val="auto"/>
                <w:kern w:val="0"/>
                <w:sz w:val="18"/>
                <w:szCs w:val="18"/>
                <w:highlight w:val="none"/>
                <w:lang w:bidi="ar"/>
              </w:rPr>
              <w:br w:type="textWrapping"/>
            </w:r>
            <w:r>
              <w:rPr>
                <w:color w:val="auto"/>
                <w:kern w:val="0"/>
                <w:sz w:val="18"/>
                <w:szCs w:val="18"/>
                <w:highlight w:val="none"/>
                <w:lang w:bidi="ar"/>
              </w:rPr>
              <w:t>（1）制作：尺寸正确、表面平直光滑，棱角方正，线条顺直，不露钉帽，无刨槎、刨痕、毛刺和锤印。</w:t>
            </w:r>
            <w:r>
              <w:rPr>
                <w:color w:val="auto"/>
                <w:kern w:val="0"/>
                <w:sz w:val="18"/>
                <w:szCs w:val="18"/>
                <w:highlight w:val="none"/>
                <w:lang w:bidi="ar"/>
              </w:rPr>
              <w:br w:type="textWrapping"/>
            </w:r>
            <w:r>
              <w:rPr>
                <w:color w:val="auto"/>
                <w:kern w:val="0"/>
                <w:sz w:val="18"/>
                <w:szCs w:val="18"/>
                <w:highlight w:val="none"/>
                <w:lang w:bidi="ar"/>
              </w:rPr>
              <w:t>（2）安装：位置正确，割角整齐，交圈、接缝严密，平直通顺，与墙面紧贴，出墙尺寸一致。木护墙、木筒子板、贴脸安装允许偏差。</w:t>
            </w:r>
          </w:p>
          <w:p w14:paraId="1F7EFA03">
            <w:pPr>
              <w:widowControl/>
              <w:jc w:val="left"/>
              <w:textAlignment w:val="center"/>
              <w:rPr>
                <w:color w:val="auto"/>
                <w:kern w:val="0"/>
                <w:sz w:val="18"/>
                <w:szCs w:val="18"/>
                <w:highlight w:val="none"/>
                <w:lang w:bidi="ar"/>
              </w:rPr>
            </w:pPr>
            <w:r>
              <w:rPr>
                <w:rFonts w:hint="eastAsia"/>
                <w:color w:val="auto"/>
                <w:kern w:val="0"/>
                <w:sz w:val="18"/>
                <w:szCs w:val="18"/>
                <w:highlight w:val="none"/>
                <w:lang w:bidi="ar"/>
              </w:rPr>
              <w:t>3.设计图例</w:t>
            </w:r>
          </w:p>
          <w:p w14:paraId="5984F6B0">
            <w:pPr>
              <w:widowControl/>
              <w:jc w:val="left"/>
              <w:textAlignment w:val="center"/>
              <w:rPr>
                <w:color w:val="auto"/>
                <w:highlight w:val="none"/>
              </w:rPr>
            </w:pPr>
            <w:r>
              <w:rPr>
                <w:color w:val="auto"/>
                <w:highlight w:val="none"/>
              </w:rPr>
              <w:drawing>
                <wp:inline distT="0" distB="0" distL="114300" distR="114300">
                  <wp:extent cx="2795905" cy="3276600"/>
                  <wp:effectExtent l="0" t="0" r="4445" b="0"/>
                  <wp:docPr id="3" name="图片 1" descr=" "/>
                  <wp:cNvGraphicFramePr/>
                  <a:graphic xmlns:a="http://schemas.openxmlformats.org/drawingml/2006/main">
                    <a:graphicData uri="http://schemas.openxmlformats.org/drawingml/2006/picture">
                      <pic:pic xmlns:pic="http://schemas.openxmlformats.org/drawingml/2006/picture">
                        <pic:nvPicPr>
                          <pic:cNvPr id="3" name="图片 1" descr=" "/>
                          <pic:cNvPicPr/>
                        </pic:nvPicPr>
                        <pic:blipFill>
                          <a:blip r:embed="rId13"/>
                          <a:srcRect/>
                          <a:stretch>
                            <a:fillRect/>
                          </a:stretch>
                        </pic:blipFill>
                        <pic:spPr>
                          <a:xfrm>
                            <a:off x="0" y="0"/>
                            <a:ext cx="2795905" cy="3276600"/>
                          </a:xfrm>
                          <a:prstGeom prst="rect">
                            <a:avLst/>
                          </a:prstGeom>
                          <a:noFill/>
                          <a:ln w="9525" cap="flat" cmpd="sng">
                            <a:noFill/>
                            <a:prstDash val="solid"/>
                            <a:miter/>
                          </a:ln>
                          <a:effectLst/>
                        </pic:spPr>
                      </pic:pic>
                    </a:graphicData>
                  </a:graphic>
                </wp:inline>
              </w:drawing>
            </w:r>
          </w:p>
        </w:tc>
        <w:tc>
          <w:tcPr>
            <w:tcW w:w="863" w:type="dxa"/>
            <w:tcBorders>
              <w:top w:val="single" w:color="000000" w:sz="4" w:space="0"/>
              <w:left w:val="single" w:color="000000" w:sz="4" w:space="0"/>
              <w:bottom w:val="single" w:color="000000" w:sz="4" w:space="0"/>
              <w:right w:val="single" w:color="000000" w:sz="4" w:space="0"/>
            </w:tcBorders>
            <w:vAlign w:val="center"/>
          </w:tcPr>
          <w:p w14:paraId="5CACF682">
            <w:pPr>
              <w:widowControl/>
              <w:jc w:val="left"/>
              <w:textAlignment w:val="center"/>
              <w:rPr>
                <w:color w:val="auto"/>
                <w:kern w:val="0"/>
                <w:sz w:val="18"/>
                <w:szCs w:val="18"/>
                <w:highlight w:val="none"/>
                <w:lang w:bidi="ar"/>
              </w:rPr>
            </w:pPr>
          </w:p>
        </w:tc>
      </w:tr>
      <w:tr w14:paraId="70149900">
        <w:tblPrEx>
          <w:tblCellMar>
            <w:top w:w="0" w:type="dxa"/>
            <w:left w:w="108" w:type="dxa"/>
            <w:bottom w:w="0" w:type="dxa"/>
            <w:right w:w="108" w:type="dxa"/>
          </w:tblCellMar>
        </w:tblPrEx>
        <w:trPr>
          <w:trHeight w:val="420" w:hRule="atLeast"/>
        </w:trPr>
        <w:tc>
          <w:tcPr>
            <w:tcW w:w="10447" w:type="dxa"/>
            <w:gridSpan w:val="2"/>
            <w:tcBorders>
              <w:top w:val="single" w:color="000000" w:sz="4" w:space="0"/>
              <w:left w:val="single" w:color="000000" w:sz="4" w:space="0"/>
              <w:bottom w:val="single" w:color="000000" w:sz="4" w:space="0"/>
              <w:right w:val="single" w:color="000000" w:sz="4" w:space="0"/>
            </w:tcBorders>
            <w:vAlign w:val="center"/>
          </w:tcPr>
          <w:p w14:paraId="3D03857D">
            <w:pPr>
              <w:widowControl/>
              <w:jc w:val="center"/>
              <w:textAlignment w:val="center"/>
              <w:rPr>
                <w:color w:val="auto"/>
                <w:kern w:val="0"/>
                <w:sz w:val="18"/>
                <w:szCs w:val="18"/>
                <w:highlight w:val="none"/>
                <w:lang w:bidi="ar"/>
              </w:rPr>
            </w:pPr>
            <w:r>
              <w:rPr>
                <w:b/>
                <w:bCs/>
                <w:color w:val="auto"/>
                <w:kern w:val="0"/>
                <w:sz w:val="20"/>
                <w:szCs w:val="20"/>
                <w:highlight w:val="none"/>
                <w:lang w:bidi="ar"/>
              </w:rPr>
              <w:t>其他要求</w:t>
            </w:r>
          </w:p>
        </w:tc>
      </w:tr>
      <w:tr w14:paraId="249480FC">
        <w:tblPrEx>
          <w:tblCellMar>
            <w:top w:w="0" w:type="dxa"/>
            <w:left w:w="108" w:type="dxa"/>
            <w:bottom w:w="0" w:type="dxa"/>
            <w:right w:w="108" w:type="dxa"/>
          </w:tblCellMar>
        </w:tblPrEx>
        <w:trPr>
          <w:trHeight w:val="496"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CDA6C90">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1</w:t>
            </w:r>
            <w:r>
              <w:rPr>
                <w:rFonts w:hint="eastAsia"/>
                <w:color w:val="auto"/>
                <w:kern w:val="0"/>
                <w:sz w:val="18"/>
                <w:szCs w:val="18"/>
                <w:highlight w:val="none"/>
                <w:lang w:bidi="ar"/>
              </w:rPr>
              <w:t>.</w:t>
            </w:r>
            <w:r>
              <w:rPr>
                <w:b/>
                <w:bCs/>
                <w:color w:val="auto"/>
                <w:kern w:val="0"/>
                <w:sz w:val="18"/>
                <w:szCs w:val="18"/>
                <w:highlight w:val="none"/>
                <w:lang w:bidi="ar"/>
              </w:rPr>
              <w:t>投标文件中提供承诺函</w:t>
            </w:r>
            <w:r>
              <w:rPr>
                <w:color w:val="auto"/>
                <w:kern w:val="0"/>
                <w:sz w:val="18"/>
                <w:szCs w:val="18"/>
                <w:highlight w:val="none"/>
                <w:lang w:bidi="ar"/>
              </w:rPr>
              <w:t>，</w:t>
            </w:r>
            <w:r>
              <w:rPr>
                <w:rFonts w:hint="eastAsia"/>
                <w:color w:val="auto"/>
                <w:kern w:val="0"/>
                <w:sz w:val="18"/>
                <w:szCs w:val="18"/>
                <w:highlight w:val="none"/>
                <w:lang w:bidi="ar"/>
              </w:rPr>
              <w:t>承诺合同签订时提供“会展管理模拟实训系统”软件的生产厂家针对本项目的授权书原件及售后服务承诺书原件。</w:t>
            </w:r>
          </w:p>
        </w:tc>
        <w:tc>
          <w:tcPr>
            <w:tcW w:w="863" w:type="dxa"/>
            <w:tcBorders>
              <w:top w:val="single" w:color="000000" w:sz="4" w:space="0"/>
              <w:left w:val="single" w:color="000000" w:sz="4" w:space="0"/>
              <w:bottom w:val="single" w:color="000000" w:sz="4" w:space="0"/>
              <w:right w:val="single" w:color="000000" w:sz="4" w:space="0"/>
            </w:tcBorders>
            <w:vAlign w:val="center"/>
          </w:tcPr>
          <w:p w14:paraId="6E56084C">
            <w:pPr>
              <w:widowControl/>
              <w:jc w:val="left"/>
              <w:textAlignment w:val="center"/>
              <w:rPr>
                <w:color w:val="auto"/>
                <w:kern w:val="0"/>
                <w:sz w:val="18"/>
                <w:szCs w:val="18"/>
                <w:highlight w:val="none"/>
                <w:lang w:bidi="ar"/>
              </w:rPr>
            </w:pPr>
          </w:p>
        </w:tc>
      </w:tr>
      <w:tr w14:paraId="7D866B49">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20E47322">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2</w:t>
            </w:r>
            <w:r>
              <w:rPr>
                <w:color w:val="auto"/>
                <w:kern w:val="0"/>
                <w:sz w:val="18"/>
                <w:szCs w:val="18"/>
                <w:highlight w:val="none"/>
                <w:lang w:bidi="ar"/>
              </w:rPr>
              <w:t>.</w:t>
            </w:r>
            <w:r>
              <w:rPr>
                <w:b/>
                <w:bCs/>
                <w:color w:val="auto"/>
                <w:kern w:val="0"/>
                <w:sz w:val="18"/>
                <w:szCs w:val="18"/>
                <w:highlight w:val="none"/>
                <w:lang w:bidi="ar"/>
              </w:rPr>
              <w:t>投标文件中提供承诺函</w:t>
            </w:r>
            <w:r>
              <w:rPr>
                <w:color w:val="auto"/>
                <w:kern w:val="0"/>
                <w:sz w:val="18"/>
                <w:szCs w:val="18"/>
                <w:highlight w:val="none"/>
                <w:lang w:bidi="ar"/>
              </w:rPr>
              <w:t>，承诺“对于列入国家强制性产品认证目录的产品，在供货时提供3C强制性认证证书。”</w:t>
            </w:r>
          </w:p>
        </w:tc>
        <w:tc>
          <w:tcPr>
            <w:tcW w:w="863" w:type="dxa"/>
            <w:tcBorders>
              <w:top w:val="single" w:color="000000" w:sz="4" w:space="0"/>
              <w:left w:val="single" w:color="000000" w:sz="4" w:space="0"/>
              <w:bottom w:val="single" w:color="000000" w:sz="4" w:space="0"/>
              <w:right w:val="single" w:color="000000" w:sz="4" w:space="0"/>
            </w:tcBorders>
            <w:vAlign w:val="center"/>
          </w:tcPr>
          <w:p w14:paraId="2F754FB0">
            <w:pPr>
              <w:widowControl/>
              <w:jc w:val="left"/>
              <w:textAlignment w:val="center"/>
              <w:rPr>
                <w:color w:val="auto"/>
                <w:kern w:val="0"/>
                <w:sz w:val="18"/>
                <w:szCs w:val="18"/>
                <w:highlight w:val="none"/>
                <w:lang w:bidi="ar"/>
              </w:rPr>
            </w:pPr>
          </w:p>
        </w:tc>
      </w:tr>
      <w:tr w14:paraId="04650993">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F93988D">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3</w:t>
            </w:r>
            <w:r>
              <w:rPr>
                <w:color w:val="auto"/>
                <w:kern w:val="0"/>
                <w:sz w:val="18"/>
                <w:szCs w:val="18"/>
                <w:highlight w:val="none"/>
                <w:lang w:bidi="ar"/>
              </w:rPr>
              <w:t>.中标人应保证所提供的设备和技术达到本规格书所提出的各项要求。</w:t>
            </w:r>
          </w:p>
        </w:tc>
        <w:tc>
          <w:tcPr>
            <w:tcW w:w="863" w:type="dxa"/>
            <w:tcBorders>
              <w:top w:val="single" w:color="000000" w:sz="4" w:space="0"/>
              <w:left w:val="single" w:color="000000" w:sz="4" w:space="0"/>
              <w:bottom w:val="single" w:color="000000" w:sz="4" w:space="0"/>
              <w:right w:val="single" w:color="000000" w:sz="4" w:space="0"/>
            </w:tcBorders>
            <w:vAlign w:val="center"/>
          </w:tcPr>
          <w:p w14:paraId="3C335879">
            <w:pPr>
              <w:widowControl/>
              <w:jc w:val="left"/>
              <w:textAlignment w:val="center"/>
              <w:rPr>
                <w:color w:val="auto"/>
                <w:kern w:val="0"/>
                <w:sz w:val="18"/>
                <w:szCs w:val="18"/>
                <w:highlight w:val="none"/>
                <w:lang w:bidi="ar"/>
              </w:rPr>
            </w:pPr>
          </w:p>
        </w:tc>
      </w:tr>
      <w:tr w14:paraId="248B78BE">
        <w:tblPrEx>
          <w:tblCellMar>
            <w:top w:w="0" w:type="dxa"/>
            <w:left w:w="108" w:type="dxa"/>
            <w:bottom w:w="0" w:type="dxa"/>
            <w:right w:w="108" w:type="dxa"/>
          </w:tblCellMar>
        </w:tblPrEx>
        <w:trPr>
          <w:trHeight w:val="509"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1E5AC96F">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4</w:t>
            </w:r>
            <w:r>
              <w:rPr>
                <w:color w:val="auto"/>
                <w:kern w:val="0"/>
                <w:sz w:val="18"/>
                <w:szCs w:val="18"/>
                <w:highlight w:val="none"/>
                <w:lang w:bidi="ar"/>
              </w:rPr>
              <w:t>.产品调试后，按确认后的验收大纲及验收标准或相应的国家标准，买方和卖方共同对产品进行验收，达到验收标准后，买卖双方共同签署产品验收合格证书后投入使用。</w:t>
            </w:r>
          </w:p>
        </w:tc>
        <w:tc>
          <w:tcPr>
            <w:tcW w:w="863" w:type="dxa"/>
            <w:tcBorders>
              <w:top w:val="single" w:color="000000" w:sz="4" w:space="0"/>
              <w:left w:val="single" w:color="000000" w:sz="4" w:space="0"/>
              <w:bottom w:val="single" w:color="000000" w:sz="4" w:space="0"/>
              <w:right w:val="single" w:color="000000" w:sz="4" w:space="0"/>
            </w:tcBorders>
            <w:vAlign w:val="center"/>
          </w:tcPr>
          <w:p w14:paraId="39021BA9">
            <w:pPr>
              <w:widowControl/>
              <w:jc w:val="left"/>
              <w:textAlignment w:val="center"/>
              <w:rPr>
                <w:color w:val="auto"/>
                <w:kern w:val="0"/>
                <w:sz w:val="18"/>
                <w:szCs w:val="18"/>
                <w:highlight w:val="none"/>
                <w:lang w:bidi="ar"/>
              </w:rPr>
            </w:pPr>
          </w:p>
        </w:tc>
      </w:tr>
      <w:tr w14:paraId="2D15C868">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694A9AAE">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5</w:t>
            </w:r>
            <w:r>
              <w:rPr>
                <w:color w:val="auto"/>
                <w:kern w:val="0"/>
                <w:sz w:val="18"/>
                <w:szCs w:val="18"/>
                <w:highlight w:val="none"/>
                <w:lang w:bidi="ar"/>
              </w:rPr>
              <w:t>.招标采购产品到达买方后，中标人应在收到买方通知后七天内派合适的技术人员前往买方完成安装调试。</w:t>
            </w:r>
          </w:p>
        </w:tc>
        <w:tc>
          <w:tcPr>
            <w:tcW w:w="863" w:type="dxa"/>
            <w:tcBorders>
              <w:top w:val="single" w:color="000000" w:sz="4" w:space="0"/>
              <w:left w:val="single" w:color="000000" w:sz="4" w:space="0"/>
              <w:bottom w:val="single" w:color="000000" w:sz="4" w:space="0"/>
              <w:right w:val="single" w:color="000000" w:sz="4" w:space="0"/>
            </w:tcBorders>
            <w:vAlign w:val="center"/>
          </w:tcPr>
          <w:p w14:paraId="29623DC7">
            <w:pPr>
              <w:widowControl/>
              <w:jc w:val="left"/>
              <w:textAlignment w:val="center"/>
              <w:rPr>
                <w:color w:val="auto"/>
                <w:kern w:val="0"/>
                <w:sz w:val="18"/>
                <w:szCs w:val="18"/>
                <w:highlight w:val="none"/>
                <w:lang w:bidi="ar"/>
              </w:rPr>
            </w:pPr>
          </w:p>
        </w:tc>
      </w:tr>
      <w:tr w14:paraId="098D308C">
        <w:tblPrEx>
          <w:tblCellMar>
            <w:top w:w="0" w:type="dxa"/>
            <w:left w:w="108" w:type="dxa"/>
            <w:bottom w:w="0" w:type="dxa"/>
            <w:right w:w="108" w:type="dxa"/>
          </w:tblCellMar>
        </w:tblPrEx>
        <w:trPr>
          <w:trHeight w:val="42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533B38B2">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6</w:t>
            </w:r>
            <w:r>
              <w:rPr>
                <w:color w:val="auto"/>
                <w:kern w:val="0"/>
                <w:sz w:val="18"/>
                <w:szCs w:val="18"/>
                <w:highlight w:val="none"/>
                <w:lang w:bidi="ar"/>
              </w:rPr>
              <w:t>.合同签订后</w:t>
            </w:r>
            <w:r>
              <w:rPr>
                <w:rFonts w:hint="eastAsia"/>
                <w:color w:val="auto"/>
                <w:kern w:val="0"/>
                <w:sz w:val="18"/>
                <w:szCs w:val="18"/>
                <w:highlight w:val="none"/>
                <w:lang w:val="en-US" w:eastAsia="zh-CN" w:bidi="ar"/>
              </w:rPr>
              <w:t>60</w:t>
            </w:r>
            <w:r>
              <w:rPr>
                <w:color w:val="auto"/>
                <w:kern w:val="0"/>
                <w:sz w:val="18"/>
                <w:szCs w:val="18"/>
                <w:highlight w:val="none"/>
                <w:lang w:bidi="ar"/>
              </w:rPr>
              <w:t>天内完成所有设备供货、安装、调试。如因卖方责任而造成的延期而产生的费用由卖方负担；</w:t>
            </w:r>
          </w:p>
        </w:tc>
        <w:tc>
          <w:tcPr>
            <w:tcW w:w="863" w:type="dxa"/>
            <w:tcBorders>
              <w:top w:val="single" w:color="000000" w:sz="4" w:space="0"/>
              <w:left w:val="single" w:color="000000" w:sz="4" w:space="0"/>
              <w:bottom w:val="single" w:color="000000" w:sz="4" w:space="0"/>
              <w:right w:val="single" w:color="000000" w:sz="4" w:space="0"/>
            </w:tcBorders>
            <w:vAlign w:val="center"/>
          </w:tcPr>
          <w:p w14:paraId="5A2048F7">
            <w:pPr>
              <w:widowControl/>
              <w:jc w:val="left"/>
              <w:textAlignment w:val="center"/>
              <w:rPr>
                <w:color w:val="auto"/>
                <w:kern w:val="0"/>
                <w:sz w:val="18"/>
                <w:szCs w:val="18"/>
                <w:highlight w:val="none"/>
                <w:lang w:bidi="ar"/>
              </w:rPr>
            </w:pPr>
          </w:p>
        </w:tc>
      </w:tr>
      <w:tr w14:paraId="36D2AD48">
        <w:tblPrEx>
          <w:tblCellMar>
            <w:top w:w="0" w:type="dxa"/>
            <w:left w:w="108" w:type="dxa"/>
            <w:bottom w:w="0" w:type="dxa"/>
            <w:right w:w="108" w:type="dxa"/>
          </w:tblCellMar>
        </w:tblPrEx>
        <w:trPr>
          <w:trHeight w:val="400"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0BD54AF7">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7</w:t>
            </w:r>
            <w:r>
              <w:rPr>
                <w:color w:val="auto"/>
                <w:kern w:val="0"/>
                <w:sz w:val="18"/>
                <w:szCs w:val="18"/>
                <w:highlight w:val="none"/>
                <w:lang w:bidi="ar"/>
              </w:rPr>
              <w:t>.在用户所在地对用户进行为期3天的培训。培训内容包括产品的技术原理、操作、数据处理、基本维护等；</w:t>
            </w:r>
          </w:p>
        </w:tc>
        <w:tc>
          <w:tcPr>
            <w:tcW w:w="863" w:type="dxa"/>
            <w:tcBorders>
              <w:top w:val="single" w:color="000000" w:sz="4" w:space="0"/>
              <w:left w:val="single" w:color="000000" w:sz="4" w:space="0"/>
              <w:bottom w:val="single" w:color="000000" w:sz="4" w:space="0"/>
              <w:right w:val="single" w:color="000000" w:sz="4" w:space="0"/>
            </w:tcBorders>
            <w:vAlign w:val="center"/>
          </w:tcPr>
          <w:p w14:paraId="57B463E9">
            <w:pPr>
              <w:widowControl/>
              <w:jc w:val="left"/>
              <w:textAlignment w:val="center"/>
              <w:rPr>
                <w:color w:val="auto"/>
                <w:kern w:val="0"/>
                <w:sz w:val="18"/>
                <w:szCs w:val="18"/>
                <w:highlight w:val="none"/>
                <w:lang w:bidi="ar"/>
              </w:rPr>
            </w:pPr>
          </w:p>
        </w:tc>
      </w:tr>
      <w:tr w14:paraId="6F13373E">
        <w:tblPrEx>
          <w:tblCellMar>
            <w:top w:w="0" w:type="dxa"/>
            <w:left w:w="108" w:type="dxa"/>
            <w:bottom w:w="0" w:type="dxa"/>
            <w:right w:w="108" w:type="dxa"/>
          </w:tblCellMar>
        </w:tblPrEx>
        <w:trPr>
          <w:trHeight w:val="509"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2559B8FB">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8</w:t>
            </w:r>
            <w:r>
              <w:rPr>
                <w:color w:val="auto"/>
                <w:kern w:val="0"/>
                <w:sz w:val="18"/>
                <w:szCs w:val="18"/>
                <w:highlight w:val="none"/>
                <w:lang w:bidi="ar"/>
              </w:rPr>
              <w:t>.</w:t>
            </w:r>
            <w:r>
              <w:rPr>
                <w:rFonts w:hint="eastAsia"/>
                <w:color w:val="auto"/>
                <w:kern w:val="0"/>
                <w:sz w:val="18"/>
                <w:szCs w:val="18"/>
                <w:highlight w:val="none"/>
                <w:lang w:bidi="ar"/>
              </w:rPr>
              <w:t>提供</w:t>
            </w:r>
            <w:r>
              <w:rPr>
                <w:color w:val="auto"/>
                <w:kern w:val="0"/>
                <w:sz w:val="18"/>
                <w:szCs w:val="18"/>
                <w:highlight w:val="none"/>
                <w:lang w:bidi="ar"/>
              </w:rPr>
              <w:t>硬件部分3年免费质保</w:t>
            </w:r>
            <w:r>
              <w:rPr>
                <w:rFonts w:hint="eastAsia"/>
                <w:color w:val="auto"/>
                <w:kern w:val="0"/>
                <w:sz w:val="18"/>
                <w:szCs w:val="18"/>
                <w:highlight w:val="none"/>
                <w:lang w:bidi="ar"/>
              </w:rPr>
              <w:t>、</w:t>
            </w:r>
            <w:r>
              <w:rPr>
                <w:color w:val="auto"/>
                <w:kern w:val="0"/>
                <w:sz w:val="18"/>
                <w:szCs w:val="18"/>
                <w:highlight w:val="none"/>
                <w:lang w:bidi="ar"/>
              </w:rPr>
              <w:t>软件部分3年免费质保</w:t>
            </w:r>
            <w:r>
              <w:rPr>
                <w:rFonts w:hint="eastAsia"/>
                <w:color w:val="auto"/>
                <w:kern w:val="0"/>
                <w:sz w:val="18"/>
                <w:szCs w:val="18"/>
                <w:highlight w:val="none"/>
                <w:lang w:bidi="ar"/>
              </w:rPr>
              <w:t>和实训室文化建设部分</w:t>
            </w:r>
            <w:r>
              <w:rPr>
                <w:color w:val="auto"/>
                <w:kern w:val="0"/>
                <w:sz w:val="18"/>
                <w:szCs w:val="18"/>
                <w:highlight w:val="none"/>
                <w:lang w:bidi="ar"/>
              </w:rPr>
              <w:t>3年免费质保，保修期自验收签字之日起计算。保修期间维修、零件更换、人工、差旅等一切费用由中标人负担；</w:t>
            </w:r>
          </w:p>
        </w:tc>
        <w:tc>
          <w:tcPr>
            <w:tcW w:w="863" w:type="dxa"/>
            <w:tcBorders>
              <w:top w:val="single" w:color="000000" w:sz="4" w:space="0"/>
              <w:left w:val="single" w:color="000000" w:sz="4" w:space="0"/>
              <w:bottom w:val="single" w:color="000000" w:sz="4" w:space="0"/>
              <w:right w:val="single" w:color="000000" w:sz="4" w:space="0"/>
            </w:tcBorders>
            <w:vAlign w:val="center"/>
          </w:tcPr>
          <w:p w14:paraId="2389396D">
            <w:pPr>
              <w:widowControl/>
              <w:jc w:val="left"/>
              <w:textAlignment w:val="center"/>
              <w:rPr>
                <w:color w:val="auto"/>
                <w:kern w:val="0"/>
                <w:sz w:val="18"/>
                <w:szCs w:val="18"/>
                <w:highlight w:val="none"/>
                <w:lang w:bidi="ar"/>
              </w:rPr>
            </w:pPr>
          </w:p>
        </w:tc>
      </w:tr>
      <w:tr w14:paraId="3C5F918B">
        <w:tblPrEx>
          <w:tblCellMar>
            <w:top w:w="0" w:type="dxa"/>
            <w:left w:w="108" w:type="dxa"/>
            <w:bottom w:w="0" w:type="dxa"/>
            <w:right w:w="108" w:type="dxa"/>
          </w:tblCellMar>
        </w:tblPrEx>
        <w:trPr>
          <w:trHeight w:val="572" w:hRule="atLeast"/>
        </w:trPr>
        <w:tc>
          <w:tcPr>
            <w:tcW w:w="9584" w:type="dxa"/>
            <w:tcBorders>
              <w:top w:val="single" w:color="000000" w:sz="4" w:space="0"/>
              <w:left w:val="single" w:color="000000" w:sz="4" w:space="0"/>
              <w:bottom w:val="single" w:color="000000" w:sz="4" w:space="0"/>
              <w:right w:val="single" w:color="000000" w:sz="4" w:space="0"/>
            </w:tcBorders>
            <w:vAlign w:val="center"/>
          </w:tcPr>
          <w:p w14:paraId="34CAF91F">
            <w:pPr>
              <w:widowControl/>
              <w:jc w:val="left"/>
              <w:textAlignment w:val="center"/>
              <w:rPr>
                <w:color w:val="auto"/>
                <w:kern w:val="0"/>
                <w:sz w:val="18"/>
                <w:szCs w:val="18"/>
                <w:highlight w:val="none"/>
                <w:lang w:bidi="ar"/>
              </w:rPr>
            </w:pPr>
            <w:r>
              <w:rPr>
                <w:rFonts w:hint="eastAsia"/>
                <w:color w:val="auto"/>
                <w:kern w:val="0"/>
                <w:sz w:val="18"/>
                <w:szCs w:val="18"/>
                <w:highlight w:val="none"/>
                <w:lang w:val="en-US" w:eastAsia="zh-CN" w:bidi="ar"/>
              </w:rPr>
              <w:t>9</w:t>
            </w:r>
            <w:r>
              <w:rPr>
                <w:color w:val="auto"/>
                <w:kern w:val="0"/>
                <w:sz w:val="18"/>
                <w:szCs w:val="18"/>
                <w:highlight w:val="none"/>
                <w:lang w:bidi="ar"/>
              </w:rPr>
              <w:t>.为确保产品的正常使用，在质量保证期内，在接到采购人维修要求后2小时内作出响应，并在4小时内派员到达采购人现场了解情况及实施维修。</w:t>
            </w:r>
          </w:p>
        </w:tc>
        <w:tc>
          <w:tcPr>
            <w:tcW w:w="863" w:type="dxa"/>
            <w:tcBorders>
              <w:top w:val="single" w:color="000000" w:sz="4" w:space="0"/>
              <w:left w:val="single" w:color="000000" w:sz="4" w:space="0"/>
              <w:bottom w:val="single" w:color="000000" w:sz="4" w:space="0"/>
              <w:right w:val="single" w:color="000000" w:sz="4" w:space="0"/>
            </w:tcBorders>
            <w:vAlign w:val="center"/>
          </w:tcPr>
          <w:p w14:paraId="2EE5540F">
            <w:pPr>
              <w:widowControl/>
              <w:jc w:val="left"/>
              <w:textAlignment w:val="center"/>
              <w:rPr>
                <w:color w:val="auto"/>
                <w:kern w:val="0"/>
                <w:sz w:val="18"/>
                <w:szCs w:val="18"/>
                <w:highlight w:val="none"/>
                <w:lang w:bidi="ar"/>
              </w:rPr>
            </w:pPr>
          </w:p>
        </w:tc>
      </w:tr>
    </w:tbl>
    <w:p w14:paraId="6683B343">
      <w:pPr>
        <w:pStyle w:val="15"/>
        <w:spacing w:line="360" w:lineRule="exact"/>
        <w:ind w:firstLine="0"/>
        <w:rPr>
          <w:rFonts w:ascii="Times New Roman"/>
          <w:b/>
          <w:bCs/>
          <w:color w:val="auto"/>
          <w:spacing w:val="0"/>
          <w:sz w:val="24"/>
          <w:szCs w:val="24"/>
          <w:highlight w:val="none"/>
        </w:rPr>
      </w:pPr>
    </w:p>
    <w:p w14:paraId="550A4DF1">
      <w:pPr>
        <w:pStyle w:val="15"/>
        <w:spacing w:line="360" w:lineRule="exact"/>
        <w:ind w:firstLine="300"/>
        <w:jc w:val="center"/>
        <w:rPr>
          <w:rFonts w:ascii="Times New Roman"/>
          <w:b/>
          <w:bCs/>
          <w:color w:val="auto"/>
          <w:spacing w:val="0"/>
          <w:sz w:val="24"/>
          <w:szCs w:val="24"/>
          <w:highlight w:val="none"/>
        </w:rPr>
      </w:pPr>
      <w:r>
        <w:rPr>
          <w:rFonts w:ascii="Times New Roman"/>
          <w:b/>
          <w:bCs/>
          <w:color w:val="auto"/>
          <w:spacing w:val="0"/>
          <w:sz w:val="24"/>
          <w:szCs w:val="24"/>
          <w:highlight w:val="none"/>
        </w:rPr>
        <w:br w:type="page"/>
      </w:r>
    </w:p>
    <w:p w14:paraId="6C4E8957">
      <w:pPr>
        <w:pStyle w:val="4"/>
        <w:spacing w:before="0" w:after="0" w:line="360" w:lineRule="auto"/>
        <w:jc w:val="center"/>
        <w:rPr>
          <w:color w:val="auto"/>
          <w:sz w:val="30"/>
          <w:highlight w:val="none"/>
        </w:rPr>
      </w:pPr>
      <w:r>
        <w:rPr>
          <w:color w:val="auto"/>
          <w:sz w:val="30"/>
          <w:highlight w:val="none"/>
        </w:rPr>
        <w:t>第三章  投标人须知</w:t>
      </w:r>
      <w:bookmarkEnd w:id="27"/>
    </w:p>
    <w:tbl>
      <w:tblPr>
        <w:tblStyle w:val="3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7655"/>
      </w:tblGrid>
      <w:tr w14:paraId="64419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tblHeader/>
          <w:jc w:val="center"/>
        </w:trPr>
        <w:tc>
          <w:tcPr>
            <w:tcW w:w="1134" w:type="dxa"/>
            <w:vAlign w:val="center"/>
          </w:tcPr>
          <w:p w14:paraId="2FA6CB9C">
            <w:pPr>
              <w:snapToGrid w:val="0"/>
              <w:spacing w:line="340" w:lineRule="exact"/>
              <w:jc w:val="center"/>
              <w:rPr>
                <w:b/>
                <w:color w:val="auto"/>
                <w:szCs w:val="21"/>
                <w:highlight w:val="none"/>
              </w:rPr>
            </w:pPr>
            <w:bookmarkStart w:id="28" w:name="_Toc460416594"/>
            <w:bookmarkStart w:id="29" w:name="_Toc460857895"/>
            <w:bookmarkStart w:id="30" w:name="_Toc460857896"/>
            <w:bookmarkStart w:id="31" w:name="_Toc460416339"/>
            <w:bookmarkStart w:id="32" w:name="_Toc460416644"/>
            <w:bookmarkStart w:id="33" w:name="_Toc460416595"/>
            <w:r>
              <w:rPr>
                <w:b/>
                <w:color w:val="auto"/>
                <w:szCs w:val="21"/>
                <w:highlight w:val="none"/>
              </w:rPr>
              <w:t>序号</w:t>
            </w:r>
          </w:p>
        </w:tc>
        <w:tc>
          <w:tcPr>
            <w:tcW w:w="7655" w:type="dxa"/>
            <w:vAlign w:val="center"/>
          </w:tcPr>
          <w:p w14:paraId="20DA5C8C">
            <w:pPr>
              <w:snapToGrid w:val="0"/>
              <w:spacing w:line="340" w:lineRule="exact"/>
              <w:jc w:val="center"/>
              <w:rPr>
                <w:b/>
                <w:color w:val="auto"/>
                <w:szCs w:val="21"/>
                <w:highlight w:val="none"/>
              </w:rPr>
            </w:pPr>
            <w:r>
              <w:rPr>
                <w:b/>
                <w:color w:val="auto"/>
                <w:szCs w:val="21"/>
                <w:highlight w:val="none"/>
              </w:rPr>
              <w:t>内容、要求</w:t>
            </w:r>
          </w:p>
        </w:tc>
      </w:tr>
      <w:tr w14:paraId="3977B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34" w:type="dxa"/>
            <w:vAlign w:val="center"/>
          </w:tcPr>
          <w:p w14:paraId="5C8A94A4">
            <w:pPr>
              <w:spacing w:line="340" w:lineRule="exact"/>
              <w:jc w:val="center"/>
              <w:rPr>
                <w:color w:val="auto"/>
                <w:szCs w:val="21"/>
                <w:highlight w:val="none"/>
              </w:rPr>
            </w:pPr>
            <w:r>
              <w:rPr>
                <w:color w:val="auto"/>
                <w:szCs w:val="21"/>
                <w:highlight w:val="none"/>
              </w:rPr>
              <w:t>1</w:t>
            </w:r>
          </w:p>
        </w:tc>
        <w:tc>
          <w:tcPr>
            <w:tcW w:w="7655" w:type="dxa"/>
            <w:vAlign w:val="center"/>
          </w:tcPr>
          <w:p w14:paraId="2CC7BF44">
            <w:pPr>
              <w:spacing w:line="340" w:lineRule="exact"/>
              <w:rPr>
                <w:color w:val="auto"/>
                <w:szCs w:val="21"/>
                <w:highlight w:val="none"/>
              </w:rPr>
            </w:pPr>
            <w:r>
              <w:rPr>
                <w:color w:val="auto"/>
                <w:szCs w:val="21"/>
                <w:highlight w:val="none"/>
              </w:rPr>
              <w:t>项目名称：</w:t>
            </w:r>
            <w:r>
              <w:rPr>
                <w:bCs/>
                <w:color w:val="auto"/>
                <w:szCs w:val="21"/>
                <w:highlight w:val="none"/>
              </w:rPr>
              <w:t>宁波大学科学技术学院智慧文旅实训室建设项目</w:t>
            </w:r>
          </w:p>
        </w:tc>
      </w:tr>
      <w:tr w14:paraId="43A742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1134" w:type="dxa"/>
            <w:vAlign w:val="center"/>
          </w:tcPr>
          <w:p w14:paraId="2EE7C678">
            <w:pPr>
              <w:spacing w:line="340" w:lineRule="exact"/>
              <w:jc w:val="center"/>
              <w:rPr>
                <w:color w:val="auto"/>
                <w:szCs w:val="21"/>
                <w:highlight w:val="none"/>
              </w:rPr>
            </w:pPr>
            <w:r>
              <w:rPr>
                <w:color w:val="auto"/>
                <w:szCs w:val="21"/>
                <w:highlight w:val="none"/>
              </w:rPr>
              <w:t>2</w:t>
            </w:r>
          </w:p>
        </w:tc>
        <w:tc>
          <w:tcPr>
            <w:tcW w:w="7655" w:type="dxa"/>
            <w:vAlign w:val="center"/>
          </w:tcPr>
          <w:p w14:paraId="0F351592">
            <w:pPr>
              <w:spacing w:line="340" w:lineRule="exact"/>
              <w:rPr>
                <w:color w:val="auto"/>
                <w:szCs w:val="21"/>
                <w:highlight w:val="none"/>
              </w:rPr>
            </w:pPr>
            <w:r>
              <w:rPr>
                <w:color w:val="auto"/>
                <w:szCs w:val="21"/>
                <w:highlight w:val="none"/>
              </w:rPr>
              <w:t>采购数量及单位：1项</w:t>
            </w:r>
          </w:p>
        </w:tc>
      </w:tr>
      <w:tr w14:paraId="3EB7B7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70" w:hRule="atLeast"/>
          <w:jc w:val="center"/>
        </w:trPr>
        <w:tc>
          <w:tcPr>
            <w:tcW w:w="1134" w:type="dxa"/>
            <w:vAlign w:val="center"/>
          </w:tcPr>
          <w:p w14:paraId="361A4D2D">
            <w:pPr>
              <w:snapToGrid w:val="0"/>
              <w:spacing w:line="340" w:lineRule="exact"/>
              <w:jc w:val="center"/>
              <w:rPr>
                <w:color w:val="auto"/>
                <w:szCs w:val="21"/>
                <w:highlight w:val="none"/>
              </w:rPr>
            </w:pPr>
            <w:r>
              <w:rPr>
                <w:color w:val="auto"/>
                <w:szCs w:val="21"/>
                <w:highlight w:val="none"/>
              </w:rPr>
              <w:t>3</w:t>
            </w:r>
          </w:p>
        </w:tc>
        <w:tc>
          <w:tcPr>
            <w:tcW w:w="7655" w:type="dxa"/>
            <w:vAlign w:val="center"/>
          </w:tcPr>
          <w:p w14:paraId="6AFFB03D">
            <w:pPr>
              <w:spacing w:line="340" w:lineRule="exact"/>
              <w:rPr>
                <w:color w:val="auto"/>
                <w:szCs w:val="21"/>
                <w:highlight w:val="none"/>
              </w:rPr>
            </w:pPr>
            <w:r>
              <w:rPr>
                <w:color w:val="auto"/>
                <w:szCs w:val="21"/>
                <w:highlight w:val="none"/>
              </w:rPr>
              <w:t>投标报价及费用：</w:t>
            </w:r>
          </w:p>
          <w:p w14:paraId="31DDA03C">
            <w:pPr>
              <w:numPr>
                <w:ilvl w:val="0"/>
                <w:numId w:val="10"/>
              </w:numPr>
              <w:tabs>
                <w:tab w:val="left" w:pos="360"/>
              </w:tabs>
              <w:spacing w:line="340" w:lineRule="exact"/>
              <w:rPr>
                <w:color w:val="auto"/>
                <w:szCs w:val="21"/>
                <w:highlight w:val="none"/>
              </w:rPr>
            </w:pPr>
            <w:r>
              <w:rPr>
                <w:color w:val="auto"/>
                <w:szCs w:val="21"/>
                <w:highlight w:val="none"/>
              </w:rPr>
              <w:t>投标报价：本项目投标报价为交钥匙价，包括设备采购、软件、实施部署、测试、培训、安装、维护、税费等一切与本项目有关的费用。</w:t>
            </w:r>
          </w:p>
          <w:p w14:paraId="5A11481A">
            <w:pPr>
              <w:numPr>
                <w:ilvl w:val="0"/>
                <w:numId w:val="10"/>
              </w:numPr>
              <w:tabs>
                <w:tab w:val="left" w:pos="360"/>
              </w:tabs>
              <w:spacing w:line="340" w:lineRule="exact"/>
              <w:rPr>
                <w:b/>
                <w:color w:val="auto"/>
                <w:szCs w:val="21"/>
                <w:highlight w:val="none"/>
              </w:rPr>
            </w:pPr>
            <w:r>
              <w:rPr>
                <w:b/>
                <w:color w:val="auto"/>
                <w:szCs w:val="21"/>
                <w:highlight w:val="none"/>
              </w:rPr>
              <w:t>本项目采购预算：人民币：</w:t>
            </w:r>
            <w:r>
              <w:rPr>
                <w:rFonts w:hint="eastAsia"/>
                <w:b/>
                <w:color w:val="auto"/>
                <w:szCs w:val="21"/>
                <w:highlight w:val="none"/>
                <w:lang w:eastAsia="zh-CN"/>
              </w:rPr>
              <w:t>1040000.00</w:t>
            </w:r>
            <w:r>
              <w:rPr>
                <w:b/>
                <w:color w:val="auto"/>
                <w:szCs w:val="21"/>
                <w:highlight w:val="none"/>
              </w:rPr>
              <w:t>元；最高限价：人民币</w:t>
            </w:r>
            <w:r>
              <w:rPr>
                <w:rFonts w:hint="eastAsia"/>
                <w:b/>
                <w:color w:val="auto"/>
                <w:szCs w:val="21"/>
                <w:highlight w:val="none"/>
                <w:lang w:eastAsia="zh-CN"/>
              </w:rPr>
              <w:t>1040000.00</w:t>
            </w:r>
            <w:r>
              <w:rPr>
                <w:b/>
                <w:color w:val="auto"/>
                <w:szCs w:val="21"/>
                <w:highlight w:val="none"/>
              </w:rPr>
              <w:t>元（硬件部分高限价：</w:t>
            </w:r>
            <w:r>
              <w:rPr>
                <w:b/>
                <w:bCs/>
                <w:color w:val="auto"/>
                <w:szCs w:val="21"/>
                <w:highlight w:val="none"/>
              </w:rPr>
              <w:t>人民币</w:t>
            </w:r>
            <w:r>
              <w:rPr>
                <w:rFonts w:hint="eastAsia"/>
                <w:b/>
                <w:bCs/>
                <w:color w:val="auto"/>
                <w:szCs w:val="21"/>
                <w:highlight w:val="none"/>
              </w:rPr>
              <w:t>3</w:t>
            </w:r>
            <w:r>
              <w:rPr>
                <w:rFonts w:hint="eastAsia"/>
                <w:b/>
                <w:bCs/>
                <w:color w:val="auto"/>
                <w:szCs w:val="21"/>
                <w:highlight w:val="none"/>
                <w:lang w:val="en-US" w:eastAsia="zh-CN"/>
              </w:rPr>
              <w:t>60</w:t>
            </w:r>
            <w:r>
              <w:rPr>
                <w:rFonts w:hint="eastAsia"/>
                <w:b/>
                <w:bCs/>
                <w:color w:val="auto"/>
                <w:szCs w:val="21"/>
                <w:highlight w:val="none"/>
              </w:rPr>
              <w:t>0</w:t>
            </w:r>
            <w:r>
              <w:rPr>
                <w:rFonts w:hint="eastAsia"/>
                <w:b/>
                <w:bCs/>
                <w:color w:val="auto"/>
                <w:szCs w:val="21"/>
                <w:highlight w:val="none"/>
                <w:lang w:val="en-US" w:eastAsia="zh-CN"/>
              </w:rPr>
              <w:t>00</w:t>
            </w:r>
            <w:r>
              <w:rPr>
                <w:rFonts w:hint="eastAsia"/>
                <w:b/>
                <w:bCs/>
                <w:color w:val="auto"/>
                <w:szCs w:val="21"/>
                <w:highlight w:val="none"/>
              </w:rPr>
              <w:t>.00</w:t>
            </w:r>
            <w:r>
              <w:rPr>
                <w:b/>
                <w:bCs/>
                <w:color w:val="auto"/>
                <w:szCs w:val="21"/>
                <w:highlight w:val="none"/>
              </w:rPr>
              <w:t>元</w:t>
            </w:r>
            <w:r>
              <w:rPr>
                <w:b/>
                <w:color w:val="auto"/>
                <w:szCs w:val="21"/>
                <w:highlight w:val="none"/>
              </w:rPr>
              <w:t>；软件部分最高限价：</w:t>
            </w:r>
            <w:r>
              <w:rPr>
                <w:b/>
                <w:bCs/>
                <w:color w:val="auto"/>
                <w:szCs w:val="21"/>
                <w:highlight w:val="none"/>
              </w:rPr>
              <w:t>人民币</w:t>
            </w:r>
            <w:r>
              <w:rPr>
                <w:rFonts w:hint="eastAsia"/>
                <w:b/>
                <w:bCs/>
                <w:color w:val="auto"/>
                <w:szCs w:val="21"/>
                <w:highlight w:val="none"/>
              </w:rPr>
              <w:t>6</w:t>
            </w:r>
            <w:r>
              <w:rPr>
                <w:rFonts w:hint="eastAsia"/>
                <w:b/>
                <w:bCs/>
                <w:color w:val="auto"/>
                <w:szCs w:val="21"/>
                <w:highlight w:val="none"/>
                <w:lang w:val="en-US" w:eastAsia="zh-CN"/>
              </w:rPr>
              <w:t>30</w:t>
            </w:r>
            <w:r>
              <w:rPr>
                <w:rFonts w:hint="eastAsia"/>
                <w:b/>
                <w:bCs/>
                <w:color w:val="auto"/>
                <w:szCs w:val="21"/>
                <w:highlight w:val="none"/>
              </w:rPr>
              <w:t>000.00</w:t>
            </w:r>
            <w:r>
              <w:rPr>
                <w:b/>
                <w:bCs/>
                <w:color w:val="auto"/>
                <w:szCs w:val="21"/>
                <w:highlight w:val="none"/>
              </w:rPr>
              <w:t>元</w:t>
            </w:r>
            <w:r>
              <w:rPr>
                <w:b/>
                <w:color w:val="auto"/>
                <w:szCs w:val="21"/>
                <w:highlight w:val="none"/>
              </w:rPr>
              <w:t>；实验室文化建设部分：</w:t>
            </w:r>
            <w:r>
              <w:rPr>
                <w:b/>
                <w:bCs/>
                <w:color w:val="auto"/>
                <w:szCs w:val="21"/>
                <w:highlight w:val="none"/>
              </w:rPr>
              <w:t>人民币</w:t>
            </w:r>
            <w:r>
              <w:rPr>
                <w:rFonts w:hint="eastAsia"/>
                <w:b/>
                <w:bCs/>
                <w:color w:val="auto"/>
                <w:szCs w:val="21"/>
                <w:highlight w:val="none"/>
              </w:rPr>
              <w:t>50000.00</w:t>
            </w:r>
            <w:r>
              <w:rPr>
                <w:b/>
                <w:bCs/>
                <w:color w:val="auto"/>
                <w:szCs w:val="21"/>
                <w:highlight w:val="none"/>
              </w:rPr>
              <w:t>元</w:t>
            </w:r>
            <w:r>
              <w:rPr>
                <w:b/>
                <w:color w:val="auto"/>
                <w:szCs w:val="21"/>
                <w:highlight w:val="none"/>
              </w:rPr>
              <w:t>）。投标总报价超过预算金额或最高限价的作无效标处理。</w:t>
            </w:r>
          </w:p>
          <w:p w14:paraId="04910573">
            <w:pPr>
              <w:numPr>
                <w:ilvl w:val="0"/>
                <w:numId w:val="10"/>
              </w:numPr>
              <w:tabs>
                <w:tab w:val="left" w:pos="360"/>
              </w:tabs>
              <w:spacing w:line="340" w:lineRule="exact"/>
              <w:rPr>
                <w:color w:val="auto"/>
                <w:szCs w:val="21"/>
                <w:highlight w:val="none"/>
              </w:rPr>
            </w:pPr>
            <w:r>
              <w:rPr>
                <w:color w:val="auto"/>
                <w:szCs w:val="21"/>
                <w:highlight w:val="none"/>
              </w:rPr>
              <w:t>不论投标结果如何，投标人均应自行承担所有与投标有关的全部费用。</w:t>
            </w:r>
          </w:p>
          <w:p w14:paraId="286A70F0">
            <w:pPr>
              <w:numPr>
                <w:ilvl w:val="0"/>
                <w:numId w:val="10"/>
              </w:numPr>
              <w:tabs>
                <w:tab w:val="left" w:pos="360"/>
              </w:tabs>
              <w:spacing w:line="340" w:lineRule="exact"/>
              <w:rPr>
                <w:color w:val="auto"/>
                <w:szCs w:val="21"/>
                <w:highlight w:val="none"/>
              </w:rPr>
            </w:pPr>
            <w:r>
              <w:rPr>
                <w:color w:val="auto"/>
                <w:szCs w:val="21"/>
                <w:highlight w:val="none"/>
              </w:rPr>
              <w:t>招标代理服务费的收取标准：</w:t>
            </w:r>
          </w:p>
          <w:p w14:paraId="276BB77F">
            <w:pPr>
              <w:numPr>
                <w:ilvl w:val="0"/>
                <w:numId w:val="11"/>
              </w:numPr>
              <w:tabs>
                <w:tab w:val="left" w:pos="625"/>
              </w:tabs>
              <w:spacing w:line="340" w:lineRule="exact"/>
              <w:ind w:left="625" w:hanging="308"/>
              <w:rPr>
                <w:color w:val="auto"/>
                <w:szCs w:val="21"/>
                <w:highlight w:val="none"/>
              </w:rPr>
            </w:pPr>
            <w:r>
              <w:rPr>
                <w:color w:val="auto"/>
                <w:szCs w:val="21"/>
                <w:highlight w:val="none"/>
              </w:rPr>
              <w:t>本招标公司参照国家发改委发改办价格[2003]857号通知和国家计委计价格[2002]1980号文件的规定的货物招标费率标准下浮20%，单个标项的代理服务费经计算不足3000元的按照3000元收取。</w:t>
            </w:r>
          </w:p>
          <w:p w14:paraId="390EEF2D">
            <w:pPr>
              <w:numPr>
                <w:ilvl w:val="0"/>
                <w:numId w:val="11"/>
              </w:numPr>
              <w:tabs>
                <w:tab w:val="left" w:pos="625"/>
              </w:tabs>
              <w:spacing w:line="340" w:lineRule="exact"/>
              <w:ind w:left="625" w:hanging="308"/>
              <w:rPr>
                <w:color w:val="auto"/>
                <w:szCs w:val="21"/>
                <w:highlight w:val="none"/>
              </w:rPr>
            </w:pPr>
            <w:r>
              <w:rPr>
                <w:color w:val="auto"/>
                <w:szCs w:val="21"/>
                <w:highlight w:val="none"/>
              </w:rPr>
              <w:t>中标人在领取中标通知书时即向本招标代理机构以现金、电汇方式支付服务费。</w:t>
            </w:r>
          </w:p>
          <w:p w14:paraId="5104970E">
            <w:pPr>
              <w:numPr>
                <w:ilvl w:val="0"/>
                <w:numId w:val="11"/>
              </w:numPr>
              <w:tabs>
                <w:tab w:val="left" w:pos="625"/>
              </w:tabs>
              <w:spacing w:line="340" w:lineRule="exact"/>
              <w:ind w:left="625" w:hanging="308"/>
              <w:rPr>
                <w:color w:val="auto"/>
                <w:szCs w:val="21"/>
                <w:highlight w:val="none"/>
              </w:rPr>
            </w:pPr>
            <w:r>
              <w:rPr>
                <w:color w:val="auto"/>
                <w:szCs w:val="21"/>
                <w:highlight w:val="none"/>
              </w:rPr>
              <w:t>服务费汇入账户：</w:t>
            </w:r>
          </w:p>
          <w:p w14:paraId="72310144">
            <w:pPr>
              <w:spacing w:line="340" w:lineRule="exact"/>
              <w:ind w:left="601" w:firstLine="27" w:firstLineChars="13"/>
              <w:rPr>
                <w:color w:val="auto"/>
                <w:szCs w:val="21"/>
                <w:highlight w:val="none"/>
              </w:rPr>
            </w:pPr>
            <w:r>
              <w:rPr>
                <w:color w:val="auto"/>
                <w:szCs w:val="21"/>
                <w:highlight w:val="none"/>
              </w:rPr>
              <w:t>开户银行：宁波银行孔浦支行（行号：313332082133）</w:t>
            </w:r>
          </w:p>
          <w:p w14:paraId="37C55585">
            <w:pPr>
              <w:spacing w:line="340" w:lineRule="exact"/>
              <w:ind w:left="601" w:firstLine="27" w:firstLineChars="13"/>
              <w:rPr>
                <w:color w:val="auto"/>
                <w:szCs w:val="21"/>
                <w:highlight w:val="none"/>
              </w:rPr>
            </w:pPr>
            <w:r>
              <w:rPr>
                <w:color w:val="auto"/>
                <w:szCs w:val="21"/>
                <w:highlight w:val="none"/>
              </w:rPr>
              <w:t>户名：浙江中创招投标有限公司</w:t>
            </w:r>
          </w:p>
          <w:p w14:paraId="52DD2C72">
            <w:pPr>
              <w:spacing w:line="340" w:lineRule="exact"/>
              <w:ind w:left="601" w:firstLine="27" w:firstLineChars="13"/>
              <w:rPr>
                <w:color w:val="auto"/>
                <w:szCs w:val="21"/>
                <w:highlight w:val="none"/>
              </w:rPr>
            </w:pPr>
            <w:r>
              <w:rPr>
                <w:color w:val="auto"/>
                <w:szCs w:val="21"/>
                <w:highlight w:val="none"/>
              </w:rPr>
              <w:t>账号：40030122000275085</w:t>
            </w:r>
          </w:p>
          <w:p w14:paraId="35FAE0AB">
            <w:pPr>
              <w:numPr>
                <w:ilvl w:val="0"/>
                <w:numId w:val="11"/>
              </w:numPr>
              <w:tabs>
                <w:tab w:val="left" w:pos="625"/>
              </w:tabs>
              <w:spacing w:line="340" w:lineRule="exact"/>
              <w:ind w:left="625" w:hanging="308"/>
              <w:rPr>
                <w:color w:val="auto"/>
                <w:szCs w:val="21"/>
                <w:highlight w:val="none"/>
              </w:rPr>
            </w:pPr>
            <w:r>
              <w:rPr>
                <w:color w:val="auto"/>
                <w:szCs w:val="21"/>
                <w:highlight w:val="none"/>
              </w:rPr>
              <w:t>中标人如未按上述规定办理，本招标代理机构有权拒绝其领取中标通知书。</w:t>
            </w:r>
          </w:p>
        </w:tc>
      </w:tr>
      <w:tr w14:paraId="0F996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9" w:hRule="atLeast"/>
          <w:jc w:val="center"/>
        </w:trPr>
        <w:tc>
          <w:tcPr>
            <w:tcW w:w="1134" w:type="dxa"/>
            <w:vAlign w:val="center"/>
          </w:tcPr>
          <w:p w14:paraId="086D310D">
            <w:pPr>
              <w:snapToGrid w:val="0"/>
              <w:spacing w:line="340" w:lineRule="exact"/>
              <w:jc w:val="center"/>
              <w:rPr>
                <w:color w:val="auto"/>
                <w:szCs w:val="21"/>
                <w:highlight w:val="none"/>
              </w:rPr>
            </w:pPr>
            <w:r>
              <w:rPr>
                <w:color w:val="auto"/>
                <w:szCs w:val="21"/>
                <w:highlight w:val="none"/>
              </w:rPr>
              <w:t>4</w:t>
            </w:r>
          </w:p>
        </w:tc>
        <w:tc>
          <w:tcPr>
            <w:tcW w:w="7655" w:type="dxa"/>
            <w:vAlign w:val="center"/>
          </w:tcPr>
          <w:p w14:paraId="1BC2330D">
            <w:pPr>
              <w:spacing w:line="340" w:lineRule="exact"/>
              <w:rPr>
                <w:color w:val="auto"/>
                <w:szCs w:val="21"/>
                <w:highlight w:val="none"/>
              </w:rPr>
            </w:pPr>
            <w:r>
              <w:rPr>
                <w:color w:val="auto"/>
                <w:szCs w:val="21"/>
                <w:highlight w:val="none"/>
              </w:rPr>
              <w:t>本项目实行网上投标，供应商应准备以下投标文件：</w:t>
            </w:r>
          </w:p>
          <w:p w14:paraId="24CC6425">
            <w:pPr>
              <w:spacing w:line="340" w:lineRule="exact"/>
              <w:rPr>
                <w:color w:val="auto"/>
                <w:szCs w:val="21"/>
                <w:highlight w:val="none"/>
              </w:rPr>
            </w:pPr>
            <w:r>
              <w:rPr>
                <w:color w:val="auto"/>
                <w:szCs w:val="21"/>
                <w:highlight w:val="none"/>
              </w:rPr>
              <w:t>（1）上传到政府采购云平台的电子投标文件（含资信证明文件、商务技术文件、报价文件）1份。</w:t>
            </w:r>
          </w:p>
          <w:p w14:paraId="011C7DFE">
            <w:pPr>
              <w:spacing w:line="340" w:lineRule="exact"/>
              <w:rPr>
                <w:color w:val="auto"/>
                <w:szCs w:val="21"/>
                <w:highlight w:val="none"/>
              </w:rPr>
            </w:pPr>
            <w:r>
              <w:rPr>
                <w:color w:val="auto"/>
                <w:szCs w:val="21"/>
                <w:highlight w:val="none"/>
              </w:rPr>
              <w:t>（2）以U盘存储的电子备份投标文件（含资信证明文件、商务技术文件、报价文件）1份。</w:t>
            </w:r>
          </w:p>
          <w:p w14:paraId="50937CE4">
            <w:pPr>
              <w:spacing w:line="340" w:lineRule="exact"/>
              <w:rPr>
                <w:color w:val="auto"/>
                <w:szCs w:val="21"/>
                <w:highlight w:val="none"/>
              </w:rPr>
            </w:pPr>
            <w:r>
              <w:rPr>
                <w:color w:val="auto"/>
                <w:szCs w:val="21"/>
                <w:highlight w:val="none"/>
              </w:rPr>
              <w:t>（3）纸质投标文件：本项目结果公示发布后，中标人须在三个工作日内向采购代理公司提供纸质投标文件（含资信证明文件、商务技术文件、报价文件）一正两副，且纸质投标文件必须与中标人在政采云上传的投标文件内容一致，纸质投标文件的一致性由中标人承担，否则由此引起的不利后果由中标人承担。</w:t>
            </w:r>
          </w:p>
          <w:p w14:paraId="6DBA6549">
            <w:pPr>
              <w:spacing w:line="340" w:lineRule="exact"/>
              <w:rPr>
                <w:b/>
                <w:color w:val="auto"/>
                <w:szCs w:val="21"/>
                <w:highlight w:val="none"/>
              </w:rPr>
            </w:pPr>
            <w:r>
              <w:rPr>
                <w:b/>
                <w:color w:val="auto"/>
                <w:szCs w:val="21"/>
                <w:highlight w:val="none"/>
              </w:rPr>
              <w:t xml:space="preserve">注： </w:t>
            </w:r>
          </w:p>
          <w:p w14:paraId="19AB530D">
            <w:pPr>
              <w:spacing w:line="340" w:lineRule="exact"/>
              <w:rPr>
                <w:color w:val="auto"/>
                <w:szCs w:val="21"/>
                <w:highlight w:val="none"/>
              </w:rPr>
            </w:pPr>
            <w:r>
              <w:rPr>
                <w:color w:val="auto"/>
                <w:szCs w:val="21"/>
                <w:highlight w:val="none"/>
              </w:rPr>
              <w:t>（1）供应商应于</w:t>
            </w:r>
            <w:r>
              <w:rPr>
                <w:bCs/>
                <w:color w:val="auto"/>
                <w:szCs w:val="21"/>
                <w:highlight w:val="none"/>
              </w:rPr>
              <w:t>提交投标文件截止时间前</w:t>
            </w:r>
            <w:r>
              <w:rPr>
                <w:color w:val="auto"/>
                <w:szCs w:val="21"/>
                <w:highlight w:val="none"/>
              </w:rPr>
              <w:t>将电子投标文件上传到政府采购云平台 www.zcygov.cn，并应于</w:t>
            </w:r>
            <w:r>
              <w:rPr>
                <w:bCs/>
                <w:color w:val="auto"/>
                <w:szCs w:val="21"/>
                <w:highlight w:val="none"/>
              </w:rPr>
              <w:t>提交投标文件截止时间前</w:t>
            </w:r>
            <w:r>
              <w:rPr>
                <w:color w:val="auto"/>
                <w:szCs w:val="21"/>
                <w:highlight w:val="none"/>
              </w:rPr>
              <w:t>，将以U盘或光盘存储的电子备份投标文件密封，采用现场递交或邮寄送达方式递交。现场投递地址：宁波市环城西路北段225号真如中心15楼开标室，叶子恒，0574-87179081。邮寄送达：各供应商自行考虑邮寄在途时间，备份投标文件送达时间以代理机构工作人员实际签收时间为准。邮寄过程中导致备份投标文件未在递交截止时间前送达的，代理机构将拒绝其备份投标文件。</w:t>
            </w:r>
          </w:p>
          <w:p w14:paraId="05A67200">
            <w:pPr>
              <w:autoSpaceDE w:val="0"/>
              <w:autoSpaceDN w:val="0"/>
              <w:spacing w:line="340" w:lineRule="exact"/>
              <w:textAlignment w:val="bottom"/>
              <w:rPr>
                <w:color w:val="auto"/>
                <w:szCs w:val="21"/>
                <w:highlight w:val="none"/>
              </w:rPr>
            </w:pPr>
            <w:r>
              <w:rPr>
                <w:color w:val="auto"/>
                <w:szCs w:val="21"/>
                <w:highlight w:val="none"/>
              </w:rPr>
              <w:t>（2）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均不退还供应商。</w:t>
            </w:r>
          </w:p>
        </w:tc>
      </w:tr>
      <w:tr w14:paraId="2C235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1134" w:type="dxa"/>
            <w:vAlign w:val="center"/>
          </w:tcPr>
          <w:p w14:paraId="39556F9B">
            <w:pPr>
              <w:snapToGrid w:val="0"/>
              <w:spacing w:line="340" w:lineRule="exact"/>
              <w:jc w:val="center"/>
              <w:rPr>
                <w:color w:val="auto"/>
                <w:szCs w:val="21"/>
                <w:highlight w:val="none"/>
              </w:rPr>
            </w:pPr>
            <w:r>
              <w:rPr>
                <w:color w:val="auto"/>
                <w:szCs w:val="21"/>
                <w:highlight w:val="none"/>
              </w:rPr>
              <w:t>*5</w:t>
            </w:r>
          </w:p>
        </w:tc>
        <w:tc>
          <w:tcPr>
            <w:tcW w:w="7655" w:type="dxa"/>
            <w:vAlign w:val="center"/>
          </w:tcPr>
          <w:p w14:paraId="41CD44E7">
            <w:pPr>
              <w:spacing w:line="340" w:lineRule="exact"/>
              <w:rPr>
                <w:color w:val="auto"/>
                <w:szCs w:val="21"/>
                <w:highlight w:val="none"/>
              </w:rPr>
            </w:pPr>
            <w:r>
              <w:rPr>
                <w:color w:val="auto"/>
                <w:szCs w:val="21"/>
                <w:highlight w:val="none"/>
              </w:rPr>
              <w:t>投标截止时间及地点：详见《公开招标采购公告》</w:t>
            </w:r>
          </w:p>
        </w:tc>
      </w:tr>
      <w:tr w14:paraId="53337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1134" w:type="dxa"/>
            <w:vAlign w:val="center"/>
          </w:tcPr>
          <w:p w14:paraId="3C101F51">
            <w:pPr>
              <w:snapToGrid w:val="0"/>
              <w:spacing w:line="340" w:lineRule="exact"/>
              <w:jc w:val="center"/>
              <w:rPr>
                <w:color w:val="auto"/>
                <w:szCs w:val="21"/>
                <w:highlight w:val="none"/>
              </w:rPr>
            </w:pPr>
            <w:r>
              <w:rPr>
                <w:color w:val="auto"/>
                <w:szCs w:val="21"/>
                <w:highlight w:val="none"/>
              </w:rPr>
              <w:t>*6</w:t>
            </w:r>
          </w:p>
        </w:tc>
        <w:tc>
          <w:tcPr>
            <w:tcW w:w="7655" w:type="dxa"/>
            <w:vAlign w:val="center"/>
          </w:tcPr>
          <w:p w14:paraId="312DB62E">
            <w:pPr>
              <w:spacing w:line="340" w:lineRule="exact"/>
              <w:rPr>
                <w:color w:val="auto"/>
                <w:szCs w:val="21"/>
                <w:highlight w:val="none"/>
              </w:rPr>
            </w:pPr>
            <w:r>
              <w:rPr>
                <w:color w:val="auto"/>
                <w:szCs w:val="21"/>
                <w:highlight w:val="none"/>
              </w:rPr>
              <w:t>开标时间及地点：详见《公开招标采购公告》</w:t>
            </w:r>
          </w:p>
        </w:tc>
      </w:tr>
      <w:tr w14:paraId="51AE9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1134" w:type="dxa"/>
            <w:vAlign w:val="center"/>
          </w:tcPr>
          <w:p w14:paraId="2E14FE99">
            <w:pPr>
              <w:snapToGrid w:val="0"/>
              <w:spacing w:line="340" w:lineRule="exact"/>
              <w:jc w:val="center"/>
              <w:rPr>
                <w:color w:val="auto"/>
                <w:szCs w:val="21"/>
                <w:highlight w:val="none"/>
              </w:rPr>
            </w:pPr>
            <w:r>
              <w:rPr>
                <w:color w:val="auto"/>
                <w:szCs w:val="21"/>
                <w:highlight w:val="none"/>
              </w:rPr>
              <w:t>7</w:t>
            </w:r>
          </w:p>
        </w:tc>
        <w:tc>
          <w:tcPr>
            <w:tcW w:w="7655" w:type="dxa"/>
            <w:vAlign w:val="center"/>
          </w:tcPr>
          <w:p w14:paraId="6AF9E4EE">
            <w:pPr>
              <w:spacing w:line="340" w:lineRule="exact"/>
              <w:rPr>
                <w:color w:val="auto"/>
                <w:szCs w:val="21"/>
                <w:highlight w:val="none"/>
              </w:rPr>
            </w:pPr>
            <w:r>
              <w:rPr>
                <w:color w:val="auto"/>
                <w:szCs w:val="21"/>
                <w:highlight w:val="none"/>
              </w:rPr>
              <w:t>信用记录：</w:t>
            </w:r>
          </w:p>
          <w:p w14:paraId="43A2EBC9">
            <w:pPr>
              <w:spacing w:line="340" w:lineRule="exact"/>
              <w:rPr>
                <w:color w:val="auto"/>
                <w:szCs w:val="21"/>
                <w:highlight w:val="none"/>
              </w:rPr>
            </w:pPr>
            <w:r>
              <w:rPr>
                <w:color w:val="auto"/>
                <w:szCs w:val="21"/>
                <w:highlight w:val="none"/>
              </w:rPr>
              <w:t>（1）信用信息查询的时间：如潜在投标人数较多时，查询时间为递交投标文件截止时间前一天至资格审查工作结束前；如潜在投标人较少时，查询时间为递交投标截止时间后一个小时；若在开标当天因不可抗力事件导致无法查询且一时无法恢复查询的，可在中标公示期间对中标候选人进行事后查询。</w:t>
            </w:r>
          </w:p>
          <w:p w14:paraId="10785B8D">
            <w:pPr>
              <w:spacing w:line="340" w:lineRule="exact"/>
              <w:rPr>
                <w:color w:val="auto"/>
                <w:szCs w:val="21"/>
                <w:highlight w:val="none"/>
              </w:rPr>
            </w:pPr>
            <w:r>
              <w:rPr>
                <w:color w:val="auto"/>
                <w:szCs w:val="21"/>
                <w:highlight w:val="none"/>
              </w:rPr>
              <w:t>（2）查询渠道：“信用中国”（www.creditchina.gov.cn）、“中国政府采购网”（www.ccgp.gov.cn）、“浙江政府采购网（www.zjzfcg.gov.cn）；</w:t>
            </w:r>
          </w:p>
          <w:p w14:paraId="046CDCEC">
            <w:pPr>
              <w:spacing w:line="340" w:lineRule="exact"/>
              <w:rPr>
                <w:color w:val="auto"/>
                <w:szCs w:val="21"/>
                <w:highlight w:val="none"/>
              </w:rPr>
            </w:pPr>
            <w:r>
              <w:rPr>
                <w:color w:val="auto"/>
                <w:szCs w:val="21"/>
                <w:highlight w:val="none"/>
              </w:rPr>
              <w:t>信用信息查询记录和证据留存具体方式：信用信息查询记录将以网站截图打印稿形式与其他采购文件一并保存；</w:t>
            </w:r>
          </w:p>
          <w:p w14:paraId="1B0A0A00">
            <w:pPr>
              <w:spacing w:line="340" w:lineRule="exact"/>
              <w:rPr>
                <w:color w:val="auto"/>
                <w:szCs w:val="21"/>
                <w:highlight w:val="none"/>
              </w:rPr>
            </w:pPr>
            <w:r>
              <w:rPr>
                <w:color w:val="auto"/>
                <w:szCs w:val="21"/>
                <w:highlight w:val="none"/>
              </w:rPr>
              <w:t>（3）信用信息的使用规则：对列入失信被执行人、重大税收违法失信主体、政府采购严重违法失信行为记录名单及其他不符合《中华人民共和国政府采购法》第二十二条规定条件的供应商，应当拒绝其参与政府采购活动；中标候选人被列入失信被执行人、重大税收违法失信主体、政府采购严重违法失信行为记录名单的，采购单位将依法取消其中标资格。</w:t>
            </w:r>
          </w:p>
        </w:tc>
      </w:tr>
      <w:tr w14:paraId="018B85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1134" w:type="dxa"/>
            <w:vAlign w:val="center"/>
          </w:tcPr>
          <w:p w14:paraId="136C6A1F">
            <w:pPr>
              <w:snapToGrid w:val="0"/>
              <w:spacing w:line="340" w:lineRule="exact"/>
              <w:jc w:val="center"/>
              <w:rPr>
                <w:color w:val="auto"/>
                <w:szCs w:val="21"/>
                <w:highlight w:val="none"/>
              </w:rPr>
            </w:pPr>
            <w:r>
              <w:rPr>
                <w:color w:val="auto"/>
                <w:szCs w:val="21"/>
                <w:highlight w:val="none"/>
              </w:rPr>
              <w:t>8</w:t>
            </w:r>
          </w:p>
        </w:tc>
        <w:tc>
          <w:tcPr>
            <w:tcW w:w="7655" w:type="dxa"/>
            <w:vAlign w:val="center"/>
          </w:tcPr>
          <w:p w14:paraId="7C037914">
            <w:pPr>
              <w:autoSpaceDE w:val="0"/>
              <w:autoSpaceDN w:val="0"/>
              <w:spacing w:line="340" w:lineRule="exact"/>
              <w:textAlignment w:val="bottom"/>
              <w:rPr>
                <w:color w:val="auto"/>
                <w:szCs w:val="21"/>
                <w:highlight w:val="none"/>
              </w:rPr>
            </w:pPr>
            <w:r>
              <w:rPr>
                <w:color w:val="auto"/>
                <w:szCs w:val="21"/>
                <w:highlight w:val="none"/>
              </w:rPr>
              <w:t>评标办法及评分标准：详见第四章 评标办法及评分标准。</w:t>
            </w:r>
          </w:p>
        </w:tc>
      </w:tr>
      <w:tr w14:paraId="5AD1B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1134" w:type="dxa"/>
            <w:vAlign w:val="center"/>
          </w:tcPr>
          <w:p w14:paraId="643F24C3">
            <w:pPr>
              <w:snapToGrid w:val="0"/>
              <w:spacing w:line="340" w:lineRule="exact"/>
              <w:jc w:val="center"/>
              <w:rPr>
                <w:color w:val="auto"/>
                <w:szCs w:val="21"/>
                <w:highlight w:val="none"/>
              </w:rPr>
            </w:pPr>
            <w:r>
              <w:rPr>
                <w:color w:val="auto"/>
                <w:szCs w:val="21"/>
                <w:highlight w:val="none"/>
              </w:rPr>
              <w:t>9</w:t>
            </w:r>
          </w:p>
        </w:tc>
        <w:tc>
          <w:tcPr>
            <w:tcW w:w="7655" w:type="dxa"/>
            <w:vAlign w:val="center"/>
          </w:tcPr>
          <w:p w14:paraId="0193505D">
            <w:pPr>
              <w:autoSpaceDE w:val="0"/>
              <w:autoSpaceDN w:val="0"/>
              <w:spacing w:line="340" w:lineRule="exact"/>
              <w:textAlignment w:val="bottom"/>
              <w:rPr>
                <w:color w:val="auto"/>
                <w:szCs w:val="21"/>
                <w:highlight w:val="none"/>
              </w:rPr>
            </w:pPr>
            <w:r>
              <w:rPr>
                <w:color w:val="auto"/>
                <w:szCs w:val="21"/>
                <w:highlight w:val="none"/>
              </w:rPr>
              <w:t>评标结果公示：评标结束后，评标结果公示于浙江政府采购网、宁波政府采购网和浙江中创招投标有限公司网站。</w:t>
            </w:r>
          </w:p>
        </w:tc>
      </w:tr>
      <w:tr w14:paraId="18C4C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1134" w:type="dxa"/>
            <w:vAlign w:val="center"/>
          </w:tcPr>
          <w:p w14:paraId="6291A51F">
            <w:pPr>
              <w:snapToGrid w:val="0"/>
              <w:spacing w:line="340" w:lineRule="exact"/>
              <w:jc w:val="center"/>
              <w:rPr>
                <w:color w:val="auto"/>
                <w:szCs w:val="21"/>
                <w:highlight w:val="none"/>
              </w:rPr>
            </w:pPr>
            <w:r>
              <w:rPr>
                <w:color w:val="auto"/>
                <w:szCs w:val="21"/>
                <w:highlight w:val="none"/>
              </w:rPr>
              <w:t>10</w:t>
            </w:r>
          </w:p>
        </w:tc>
        <w:tc>
          <w:tcPr>
            <w:tcW w:w="7655" w:type="dxa"/>
            <w:vAlign w:val="center"/>
          </w:tcPr>
          <w:p w14:paraId="5D60B36A">
            <w:pPr>
              <w:autoSpaceDE w:val="0"/>
              <w:autoSpaceDN w:val="0"/>
              <w:spacing w:line="340" w:lineRule="exact"/>
              <w:textAlignment w:val="bottom"/>
              <w:rPr>
                <w:color w:val="auto"/>
                <w:szCs w:val="21"/>
                <w:highlight w:val="none"/>
              </w:rPr>
            </w:pPr>
            <w:r>
              <w:rPr>
                <w:color w:val="auto"/>
                <w:szCs w:val="21"/>
                <w:highlight w:val="none"/>
              </w:rPr>
              <w:t>签订合同时间：中标通知书发出后30日内。</w:t>
            </w:r>
          </w:p>
        </w:tc>
      </w:tr>
      <w:tr w14:paraId="602AC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1134" w:type="dxa"/>
            <w:vAlign w:val="center"/>
          </w:tcPr>
          <w:p w14:paraId="3C290D31">
            <w:pPr>
              <w:snapToGrid w:val="0"/>
              <w:spacing w:line="340" w:lineRule="exact"/>
              <w:jc w:val="center"/>
              <w:rPr>
                <w:color w:val="auto"/>
                <w:szCs w:val="21"/>
                <w:highlight w:val="none"/>
              </w:rPr>
            </w:pPr>
            <w:r>
              <w:rPr>
                <w:color w:val="auto"/>
                <w:szCs w:val="21"/>
                <w:highlight w:val="none"/>
              </w:rPr>
              <w:t>11</w:t>
            </w:r>
          </w:p>
        </w:tc>
        <w:tc>
          <w:tcPr>
            <w:tcW w:w="7655" w:type="dxa"/>
            <w:vAlign w:val="center"/>
          </w:tcPr>
          <w:p w14:paraId="396D3781">
            <w:pPr>
              <w:autoSpaceDE w:val="0"/>
              <w:autoSpaceDN w:val="0"/>
              <w:spacing w:line="340" w:lineRule="exact"/>
              <w:textAlignment w:val="bottom"/>
              <w:rPr>
                <w:color w:val="auto"/>
                <w:szCs w:val="21"/>
                <w:highlight w:val="none"/>
              </w:rPr>
            </w:pPr>
            <w:r>
              <w:rPr>
                <w:color w:val="auto"/>
                <w:szCs w:val="21"/>
                <w:highlight w:val="none"/>
              </w:rPr>
              <w:t>采购资金来源：预算资金。</w:t>
            </w:r>
          </w:p>
        </w:tc>
      </w:tr>
      <w:tr w14:paraId="188860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1134" w:type="dxa"/>
            <w:vAlign w:val="center"/>
          </w:tcPr>
          <w:p w14:paraId="6EA890A8">
            <w:pPr>
              <w:snapToGrid w:val="0"/>
              <w:spacing w:line="340" w:lineRule="exact"/>
              <w:jc w:val="center"/>
              <w:rPr>
                <w:color w:val="auto"/>
                <w:szCs w:val="21"/>
                <w:highlight w:val="none"/>
              </w:rPr>
            </w:pPr>
            <w:r>
              <w:rPr>
                <w:b/>
                <w:color w:val="auto"/>
                <w:szCs w:val="21"/>
                <w:highlight w:val="none"/>
              </w:rPr>
              <w:t>*</w:t>
            </w:r>
            <w:r>
              <w:rPr>
                <w:color w:val="auto"/>
                <w:szCs w:val="21"/>
                <w:highlight w:val="none"/>
              </w:rPr>
              <w:t>12</w:t>
            </w:r>
          </w:p>
        </w:tc>
        <w:tc>
          <w:tcPr>
            <w:tcW w:w="7655" w:type="dxa"/>
            <w:vAlign w:val="center"/>
          </w:tcPr>
          <w:p w14:paraId="786E4228">
            <w:pPr>
              <w:autoSpaceDE w:val="0"/>
              <w:autoSpaceDN w:val="0"/>
              <w:spacing w:line="340" w:lineRule="exact"/>
              <w:textAlignment w:val="bottom"/>
              <w:rPr>
                <w:color w:val="auto"/>
                <w:szCs w:val="21"/>
                <w:highlight w:val="none"/>
              </w:rPr>
            </w:pPr>
            <w:r>
              <w:rPr>
                <w:color w:val="auto"/>
                <w:szCs w:val="21"/>
                <w:highlight w:val="none"/>
              </w:rPr>
              <w:t>投标文件有效期：90天。</w:t>
            </w:r>
          </w:p>
        </w:tc>
      </w:tr>
      <w:tr w14:paraId="0550D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1134" w:type="dxa"/>
            <w:vAlign w:val="center"/>
          </w:tcPr>
          <w:p w14:paraId="40A14763">
            <w:pPr>
              <w:snapToGrid w:val="0"/>
              <w:spacing w:line="340" w:lineRule="exact"/>
              <w:jc w:val="center"/>
              <w:rPr>
                <w:color w:val="auto"/>
                <w:szCs w:val="21"/>
                <w:highlight w:val="none"/>
              </w:rPr>
            </w:pPr>
            <w:r>
              <w:rPr>
                <w:b/>
                <w:color w:val="auto"/>
                <w:szCs w:val="21"/>
                <w:highlight w:val="none"/>
              </w:rPr>
              <w:t>*</w:t>
            </w:r>
            <w:r>
              <w:rPr>
                <w:color w:val="auto"/>
                <w:szCs w:val="21"/>
                <w:highlight w:val="none"/>
              </w:rPr>
              <w:t>13</w:t>
            </w:r>
          </w:p>
        </w:tc>
        <w:tc>
          <w:tcPr>
            <w:tcW w:w="7655" w:type="dxa"/>
            <w:vAlign w:val="center"/>
          </w:tcPr>
          <w:p w14:paraId="02CBD803">
            <w:pPr>
              <w:autoSpaceDE w:val="0"/>
              <w:autoSpaceDN w:val="0"/>
              <w:spacing w:line="340" w:lineRule="exact"/>
              <w:textAlignment w:val="bottom"/>
              <w:rPr>
                <w:color w:val="auto"/>
                <w:szCs w:val="21"/>
                <w:highlight w:val="none"/>
              </w:rPr>
            </w:pPr>
            <w:r>
              <w:rPr>
                <w:color w:val="auto"/>
                <w:szCs w:val="21"/>
                <w:highlight w:val="none"/>
              </w:rPr>
              <w:t>针对同一采购程序环节的质疑次数：一次性提出。</w:t>
            </w:r>
          </w:p>
        </w:tc>
      </w:tr>
      <w:tr w14:paraId="67E2A4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1134" w:type="dxa"/>
            <w:vAlign w:val="center"/>
          </w:tcPr>
          <w:p w14:paraId="5EA76676">
            <w:pPr>
              <w:snapToGrid w:val="0"/>
              <w:spacing w:line="340" w:lineRule="exact"/>
              <w:jc w:val="center"/>
              <w:rPr>
                <w:color w:val="auto"/>
                <w:szCs w:val="21"/>
                <w:highlight w:val="none"/>
              </w:rPr>
            </w:pPr>
            <w:r>
              <w:rPr>
                <w:color w:val="auto"/>
                <w:szCs w:val="21"/>
                <w:highlight w:val="none"/>
              </w:rPr>
              <w:t>14</w:t>
            </w:r>
          </w:p>
        </w:tc>
        <w:tc>
          <w:tcPr>
            <w:tcW w:w="7655" w:type="dxa"/>
            <w:vAlign w:val="center"/>
          </w:tcPr>
          <w:p w14:paraId="3F23A5B2">
            <w:pPr>
              <w:autoSpaceDE w:val="0"/>
              <w:autoSpaceDN w:val="0"/>
              <w:spacing w:line="340" w:lineRule="exact"/>
              <w:textAlignment w:val="bottom"/>
              <w:rPr>
                <w:color w:val="auto"/>
                <w:szCs w:val="21"/>
                <w:highlight w:val="none"/>
              </w:rPr>
            </w:pPr>
            <w:r>
              <w:rPr>
                <w:color w:val="auto"/>
                <w:szCs w:val="21"/>
                <w:highlight w:val="none"/>
              </w:rPr>
              <w:t>解释：本招标文件的解释权属于招标采购人。</w:t>
            </w:r>
          </w:p>
        </w:tc>
      </w:tr>
      <w:bookmarkEnd w:id="28"/>
      <w:bookmarkEnd w:id="29"/>
    </w:tbl>
    <w:p w14:paraId="4EE48F85">
      <w:pPr>
        <w:pStyle w:val="4"/>
        <w:spacing w:before="0" w:after="0" w:line="360" w:lineRule="auto"/>
        <w:rPr>
          <w:color w:val="auto"/>
          <w:sz w:val="30"/>
          <w:highlight w:val="none"/>
        </w:rPr>
      </w:pPr>
      <w:r>
        <w:rPr>
          <w:color w:val="auto"/>
          <w:sz w:val="21"/>
          <w:szCs w:val="21"/>
          <w:highlight w:val="none"/>
        </w:rPr>
        <w:br w:type="page"/>
      </w:r>
      <w:bookmarkEnd w:id="30"/>
      <w:bookmarkEnd w:id="31"/>
      <w:bookmarkEnd w:id="32"/>
      <w:bookmarkEnd w:id="33"/>
      <w:bookmarkStart w:id="34" w:name="_Toc17707910"/>
      <w:bookmarkStart w:id="35" w:name="_Toc460857897"/>
      <w:bookmarkStart w:id="36" w:name="_Toc100932110"/>
      <w:r>
        <w:rPr>
          <w:color w:val="auto"/>
          <w:sz w:val="21"/>
          <w:szCs w:val="21"/>
          <w:highlight w:val="none"/>
        </w:rPr>
        <w:t>一、 总  则</w:t>
      </w:r>
      <w:bookmarkEnd w:id="34"/>
      <w:bookmarkEnd w:id="35"/>
      <w:bookmarkEnd w:id="36"/>
    </w:p>
    <w:p w14:paraId="5025039B">
      <w:pPr>
        <w:pStyle w:val="6"/>
        <w:numPr>
          <w:ilvl w:val="0"/>
          <w:numId w:val="0"/>
        </w:numPr>
        <w:tabs>
          <w:tab w:val="clear" w:pos="720"/>
        </w:tabs>
        <w:spacing w:before="0" w:after="0" w:line="360" w:lineRule="auto"/>
        <w:rPr>
          <w:color w:val="auto"/>
          <w:kern w:val="2"/>
          <w:sz w:val="21"/>
          <w:szCs w:val="21"/>
          <w:highlight w:val="none"/>
        </w:rPr>
      </w:pPr>
      <w:bookmarkStart w:id="37" w:name="_Toc460857898"/>
      <w:bookmarkStart w:id="38" w:name="_Toc460416340"/>
      <w:bookmarkStart w:id="39" w:name="_Toc460416596"/>
      <w:bookmarkStart w:id="40" w:name="_Toc100932111"/>
      <w:bookmarkStart w:id="41" w:name="_Toc460416645"/>
      <w:bookmarkStart w:id="42" w:name="_Toc17707911"/>
      <w:r>
        <w:rPr>
          <w:color w:val="auto"/>
          <w:kern w:val="2"/>
          <w:sz w:val="21"/>
          <w:szCs w:val="21"/>
          <w:highlight w:val="none"/>
        </w:rPr>
        <w:t>（一）适用范围</w:t>
      </w:r>
      <w:bookmarkEnd w:id="37"/>
      <w:bookmarkEnd w:id="38"/>
      <w:bookmarkEnd w:id="39"/>
      <w:bookmarkEnd w:id="40"/>
      <w:bookmarkEnd w:id="41"/>
      <w:bookmarkEnd w:id="42"/>
    </w:p>
    <w:p w14:paraId="6DDB86EF">
      <w:pPr>
        <w:snapToGrid w:val="0"/>
        <w:spacing w:line="360" w:lineRule="auto"/>
        <w:ind w:firstLine="420" w:firstLineChars="200"/>
        <w:jc w:val="left"/>
        <w:rPr>
          <w:color w:val="auto"/>
          <w:szCs w:val="21"/>
          <w:highlight w:val="none"/>
        </w:rPr>
      </w:pPr>
      <w:r>
        <w:rPr>
          <w:color w:val="auto"/>
          <w:szCs w:val="21"/>
          <w:highlight w:val="none"/>
        </w:rPr>
        <w:t>本采购文件适用于本采购项目的招标、投标、评标、定标、验收、合同履约、付款等行为（法律、法规另有规定的，从其规定）。</w:t>
      </w:r>
    </w:p>
    <w:p w14:paraId="5F92EA38">
      <w:pPr>
        <w:pStyle w:val="6"/>
        <w:numPr>
          <w:ilvl w:val="0"/>
          <w:numId w:val="0"/>
        </w:numPr>
        <w:spacing w:before="0" w:after="0" w:line="360" w:lineRule="auto"/>
        <w:rPr>
          <w:color w:val="auto"/>
          <w:kern w:val="2"/>
          <w:sz w:val="21"/>
          <w:szCs w:val="21"/>
          <w:highlight w:val="none"/>
        </w:rPr>
      </w:pPr>
      <w:bookmarkStart w:id="43" w:name="_Toc460416646"/>
      <w:bookmarkStart w:id="44" w:name="_Toc460416341"/>
      <w:bookmarkStart w:id="45" w:name="_Toc17707912"/>
      <w:bookmarkStart w:id="46" w:name="_Toc460857899"/>
      <w:bookmarkStart w:id="47" w:name="_Toc460416597"/>
      <w:bookmarkStart w:id="48" w:name="_Toc100932112"/>
      <w:r>
        <w:rPr>
          <w:color w:val="auto"/>
          <w:kern w:val="2"/>
          <w:sz w:val="21"/>
          <w:szCs w:val="21"/>
          <w:highlight w:val="none"/>
        </w:rPr>
        <w:t>（二）定义</w:t>
      </w:r>
      <w:bookmarkEnd w:id="43"/>
      <w:bookmarkEnd w:id="44"/>
      <w:bookmarkEnd w:id="45"/>
      <w:bookmarkEnd w:id="46"/>
      <w:bookmarkEnd w:id="47"/>
      <w:bookmarkEnd w:id="48"/>
    </w:p>
    <w:p w14:paraId="1AF6AD17">
      <w:pPr>
        <w:snapToGrid w:val="0"/>
        <w:spacing w:line="360" w:lineRule="auto"/>
        <w:ind w:firstLine="420" w:firstLineChars="200"/>
        <w:jc w:val="left"/>
        <w:rPr>
          <w:color w:val="auto"/>
          <w:szCs w:val="21"/>
          <w:highlight w:val="none"/>
        </w:rPr>
      </w:pPr>
      <w:r>
        <w:rPr>
          <w:color w:val="auto"/>
          <w:szCs w:val="21"/>
          <w:highlight w:val="none"/>
        </w:rPr>
        <w:t>1.“采购人”系指组织本次招标的采购单位。</w:t>
      </w:r>
    </w:p>
    <w:p w14:paraId="33F49E2E">
      <w:pPr>
        <w:snapToGrid w:val="0"/>
        <w:spacing w:line="360" w:lineRule="auto"/>
        <w:ind w:firstLine="420" w:firstLineChars="200"/>
        <w:jc w:val="left"/>
        <w:rPr>
          <w:color w:val="auto"/>
          <w:szCs w:val="21"/>
          <w:highlight w:val="none"/>
        </w:rPr>
      </w:pPr>
      <w:r>
        <w:rPr>
          <w:color w:val="auto"/>
          <w:szCs w:val="21"/>
          <w:highlight w:val="none"/>
        </w:rPr>
        <w:t>2.“投标人”系指向采购人提交投标文件的单位或个人（“供应商”）。</w:t>
      </w:r>
    </w:p>
    <w:p w14:paraId="26078AE5">
      <w:pPr>
        <w:snapToGrid w:val="0"/>
        <w:spacing w:line="360" w:lineRule="auto"/>
        <w:ind w:firstLine="420" w:firstLineChars="200"/>
        <w:jc w:val="left"/>
        <w:rPr>
          <w:color w:val="auto"/>
          <w:szCs w:val="21"/>
          <w:highlight w:val="none"/>
        </w:rPr>
      </w:pPr>
      <w:r>
        <w:rPr>
          <w:color w:val="auto"/>
          <w:szCs w:val="21"/>
          <w:highlight w:val="none"/>
        </w:rPr>
        <w:t>3.“产品”系指供方按采购文件规定，须向采购人提供的一切货物、保险、税金、工具、手册及其它有关技术资料和材料。</w:t>
      </w:r>
    </w:p>
    <w:p w14:paraId="629BDD22">
      <w:pPr>
        <w:snapToGrid w:val="0"/>
        <w:spacing w:line="360" w:lineRule="auto"/>
        <w:ind w:firstLine="420" w:firstLineChars="200"/>
        <w:jc w:val="left"/>
        <w:rPr>
          <w:color w:val="auto"/>
          <w:szCs w:val="21"/>
          <w:highlight w:val="none"/>
        </w:rPr>
      </w:pPr>
      <w:r>
        <w:rPr>
          <w:color w:val="auto"/>
          <w:szCs w:val="21"/>
          <w:highlight w:val="none"/>
        </w:rPr>
        <w:t>4.“服务”系指采购文件规定投标人须承担的制作、运输、装卸、技术指导以及其他类似的义务。</w:t>
      </w:r>
    </w:p>
    <w:p w14:paraId="7228C8A5">
      <w:pPr>
        <w:snapToGrid w:val="0"/>
        <w:spacing w:line="360" w:lineRule="auto"/>
        <w:ind w:firstLine="420" w:firstLineChars="200"/>
        <w:jc w:val="left"/>
        <w:rPr>
          <w:color w:val="auto"/>
          <w:szCs w:val="21"/>
          <w:highlight w:val="none"/>
        </w:rPr>
      </w:pPr>
      <w:r>
        <w:rPr>
          <w:color w:val="auto"/>
          <w:szCs w:val="21"/>
          <w:highlight w:val="none"/>
        </w:rPr>
        <w:t>5.“项目”系指投标人按采购文件规定向采购人提供的产品和服务。</w:t>
      </w:r>
    </w:p>
    <w:p w14:paraId="58144985">
      <w:pPr>
        <w:snapToGrid w:val="0"/>
        <w:spacing w:line="360" w:lineRule="auto"/>
        <w:ind w:firstLine="420" w:firstLineChars="200"/>
        <w:jc w:val="left"/>
        <w:rPr>
          <w:color w:val="auto"/>
          <w:szCs w:val="21"/>
          <w:highlight w:val="none"/>
        </w:rPr>
      </w:pPr>
      <w:r>
        <w:rPr>
          <w:color w:val="auto"/>
          <w:szCs w:val="21"/>
          <w:highlight w:val="none"/>
        </w:rPr>
        <w:t>6.“书面形式”包括信函、传真、电报等。</w:t>
      </w:r>
    </w:p>
    <w:p w14:paraId="1EE3A03C">
      <w:pPr>
        <w:snapToGrid w:val="0"/>
        <w:spacing w:line="360" w:lineRule="auto"/>
        <w:ind w:firstLine="422" w:firstLineChars="200"/>
        <w:jc w:val="left"/>
        <w:rPr>
          <w:b/>
          <w:color w:val="auto"/>
          <w:szCs w:val="21"/>
          <w:highlight w:val="none"/>
        </w:rPr>
      </w:pPr>
      <w:r>
        <w:rPr>
          <w:b/>
          <w:color w:val="auto"/>
          <w:szCs w:val="21"/>
          <w:highlight w:val="none"/>
        </w:rPr>
        <w:t>7.“*”系指实质性要求条款。</w:t>
      </w:r>
    </w:p>
    <w:p w14:paraId="7B8E160F">
      <w:pPr>
        <w:pStyle w:val="6"/>
        <w:numPr>
          <w:ilvl w:val="0"/>
          <w:numId w:val="0"/>
        </w:numPr>
        <w:spacing w:before="0" w:after="0" w:line="360" w:lineRule="auto"/>
        <w:rPr>
          <w:color w:val="auto"/>
          <w:kern w:val="2"/>
          <w:sz w:val="21"/>
          <w:szCs w:val="21"/>
          <w:highlight w:val="none"/>
        </w:rPr>
      </w:pPr>
      <w:bookmarkStart w:id="49" w:name="_Toc17707913"/>
      <w:bookmarkStart w:id="50" w:name="_Toc460416342"/>
      <w:bookmarkStart w:id="51" w:name="_Toc100932113"/>
      <w:bookmarkStart w:id="52" w:name="_Toc460416647"/>
      <w:bookmarkStart w:id="53" w:name="_Toc460416598"/>
      <w:bookmarkStart w:id="54" w:name="_Toc460857900"/>
      <w:r>
        <w:rPr>
          <w:color w:val="auto"/>
          <w:kern w:val="2"/>
          <w:sz w:val="21"/>
          <w:szCs w:val="21"/>
          <w:highlight w:val="none"/>
        </w:rPr>
        <w:t>（三）采购方式</w:t>
      </w:r>
      <w:bookmarkEnd w:id="49"/>
      <w:bookmarkEnd w:id="50"/>
      <w:bookmarkEnd w:id="51"/>
      <w:bookmarkEnd w:id="52"/>
      <w:bookmarkEnd w:id="53"/>
      <w:bookmarkEnd w:id="54"/>
    </w:p>
    <w:p w14:paraId="6B5D3E64">
      <w:pPr>
        <w:snapToGrid w:val="0"/>
        <w:spacing w:line="360" w:lineRule="auto"/>
        <w:ind w:firstLine="420" w:firstLineChars="200"/>
        <w:jc w:val="left"/>
        <w:rPr>
          <w:color w:val="auto"/>
          <w:szCs w:val="21"/>
          <w:highlight w:val="none"/>
        </w:rPr>
      </w:pPr>
      <w:r>
        <w:rPr>
          <w:color w:val="auto"/>
          <w:szCs w:val="21"/>
          <w:highlight w:val="none"/>
        </w:rPr>
        <w:t>本次采购采用公开招标方式进行。</w:t>
      </w:r>
    </w:p>
    <w:p w14:paraId="77A78A96">
      <w:pPr>
        <w:pStyle w:val="6"/>
        <w:numPr>
          <w:ilvl w:val="0"/>
          <w:numId w:val="0"/>
        </w:numPr>
        <w:spacing w:before="0" w:after="0" w:line="360" w:lineRule="auto"/>
        <w:rPr>
          <w:color w:val="auto"/>
          <w:kern w:val="2"/>
          <w:sz w:val="21"/>
          <w:szCs w:val="21"/>
          <w:highlight w:val="none"/>
        </w:rPr>
      </w:pPr>
      <w:bookmarkStart w:id="55" w:name="_Toc460416599"/>
      <w:bookmarkStart w:id="56" w:name="_Toc17707914"/>
      <w:bookmarkStart w:id="57" w:name="_Toc460416343"/>
      <w:bookmarkStart w:id="58" w:name="_Toc100932114"/>
      <w:bookmarkStart w:id="59" w:name="_Toc460857901"/>
      <w:bookmarkStart w:id="60" w:name="_Toc460416648"/>
      <w:r>
        <w:rPr>
          <w:color w:val="auto"/>
          <w:kern w:val="2"/>
          <w:sz w:val="21"/>
          <w:szCs w:val="21"/>
          <w:highlight w:val="none"/>
        </w:rPr>
        <w:t>（四）投标委托</w:t>
      </w:r>
      <w:bookmarkEnd w:id="55"/>
      <w:bookmarkEnd w:id="56"/>
      <w:bookmarkEnd w:id="57"/>
      <w:bookmarkEnd w:id="58"/>
      <w:bookmarkEnd w:id="59"/>
      <w:bookmarkEnd w:id="60"/>
    </w:p>
    <w:p w14:paraId="561315DC">
      <w:pPr>
        <w:pStyle w:val="15"/>
        <w:snapToGrid w:val="0"/>
        <w:spacing w:line="360" w:lineRule="auto"/>
        <w:ind w:firstLine="420" w:firstLineChars="200"/>
        <w:jc w:val="left"/>
        <w:rPr>
          <w:rFonts w:ascii="Times New Roman"/>
          <w:color w:val="auto"/>
          <w:sz w:val="21"/>
          <w:szCs w:val="21"/>
          <w:highlight w:val="none"/>
        </w:rPr>
      </w:pPr>
      <w:r>
        <w:rPr>
          <w:rFonts w:ascii="Times New Roman"/>
          <w:color w:val="auto"/>
          <w:spacing w:val="0"/>
          <w:sz w:val="21"/>
          <w:szCs w:val="21"/>
          <w:highlight w:val="none"/>
        </w:rPr>
        <w:t>如供应商派授权代表出席开标会议，授权代表须携带有效身份证件。投标人代表须为投标人的在职员工，如投标人代表不是法定代表人，须有法定代表人出具的授权委托书并在投标文件中提供投标人代表身份证正反面复印件及授权代表开标之日前近一个月内缴纳社保的证明材料（投标文件正本用原件，副本可用复印件，格式见第六部分）</w:t>
      </w:r>
      <w:r>
        <w:rPr>
          <w:rFonts w:ascii="Times New Roman"/>
          <w:color w:val="auto"/>
          <w:sz w:val="21"/>
          <w:szCs w:val="21"/>
          <w:highlight w:val="none"/>
        </w:rPr>
        <w:t>。</w:t>
      </w:r>
    </w:p>
    <w:p w14:paraId="7C61EEBB">
      <w:pPr>
        <w:pStyle w:val="6"/>
        <w:numPr>
          <w:ilvl w:val="0"/>
          <w:numId w:val="0"/>
        </w:numPr>
        <w:spacing w:before="0" w:after="0" w:line="360" w:lineRule="auto"/>
        <w:rPr>
          <w:color w:val="auto"/>
          <w:kern w:val="2"/>
          <w:sz w:val="21"/>
          <w:szCs w:val="21"/>
          <w:highlight w:val="none"/>
        </w:rPr>
      </w:pPr>
      <w:bookmarkStart w:id="61" w:name="_Toc17707915"/>
      <w:bookmarkStart w:id="62" w:name="_Toc460416344"/>
      <w:bookmarkStart w:id="63" w:name="_Toc460416649"/>
      <w:bookmarkStart w:id="64" w:name="_Toc100932115"/>
      <w:bookmarkStart w:id="65" w:name="_Toc460416600"/>
      <w:bookmarkStart w:id="66" w:name="_Toc460857902"/>
      <w:r>
        <w:rPr>
          <w:color w:val="auto"/>
          <w:kern w:val="2"/>
          <w:sz w:val="21"/>
          <w:szCs w:val="21"/>
          <w:highlight w:val="none"/>
        </w:rPr>
        <w:t>（五）投标费用</w:t>
      </w:r>
      <w:bookmarkEnd w:id="61"/>
      <w:bookmarkEnd w:id="62"/>
      <w:bookmarkEnd w:id="63"/>
      <w:bookmarkEnd w:id="64"/>
      <w:bookmarkEnd w:id="65"/>
      <w:bookmarkEnd w:id="66"/>
    </w:p>
    <w:p w14:paraId="5376DD54">
      <w:pPr>
        <w:snapToGrid w:val="0"/>
        <w:spacing w:line="360" w:lineRule="auto"/>
        <w:ind w:firstLine="420" w:firstLineChars="200"/>
        <w:jc w:val="left"/>
        <w:rPr>
          <w:color w:val="auto"/>
          <w:szCs w:val="21"/>
          <w:highlight w:val="none"/>
        </w:rPr>
      </w:pPr>
      <w:r>
        <w:rPr>
          <w:color w:val="auto"/>
          <w:szCs w:val="21"/>
          <w:highlight w:val="none"/>
        </w:rPr>
        <w:t>不论投标结果如何，投标人均应自行承担所有与投标有关的全部费用（采购文件有相反规定除外）。</w:t>
      </w:r>
    </w:p>
    <w:p w14:paraId="00D26DAE">
      <w:pPr>
        <w:pStyle w:val="6"/>
        <w:numPr>
          <w:ilvl w:val="0"/>
          <w:numId w:val="0"/>
        </w:numPr>
        <w:spacing w:before="0" w:after="0" w:line="360" w:lineRule="auto"/>
        <w:rPr>
          <w:color w:val="auto"/>
          <w:kern w:val="2"/>
          <w:sz w:val="21"/>
          <w:szCs w:val="21"/>
          <w:highlight w:val="none"/>
        </w:rPr>
      </w:pPr>
      <w:bookmarkStart w:id="67" w:name="_Toc460857903"/>
      <w:bookmarkStart w:id="68" w:name="_Toc100932116"/>
      <w:bookmarkStart w:id="69" w:name="_Toc17707916"/>
      <w:r>
        <w:rPr>
          <w:color w:val="auto"/>
          <w:kern w:val="2"/>
          <w:sz w:val="21"/>
          <w:szCs w:val="21"/>
          <w:highlight w:val="none"/>
        </w:rPr>
        <w:t>（六）联合体投标</w:t>
      </w:r>
      <w:bookmarkEnd w:id="67"/>
      <w:bookmarkEnd w:id="68"/>
      <w:bookmarkEnd w:id="69"/>
    </w:p>
    <w:p w14:paraId="7F13A572">
      <w:pPr>
        <w:snapToGrid w:val="0"/>
        <w:spacing w:line="360" w:lineRule="auto"/>
        <w:ind w:firstLine="630" w:firstLineChars="300"/>
        <w:jc w:val="left"/>
        <w:rPr>
          <w:color w:val="auto"/>
          <w:szCs w:val="21"/>
          <w:highlight w:val="none"/>
        </w:rPr>
      </w:pPr>
      <w:r>
        <w:rPr>
          <w:color w:val="auto"/>
          <w:szCs w:val="21"/>
          <w:highlight w:val="none"/>
        </w:rPr>
        <w:t>本项目不接受联合体投标。</w:t>
      </w:r>
    </w:p>
    <w:p w14:paraId="0DFF9BAE">
      <w:pPr>
        <w:pStyle w:val="6"/>
        <w:numPr>
          <w:ilvl w:val="0"/>
          <w:numId w:val="0"/>
        </w:numPr>
        <w:spacing w:before="0" w:after="0" w:line="360" w:lineRule="auto"/>
        <w:rPr>
          <w:color w:val="auto"/>
          <w:kern w:val="2"/>
          <w:sz w:val="21"/>
          <w:szCs w:val="21"/>
          <w:highlight w:val="none"/>
        </w:rPr>
      </w:pPr>
      <w:bookmarkStart w:id="70" w:name="_Toc17707917"/>
      <w:bookmarkStart w:id="71" w:name="_Toc100932117"/>
      <w:bookmarkStart w:id="72" w:name="_Toc460857904"/>
      <w:r>
        <w:rPr>
          <w:color w:val="auto"/>
          <w:kern w:val="2"/>
          <w:sz w:val="21"/>
          <w:szCs w:val="21"/>
          <w:highlight w:val="none"/>
        </w:rPr>
        <w:t>（七）转包与分包</w:t>
      </w:r>
      <w:bookmarkEnd w:id="70"/>
      <w:bookmarkEnd w:id="71"/>
      <w:bookmarkEnd w:id="72"/>
    </w:p>
    <w:p w14:paraId="1E3A3CE2">
      <w:pPr>
        <w:snapToGrid w:val="0"/>
        <w:spacing w:line="360" w:lineRule="auto"/>
        <w:ind w:firstLine="420" w:firstLineChars="200"/>
        <w:jc w:val="left"/>
        <w:rPr>
          <w:color w:val="auto"/>
          <w:kern w:val="0"/>
          <w:szCs w:val="21"/>
          <w:highlight w:val="none"/>
        </w:rPr>
      </w:pPr>
      <w:r>
        <w:rPr>
          <w:color w:val="auto"/>
          <w:kern w:val="0"/>
          <w:szCs w:val="21"/>
          <w:highlight w:val="none"/>
        </w:rPr>
        <w:t>1.本项目不允许转包。</w:t>
      </w:r>
    </w:p>
    <w:p w14:paraId="0AE6BC62">
      <w:pPr>
        <w:pStyle w:val="6"/>
        <w:numPr>
          <w:ilvl w:val="0"/>
          <w:numId w:val="0"/>
        </w:numPr>
        <w:spacing w:before="0" w:after="0" w:line="360" w:lineRule="auto"/>
        <w:rPr>
          <w:color w:val="auto"/>
          <w:kern w:val="2"/>
          <w:sz w:val="21"/>
          <w:szCs w:val="21"/>
          <w:highlight w:val="none"/>
        </w:rPr>
      </w:pPr>
      <w:bookmarkStart w:id="73" w:name="_Toc460416601"/>
      <w:bookmarkStart w:id="74" w:name="_Toc100932118"/>
      <w:bookmarkStart w:id="75" w:name="_Toc460416650"/>
      <w:bookmarkStart w:id="76" w:name="_Toc460416345"/>
      <w:bookmarkStart w:id="77" w:name="_Toc460857905"/>
      <w:bookmarkStart w:id="78" w:name="_Toc17707918"/>
      <w:r>
        <w:rPr>
          <w:color w:val="auto"/>
          <w:kern w:val="2"/>
          <w:sz w:val="21"/>
          <w:szCs w:val="21"/>
          <w:highlight w:val="none"/>
        </w:rPr>
        <w:t>（八）特别说明</w:t>
      </w:r>
      <w:bookmarkEnd w:id="73"/>
      <w:bookmarkEnd w:id="74"/>
      <w:bookmarkEnd w:id="75"/>
      <w:bookmarkEnd w:id="76"/>
      <w:bookmarkEnd w:id="77"/>
      <w:bookmarkEnd w:id="78"/>
    </w:p>
    <w:p w14:paraId="133D1984">
      <w:pPr>
        <w:pStyle w:val="19"/>
        <w:snapToGrid w:val="0"/>
        <w:spacing w:beforeLines="0" w:afterLines="0" w:line="360" w:lineRule="auto"/>
        <w:ind w:left="2" w:leftChars="1" w:firstLine="422" w:firstLineChars="200"/>
        <w:jc w:val="left"/>
        <w:rPr>
          <w:rFonts w:ascii="Times New Roman"/>
          <w:b/>
          <w:color w:val="auto"/>
          <w:sz w:val="21"/>
          <w:szCs w:val="21"/>
          <w:highlight w:val="none"/>
        </w:rPr>
      </w:pPr>
      <w:r>
        <w:rPr>
          <w:rFonts w:ascii="Times New Roman"/>
          <w:b/>
          <w:color w:val="auto"/>
          <w:sz w:val="21"/>
          <w:szCs w:val="21"/>
          <w:highlight w:val="none"/>
        </w:rPr>
        <w:t>*1.投标人应仔细阅读采购文件的所有内容，按照采购文件的要求提交投标文件，并对所提供的全部资料的真实性承担法律责任。</w:t>
      </w:r>
    </w:p>
    <w:p w14:paraId="19848F1B">
      <w:pPr>
        <w:pStyle w:val="19"/>
        <w:snapToGrid w:val="0"/>
        <w:spacing w:beforeLines="0" w:afterLines="0" w:line="360" w:lineRule="auto"/>
        <w:ind w:left="2" w:leftChars="1" w:firstLine="422" w:firstLineChars="200"/>
        <w:jc w:val="left"/>
        <w:rPr>
          <w:rFonts w:ascii="Times New Roman"/>
          <w:b/>
          <w:color w:val="auto"/>
          <w:sz w:val="21"/>
          <w:szCs w:val="21"/>
          <w:highlight w:val="none"/>
        </w:rPr>
      </w:pPr>
      <w:r>
        <w:rPr>
          <w:rFonts w:ascii="Times New Roman"/>
          <w:b/>
          <w:color w:val="auto"/>
          <w:sz w:val="21"/>
          <w:szCs w:val="21"/>
          <w:highlight w:val="none"/>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14:paraId="59BD01B1">
      <w:pPr>
        <w:pStyle w:val="6"/>
        <w:numPr>
          <w:ilvl w:val="0"/>
          <w:numId w:val="0"/>
        </w:numPr>
        <w:spacing w:before="0" w:after="0" w:line="360" w:lineRule="auto"/>
        <w:rPr>
          <w:color w:val="auto"/>
          <w:kern w:val="2"/>
          <w:sz w:val="21"/>
          <w:szCs w:val="21"/>
          <w:highlight w:val="none"/>
        </w:rPr>
      </w:pPr>
      <w:bookmarkStart w:id="79" w:name="_Toc100932119"/>
      <w:bookmarkStart w:id="80" w:name="_Toc17707919"/>
      <w:r>
        <w:rPr>
          <w:color w:val="auto"/>
          <w:kern w:val="2"/>
          <w:sz w:val="21"/>
          <w:szCs w:val="21"/>
          <w:highlight w:val="none"/>
        </w:rPr>
        <w:t>（九）关于分公司投标</w:t>
      </w:r>
      <w:bookmarkEnd w:id="79"/>
      <w:bookmarkEnd w:id="80"/>
    </w:p>
    <w:p w14:paraId="021350DB">
      <w:pPr>
        <w:widowControl/>
        <w:spacing w:line="360" w:lineRule="auto"/>
        <w:ind w:firstLine="420" w:firstLineChars="200"/>
        <w:jc w:val="left"/>
        <w:rPr>
          <w:bCs/>
          <w:color w:val="auto"/>
          <w:szCs w:val="21"/>
          <w:highlight w:val="none"/>
        </w:rPr>
      </w:pPr>
      <w:r>
        <w:rPr>
          <w:bCs/>
          <w:color w:val="auto"/>
          <w:szCs w:val="21"/>
          <w:highlight w:val="none"/>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3982E3FD">
      <w:pPr>
        <w:pStyle w:val="6"/>
        <w:numPr>
          <w:ilvl w:val="0"/>
          <w:numId w:val="0"/>
        </w:numPr>
        <w:spacing w:before="0" w:after="0" w:line="360" w:lineRule="auto"/>
        <w:rPr>
          <w:color w:val="auto"/>
          <w:kern w:val="2"/>
          <w:sz w:val="21"/>
          <w:szCs w:val="21"/>
          <w:highlight w:val="none"/>
        </w:rPr>
      </w:pPr>
      <w:bookmarkStart w:id="81" w:name="_Toc100932120"/>
      <w:bookmarkStart w:id="82" w:name="_Toc17707920"/>
      <w:r>
        <w:rPr>
          <w:color w:val="auto"/>
          <w:kern w:val="2"/>
          <w:sz w:val="21"/>
          <w:szCs w:val="21"/>
          <w:highlight w:val="none"/>
        </w:rPr>
        <w:t>（十）关于知识产权</w:t>
      </w:r>
      <w:bookmarkEnd w:id="81"/>
      <w:bookmarkEnd w:id="82"/>
    </w:p>
    <w:p w14:paraId="346C190B">
      <w:pPr>
        <w:widowControl/>
        <w:snapToGrid w:val="0"/>
        <w:spacing w:line="360" w:lineRule="auto"/>
        <w:ind w:firstLine="420" w:firstLineChars="200"/>
        <w:jc w:val="left"/>
        <w:rPr>
          <w:bCs/>
          <w:color w:val="auto"/>
          <w:szCs w:val="21"/>
          <w:highlight w:val="none"/>
        </w:rPr>
      </w:pPr>
      <w:r>
        <w:rPr>
          <w:bCs/>
          <w:color w:val="auto"/>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42D23814">
      <w:pPr>
        <w:widowControl/>
        <w:snapToGrid w:val="0"/>
        <w:spacing w:line="360" w:lineRule="auto"/>
        <w:ind w:firstLine="420" w:firstLineChars="200"/>
        <w:jc w:val="left"/>
        <w:rPr>
          <w:bCs/>
          <w:color w:val="auto"/>
          <w:szCs w:val="21"/>
          <w:highlight w:val="none"/>
        </w:rPr>
      </w:pPr>
      <w:r>
        <w:rPr>
          <w:bCs/>
          <w:color w:val="auto"/>
          <w:szCs w:val="21"/>
          <w:highlight w:val="none"/>
        </w:rPr>
        <w:t>2.投标报价应包含所有应向所有权人支付的专利权、商标权或其它知识产权的一切相关费用。</w:t>
      </w:r>
    </w:p>
    <w:p w14:paraId="371378E6">
      <w:pPr>
        <w:widowControl/>
        <w:snapToGrid w:val="0"/>
        <w:spacing w:line="360" w:lineRule="auto"/>
        <w:ind w:firstLine="420" w:firstLineChars="200"/>
        <w:jc w:val="left"/>
        <w:rPr>
          <w:bCs/>
          <w:color w:val="auto"/>
          <w:szCs w:val="21"/>
          <w:highlight w:val="none"/>
        </w:rPr>
      </w:pPr>
      <w:r>
        <w:rPr>
          <w:bCs/>
          <w:color w:val="auto"/>
          <w:szCs w:val="21"/>
          <w:highlight w:val="none"/>
        </w:rPr>
        <w:t>3.系统软件、通用软件必须是具有在中国境内的合法使用权或版权的正版软件，涉及到第三方提出侵权或知识产权的起诉及支付版税等费用由投标人承担所有责任及费用。</w:t>
      </w:r>
    </w:p>
    <w:p w14:paraId="398E5D45">
      <w:pPr>
        <w:pStyle w:val="6"/>
        <w:numPr>
          <w:ilvl w:val="0"/>
          <w:numId w:val="0"/>
        </w:numPr>
        <w:spacing w:before="0" w:after="0" w:line="360" w:lineRule="auto"/>
        <w:rPr>
          <w:color w:val="auto"/>
          <w:kern w:val="2"/>
          <w:sz w:val="21"/>
          <w:szCs w:val="21"/>
          <w:highlight w:val="none"/>
        </w:rPr>
      </w:pPr>
      <w:bookmarkStart w:id="83" w:name="_Toc100932121"/>
      <w:bookmarkStart w:id="84" w:name="_Toc460416602"/>
      <w:bookmarkStart w:id="85" w:name="_Toc17707921"/>
      <w:bookmarkStart w:id="86" w:name="_Toc460416346"/>
      <w:bookmarkStart w:id="87" w:name="_Toc460416651"/>
      <w:bookmarkStart w:id="88" w:name="_Toc460857906"/>
      <w:r>
        <w:rPr>
          <w:color w:val="auto"/>
          <w:kern w:val="2"/>
          <w:sz w:val="21"/>
          <w:szCs w:val="21"/>
          <w:highlight w:val="none"/>
        </w:rPr>
        <w:t>（十一）质疑和投诉</w:t>
      </w:r>
      <w:bookmarkEnd w:id="83"/>
      <w:bookmarkEnd w:id="84"/>
      <w:bookmarkEnd w:id="85"/>
      <w:bookmarkEnd w:id="86"/>
      <w:bookmarkEnd w:id="87"/>
      <w:bookmarkEnd w:id="88"/>
    </w:p>
    <w:p w14:paraId="65DA9331">
      <w:pPr>
        <w:pStyle w:val="3"/>
        <w:spacing w:after="0" w:line="360" w:lineRule="auto"/>
        <w:ind w:firstLine="420" w:firstLineChars="200"/>
        <w:rPr>
          <w:color w:val="auto"/>
          <w:highlight w:val="none"/>
        </w:rPr>
      </w:pPr>
      <w:r>
        <w:rPr>
          <w:color w:val="auto"/>
          <w:sz w:val="21"/>
          <w:szCs w:val="21"/>
          <w:highlight w:val="none"/>
        </w:rPr>
        <w:t>1.</w:t>
      </w:r>
      <w:r>
        <w:rPr>
          <w:color w:val="auto"/>
          <w:szCs w:val="21"/>
          <w:highlight w:val="none"/>
        </w:rPr>
        <w:t xml:space="preserve"> </w:t>
      </w:r>
      <w:r>
        <w:rPr>
          <w:color w:val="auto"/>
          <w:sz w:val="21"/>
          <w:szCs w:val="21"/>
          <w:highlight w:val="none"/>
        </w:rPr>
        <w:t>供应商认为采购文件、采购过程、中标或者成交结果使自己的权益受到损害的，须在应</w:t>
      </w:r>
      <w:r>
        <w:rPr>
          <w:color w:val="auto"/>
          <w:spacing w:val="2"/>
          <w:sz w:val="21"/>
          <w:highlight w:val="none"/>
        </w:rPr>
        <w:t>知其利益受损之日起七个工作日内以书面形式向采购人、采购代理机构提出质疑。供应商应当在法定质疑期内一次性提出针对同一采购程序环节的质疑。</w:t>
      </w:r>
    </w:p>
    <w:p w14:paraId="3BD5153C">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2.</w:t>
      </w:r>
      <w:r>
        <w:rPr>
          <w:color w:val="auto"/>
          <w:highlight w:val="none"/>
        </w:rPr>
        <w:t xml:space="preserve"> 提出质疑的供应商应当是参与所质疑项目采购活动的供应商。未依法获取采</w:t>
      </w:r>
      <w:r>
        <w:rPr>
          <w:color w:val="auto"/>
          <w:spacing w:val="2"/>
          <w:highlight w:val="none"/>
        </w:rPr>
        <w:t>购文件的，不得就采购文件提出质疑；未提交投标文件的供应商，视为与采购结</w:t>
      </w:r>
      <w:r>
        <w:rPr>
          <w:color w:val="auto"/>
          <w:spacing w:val="-115"/>
          <w:highlight w:val="none"/>
        </w:rPr>
        <w:t xml:space="preserve"> </w:t>
      </w:r>
      <w:r>
        <w:rPr>
          <w:color w:val="auto"/>
          <w:highlight w:val="none"/>
        </w:rPr>
        <w:t>果没有利害关系，不得就采购响应截止时间后的采购过程、采购结果提出质疑。</w:t>
      </w:r>
    </w:p>
    <w:p w14:paraId="68888F85">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3.</w:t>
      </w:r>
      <w:r>
        <w:rPr>
          <w:color w:val="auto"/>
          <w:highlight w:val="none"/>
        </w:rPr>
        <w:t xml:space="preserve"> 供应商提出质疑应当提交质疑函和必要的证明材料，质疑函应当以书面形式</w:t>
      </w:r>
      <w:r>
        <w:rPr>
          <w:color w:val="auto"/>
          <w:szCs w:val="21"/>
          <w:highlight w:val="none"/>
        </w:rPr>
        <w:t>（需符合财政部令第94号政府采购质疑和投诉办法要求）</w:t>
      </w:r>
      <w:r>
        <w:rPr>
          <w:color w:val="auto"/>
          <w:spacing w:val="2"/>
          <w:highlight w:val="none"/>
        </w:rPr>
        <w:t>提出</w:t>
      </w:r>
      <w:r>
        <w:rPr>
          <w:color w:val="auto"/>
          <w:szCs w:val="21"/>
          <w:highlight w:val="none"/>
        </w:rPr>
        <w:t>。</w:t>
      </w:r>
    </w:p>
    <w:p w14:paraId="2655ED34">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14:paraId="36453C17">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5. 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14:paraId="11603B7E">
      <w:pPr>
        <w:pStyle w:val="5"/>
        <w:numPr>
          <w:ilvl w:val="0"/>
          <w:numId w:val="0"/>
        </w:numPr>
        <w:tabs>
          <w:tab w:val="clear" w:pos="576"/>
        </w:tabs>
        <w:spacing w:before="0" w:after="0" w:line="360" w:lineRule="auto"/>
        <w:jc w:val="left"/>
        <w:rPr>
          <w:rFonts w:ascii="Times New Roman" w:hAnsi="Times New Roman" w:eastAsia="宋体"/>
          <w:color w:val="auto"/>
          <w:sz w:val="21"/>
          <w:szCs w:val="21"/>
          <w:highlight w:val="none"/>
        </w:rPr>
      </w:pPr>
      <w:bookmarkStart w:id="89" w:name="_Toc460416652"/>
      <w:bookmarkStart w:id="90" w:name="_Toc460416347"/>
      <w:bookmarkStart w:id="91" w:name="_Toc17707922"/>
      <w:bookmarkStart w:id="92" w:name="_Toc100932122"/>
      <w:bookmarkStart w:id="93" w:name="_Toc460857907"/>
      <w:r>
        <w:rPr>
          <w:rFonts w:ascii="Times New Roman" w:hAnsi="Times New Roman" w:eastAsia="宋体"/>
          <w:color w:val="auto"/>
          <w:sz w:val="21"/>
          <w:szCs w:val="21"/>
          <w:highlight w:val="none"/>
        </w:rPr>
        <w:t>二、采购文件</w:t>
      </w:r>
      <w:bookmarkEnd w:id="89"/>
      <w:bookmarkEnd w:id="90"/>
      <w:bookmarkEnd w:id="91"/>
      <w:bookmarkEnd w:id="92"/>
      <w:bookmarkEnd w:id="93"/>
    </w:p>
    <w:p w14:paraId="73D14D82">
      <w:pPr>
        <w:pStyle w:val="6"/>
        <w:numPr>
          <w:ilvl w:val="0"/>
          <w:numId w:val="0"/>
        </w:numPr>
        <w:spacing w:before="0" w:after="0" w:line="360" w:lineRule="auto"/>
        <w:rPr>
          <w:color w:val="auto"/>
          <w:kern w:val="2"/>
          <w:sz w:val="21"/>
          <w:szCs w:val="21"/>
          <w:highlight w:val="none"/>
        </w:rPr>
      </w:pPr>
      <w:bookmarkStart w:id="94" w:name="_Toc100932123"/>
      <w:bookmarkStart w:id="95" w:name="_Toc17707923"/>
      <w:bookmarkStart w:id="96" w:name="_Toc460857908"/>
      <w:r>
        <w:rPr>
          <w:color w:val="auto"/>
          <w:kern w:val="2"/>
          <w:sz w:val="21"/>
          <w:szCs w:val="21"/>
          <w:highlight w:val="none"/>
        </w:rPr>
        <w:t>（一）采购文件的构成。</w:t>
      </w:r>
      <w:bookmarkEnd w:id="94"/>
    </w:p>
    <w:p w14:paraId="19EEE597">
      <w:pPr>
        <w:spacing w:line="360" w:lineRule="auto"/>
        <w:ind w:firstLine="422" w:firstLineChars="201"/>
        <w:rPr>
          <w:color w:val="auto"/>
          <w:szCs w:val="21"/>
          <w:highlight w:val="none"/>
        </w:rPr>
      </w:pPr>
      <w:r>
        <w:rPr>
          <w:color w:val="auto"/>
          <w:szCs w:val="21"/>
          <w:highlight w:val="none"/>
        </w:rPr>
        <w:t>本采购文件由以下部份组成：</w:t>
      </w:r>
      <w:bookmarkEnd w:id="95"/>
      <w:bookmarkEnd w:id="96"/>
    </w:p>
    <w:p w14:paraId="47C739D9">
      <w:pPr>
        <w:snapToGrid w:val="0"/>
        <w:spacing w:line="360" w:lineRule="auto"/>
        <w:ind w:firstLine="420" w:firstLineChars="200"/>
        <w:jc w:val="left"/>
        <w:rPr>
          <w:color w:val="auto"/>
          <w:szCs w:val="21"/>
          <w:highlight w:val="none"/>
        </w:rPr>
      </w:pPr>
      <w:r>
        <w:rPr>
          <w:color w:val="auto"/>
          <w:szCs w:val="21"/>
          <w:highlight w:val="none"/>
        </w:rPr>
        <w:t>1.公开招标采购公告</w:t>
      </w:r>
    </w:p>
    <w:p w14:paraId="678238C3">
      <w:pPr>
        <w:snapToGrid w:val="0"/>
        <w:spacing w:line="360" w:lineRule="auto"/>
        <w:ind w:firstLine="420" w:firstLineChars="200"/>
        <w:jc w:val="left"/>
        <w:rPr>
          <w:color w:val="auto"/>
          <w:szCs w:val="21"/>
          <w:highlight w:val="none"/>
        </w:rPr>
      </w:pPr>
      <w:r>
        <w:rPr>
          <w:color w:val="auto"/>
          <w:szCs w:val="21"/>
          <w:highlight w:val="none"/>
        </w:rPr>
        <w:t>2.采购需求</w:t>
      </w:r>
    </w:p>
    <w:p w14:paraId="33D726FD">
      <w:pPr>
        <w:snapToGrid w:val="0"/>
        <w:spacing w:line="360" w:lineRule="auto"/>
        <w:ind w:firstLine="420" w:firstLineChars="200"/>
        <w:jc w:val="left"/>
        <w:rPr>
          <w:color w:val="auto"/>
          <w:szCs w:val="21"/>
          <w:highlight w:val="none"/>
        </w:rPr>
      </w:pPr>
      <w:r>
        <w:rPr>
          <w:color w:val="auto"/>
          <w:szCs w:val="21"/>
          <w:highlight w:val="none"/>
        </w:rPr>
        <w:t>3.投标人须知</w:t>
      </w:r>
    </w:p>
    <w:p w14:paraId="3A36D546">
      <w:pPr>
        <w:snapToGrid w:val="0"/>
        <w:spacing w:line="360" w:lineRule="auto"/>
        <w:ind w:firstLine="420" w:firstLineChars="200"/>
        <w:jc w:val="left"/>
        <w:rPr>
          <w:color w:val="auto"/>
          <w:szCs w:val="21"/>
          <w:highlight w:val="none"/>
        </w:rPr>
      </w:pPr>
      <w:r>
        <w:rPr>
          <w:color w:val="auto"/>
          <w:szCs w:val="21"/>
          <w:highlight w:val="none"/>
        </w:rPr>
        <w:t>4.评标办法及评分标准</w:t>
      </w:r>
    </w:p>
    <w:p w14:paraId="2E61D060">
      <w:pPr>
        <w:snapToGrid w:val="0"/>
        <w:spacing w:line="360" w:lineRule="auto"/>
        <w:ind w:firstLine="420" w:firstLineChars="200"/>
        <w:jc w:val="left"/>
        <w:rPr>
          <w:color w:val="auto"/>
          <w:szCs w:val="21"/>
          <w:highlight w:val="none"/>
        </w:rPr>
      </w:pPr>
      <w:r>
        <w:rPr>
          <w:color w:val="auto"/>
          <w:szCs w:val="21"/>
          <w:highlight w:val="none"/>
        </w:rPr>
        <w:t>5.政府采购合同主要条款</w:t>
      </w:r>
    </w:p>
    <w:p w14:paraId="22D184DF">
      <w:pPr>
        <w:snapToGrid w:val="0"/>
        <w:spacing w:line="360" w:lineRule="auto"/>
        <w:ind w:firstLine="420" w:firstLineChars="200"/>
        <w:jc w:val="left"/>
        <w:rPr>
          <w:color w:val="auto"/>
          <w:szCs w:val="21"/>
          <w:highlight w:val="none"/>
        </w:rPr>
      </w:pPr>
      <w:r>
        <w:rPr>
          <w:color w:val="auto"/>
          <w:szCs w:val="21"/>
          <w:highlight w:val="none"/>
        </w:rPr>
        <w:t>6.投标文件格式</w:t>
      </w:r>
    </w:p>
    <w:p w14:paraId="751CD064">
      <w:pPr>
        <w:snapToGrid w:val="0"/>
        <w:spacing w:line="360" w:lineRule="auto"/>
        <w:ind w:firstLine="420" w:firstLineChars="200"/>
        <w:jc w:val="left"/>
        <w:rPr>
          <w:color w:val="auto"/>
          <w:szCs w:val="21"/>
          <w:highlight w:val="none"/>
        </w:rPr>
      </w:pPr>
      <w:r>
        <w:rPr>
          <w:color w:val="auto"/>
          <w:szCs w:val="21"/>
          <w:highlight w:val="none"/>
        </w:rPr>
        <w:t>7.本项目采购文件的澄清、答复、修改、补充的内容</w:t>
      </w:r>
    </w:p>
    <w:p w14:paraId="31DB0EDE">
      <w:pPr>
        <w:pStyle w:val="6"/>
        <w:numPr>
          <w:ilvl w:val="0"/>
          <w:numId w:val="0"/>
        </w:numPr>
        <w:spacing w:before="0" w:after="0" w:line="360" w:lineRule="auto"/>
        <w:rPr>
          <w:color w:val="auto"/>
          <w:kern w:val="2"/>
          <w:sz w:val="21"/>
          <w:szCs w:val="21"/>
          <w:highlight w:val="none"/>
        </w:rPr>
      </w:pPr>
      <w:bookmarkStart w:id="97" w:name="_Toc17707924"/>
      <w:bookmarkStart w:id="98" w:name="_Toc100932124"/>
      <w:bookmarkStart w:id="99" w:name="_Toc460857909"/>
      <w:r>
        <w:rPr>
          <w:color w:val="auto"/>
          <w:kern w:val="2"/>
          <w:sz w:val="21"/>
          <w:szCs w:val="21"/>
          <w:highlight w:val="none"/>
        </w:rPr>
        <w:t>（二）投标人的风险</w:t>
      </w:r>
      <w:bookmarkEnd w:id="97"/>
      <w:bookmarkEnd w:id="98"/>
      <w:bookmarkEnd w:id="99"/>
    </w:p>
    <w:p w14:paraId="21EE190C">
      <w:pPr>
        <w:pStyle w:val="29"/>
        <w:numPr>
          <w:ilvl w:val="0"/>
          <w:numId w:val="0"/>
        </w:numPr>
        <w:spacing w:line="360" w:lineRule="auto"/>
        <w:ind w:firstLine="420" w:firstLineChars="200"/>
        <w:rPr>
          <w:rFonts w:ascii="Times New Roman" w:eastAsia="宋体"/>
          <w:color w:val="auto"/>
          <w:sz w:val="21"/>
          <w:szCs w:val="21"/>
          <w:highlight w:val="none"/>
        </w:rPr>
      </w:pPr>
      <w:r>
        <w:rPr>
          <w:rFonts w:ascii="Times New Roman" w:eastAsia="宋体"/>
          <w:color w:val="auto"/>
          <w:sz w:val="21"/>
          <w:szCs w:val="21"/>
          <w:highlight w:val="none"/>
        </w:rPr>
        <w:t>投标人没有按照采购文件要求提供全部资料，或者投标人没有对采购文件在各方面作出实质性响应是投标人的风险，并可能导致其投标被拒绝。</w:t>
      </w:r>
    </w:p>
    <w:p w14:paraId="2DBB9DC2">
      <w:pPr>
        <w:pStyle w:val="6"/>
        <w:numPr>
          <w:ilvl w:val="0"/>
          <w:numId w:val="0"/>
        </w:numPr>
        <w:spacing w:before="0" w:after="0" w:line="360" w:lineRule="auto"/>
        <w:rPr>
          <w:color w:val="auto"/>
          <w:kern w:val="2"/>
          <w:sz w:val="21"/>
          <w:szCs w:val="21"/>
          <w:highlight w:val="none"/>
        </w:rPr>
      </w:pPr>
      <w:bookmarkStart w:id="100" w:name="_Toc100932125"/>
      <w:bookmarkStart w:id="101" w:name="_Toc17707925"/>
      <w:bookmarkStart w:id="102" w:name="_Toc460857910"/>
      <w:r>
        <w:rPr>
          <w:color w:val="auto"/>
          <w:kern w:val="2"/>
          <w:sz w:val="21"/>
          <w:szCs w:val="21"/>
          <w:highlight w:val="none"/>
        </w:rPr>
        <w:t>（三）采购文件的澄清与修改</w:t>
      </w:r>
      <w:bookmarkEnd w:id="100"/>
      <w:bookmarkEnd w:id="101"/>
      <w:bookmarkEnd w:id="102"/>
      <w:r>
        <w:rPr>
          <w:color w:val="auto"/>
          <w:kern w:val="2"/>
          <w:sz w:val="21"/>
          <w:szCs w:val="21"/>
          <w:highlight w:val="none"/>
        </w:rPr>
        <w:t xml:space="preserve"> </w:t>
      </w:r>
    </w:p>
    <w:p w14:paraId="678E606E">
      <w:pPr>
        <w:pStyle w:val="3"/>
        <w:tabs>
          <w:tab w:val="left" w:pos="948"/>
        </w:tabs>
        <w:spacing w:after="0" w:line="360" w:lineRule="auto"/>
        <w:ind w:firstLine="420" w:firstLineChars="200"/>
        <w:rPr>
          <w:color w:val="auto"/>
          <w:sz w:val="21"/>
          <w:szCs w:val="21"/>
          <w:highlight w:val="none"/>
        </w:rPr>
      </w:pPr>
      <w:bookmarkStart w:id="103" w:name="_Toc460416348"/>
      <w:bookmarkStart w:id="104" w:name="_Toc460857912"/>
      <w:bookmarkStart w:id="105" w:name="_Toc460416653"/>
      <w:r>
        <w:rPr>
          <w:color w:val="auto"/>
          <w:sz w:val="21"/>
          <w:szCs w:val="21"/>
          <w:highlight w:val="none"/>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14:paraId="3CE53AA4">
      <w:pPr>
        <w:pStyle w:val="3"/>
        <w:tabs>
          <w:tab w:val="left" w:pos="948"/>
        </w:tabs>
        <w:spacing w:after="0" w:line="360" w:lineRule="auto"/>
        <w:ind w:firstLine="420" w:firstLineChars="200"/>
        <w:rPr>
          <w:color w:val="auto"/>
          <w:sz w:val="21"/>
          <w:szCs w:val="21"/>
          <w:highlight w:val="none"/>
        </w:rPr>
      </w:pPr>
      <w:r>
        <w:rPr>
          <w:color w:val="auto"/>
          <w:sz w:val="21"/>
          <w:szCs w:val="21"/>
          <w:highlight w:val="none"/>
        </w:rPr>
        <w:t>2. 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14:paraId="07BCAEA3">
      <w:pPr>
        <w:pStyle w:val="3"/>
        <w:tabs>
          <w:tab w:val="left" w:pos="948"/>
        </w:tabs>
        <w:spacing w:after="0" w:line="360" w:lineRule="auto"/>
        <w:ind w:firstLine="420" w:firstLineChars="200"/>
        <w:rPr>
          <w:color w:val="auto"/>
          <w:sz w:val="21"/>
          <w:szCs w:val="21"/>
          <w:highlight w:val="none"/>
        </w:rPr>
      </w:pPr>
      <w:r>
        <w:rPr>
          <w:color w:val="auto"/>
          <w:sz w:val="21"/>
          <w:szCs w:val="21"/>
          <w:highlight w:val="none"/>
        </w:rPr>
        <w:t xml:space="preserve"> 因潜在投标人原因或通讯线路故障导致通知逾期送达或无法送达，采购代理机构不因此承担任何责任，有关的招标采购活动可以继续有效进行。</w:t>
      </w:r>
    </w:p>
    <w:p w14:paraId="118FB074">
      <w:pPr>
        <w:pStyle w:val="3"/>
        <w:tabs>
          <w:tab w:val="left" w:pos="948"/>
        </w:tabs>
        <w:spacing w:after="0" w:line="360" w:lineRule="auto"/>
        <w:ind w:firstLine="420" w:firstLineChars="200"/>
        <w:rPr>
          <w:color w:val="auto"/>
          <w:sz w:val="21"/>
          <w:szCs w:val="21"/>
          <w:highlight w:val="none"/>
        </w:rPr>
      </w:pPr>
      <w:r>
        <w:rPr>
          <w:color w:val="auto"/>
          <w:sz w:val="21"/>
          <w:szCs w:val="21"/>
          <w:highlight w:val="none"/>
        </w:rPr>
        <w:t>3.如更正公告有重新发布电子采购文件的，投标人应下载最新发布的电子采购文件制作投标文件。</w:t>
      </w:r>
    </w:p>
    <w:p w14:paraId="1C926AC5">
      <w:pPr>
        <w:pStyle w:val="3"/>
        <w:tabs>
          <w:tab w:val="left" w:pos="948"/>
        </w:tabs>
        <w:spacing w:after="0" w:line="360" w:lineRule="auto"/>
        <w:ind w:firstLine="420" w:firstLineChars="200"/>
        <w:rPr>
          <w:color w:val="auto"/>
          <w:sz w:val="21"/>
          <w:szCs w:val="21"/>
          <w:highlight w:val="none"/>
        </w:rPr>
      </w:pPr>
      <w:r>
        <w:rPr>
          <w:color w:val="auto"/>
          <w:sz w:val="21"/>
          <w:szCs w:val="21"/>
          <w:highlight w:val="none"/>
        </w:rPr>
        <w:t>4.投标人在规定的时间内未对采购文件提出疑问、质疑或要求澄清的，将视其为无异议。对采购文件中描述有歧义或前后不一致的地方，评标委员会有权进行评判，但对同一条款的评判应适用于每个投标人。</w:t>
      </w:r>
    </w:p>
    <w:p w14:paraId="1C8ADD6D">
      <w:pPr>
        <w:pStyle w:val="5"/>
        <w:numPr>
          <w:ilvl w:val="0"/>
          <w:numId w:val="0"/>
        </w:numPr>
        <w:tabs>
          <w:tab w:val="clear" w:pos="576"/>
        </w:tabs>
        <w:spacing w:before="0" w:after="0" w:line="360" w:lineRule="auto"/>
        <w:jc w:val="left"/>
        <w:rPr>
          <w:rFonts w:ascii="Times New Roman" w:hAnsi="Times New Roman" w:eastAsia="宋体"/>
          <w:color w:val="auto"/>
          <w:sz w:val="21"/>
          <w:szCs w:val="21"/>
          <w:highlight w:val="none"/>
        </w:rPr>
      </w:pPr>
      <w:bookmarkStart w:id="106" w:name="_Toc17707926"/>
      <w:bookmarkStart w:id="107" w:name="_Toc100932126"/>
      <w:r>
        <w:rPr>
          <w:rFonts w:ascii="Times New Roman" w:hAnsi="Times New Roman" w:eastAsia="宋体"/>
          <w:color w:val="auto"/>
          <w:sz w:val="21"/>
          <w:szCs w:val="21"/>
          <w:highlight w:val="none"/>
        </w:rPr>
        <w:t>三、投标文件的编制</w:t>
      </w:r>
      <w:bookmarkEnd w:id="103"/>
      <w:bookmarkEnd w:id="104"/>
      <w:bookmarkEnd w:id="105"/>
      <w:bookmarkEnd w:id="106"/>
      <w:bookmarkEnd w:id="107"/>
    </w:p>
    <w:p w14:paraId="0E261D58">
      <w:pPr>
        <w:pStyle w:val="6"/>
        <w:numPr>
          <w:ilvl w:val="0"/>
          <w:numId w:val="0"/>
        </w:numPr>
        <w:spacing w:before="0" w:after="0" w:line="360" w:lineRule="auto"/>
        <w:rPr>
          <w:color w:val="auto"/>
          <w:kern w:val="2"/>
          <w:sz w:val="21"/>
          <w:szCs w:val="21"/>
          <w:highlight w:val="none"/>
        </w:rPr>
      </w:pPr>
      <w:bookmarkStart w:id="108" w:name="_Toc460857913"/>
      <w:bookmarkStart w:id="109" w:name="_Toc17707927"/>
      <w:bookmarkStart w:id="110" w:name="_Toc460416349"/>
      <w:bookmarkStart w:id="111" w:name="_Toc100932127"/>
      <w:bookmarkStart w:id="112" w:name="_Toc460416654"/>
      <w:r>
        <w:rPr>
          <w:color w:val="auto"/>
          <w:kern w:val="2"/>
          <w:sz w:val="21"/>
          <w:szCs w:val="21"/>
          <w:highlight w:val="none"/>
        </w:rPr>
        <w:t>（一）投标文件的组成</w:t>
      </w:r>
      <w:bookmarkEnd w:id="108"/>
      <w:bookmarkEnd w:id="109"/>
      <w:bookmarkEnd w:id="110"/>
      <w:bookmarkEnd w:id="111"/>
      <w:bookmarkEnd w:id="112"/>
    </w:p>
    <w:p w14:paraId="4E30AA83">
      <w:pPr>
        <w:snapToGrid w:val="0"/>
        <w:spacing w:line="360" w:lineRule="auto"/>
        <w:ind w:firstLine="420" w:firstLineChars="200"/>
        <w:jc w:val="left"/>
        <w:rPr>
          <w:color w:val="auto"/>
          <w:szCs w:val="21"/>
          <w:highlight w:val="none"/>
        </w:rPr>
      </w:pPr>
      <w:r>
        <w:rPr>
          <w:color w:val="auto"/>
          <w:szCs w:val="21"/>
          <w:highlight w:val="none"/>
        </w:rPr>
        <w:t>投标文件由资格证明文件、商务技术文件和报价文件三部分组成。</w:t>
      </w:r>
    </w:p>
    <w:p w14:paraId="06BDA208">
      <w:pPr>
        <w:snapToGrid w:val="0"/>
        <w:spacing w:line="360" w:lineRule="auto"/>
        <w:ind w:firstLine="413" w:firstLineChars="196"/>
        <w:jc w:val="left"/>
        <w:rPr>
          <w:b/>
          <w:color w:val="auto"/>
          <w:szCs w:val="21"/>
          <w:highlight w:val="none"/>
        </w:rPr>
      </w:pPr>
      <w:r>
        <w:rPr>
          <w:b/>
          <w:color w:val="auto"/>
          <w:szCs w:val="21"/>
          <w:highlight w:val="none"/>
        </w:rPr>
        <w:t>1．资格证明文件包括以下内容：</w:t>
      </w:r>
    </w:p>
    <w:p w14:paraId="4919B56E">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（1）有效的企业法人营业执照（或事业法人登记证）、其他组织（个体工商户）的营业执照或者民办非企业单位登记证书复印件（复印件加盖公章）；</w:t>
      </w:r>
    </w:p>
    <w:p w14:paraId="164557DD">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（2）投标人资格声明函（格式见附件</w:t>
      </w:r>
      <w:r>
        <w:rPr>
          <w:rFonts w:hint="eastAsia"/>
          <w:color w:val="auto"/>
          <w:szCs w:val="21"/>
          <w:highlight w:val="none"/>
          <w:lang w:eastAsia="zh-CN"/>
        </w:rPr>
        <w:t>）</w:t>
      </w:r>
      <w:r>
        <w:rPr>
          <w:color w:val="auto"/>
          <w:szCs w:val="21"/>
          <w:highlight w:val="none"/>
        </w:rPr>
        <w:t>；</w:t>
      </w:r>
    </w:p>
    <w:p w14:paraId="58761DAD">
      <w:pPr>
        <w:spacing w:line="360" w:lineRule="auto"/>
        <w:ind w:left="420" w:leftChars="200"/>
        <w:rPr>
          <w:color w:val="auto"/>
          <w:szCs w:val="21"/>
          <w:highlight w:val="none"/>
        </w:rPr>
      </w:pPr>
      <w:r>
        <w:rPr>
          <w:color w:val="auto"/>
          <w:szCs w:val="21"/>
          <w:highlight w:val="none"/>
        </w:rPr>
        <w:t>（3）本项目特定资格要求的证明材料（如有）；</w:t>
      </w:r>
    </w:p>
    <w:p w14:paraId="1CD2D355">
      <w:pPr>
        <w:tabs>
          <w:tab w:val="left" w:pos="518"/>
        </w:tabs>
        <w:adjustRightInd w:val="0"/>
        <w:snapToGrid w:val="0"/>
        <w:spacing w:line="360" w:lineRule="auto"/>
        <w:ind w:left="566" w:leftChars="203" w:hanging="140" w:hangingChars="67"/>
        <w:jc w:val="left"/>
        <w:rPr>
          <w:b/>
          <w:color w:val="auto"/>
          <w:szCs w:val="21"/>
          <w:highlight w:val="none"/>
        </w:rPr>
      </w:pPr>
      <w:r>
        <w:rPr>
          <w:color w:val="auto"/>
          <w:szCs w:val="21"/>
          <w:highlight w:val="none"/>
        </w:rPr>
        <w:t>（4）采购文件要求的其他资格条件证明材料（如有）。</w:t>
      </w:r>
      <w:r>
        <w:rPr>
          <w:color w:val="auto"/>
          <w:szCs w:val="21"/>
          <w:highlight w:val="none"/>
        </w:rPr>
        <w:br w:type="textWrapping"/>
      </w:r>
      <w:r>
        <w:rPr>
          <w:b/>
          <w:color w:val="auto"/>
          <w:szCs w:val="21"/>
          <w:highlight w:val="none"/>
        </w:rPr>
        <w:t>2.商务技术文件包括以下内容：</w:t>
      </w:r>
    </w:p>
    <w:p w14:paraId="1BA80AF1">
      <w:pPr>
        <w:tabs>
          <w:tab w:val="left" w:pos="518"/>
        </w:tabs>
        <w:adjustRightInd w:val="0"/>
        <w:snapToGrid w:val="0"/>
        <w:spacing w:line="360" w:lineRule="auto"/>
        <w:ind w:firstLine="420" w:firstLineChars="200"/>
        <w:jc w:val="left"/>
        <w:rPr>
          <w:color w:val="auto"/>
          <w:highlight w:val="none"/>
        </w:rPr>
      </w:pPr>
      <w:r>
        <w:rPr>
          <w:color w:val="auto"/>
          <w:szCs w:val="21"/>
          <w:highlight w:val="none"/>
        </w:rPr>
        <w:t>（1）</w:t>
      </w:r>
      <w:r>
        <w:rPr>
          <w:color w:val="auto"/>
          <w:highlight w:val="none"/>
        </w:rPr>
        <w:t>符合性自查表（</w:t>
      </w:r>
      <w:r>
        <w:rPr>
          <w:color w:val="auto"/>
          <w:szCs w:val="21"/>
          <w:highlight w:val="none"/>
        </w:rPr>
        <w:t>格式见附件</w:t>
      </w:r>
      <w:r>
        <w:rPr>
          <w:color w:val="auto"/>
          <w:highlight w:val="none"/>
        </w:rPr>
        <w:t>）</w:t>
      </w:r>
      <w:r>
        <w:rPr>
          <w:color w:val="auto"/>
          <w:szCs w:val="21"/>
          <w:highlight w:val="none"/>
        </w:rPr>
        <w:t>；</w:t>
      </w:r>
    </w:p>
    <w:p w14:paraId="460771CF">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（2）法定代表人的身份证明或法定代表人授权书【投标人的代表若为非法定代表人的，必须提交法定代表人授权书及</w:t>
      </w:r>
      <w:r>
        <w:rPr>
          <w:bCs/>
          <w:color w:val="auto"/>
          <w:szCs w:val="21"/>
          <w:highlight w:val="none"/>
        </w:rPr>
        <w:t>授权代表开标之日前近一个月内投标人所缴纳社保的证明材料（均加盖公章）</w:t>
      </w:r>
      <w:r>
        <w:rPr>
          <w:color w:val="auto"/>
          <w:szCs w:val="21"/>
          <w:highlight w:val="none"/>
        </w:rPr>
        <w:t>，格式见附件】；</w:t>
      </w:r>
    </w:p>
    <w:p w14:paraId="26E6532E">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（3）投标人基本情况说明（格式见附件）；</w:t>
      </w:r>
    </w:p>
    <w:p w14:paraId="05D27F0B">
      <w:pPr>
        <w:tabs>
          <w:tab w:val="left" w:pos="518"/>
        </w:tabs>
        <w:adjustRightInd w:val="0"/>
        <w:snapToGrid w:val="0"/>
        <w:spacing w:line="360" w:lineRule="auto"/>
        <w:ind w:firstLine="420" w:firstLineChars="200"/>
        <w:jc w:val="left"/>
        <w:rPr>
          <w:color w:val="auto"/>
          <w:szCs w:val="21"/>
          <w:highlight w:val="none"/>
        </w:rPr>
      </w:pPr>
      <w:r>
        <w:rPr>
          <w:color w:val="auto"/>
          <w:szCs w:val="21"/>
          <w:highlight w:val="none"/>
        </w:rPr>
        <w:t>（4）商务条款偏离表（格式见附件）；</w:t>
      </w:r>
    </w:p>
    <w:p w14:paraId="002299B5">
      <w:pPr>
        <w:snapToGrid w:val="0"/>
        <w:spacing w:line="360" w:lineRule="auto"/>
        <w:ind w:firstLine="420" w:firstLineChars="200"/>
        <w:jc w:val="left"/>
        <w:rPr>
          <w:color w:val="auto"/>
          <w:szCs w:val="21"/>
          <w:highlight w:val="none"/>
        </w:rPr>
      </w:pPr>
      <w:r>
        <w:rPr>
          <w:color w:val="auto"/>
          <w:szCs w:val="21"/>
          <w:highlight w:val="none"/>
        </w:rPr>
        <w:t>（5）技术条款响应表（格式见附件）；</w:t>
      </w:r>
    </w:p>
    <w:p w14:paraId="6323F5C6">
      <w:pPr>
        <w:snapToGrid w:val="0"/>
        <w:spacing w:line="360" w:lineRule="auto"/>
        <w:ind w:firstLine="420" w:firstLineChars="200"/>
        <w:jc w:val="left"/>
        <w:rPr>
          <w:color w:val="auto"/>
          <w:szCs w:val="21"/>
          <w:highlight w:val="none"/>
        </w:rPr>
      </w:pPr>
      <w:r>
        <w:rPr>
          <w:color w:val="auto"/>
          <w:szCs w:val="21"/>
          <w:highlight w:val="none"/>
        </w:rPr>
        <w:t>（6）项目负责人简历表（格式见附件）；</w:t>
      </w:r>
    </w:p>
    <w:p w14:paraId="6AC95120">
      <w:pPr>
        <w:snapToGrid w:val="0"/>
        <w:spacing w:line="360" w:lineRule="auto"/>
        <w:ind w:firstLine="420" w:firstLineChars="200"/>
        <w:jc w:val="left"/>
        <w:rPr>
          <w:color w:val="auto"/>
          <w:szCs w:val="21"/>
          <w:highlight w:val="none"/>
        </w:rPr>
      </w:pPr>
      <w:r>
        <w:rPr>
          <w:color w:val="auto"/>
          <w:szCs w:val="21"/>
          <w:highlight w:val="none"/>
        </w:rPr>
        <w:t>（7）项目人员配置表（格式见附件）；</w:t>
      </w:r>
    </w:p>
    <w:p w14:paraId="4F6531AE">
      <w:pPr>
        <w:snapToGrid w:val="0"/>
        <w:spacing w:line="360" w:lineRule="auto"/>
        <w:ind w:firstLine="420" w:firstLineChars="200"/>
        <w:jc w:val="left"/>
        <w:rPr>
          <w:color w:val="auto"/>
          <w:szCs w:val="21"/>
          <w:highlight w:val="none"/>
        </w:rPr>
      </w:pPr>
      <w:r>
        <w:rPr>
          <w:color w:val="auto"/>
          <w:szCs w:val="21"/>
          <w:highlight w:val="none"/>
        </w:rPr>
        <w:t>（8）质保期后备品备件清单（格式见附件）；</w:t>
      </w:r>
    </w:p>
    <w:p w14:paraId="20469A7F">
      <w:pPr>
        <w:snapToGrid w:val="0"/>
        <w:spacing w:line="360" w:lineRule="auto"/>
        <w:ind w:firstLine="420" w:firstLineChars="200"/>
        <w:jc w:val="left"/>
        <w:rPr>
          <w:color w:val="auto"/>
          <w:szCs w:val="21"/>
          <w:highlight w:val="none"/>
        </w:rPr>
      </w:pPr>
      <w:r>
        <w:rPr>
          <w:color w:val="auto"/>
          <w:szCs w:val="21"/>
          <w:highlight w:val="none"/>
        </w:rPr>
        <w:t>（9）距采购单位最近或者能为本项目提供最优服务的网点情况表（格式见附件）；</w:t>
      </w:r>
    </w:p>
    <w:p w14:paraId="35CA5C0A">
      <w:pPr>
        <w:snapToGrid w:val="0"/>
        <w:spacing w:line="360" w:lineRule="auto"/>
        <w:ind w:firstLine="420" w:firstLineChars="200"/>
        <w:jc w:val="left"/>
        <w:rPr>
          <w:color w:val="auto"/>
          <w:szCs w:val="21"/>
          <w:highlight w:val="none"/>
        </w:rPr>
      </w:pPr>
      <w:r>
        <w:rPr>
          <w:color w:val="auto"/>
          <w:szCs w:val="21"/>
          <w:highlight w:val="none"/>
        </w:rPr>
        <w:t>（10）同类项目业绩表（格式见附件）；</w:t>
      </w:r>
    </w:p>
    <w:p w14:paraId="57C6B23F">
      <w:pPr>
        <w:spacing w:line="360" w:lineRule="auto"/>
        <w:ind w:left="420"/>
        <w:rPr>
          <w:color w:val="auto"/>
          <w:szCs w:val="21"/>
          <w:highlight w:val="none"/>
        </w:rPr>
      </w:pPr>
      <w:r>
        <w:rPr>
          <w:color w:val="auto"/>
          <w:szCs w:val="21"/>
          <w:highlight w:val="none"/>
        </w:rPr>
        <w:t>（11）节能环保产品证明材料</w:t>
      </w:r>
      <w:r>
        <w:rPr>
          <w:color w:val="auto"/>
          <w:highlight w:val="none"/>
        </w:rPr>
        <w:t>【</w:t>
      </w:r>
      <w:r>
        <w:rPr>
          <w:color w:val="auto"/>
          <w:szCs w:val="21"/>
          <w:highlight w:val="none"/>
        </w:rPr>
        <w:t>如有，提供政府采购品目清单相关内容页（并对相关内容作圈记）、《市场监管总局关于发布参与实施政府采购节能产品、环境标志产品认证机构名录的公告》中的认证机构出具的、处于有效期之内的节能产品/环境标志产品认证证书复印件并加盖公章】；</w:t>
      </w:r>
    </w:p>
    <w:p w14:paraId="1577A195">
      <w:pPr>
        <w:pStyle w:val="98"/>
        <w:numPr>
          <w:ilvl w:val="0"/>
          <w:numId w:val="0"/>
        </w:numPr>
        <w:tabs>
          <w:tab w:val="left" w:pos="0"/>
        </w:tabs>
        <w:snapToGrid w:val="0"/>
        <w:spacing w:line="360" w:lineRule="auto"/>
        <w:ind w:left="420"/>
        <w:jc w:val="left"/>
        <w:rPr>
          <w:color w:val="auto"/>
          <w:szCs w:val="21"/>
          <w:highlight w:val="none"/>
        </w:rPr>
      </w:pPr>
      <w:r>
        <w:rPr>
          <w:color w:val="auto"/>
          <w:szCs w:val="21"/>
          <w:highlight w:val="none"/>
        </w:rPr>
        <w:t>（12）评分标准或采购文件要求提供的内容（具体详见评分标准）；</w:t>
      </w:r>
    </w:p>
    <w:p w14:paraId="0695C5D5">
      <w:pPr>
        <w:pStyle w:val="98"/>
        <w:numPr>
          <w:ilvl w:val="0"/>
          <w:numId w:val="0"/>
        </w:numPr>
        <w:tabs>
          <w:tab w:val="left" w:pos="0"/>
        </w:tabs>
        <w:snapToGrid w:val="0"/>
        <w:spacing w:line="360" w:lineRule="auto"/>
        <w:ind w:left="420"/>
        <w:jc w:val="left"/>
        <w:rPr>
          <w:color w:val="auto"/>
          <w:szCs w:val="21"/>
          <w:highlight w:val="none"/>
        </w:rPr>
      </w:pPr>
      <w:r>
        <w:rPr>
          <w:color w:val="auto"/>
          <w:szCs w:val="21"/>
          <w:highlight w:val="none"/>
        </w:rPr>
        <w:t>（13）评分标准中要求提供的证明资料（具体详见评分标准，加盖公章）；</w:t>
      </w:r>
    </w:p>
    <w:p w14:paraId="4FAAA618">
      <w:pPr>
        <w:pStyle w:val="98"/>
        <w:numPr>
          <w:ilvl w:val="0"/>
          <w:numId w:val="0"/>
        </w:numPr>
        <w:tabs>
          <w:tab w:val="left" w:pos="0"/>
        </w:tabs>
        <w:snapToGrid w:val="0"/>
        <w:spacing w:line="360" w:lineRule="auto"/>
        <w:ind w:left="420"/>
        <w:jc w:val="left"/>
        <w:rPr>
          <w:color w:val="auto"/>
          <w:szCs w:val="21"/>
          <w:highlight w:val="none"/>
        </w:rPr>
      </w:pPr>
      <w:r>
        <w:rPr>
          <w:color w:val="auto"/>
          <w:szCs w:val="21"/>
          <w:highlight w:val="none"/>
        </w:rPr>
        <w:t>（14）技术需求中要求提供的证明资料（具体详见技术需求，加盖公章）；</w:t>
      </w:r>
    </w:p>
    <w:p w14:paraId="46E5D395">
      <w:pPr>
        <w:pStyle w:val="98"/>
        <w:numPr>
          <w:ilvl w:val="0"/>
          <w:numId w:val="0"/>
        </w:numPr>
        <w:tabs>
          <w:tab w:val="left" w:pos="0"/>
        </w:tabs>
        <w:snapToGrid w:val="0"/>
        <w:spacing w:line="360" w:lineRule="auto"/>
        <w:ind w:left="420"/>
        <w:jc w:val="left"/>
        <w:rPr>
          <w:color w:val="auto"/>
          <w:szCs w:val="21"/>
          <w:highlight w:val="none"/>
        </w:rPr>
      </w:pPr>
      <w:r>
        <w:rPr>
          <w:color w:val="auto"/>
          <w:szCs w:val="21"/>
          <w:highlight w:val="none"/>
        </w:rPr>
        <w:t>（115）投标人认为有必要提交的其他商务技术说明文件和资料。</w:t>
      </w:r>
    </w:p>
    <w:p w14:paraId="005BDE96">
      <w:pPr>
        <w:snapToGrid w:val="0"/>
        <w:spacing w:line="360" w:lineRule="auto"/>
        <w:ind w:left="413"/>
        <w:jc w:val="left"/>
        <w:rPr>
          <w:b/>
          <w:color w:val="auto"/>
          <w:szCs w:val="21"/>
          <w:highlight w:val="none"/>
        </w:rPr>
      </w:pPr>
      <w:r>
        <w:rPr>
          <w:b/>
          <w:color w:val="auto"/>
          <w:szCs w:val="21"/>
          <w:highlight w:val="none"/>
        </w:rPr>
        <w:t>3. 报价文件包括以下内容：</w:t>
      </w:r>
    </w:p>
    <w:p w14:paraId="262AFEA6">
      <w:pPr>
        <w:snapToGrid w:val="0"/>
        <w:spacing w:line="360" w:lineRule="auto"/>
        <w:ind w:firstLine="420" w:firstLineChars="200"/>
        <w:jc w:val="left"/>
        <w:rPr>
          <w:color w:val="auto"/>
          <w:szCs w:val="21"/>
          <w:highlight w:val="none"/>
        </w:rPr>
      </w:pPr>
      <w:r>
        <w:rPr>
          <w:color w:val="auto"/>
          <w:szCs w:val="21"/>
          <w:highlight w:val="none"/>
        </w:rPr>
        <w:t>（1）投标函（格式见附件）；</w:t>
      </w:r>
    </w:p>
    <w:p w14:paraId="16332774">
      <w:pPr>
        <w:snapToGrid w:val="0"/>
        <w:spacing w:line="360" w:lineRule="auto"/>
        <w:ind w:firstLine="420" w:firstLineChars="200"/>
        <w:jc w:val="left"/>
        <w:rPr>
          <w:color w:val="auto"/>
          <w:szCs w:val="21"/>
          <w:highlight w:val="none"/>
        </w:rPr>
      </w:pPr>
      <w:r>
        <w:rPr>
          <w:color w:val="auto"/>
          <w:szCs w:val="21"/>
          <w:highlight w:val="none"/>
        </w:rPr>
        <w:t>（2）开标一览表（格式见附件）；</w:t>
      </w:r>
    </w:p>
    <w:p w14:paraId="01CF68BE">
      <w:pPr>
        <w:spacing w:line="360" w:lineRule="auto"/>
        <w:ind w:left="420" w:leftChars="200"/>
        <w:rPr>
          <w:color w:val="auto"/>
          <w:szCs w:val="21"/>
          <w:highlight w:val="none"/>
        </w:rPr>
      </w:pPr>
      <w:r>
        <w:rPr>
          <w:color w:val="auto"/>
          <w:szCs w:val="21"/>
          <w:highlight w:val="none"/>
        </w:rPr>
        <w:t>（3）投标分项报价表（格式见附件）；</w:t>
      </w:r>
    </w:p>
    <w:p w14:paraId="5FEFE53F">
      <w:pPr>
        <w:tabs>
          <w:tab w:val="left" w:pos="518"/>
        </w:tabs>
        <w:adjustRightInd w:val="0"/>
        <w:snapToGrid w:val="0"/>
        <w:spacing w:line="360" w:lineRule="auto"/>
        <w:ind w:left="566" w:leftChars="203" w:hanging="140" w:hangingChars="67"/>
        <w:jc w:val="left"/>
        <w:rPr>
          <w:b/>
          <w:color w:val="auto"/>
          <w:szCs w:val="21"/>
          <w:highlight w:val="none"/>
        </w:rPr>
      </w:pPr>
      <w:r>
        <w:rPr>
          <w:color w:val="auto"/>
          <w:szCs w:val="21"/>
          <w:highlight w:val="none"/>
        </w:rPr>
        <w:t>（4）中小企业或监狱企业或残疾人福利性单位声明函（格式见附件）；</w:t>
      </w:r>
    </w:p>
    <w:p w14:paraId="63E0F7B7">
      <w:pPr>
        <w:tabs>
          <w:tab w:val="left" w:pos="518"/>
        </w:tabs>
        <w:adjustRightInd w:val="0"/>
        <w:snapToGrid w:val="0"/>
        <w:spacing w:line="360" w:lineRule="auto"/>
        <w:ind w:left="566" w:leftChars="203" w:hanging="140" w:hangingChars="67"/>
        <w:jc w:val="left"/>
        <w:rPr>
          <w:color w:val="auto"/>
          <w:szCs w:val="21"/>
          <w:highlight w:val="none"/>
        </w:rPr>
      </w:pPr>
      <w:r>
        <w:rPr>
          <w:color w:val="auto"/>
          <w:szCs w:val="21"/>
          <w:highlight w:val="none"/>
        </w:rPr>
        <w:t>（5）残疾人福利性单位、监狱企业证明文件（若有，格式见附件）</w:t>
      </w:r>
    </w:p>
    <w:p w14:paraId="1D1730FC">
      <w:pPr>
        <w:snapToGrid w:val="0"/>
        <w:spacing w:line="360" w:lineRule="auto"/>
        <w:ind w:firstLine="420" w:firstLineChars="200"/>
        <w:jc w:val="left"/>
        <w:rPr>
          <w:color w:val="auto"/>
          <w:szCs w:val="21"/>
          <w:highlight w:val="none"/>
        </w:rPr>
      </w:pPr>
      <w:r>
        <w:rPr>
          <w:color w:val="auto"/>
          <w:szCs w:val="21"/>
          <w:highlight w:val="none"/>
        </w:rPr>
        <w:t>（6）投标人针对报价需要说明的其他文件和说明。</w:t>
      </w:r>
    </w:p>
    <w:p w14:paraId="5D55FD08">
      <w:pPr>
        <w:snapToGrid w:val="0"/>
        <w:spacing w:line="360" w:lineRule="auto"/>
        <w:ind w:firstLine="420" w:firstLineChars="200"/>
        <w:jc w:val="left"/>
        <w:rPr>
          <w:color w:val="auto"/>
          <w:szCs w:val="21"/>
          <w:highlight w:val="none"/>
        </w:rPr>
      </w:pPr>
      <w:r>
        <w:rPr>
          <w:color w:val="auto"/>
          <w:szCs w:val="21"/>
          <w:highlight w:val="none"/>
        </w:rPr>
        <w:t>4.上述组成投标文件的各项资料中本招标文件的有规定格式的，应统一按本招标文件的规定格式填写。未有规定格式的资料，投标人应自行编制，但至少要包含以上要求的内容。</w:t>
      </w:r>
    </w:p>
    <w:p w14:paraId="6051819C">
      <w:pPr>
        <w:snapToGrid w:val="0"/>
        <w:spacing w:line="360" w:lineRule="auto"/>
        <w:ind w:firstLine="420" w:firstLineChars="200"/>
        <w:jc w:val="left"/>
        <w:rPr>
          <w:color w:val="auto"/>
          <w:szCs w:val="21"/>
          <w:highlight w:val="none"/>
        </w:rPr>
      </w:pPr>
      <w:r>
        <w:rPr>
          <w:color w:val="auto"/>
          <w:szCs w:val="21"/>
          <w:highlight w:val="none"/>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14:paraId="0F322748">
      <w:pPr>
        <w:pStyle w:val="6"/>
        <w:numPr>
          <w:ilvl w:val="0"/>
          <w:numId w:val="0"/>
        </w:numPr>
        <w:spacing w:before="0" w:after="0" w:line="360" w:lineRule="auto"/>
        <w:rPr>
          <w:color w:val="auto"/>
          <w:kern w:val="2"/>
          <w:sz w:val="21"/>
          <w:szCs w:val="21"/>
          <w:highlight w:val="none"/>
        </w:rPr>
      </w:pPr>
      <w:bookmarkStart w:id="113" w:name="_Toc17707928"/>
      <w:bookmarkStart w:id="114" w:name="_Toc100932128"/>
      <w:bookmarkStart w:id="115" w:name="_Toc460416655"/>
      <w:bookmarkStart w:id="116" w:name="_Toc460416350"/>
      <w:bookmarkStart w:id="117" w:name="_Toc460857914"/>
      <w:r>
        <w:rPr>
          <w:color w:val="auto"/>
          <w:kern w:val="2"/>
          <w:sz w:val="21"/>
          <w:szCs w:val="21"/>
          <w:highlight w:val="none"/>
        </w:rPr>
        <w:t>（二）投标文件的语言及计量</w:t>
      </w:r>
      <w:bookmarkEnd w:id="113"/>
      <w:bookmarkEnd w:id="114"/>
      <w:bookmarkEnd w:id="115"/>
      <w:bookmarkEnd w:id="116"/>
      <w:bookmarkEnd w:id="117"/>
    </w:p>
    <w:p w14:paraId="2B2587FE">
      <w:pPr>
        <w:snapToGrid w:val="0"/>
        <w:spacing w:line="360" w:lineRule="auto"/>
        <w:ind w:firstLine="422" w:firstLineChars="200"/>
        <w:jc w:val="left"/>
        <w:rPr>
          <w:b/>
          <w:color w:val="auto"/>
          <w:szCs w:val="21"/>
          <w:highlight w:val="none"/>
        </w:rPr>
      </w:pPr>
      <w:r>
        <w:rPr>
          <w:b/>
          <w:color w:val="auto"/>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6FE2ADC2">
      <w:pPr>
        <w:snapToGrid w:val="0"/>
        <w:spacing w:line="360" w:lineRule="auto"/>
        <w:ind w:firstLine="422" w:firstLineChars="200"/>
        <w:jc w:val="left"/>
        <w:rPr>
          <w:b/>
          <w:color w:val="auto"/>
          <w:szCs w:val="21"/>
          <w:highlight w:val="none"/>
        </w:rPr>
      </w:pPr>
      <w:r>
        <w:rPr>
          <w:b/>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14:paraId="21850CA0">
      <w:pPr>
        <w:pStyle w:val="6"/>
        <w:numPr>
          <w:ilvl w:val="0"/>
          <w:numId w:val="0"/>
        </w:numPr>
        <w:spacing w:before="0" w:after="0" w:line="360" w:lineRule="auto"/>
        <w:rPr>
          <w:color w:val="auto"/>
          <w:kern w:val="2"/>
          <w:sz w:val="21"/>
          <w:szCs w:val="21"/>
          <w:highlight w:val="none"/>
        </w:rPr>
      </w:pPr>
      <w:bookmarkStart w:id="118" w:name="_Toc460416656"/>
      <w:bookmarkStart w:id="119" w:name="_Toc460416351"/>
      <w:bookmarkStart w:id="120" w:name="_Toc17707929"/>
      <w:bookmarkStart w:id="121" w:name="_Toc460857915"/>
      <w:bookmarkStart w:id="122" w:name="_Toc100932129"/>
      <w:r>
        <w:rPr>
          <w:color w:val="auto"/>
          <w:kern w:val="2"/>
          <w:sz w:val="21"/>
          <w:szCs w:val="21"/>
          <w:highlight w:val="none"/>
        </w:rPr>
        <w:t>（三）投标报价</w:t>
      </w:r>
      <w:bookmarkEnd w:id="118"/>
      <w:bookmarkEnd w:id="119"/>
      <w:bookmarkEnd w:id="120"/>
      <w:bookmarkEnd w:id="121"/>
      <w:bookmarkEnd w:id="122"/>
    </w:p>
    <w:p w14:paraId="4EED127C">
      <w:pPr>
        <w:pStyle w:val="19"/>
        <w:snapToGrid w:val="0"/>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1.投标报价应按采购文件中相关附表格式填写。</w:t>
      </w:r>
    </w:p>
    <w:p w14:paraId="73AA09D1">
      <w:pPr>
        <w:tabs>
          <w:tab w:val="left" w:pos="525"/>
        </w:tabs>
        <w:snapToGrid w:val="0"/>
        <w:spacing w:line="360" w:lineRule="auto"/>
        <w:ind w:firstLine="422" w:firstLineChars="200"/>
        <w:jc w:val="left"/>
        <w:rPr>
          <w:b/>
          <w:color w:val="auto"/>
          <w:szCs w:val="21"/>
          <w:highlight w:val="none"/>
        </w:rPr>
      </w:pPr>
      <w:r>
        <w:rPr>
          <w:b/>
          <w:color w:val="auto"/>
          <w:szCs w:val="21"/>
          <w:highlight w:val="none"/>
        </w:rPr>
        <w:t>*2.投标文件只允许有一个报价，有选择的或有条件的报价将不予接受。</w:t>
      </w:r>
    </w:p>
    <w:p w14:paraId="4F3216B4">
      <w:pPr>
        <w:pStyle w:val="6"/>
        <w:numPr>
          <w:ilvl w:val="0"/>
          <w:numId w:val="0"/>
        </w:numPr>
        <w:spacing w:before="0" w:after="0" w:line="360" w:lineRule="auto"/>
        <w:rPr>
          <w:color w:val="auto"/>
          <w:kern w:val="2"/>
          <w:sz w:val="21"/>
          <w:szCs w:val="21"/>
          <w:highlight w:val="none"/>
        </w:rPr>
      </w:pPr>
      <w:bookmarkStart w:id="123" w:name="_Toc100932130"/>
      <w:bookmarkStart w:id="124" w:name="_Toc460857916"/>
      <w:bookmarkStart w:id="125" w:name="_Toc17707930"/>
      <w:r>
        <w:rPr>
          <w:color w:val="auto"/>
          <w:kern w:val="2"/>
          <w:sz w:val="21"/>
          <w:szCs w:val="21"/>
          <w:highlight w:val="none"/>
        </w:rPr>
        <w:t>（四）投标文件的有效期</w:t>
      </w:r>
      <w:bookmarkEnd w:id="123"/>
      <w:bookmarkEnd w:id="124"/>
      <w:bookmarkEnd w:id="125"/>
    </w:p>
    <w:p w14:paraId="6FB3442C">
      <w:pPr>
        <w:pStyle w:val="9"/>
        <w:widowControl w:val="0"/>
        <w:tabs>
          <w:tab w:val="clear" w:pos="454"/>
        </w:tabs>
        <w:snapToGrid w:val="0"/>
        <w:spacing w:afterLines="0" w:line="360" w:lineRule="auto"/>
        <w:ind w:left="0" w:firstLine="422" w:firstLineChars="200"/>
        <w:rPr>
          <w:b/>
          <w:color w:val="auto"/>
          <w:sz w:val="21"/>
          <w:szCs w:val="21"/>
          <w:highlight w:val="none"/>
        </w:rPr>
      </w:pPr>
      <w:r>
        <w:rPr>
          <w:b/>
          <w:color w:val="auto"/>
          <w:sz w:val="21"/>
          <w:szCs w:val="21"/>
          <w:highlight w:val="none"/>
        </w:rPr>
        <w:t>*1.自投标截止日起</w:t>
      </w:r>
      <w:r>
        <w:rPr>
          <w:b/>
          <w:color w:val="auto"/>
          <w:sz w:val="21"/>
          <w:szCs w:val="21"/>
          <w:highlight w:val="none"/>
          <w:u w:val="single"/>
        </w:rPr>
        <w:t xml:space="preserve"> 90 </w:t>
      </w:r>
      <w:r>
        <w:rPr>
          <w:b/>
          <w:color w:val="auto"/>
          <w:sz w:val="21"/>
          <w:szCs w:val="21"/>
          <w:highlight w:val="none"/>
        </w:rPr>
        <w:t>天投标文件应保持有效。有效期不足的投标文件将被拒绝。</w:t>
      </w:r>
    </w:p>
    <w:p w14:paraId="7A1ABEBE">
      <w:pPr>
        <w:pStyle w:val="9"/>
        <w:widowControl w:val="0"/>
        <w:tabs>
          <w:tab w:val="clear" w:pos="454"/>
        </w:tabs>
        <w:snapToGrid w:val="0"/>
        <w:spacing w:afterLines="0" w:line="360" w:lineRule="auto"/>
        <w:ind w:left="0" w:firstLine="420" w:firstLineChars="200"/>
        <w:rPr>
          <w:color w:val="auto"/>
          <w:sz w:val="21"/>
          <w:szCs w:val="21"/>
          <w:highlight w:val="none"/>
        </w:rPr>
      </w:pPr>
      <w:r>
        <w:rPr>
          <w:color w:val="auto"/>
          <w:sz w:val="21"/>
          <w:szCs w:val="21"/>
          <w:highlight w:val="none"/>
        </w:rPr>
        <w:t>2.在特殊情况下，采购人可与投标人协商延长投标书的有效期，这种要求和答复均以书面形式进行。</w:t>
      </w:r>
    </w:p>
    <w:p w14:paraId="7E29B903">
      <w:pPr>
        <w:pStyle w:val="9"/>
        <w:widowControl w:val="0"/>
        <w:tabs>
          <w:tab w:val="clear" w:pos="454"/>
        </w:tabs>
        <w:snapToGrid w:val="0"/>
        <w:spacing w:afterLines="0" w:line="360" w:lineRule="auto"/>
        <w:ind w:left="0" w:firstLine="420" w:firstLineChars="200"/>
        <w:rPr>
          <w:color w:val="auto"/>
          <w:sz w:val="21"/>
          <w:szCs w:val="21"/>
          <w:highlight w:val="none"/>
        </w:rPr>
      </w:pPr>
      <w:bookmarkStart w:id="126" w:name="_Toc460416657"/>
      <w:bookmarkStart w:id="127" w:name="_Toc460416352"/>
      <w:r>
        <w:rPr>
          <w:color w:val="auto"/>
          <w:sz w:val="21"/>
          <w:szCs w:val="21"/>
          <w:highlight w:val="none"/>
        </w:rPr>
        <w:t>3.投标人可拒绝接受延期要求。同意延长有效期的投标人，不能修改投标文件。</w:t>
      </w:r>
      <w:bookmarkEnd w:id="126"/>
      <w:bookmarkEnd w:id="127"/>
      <w:r>
        <w:rPr>
          <w:color w:val="auto"/>
          <w:sz w:val="21"/>
          <w:szCs w:val="21"/>
          <w:highlight w:val="none"/>
        </w:rPr>
        <w:t xml:space="preserve"> </w:t>
      </w:r>
    </w:p>
    <w:p w14:paraId="1D5CDB28">
      <w:pPr>
        <w:pStyle w:val="9"/>
        <w:widowControl w:val="0"/>
        <w:tabs>
          <w:tab w:val="clear" w:pos="454"/>
        </w:tabs>
        <w:snapToGrid w:val="0"/>
        <w:spacing w:afterLines="0" w:line="360" w:lineRule="auto"/>
        <w:ind w:left="0" w:firstLine="420" w:firstLineChars="200"/>
        <w:rPr>
          <w:color w:val="auto"/>
          <w:sz w:val="21"/>
          <w:szCs w:val="21"/>
          <w:highlight w:val="none"/>
        </w:rPr>
      </w:pPr>
      <w:bookmarkStart w:id="128" w:name="_Toc460416658"/>
      <w:bookmarkStart w:id="129" w:name="_Toc460416353"/>
      <w:r>
        <w:rPr>
          <w:color w:val="auto"/>
          <w:sz w:val="21"/>
          <w:szCs w:val="21"/>
          <w:highlight w:val="none"/>
        </w:rPr>
        <w:t>4.中标人的投标文件自开标之日起至合同履行完毕止均应保持有效。</w:t>
      </w:r>
      <w:bookmarkEnd w:id="128"/>
      <w:bookmarkEnd w:id="129"/>
    </w:p>
    <w:p w14:paraId="4960AD1F">
      <w:pPr>
        <w:pStyle w:val="6"/>
        <w:numPr>
          <w:ilvl w:val="0"/>
          <w:numId w:val="0"/>
        </w:numPr>
        <w:spacing w:before="0" w:after="0" w:line="360" w:lineRule="auto"/>
        <w:rPr>
          <w:color w:val="auto"/>
          <w:kern w:val="2"/>
          <w:sz w:val="21"/>
          <w:szCs w:val="21"/>
          <w:highlight w:val="none"/>
        </w:rPr>
      </w:pPr>
      <w:bookmarkStart w:id="130" w:name="_Toc460416355"/>
      <w:bookmarkStart w:id="131" w:name="_Toc17707932"/>
      <w:bookmarkStart w:id="132" w:name="_Toc460416660"/>
      <w:bookmarkStart w:id="133" w:name="_Toc460857918"/>
      <w:bookmarkStart w:id="134" w:name="_Toc100932131"/>
      <w:r>
        <w:rPr>
          <w:color w:val="auto"/>
          <w:kern w:val="2"/>
          <w:sz w:val="21"/>
          <w:szCs w:val="21"/>
          <w:highlight w:val="none"/>
        </w:rPr>
        <w:t>（五）投标文件的盖章、签署、份数</w:t>
      </w:r>
      <w:bookmarkEnd w:id="130"/>
      <w:bookmarkEnd w:id="131"/>
      <w:bookmarkEnd w:id="132"/>
      <w:bookmarkEnd w:id="133"/>
      <w:r>
        <w:rPr>
          <w:color w:val="auto"/>
          <w:kern w:val="2"/>
          <w:sz w:val="21"/>
          <w:szCs w:val="21"/>
          <w:highlight w:val="none"/>
        </w:rPr>
        <w:t>、要求及效力</w:t>
      </w:r>
      <w:bookmarkEnd w:id="134"/>
    </w:p>
    <w:p w14:paraId="581C6C79">
      <w:pPr>
        <w:spacing w:line="360" w:lineRule="auto"/>
        <w:ind w:firstLine="525" w:firstLineChars="250"/>
        <w:rPr>
          <w:color w:val="auto"/>
          <w:kern w:val="0"/>
          <w:szCs w:val="21"/>
          <w:highlight w:val="none"/>
        </w:rPr>
      </w:pPr>
      <w:r>
        <w:rPr>
          <w:color w:val="auto"/>
          <w:kern w:val="0"/>
          <w:szCs w:val="21"/>
          <w:highlight w:val="none"/>
        </w:rPr>
        <w:t>1、供应商应按本采购文件规定的格式和顺序编制、装订投标文件，投标文件要求有目录并标注页码，投标文件内容不完整、编排混乱导致投标文件被误读、漏读或者查找不到相关内容的，是供应商的责任。</w:t>
      </w:r>
    </w:p>
    <w:p w14:paraId="15C10CD7">
      <w:pPr>
        <w:spacing w:line="360" w:lineRule="auto"/>
        <w:ind w:firstLine="525" w:firstLineChars="250"/>
        <w:rPr>
          <w:color w:val="auto"/>
          <w:kern w:val="0"/>
          <w:szCs w:val="21"/>
          <w:highlight w:val="none"/>
        </w:rPr>
      </w:pPr>
      <w:r>
        <w:rPr>
          <w:color w:val="auto"/>
          <w:kern w:val="0"/>
          <w:szCs w:val="21"/>
          <w:highlight w:val="none"/>
        </w:rPr>
        <w:t>2、投标文件的盖章、签署：</w:t>
      </w:r>
    </w:p>
    <w:p w14:paraId="3FD43CB6">
      <w:pPr>
        <w:spacing w:line="360" w:lineRule="auto"/>
        <w:ind w:firstLine="525" w:firstLineChars="250"/>
        <w:rPr>
          <w:color w:val="auto"/>
          <w:kern w:val="0"/>
          <w:szCs w:val="21"/>
          <w:highlight w:val="none"/>
        </w:rPr>
      </w:pPr>
      <w:r>
        <w:rPr>
          <w:color w:val="auto"/>
          <w:kern w:val="0"/>
          <w:szCs w:val="21"/>
          <w:highlight w:val="none"/>
        </w:rPr>
        <w:t>（1）投标文件中涉及到加盖公章或签字的，加盖供应商公章部分均采用CA签章，签字部分采用由法定代表人或授权代表签字后扫描上传（或电子CA签章）。</w:t>
      </w:r>
    </w:p>
    <w:p w14:paraId="7B600D25">
      <w:pPr>
        <w:spacing w:line="360" w:lineRule="auto"/>
        <w:ind w:firstLine="525" w:firstLineChars="250"/>
        <w:rPr>
          <w:color w:val="auto"/>
          <w:kern w:val="0"/>
          <w:szCs w:val="21"/>
          <w:highlight w:val="none"/>
        </w:rPr>
      </w:pPr>
      <w:r>
        <w:rPr>
          <w:color w:val="auto"/>
          <w:kern w:val="0"/>
          <w:szCs w:val="21"/>
          <w:highlight w:val="none"/>
        </w:rPr>
        <w:t>3、投标文件的份数：</w:t>
      </w:r>
    </w:p>
    <w:p w14:paraId="58493B41">
      <w:pPr>
        <w:spacing w:line="360" w:lineRule="auto"/>
        <w:ind w:firstLine="525" w:firstLineChars="250"/>
        <w:rPr>
          <w:color w:val="auto"/>
          <w:kern w:val="0"/>
          <w:szCs w:val="21"/>
          <w:highlight w:val="none"/>
        </w:rPr>
      </w:pPr>
      <w:r>
        <w:rPr>
          <w:color w:val="auto"/>
          <w:kern w:val="0"/>
          <w:szCs w:val="21"/>
          <w:highlight w:val="none"/>
        </w:rPr>
        <w:t>本项目供应商应准备以下投标文件：</w:t>
      </w:r>
    </w:p>
    <w:p w14:paraId="1B24B2E3">
      <w:pPr>
        <w:spacing w:line="360" w:lineRule="auto"/>
        <w:ind w:firstLine="525" w:firstLineChars="250"/>
        <w:rPr>
          <w:color w:val="auto"/>
          <w:kern w:val="0"/>
          <w:szCs w:val="21"/>
          <w:highlight w:val="none"/>
        </w:rPr>
      </w:pPr>
      <w:r>
        <w:rPr>
          <w:color w:val="auto"/>
          <w:kern w:val="0"/>
          <w:szCs w:val="21"/>
          <w:highlight w:val="none"/>
        </w:rPr>
        <w:t>（1）上传到政府采购云平台的电子投标文件（含资格证明文件、商务技术文件、报价文件）1份。</w:t>
      </w:r>
    </w:p>
    <w:p w14:paraId="72B4EFC1">
      <w:pPr>
        <w:spacing w:line="360" w:lineRule="auto"/>
        <w:ind w:firstLine="525" w:firstLineChars="250"/>
        <w:rPr>
          <w:color w:val="auto"/>
          <w:kern w:val="0"/>
          <w:szCs w:val="21"/>
          <w:highlight w:val="none"/>
        </w:rPr>
      </w:pPr>
      <w:r>
        <w:rPr>
          <w:color w:val="auto"/>
          <w:kern w:val="0"/>
          <w:szCs w:val="21"/>
          <w:highlight w:val="none"/>
        </w:rPr>
        <w:t>（2）以U盘存储的电子备份投标文件（含资格证明文件、商务技术文件、报价文件）1份。</w:t>
      </w:r>
    </w:p>
    <w:p w14:paraId="010E3A16">
      <w:pPr>
        <w:spacing w:line="360" w:lineRule="auto"/>
        <w:ind w:firstLine="525" w:firstLineChars="250"/>
        <w:rPr>
          <w:color w:val="auto"/>
          <w:kern w:val="0"/>
          <w:szCs w:val="21"/>
          <w:highlight w:val="none"/>
        </w:rPr>
      </w:pPr>
      <w:r>
        <w:rPr>
          <w:color w:val="auto"/>
          <w:kern w:val="0"/>
          <w:szCs w:val="21"/>
          <w:highlight w:val="none"/>
        </w:rPr>
        <w:t>（3）纸质投标文件（中标人公示发布后三个工作日内提供）：资信证明文件、商务技术文件、报价文件（正本1份，副本2份）。</w:t>
      </w:r>
    </w:p>
    <w:p w14:paraId="5870CBAF">
      <w:pPr>
        <w:spacing w:line="360" w:lineRule="auto"/>
        <w:ind w:firstLine="525" w:firstLineChars="250"/>
        <w:rPr>
          <w:color w:val="auto"/>
          <w:kern w:val="0"/>
          <w:szCs w:val="21"/>
          <w:highlight w:val="none"/>
        </w:rPr>
      </w:pPr>
      <w:r>
        <w:rPr>
          <w:color w:val="auto"/>
          <w:kern w:val="0"/>
          <w:szCs w:val="21"/>
          <w:highlight w:val="none"/>
        </w:rPr>
        <w:t>4、电子投标文件：</w:t>
      </w:r>
    </w:p>
    <w:p w14:paraId="75A421AB">
      <w:pPr>
        <w:spacing w:line="360" w:lineRule="auto"/>
        <w:ind w:firstLine="525" w:firstLineChars="250"/>
        <w:rPr>
          <w:color w:val="auto"/>
          <w:kern w:val="0"/>
          <w:szCs w:val="21"/>
          <w:highlight w:val="none"/>
        </w:rPr>
      </w:pPr>
      <w:r>
        <w:rPr>
          <w:color w:val="auto"/>
          <w:kern w:val="0"/>
          <w:szCs w:val="21"/>
          <w:highlight w:val="none"/>
        </w:rPr>
        <w:t>4.1供应商应根据</w:t>
      </w:r>
      <w:r>
        <w:rPr>
          <w:bCs/>
          <w:color w:val="auto"/>
          <w:kern w:val="0"/>
          <w:szCs w:val="21"/>
          <w:highlight w:val="none"/>
        </w:rPr>
        <w:t>“政采云供应商项目采购-电子招投标操作指南”</w:t>
      </w:r>
      <w:r>
        <w:rPr>
          <w:color w:val="auto"/>
          <w:kern w:val="0"/>
          <w:szCs w:val="21"/>
          <w:highlight w:val="none"/>
        </w:rPr>
        <w:t>及本采购文件规定的格式和顺序编制电子投标文件并进行关联定位。</w:t>
      </w:r>
    </w:p>
    <w:p w14:paraId="46529C56">
      <w:pPr>
        <w:spacing w:line="360" w:lineRule="auto"/>
        <w:ind w:firstLine="525" w:firstLineChars="250"/>
        <w:rPr>
          <w:color w:val="auto"/>
          <w:kern w:val="0"/>
          <w:szCs w:val="21"/>
          <w:highlight w:val="none"/>
        </w:rPr>
      </w:pPr>
      <w:r>
        <w:rPr>
          <w:color w:val="auto"/>
          <w:kern w:val="0"/>
          <w:szCs w:val="21"/>
          <w:highlight w:val="none"/>
        </w:rPr>
        <w:t>4.2投标文件不得涂改，若有修改错漏处，须加盖单位公章或者法定代表人或授权委托人签名或盖章。投标文件因字迹潦草或表达不清所引起的后果由供应商负责。</w:t>
      </w:r>
    </w:p>
    <w:p w14:paraId="6C453B49">
      <w:pPr>
        <w:spacing w:line="360" w:lineRule="auto"/>
        <w:ind w:firstLine="525" w:firstLineChars="250"/>
        <w:rPr>
          <w:color w:val="auto"/>
          <w:kern w:val="0"/>
          <w:szCs w:val="21"/>
          <w:highlight w:val="none"/>
        </w:rPr>
      </w:pPr>
      <w:r>
        <w:rPr>
          <w:color w:val="auto"/>
          <w:kern w:val="0"/>
          <w:szCs w:val="21"/>
          <w:highlight w:val="none"/>
        </w:rPr>
        <w:t>4.3投标文件须由供应商在规定位置盖章并由法定代表人或法定代表人的授权委托人签署，供应商应写全称。</w:t>
      </w:r>
    </w:p>
    <w:p w14:paraId="48DC9FB5">
      <w:pPr>
        <w:spacing w:line="360" w:lineRule="auto"/>
        <w:ind w:firstLine="525" w:firstLineChars="250"/>
        <w:rPr>
          <w:color w:val="auto"/>
          <w:kern w:val="0"/>
          <w:szCs w:val="21"/>
          <w:highlight w:val="none"/>
        </w:rPr>
      </w:pPr>
      <w:r>
        <w:rPr>
          <w:color w:val="auto"/>
          <w:kern w:val="0"/>
          <w:szCs w:val="21"/>
          <w:highlight w:val="none"/>
        </w:rPr>
        <w:t>5、投标文件的效力：</w:t>
      </w:r>
    </w:p>
    <w:p w14:paraId="21592458">
      <w:pPr>
        <w:spacing w:line="360" w:lineRule="auto"/>
        <w:ind w:firstLine="525" w:firstLineChars="250"/>
        <w:rPr>
          <w:color w:val="auto"/>
          <w:kern w:val="0"/>
          <w:szCs w:val="21"/>
          <w:highlight w:val="none"/>
        </w:rPr>
      </w:pPr>
      <w:r>
        <w:rPr>
          <w:color w:val="auto"/>
          <w:kern w:val="0"/>
          <w:szCs w:val="21"/>
          <w:highlight w:val="none"/>
        </w:rPr>
        <w:t>投标文件的启用，按先后顺位分别为“电子加密投标文件”→“电子备份投标文件”。在下一顺位的投标文件启用时，前一顺位的投标文件自动失效。</w:t>
      </w:r>
    </w:p>
    <w:p w14:paraId="5E2DFD40">
      <w:pPr>
        <w:pStyle w:val="6"/>
        <w:numPr>
          <w:ilvl w:val="0"/>
          <w:numId w:val="0"/>
        </w:numPr>
        <w:spacing w:before="0" w:after="0" w:line="360" w:lineRule="auto"/>
        <w:rPr>
          <w:color w:val="auto"/>
          <w:kern w:val="2"/>
          <w:sz w:val="21"/>
          <w:szCs w:val="21"/>
          <w:highlight w:val="none"/>
        </w:rPr>
      </w:pPr>
      <w:bookmarkStart w:id="135" w:name="_Toc17707933"/>
      <w:bookmarkStart w:id="136" w:name="_Toc100932132"/>
      <w:bookmarkStart w:id="137" w:name="_Toc460857919"/>
      <w:r>
        <w:rPr>
          <w:color w:val="auto"/>
          <w:kern w:val="2"/>
          <w:sz w:val="21"/>
          <w:szCs w:val="21"/>
          <w:highlight w:val="none"/>
        </w:rPr>
        <w:t>（六）投标文件的包装、递交、修改和撤回</w:t>
      </w:r>
      <w:bookmarkEnd w:id="135"/>
      <w:bookmarkEnd w:id="136"/>
      <w:bookmarkEnd w:id="137"/>
    </w:p>
    <w:p w14:paraId="485234CD">
      <w:pPr>
        <w:snapToGrid w:val="0"/>
        <w:spacing w:line="360" w:lineRule="auto"/>
        <w:ind w:firstLine="420"/>
        <w:jc w:val="left"/>
        <w:rPr>
          <w:color w:val="auto"/>
          <w:kern w:val="0"/>
          <w:szCs w:val="21"/>
          <w:highlight w:val="none"/>
        </w:rPr>
      </w:pPr>
      <w:r>
        <w:rPr>
          <w:color w:val="auto"/>
          <w:kern w:val="0"/>
          <w:szCs w:val="21"/>
          <w:highlight w:val="none"/>
        </w:rPr>
        <w:t>1、以U盘存储的电子备份投标文件用封袋密封后递交。 (封面注明“电子备份投标文件”及项目编号、项目名称、投标人名称，并加盖投标人公章)</w:t>
      </w:r>
    </w:p>
    <w:p w14:paraId="7861624C">
      <w:pPr>
        <w:snapToGrid w:val="0"/>
        <w:spacing w:line="360" w:lineRule="auto"/>
        <w:ind w:firstLine="420"/>
        <w:jc w:val="left"/>
        <w:rPr>
          <w:color w:val="auto"/>
          <w:kern w:val="0"/>
          <w:szCs w:val="21"/>
          <w:highlight w:val="none"/>
        </w:rPr>
      </w:pPr>
      <w:r>
        <w:rPr>
          <w:color w:val="auto"/>
          <w:kern w:val="0"/>
          <w:szCs w:val="21"/>
          <w:highlight w:val="none"/>
        </w:rPr>
        <w:t>2、未按规定密封或标记的投标文件将被拒绝，由此造成投标文件被误投或提前拆封的风险由供应商承担。</w:t>
      </w:r>
    </w:p>
    <w:p w14:paraId="2B6C02E5">
      <w:pPr>
        <w:snapToGrid w:val="0"/>
        <w:spacing w:line="360" w:lineRule="auto"/>
        <w:ind w:firstLine="420"/>
        <w:jc w:val="left"/>
        <w:rPr>
          <w:color w:val="auto"/>
          <w:kern w:val="0"/>
          <w:szCs w:val="21"/>
          <w:highlight w:val="none"/>
        </w:rPr>
      </w:pPr>
      <w:r>
        <w:rPr>
          <w:color w:val="auto"/>
          <w:kern w:val="0"/>
          <w:szCs w:val="21"/>
          <w:highlight w:val="none"/>
        </w:rPr>
        <w:t>3、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57F5C698">
      <w:pPr>
        <w:snapToGrid w:val="0"/>
        <w:spacing w:line="360" w:lineRule="auto"/>
        <w:ind w:firstLine="420"/>
        <w:jc w:val="left"/>
        <w:rPr>
          <w:color w:val="auto"/>
          <w:kern w:val="0"/>
          <w:szCs w:val="21"/>
          <w:highlight w:val="none"/>
        </w:rPr>
      </w:pPr>
      <w:r>
        <w:rPr>
          <w:color w:val="auto"/>
          <w:kern w:val="0"/>
          <w:szCs w:val="21"/>
          <w:highlight w:val="none"/>
        </w:rPr>
        <w:t>4、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14:paraId="3F65B888">
      <w:pPr>
        <w:pStyle w:val="6"/>
        <w:numPr>
          <w:ilvl w:val="0"/>
          <w:numId w:val="0"/>
        </w:numPr>
        <w:spacing w:before="0" w:after="0" w:line="360" w:lineRule="auto"/>
        <w:rPr>
          <w:color w:val="auto"/>
          <w:kern w:val="2"/>
          <w:sz w:val="21"/>
          <w:szCs w:val="21"/>
          <w:highlight w:val="none"/>
        </w:rPr>
      </w:pPr>
      <w:bookmarkStart w:id="138" w:name="_Toc460416356"/>
      <w:bookmarkStart w:id="139" w:name="_Toc17707934"/>
      <w:bookmarkStart w:id="140" w:name="_Toc460416661"/>
      <w:bookmarkStart w:id="141" w:name="_Toc100932133"/>
      <w:bookmarkStart w:id="142" w:name="_Toc460857920"/>
      <w:r>
        <w:rPr>
          <w:color w:val="auto"/>
          <w:kern w:val="2"/>
          <w:sz w:val="21"/>
          <w:szCs w:val="21"/>
          <w:highlight w:val="none"/>
        </w:rPr>
        <w:t>（七）投标无效的情形</w:t>
      </w:r>
      <w:bookmarkEnd w:id="138"/>
      <w:bookmarkEnd w:id="139"/>
      <w:bookmarkEnd w:id="140"/>
      <w:bookmarkEnd w:id="141"/>
      <w:bookmarkEnd w:id="142"/>
    </w:p>
    <w:p w14:paraId="7C7D9E23">
      <w:pPr>
        <w:snapToGrid w:val="0"/>
        <w:spacing w:line="360" w:lineRule="auto"/>
        <w:ind w:firstLine="420" w:firstLineChars="200"/>
        <w:rPr>
          <w:bCs/>
          <w:color w:val="auto"/>
          <w:szCs w:val="21"/>
          <w:highlight w:val="none"/>
        </w:rPr>
      </w:pPr>
      <w:r>
        <w:rPr>
          <w:bCs/>
          <w:color w:val="auto"/>
          <w:szCs w:val="21"/>
          <w:highlight w:val="none"/>
        </w:rPr>
        <w:t>实质上没有响应采购文件要求的投标将被视为无效投标。投标人不得通过修正或撤消不合要求的偏离或保留从而使其投标成为实质上响应的投标。投标无效情形详见第四章《评标办法及评分标准》。</w:t>
      </w:r>
    </w:p>
    <w:p w14:paraId="64502B4C">
      <w:pPr>
        <w:pStyle w:val="5"/>
        <w:numPr>
          <w:ilvl w:val="0"/>
          <w:numId w:val="0"/>
        </w:numPr>
        <w:tabs>
          <w:tab w:val="clear" w:pos="576"/>
        </w:tabs>
        <w:spacing w:before="0" w:after="0" w:line="360" w:lineRule="auto"/>
        <w:jc w:val="left"/>
        <w:rPr>
          <w:rFonts w:ascii="Times New Roman" w:hAnsi="Times New Roman" w:eastAsia="宋体"/>
          <w:color w:val="auto"/>
          <w:sz w:val="21"/>
          <w:szCs w:val="21"/>
          <w:highlight w:val="none"/>
        </w:rPr>
      </w:pPr>
      <w:bookmarkStart w:id="143" w:name="_Toc17707935"/>
      <w:bookmarkStart w:id="144" w:name="_Toc460416357"/>
      <w:bookmarkStart w:id="145" w:name="_Toc460416662"/>
      <w:bookmarkStart w:id="146" w:name="_Toc460857921"/>
      <w:bookmarkStart w:id="147" w:name="_Toc100932134"/>
      <w:r>
        <w:rPr>
          <w:rFonts w:ascii="Times New Roman" w:hAnsi="Times New Roman" w:eastAsia="宋体"/>
          <w:color w:val="auto"/>
          <w:sz w:val="21"/>
          <w:szCs w:val="21"/>
          <w:highlight w:val="none"/>
        </w:rPr>
        <w:t>四、开标</w:t>
      </w:r>
      <w:bookmarkEnd w:id="143"/>
      <w:bookmarkEnd w:id="144"/>
      <w:bookmarkEnd w:id="145"/>
      <w:bookmarkEnd w:id="146"/>
      <w:bookmarkEnd w:id="147"/>
    </w:p>
    <w:p w14:paraId="3FA6B143">
      <w:pPr>
        <w:spacing w:line="360" w:lineRule="auto"/>
        <w:ind w:firstLine="420" w:firstLineChars="200"/>
        <w:rPr>
          <w:bCs/>
          <w:color w:val="auto"/>
          <w:szCs w:val="21"/>
          <w:highlight w:val="none"/>
        </w:rPr>
      </w:pPr>
      <w:bookmarkStart w:id="148" w:name="_Toc460416358"/>
      <w:bookmarkStart w:id="149" w:name="_Toc17707938"/>
      <w:bookmarkStart w:id="150" w:name="_Toc460416663"/>
      <w:bookmarkStart w:id="151" w:name="_Toc460857924"/>
      <w:r>
        <w:rPr>
          <w:bCs/>
          <w:color w:val="auto"/>
          <w:szCs w:val="21"/>
          <w:highlight w:val="none"/>
        </w:rPr>
        <w:t>1、电子招投标开标程序：</w:t>
      </w:r>
    </w:p>
    <w:p w14:paraId="5024CEE7">
      <w:pPr>
        <w:numPr>
          <w:ilvl w:val="0"/>
          <w:numId w:val="12"/>
        </w:numPr>
        <w:spacing w:line="360" w:lineRule="auto"/>
        <w:ind w:firstLine="420" w:firstLineChars="200"/>
        <w:rPr>
          <w:bCs/>
          <w:color w:val="auto"/>
          <w:szCs w:val="21"/>
          <w:highlight w:val="none"/>
        </w:rPr>
      </w:pPr>
      <w:r>
        <w:rPr>
          <w:bCs/>
          <w:color w:val="auto"/>
          <w:szCs w:val="21"/>
          <w:highlight w:val="none"/>
        </w:rPr>
        <w:t>投标截止时间后，供应商登录政府采购云平台，用“项目采购-开标评标”功能对电子投标文件进行在线解密，在线解密电子投标文件时间为开标时间后30分钟内。</w:t>
      </w:r>
    </w:p>
    <w:p w14:paraId="231C73A8">
      <w:pPr>
        <w:numPr>
          <w:ilvl w:val="0"/>
          <w:numId w:val="12"/>
        </w:numPr>
        <w:spacing w:line="360" w:lineRule="auto"/>
        <w:ind w:firstLine="420" w:firstLineChars="200"/>
        <w:rPr>
          <w:bCs/>
          <w:color w:val="auto"/>
          <w:szCs w:val="21"/>
          <w:highlight w:val="none"/>
        </w:rPr>
      </w:pPr>
      <w:r>
        <w:rPr>
          <w:bCs/>
          <w:color w:val="auto"/>
          <w:szCs w:val="21"/>
          <w:highlight w:val="none"/>
        </w:rPr>
        <w:t>在政府采购云平台开启已解密供应商的“资格证明文件、商务技术文件、报价文件”，并做开标记录；</w:t>
      </w:r>
    </w:p>
    <w:p w14:paraId="020EBB48">
      <w:pPr>
        <w:spacing w:line="360" w:lineRule="auto"/>
        <w:ind w:firstLine="420" w:firstLineChars="200"/>
        <w:rPr>
          <w:bCs/>
          <w:color w:val="auto"/>
          <w:szCs w:val="21"/>
          <w:highlight w:val="none"/>
        </w:rPr>
      </w:pPr>
      <w:r>
        <w:rPr>
          <w:bCs/>
          <w:color w:val="auto"/>
          <w:szCs w:val="21"/>
          <w:highlight w:val="none"/>
        </w:rPr>
        <w:t>（3）在政府采购云平台宣告评审无效供应商名单及理由；</w:t>
      </w:r>
    </w:p>
    <w:p w14:paraId="735A5070">
      <w:pPr>
        <w:spacing w:line="360" w:lineRule="auto"/>
        <w:ind w:firstLine="420" w:firstLineChars="200"/>
        <w:rPr>
          <w:bCs/>
          <w:color w:val="auto"/>
          <w:szCs w:val="21"/>
          <w:highlight w:val="none"/>
        </w:rPr>
      </w:pPr>
      <w:r>
        <w:rPr>
          <w:bCs/>
          <w:color w:val="auto"/>
          <w:szCs w:val="21"/>
          <w:highlight w:val="none"/>
        </w:rPr>
        <w:t>（4）在政府采购云平台公布评审结果。</w:t>
      </w:r>
    </w:p>
    <w:p w14:paraId="5CD10490">
      <w:pPr>
        <w:spacing w:line="360" w:lineRule="auto"/>
        <w:ind w:firstLine="420" w:firstLineChars="200"/>
        <w:rPr>
          <w:bCs/>
          <w:color w:val="auto"/>
          <w:szCs w:val="21"/>
          <w:highlight w:val="none"/>
        </w:rPr>
      </w:pPr>
      <w:r>
        <w:rPr>
          <w:bCs/>
          <w:color w:val="auto"/>
          <w:szCs w:val="21"/>
          <w:highlight w:val="none"/>
        </w:rPr>
        <w:t>（5）开标会议结束。</w:t>
      </w:r>
    </w:p>
    <w:p w14:paraId="4E11E77D">
      <w:pPr>
        <w:spacing w:line="360" w:lineRule="auto"/>
        <w:ind w:firstLine="420" w:firstLineChars="200"/>
        <w:rPr>
          <w:bCs/>
          <w:color w:val="auto"/>
          <w:szCs w:val="21"/>
          <w:highlight w:val="none"/>
        </w:rPr>
      </w:pPr>
      <w:r>
        <w:rPr>
          <w:bCs/>
          <w:color w:val="auto"/>
          <w:szCs w:val="21"/>
          <w:highlight w:val="none"/>
        </w:rPr>
        <w:t>2、特别说明：政府采购云平台如对电子化开标及评审程序有调整的，按调整后的程序操作。</w:t>
      </w:r>
    </w:p>
    <w:p w14:paraId="7D07C325">
      <w:pPr>
        <w:spacing w:line="360" w:lineRule="auto"/>
        <w:ind w:firstLine="420" w:firstLineChars="200"/>
        <w:rPr>
          <w:bCs/>
          <w:color w:val="auto"/>
          <w:szCs w:val="21"/>
          <w:highlight w:val="none"/>
        </w:rPr>
      </w:pPr>
      <w:r>
        <w:rPr>
          <w:bCs/>
          <w:color w:val="auto"/>
          <w:szCs w:val="21"/>
          <w:highlight w:val="none"/>
        </w:rPr>
        <w:t>本项目原则上采用政采云电子招投标开标程序，但有以下情形之一的，按以下情况处理：</w:t>
      </w:r>
    </w:p>
    <w:p w14:paraId="6D3E9793">
      <w:pPr>
        <w:spacing w:line="360" w:lineRule="auto"/>
        <w:ind w:firstLine="420" w:firstLineChars="200"/>
        <w:rPr>
          <w:bCs/>
          <w:color w:val="auto"/>
          <w:szCs w:val="21"/>
          <w:highlight w:val="none"/>
        </w:rPr>
      </w:pPr>
      <w:r>
        <w:rPr>
          <w:bCs/>
          <w:color w:val="auto"/>
          <w:szCs w:val="21"/>
          <w:highlight w:val="none"/>
        </w:rPr>
        <w:t>（1）若有供应商在规定时间内无法解密或解密失败，代理机构将开启该供应商递交的以U盘存储的电子备份投标文件，上传至政采云平台项目采购模块，以完成开标，电子投标文件自动失效。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14:paraId="7A2EA582">
      <w:pPr>
        <w:spacing w:line="360" w:lineRule="auto"/>
        <w:ind w:firstLine="420" w:firstLineChars="200"/>
        <w:rPr>
          <w:bCs/>
          <w:color w:val="auto"/>
          <w:szCs w:val="21"/>
          <w:highlight w:val="none"/>
        </w:rPr>
      </w:pPr>
      <w:r>
        <w:rPr>
          <w:bCs/>
          <w:color w:val="auto"/>
          <w:szCs w:val="21"/>
          <w:highlight w:val="none"/>
        </w:rPr>
        <w:t>（2）采购过程中出现以下情形，导致电子交易平台无法正常运行，或者无法保证电子交易的公平、公正和安全时，采购人（或代理机构）可中止电子交易活动：</w:t>
      </w:r>
    </w:p>
    <w:p w14:paraId="0CF9AB93">
      <w:pPr>
        <w:spacing w:line="360" w:lineRule="auto"/>
        <w:ind w:firstLine="420" w:firstLineChars="200"/>
        <w:rPr>
          <w:bCs/>
          <w:color w:val="auto"/>
          <w:szCs w:val="21"/>
          <w:highlight w:val="none"/>
        </w:rPr>
      </w:pPr>
      <w:r>
        <w:rPr>
          <w:bCs/>
          <w:color w:val="auto"/>
          <w:szCs w:val="21"/>
          <w:highlight w:val="none"/>
        </w:rPr>
        <w:t xml:space="preserve">3.1电子交易平台发生故障而无法登录访问的； </w:t>
      </w:r>
    </w:p>
    <w:p w14:paraId="2FB4ABF5">
      <w:pPr>
        <w:spacing w:line="360" w:lineRule="auto"/>
        <w:ind w:firstLine="420" w:firstLineChars="200"/>
        <w:rPr>
          <w:bCs/>
          <w:color w:val="auto"/>
          <w:szCs w:val="21"/>
          <w:highlight w:val="none"/>
        </w:rPr>
      </w:pPr>
      <w:r>
        <w:rPr>
          <w:bCs/>
          <w:color w:val="auto"/>
          <w:szCs w:val="21"/>
          <w:highlight w:val="none"/>
        </w:rPr>
        <w:t>3.2电子交易平台应用或数据库出现错误，不能进行正常操作的；</w:t>
      </w:r>
    </w:p>
    <w:p w14:paraId="12B546BF">
      <w:pPr>
        <w:spacing w:line="360" w:lineRule="auto"/>
        <w:ind w:firstLine="420" w:firstLineChars="200"/>
        <w:rPr>
          <w:bCs/>
          <w:color w:val="auto"/>
          <w:szCs w:val="21"/>
          <w:highlight w:val="none"/>
        </w:rPr>
      </w:pPr>
      <w:r>
        <w:rPr>
          <w:bCs/>
          <w:color w:val="auto"/>
          <w:szCs w:val="21"/>
          <w:highlight w:val="none"/>
        </w:rPr>
        <w:t>3.3电子交易平台发现严重安全漏洞，有潜在泄密危险的；</w:t>
      </w:r>
    </w:p>
    <w:p w14:paraId="0BF71CD7">
      <w:pPr>
        <w:spacing w:line="360" w:lineRule="auto"/>
        <w:ind w:firstLine="420" w:firstLineChars="200"/>
        <w:rPr>
          <w:bCs/>
          <w:color w:val="auto"/>
          <w:szCs w:val="21"/>
          <w:highlight w:val="none"/>
        </w:rPr>
      </w:pPr>
      <w:r>
        <w:rPr>
          <w:bCs/>
          <w:color w:val="auto"/>
          <w:szCs w:val="21"/>
          <w:highlight w:val="none"/>
        </w:rPr>
        <w:t xml:space="preserve">3.4病毒发作导致不能进行正常操作的； </w:t>
      </w:r>
    </w:p>
    <w:p w14:paraId="31BBF7D1">
      <w:pPr>
        <w:spacing w:line="360" w:lineRule="auto"/>
        <w:ind w:firstLine="420" w:firstLineChars="200"/>
        <w:rPr>
          <w:bCs/>
          <w:color w:val="auto"/>
          <w:szCs w:val="21"/>
          <w:highlight w:val="none"/>
        </w:rPr>
      </w:pPr>
      <w:r>
        <w:rPr>
          <w:bCs/>
          <w:color w:val="auto"/>
          <w:szCs w:val="21"/>
          <w:highlight w:val="none"/>
        </w:rPr>
        <w:t>3.5其他无法保证电子交易的公平、公正和安全的情况。</w:t>
      </w:r>
    </w:p>
    <w:p w14:paraId="343985C3">
      <w:pPr>
        <w:spacing w:line="360" w:lineRule="auto"/>
        <w:ind w:firstLine="420" w:firstLineChars="200"/>
        <w:rPr>
          <w:bCs/>
          <w:color w:val="auto"/>
          <w:szCs w:val="21"/>
          <w:highlight w:val="none"/>
        </w:rPr>
      </w:pPr>
      <w:r>
        <w:rPr>
          <w:bCs/>
          <w:color w:val="auto"/>
          <w:szCs w:val="21"/>
          <w:highlight w:val="none"/>
        </w:rPr>
        <w:t>出现前款规定情形，不影响采购公平、公正性的，采购人（或代理机构）可以待上述情形消除后继续组织电子交易活动。</w:t>
      </w:r>
    </w:p>
    <w:p w14:paraId="2B3A8382">
      <w:pPr>
        <w:pStyle w:val="5"/>
        <w:numPr>
          <w:ilvl w:val="0"/>
          <w:numId w:val="0"/>
        </w:numPr>
        <w:tabs>
          <w:tab w:val="clear" w:pos="576"/>
        </w:tabs>
        <w:spacing w:before="0" w:after="0" w:line="360" w:lineRule="auto"/>
        <w:jc w:val="left"/>
        <w:rPr>
          <w:rFonts w:ascii="Times New Roman" w:hAnsi="Times New Roman" w:eastAsia="宋体"/>
          <w:color w:val="auto"/>
          <w:sz w:val="21"/>
          <w:szCs w:val="21"/>
          <w:highlight w:val="none"/>
        </w:rPr>
      </w:pPr>
      <w:bookmarkStart w:id="152" w:name="_Toc100932135"/>
      <w:r>
        <w:rPr>
          <w:rFonts w:ascii="Times New Roman" w:hAnsi="Times New Roman" w:eastAsia="宋体"/>
          <w:color w:val="auto"/>
          <w:sz w:val="21"/>
          <w:szCs w:val="21"/>
          <w:highlight w:val="none"/>
        </w:rPr>
        <w:t>五、评标</w:t>
      </w:r>
      <w:bookmarkEnd w:id="148"/>
      <w:bookmarkEnd w:id="149"/>
      <w:bookmarkEnd w:id="150"/>
      <w:bookmarkEnd w:id="151"/>
      <w:bookmarkEnd w:id="152"/>
    </w:p>
    <w:p w14:paraId="19F95FC0">
      <w:pPr>
        <w:pStyle w:val="6"/>
        <w:numPr>
          <w:ilvl w:val="0"/>
          <w:numId w:val="0"/>
        </w:numPr>
        <w:spacing w:before="0" w:after="0" w:line="360" w:lineRule="auto"/>
        <w:rPr>
          <w:color w:val="auto"/>
          <w:kern w:val="2"/>
          <w:sz w:val="21"/>
          <w:szCs w:val="21"/>
          <w:highlight w:val="none"/>
        </w:rPr>
      </w:pPr>
      <w:bookmarkStart w:id="153" w:name="_Toc460857925"/>
      <w:bookmarkStart w:id="154" w:name="_Toc17707939"/>
      <w:bookmarkStart w:id="155" w:name="_Toc100932136"/>
      <w:r>
        <w:rPr>
          <w:color w:val="auto"/>
          <w:kern w:val="2"/>
          <w:sz w:val="21"/>
          <w:szCs w:val="21"/>
          <w:highlight w:val="none"/>
        </w:rPr>
        <w:t>（一）组建评标委员会</w:t>
      </w:r>
      <w:bookmarkEnd w:id="153"/>
      <w:bookmarkEnd w:id="154"/>
      <w:bookmarkEnd w:id="155"/>
    </w:p>
    <w:p w14:paraId="4869706D">
      <w:pPr>
        <w:pStyle w:val="19"/>
        <w:snapToGrid w:val="0"/>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本项目评标委员会由采购人代表和评审专家组成或全部由评审专家组成，评审专家从专家库随机抽取。</w:t>
      </w:r>
    </w:p>
    <w:p w14:paraId="0CEBE4B4">
      <w:pPr>
        <w:pStyle w:val="6"/>
        <w:numPr>
          <w:ilvl w:val="0"/>
          <w:numId w:val="0"/>
        </w:numPr>
        <w:spacing w:before="0" w:after="0" w:line="360" w:lineRule="auto"/>
        <w:rPr>
          <w:color w:val="auto"/>
          <w:kern w:val="2"/>
          <w:sz w:val="21"/>
          <w:szCs w:val="21"/>
          <w:highlight w:val="none"/>
        </w:rPr>
      </w:pPr>
      <w:bookmarkStart w:id="156" w:name="_Toc100932137"/>
      <w:bookmarkStart w:id="157" w:name="_Toc17707941"/>
      <w:bookmarkStart w:id="158" w:name="_Toc460857927"/>
      <w:r>
        <w:rPr>
          <w:color w:val="auto"/>
          <w:kern w:val="2"/>
          <w:sz w:val="21"/>
          <w:szCs w:val="21"/>
          <w:highlight w:val="none"/>
        </w:rPr>
        <w:t>（二）评标方法</w:t>
      </w:r>
      <w:bookmarkEnd w:id="156"/>
    </w:p>
    <w:p w14:paraId="3D390068">
      <w:pPr>
        <w:pStyle w:val="19"/>
        <w:snapToGrid w:val="0"/>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评标方法见第四章。</w:t>
      </w:r>
    </w:p>
    <w:p w14:paraId="25DF8490">
      <w:pPr>
        <w:pStyle w:val="6"/>
        <w:numPr>
          <w:ilvl w:val="0"/>
          <w:numId w:val="0"/>
        </w:numPr>
        <w:spacing w:before="0" w:after="0" w:line="360" w:lineRule="auto"/>
        <w:rPr>
          <w:color w:val="auto"/>
          <w:kern w:val="2"/>
          <w:sz w:val="21"/>
          <w:szCs w:val="21"/>
          <w:highlight w:val="none"/>
        </w:rPr>
      </w:pPr>
      <w:bookmarkStart w:id="159" w:name="_Toc100932138"/>
      <w:r>
        <w:rPr>
          <w:color w:val="auto"/>
          <w:kern w:val="2"/>
          <w:sz w:val="21"/>
          <w:szCs w:val="21"/>
          <w:highlight w:val="none"/>
        </w:rPr>
        <w:t>（三）评标程序</w:t>
      </w:r>
      <w:bookmarkEnd w:id="157"/>
      <w:bookmarkEnd w:id="158"/>
      <w:bookmarkEnd w:id="159"/>
    </w:p>
    <w:p w14:paraId="6ABC58D3">
      <w:pPr>
        <w:pStyle w:val="19"/>
        <w:snapToGrid w:val="0"/>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评标程序见第四章</w:t>
      </w:r>
    </w:p>
    <w:p w14:paraId="710FBC53">
      <w:pPr>
        <w:pStyle w:val="6"/>
        <w:numPr>
          <w:ilvl w:val="0"/>
          <w:numId w:val="0"/>
        </w:numPr>
        <w:spacing w:before="0" w:after="0" w:line="360" w:lineRule="auto"/>
        <w:rPr>
          <w:color w:val="auto"/>
          <w:kern w:val="2"/>
          <w:sz w:val="21"/>
          <w:szCs w:val="21"/>
          <w:highlight w:val="none"/>
        </w:rPr>
      </w:pPr>
      <w:bookmarkStart w:id="160" w:name="_Toc100932139"/>
      <w:r>
        <w:rPr>
          <w:color w:val="auto"/>
          <w:kern w:val="2"/>
          <w:sz w:val="21"/>
          <w:szCs w:val="21"/>
          <w:highlight w:val="none"/>
        </w:rPr>
        <w:t>（四）评标过程保密</w:t>
      </w:r>
      <w:bookmarkEnd w:id="160"/>
    </w:p>
    <w:p w14:paraId="03061FC3">
      <w:pPr>
        <w:pStyle w:val="19"/>
        <w:snapToGrid w:val="0"/>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中标结果公示发布之前，评标委员会名单应该保密。评标委员会成员、采购人和采购代理机构的有关参与人员应该对评标过程保密，不得向投标人或其他无关的人员透露。</w:t>
      </w:r>
    </w:p>
    <w:p w14:paraId="72E5A81C">
      <w:pPr>
        <w:pStyle w:val="5"/>
        <w:numPr>
          <w:ilvl w:val="0"/>
          <w:numId w:val="0"/>
        </w:numPr>
        <w:tabs>
          <w:tab w:val="clear" w:pos="576"/>
        </w:tabs>
        <w:spacing w:before="0" w:after="0" w:line="360" w:lineRule="auto"/>
        <w:jc w:val="left"/>
        <w:rPr>
          <w:rFonts w:ascii="Times New Roman" w:hAnsi="Times New Roman" w:eastAsia="宋体"/>
          <w:color w:val="auto"/>
          <w:sz w:val="21"/>
          <w:szCs w:val="21"/>
          <w:highlight w:val="none"/>
        </w:rPr>
      </w:pPr>
      <w:bookmarkStart w:id="161" w:name="_Toc17707945"/>
      <w:bookmarkStart w:id="162" w:name="_Toc460857932"/>
      <w:bookmarkStart w:id="163" w:name="_Toc100932140"/>
      <w:r>
        <w:rPr>
          <w:rFonts w:ascii="Times New Roman" w:hAnsi="Times New Roman" w:eastAsia="宋体"/>
          <w:color w:val="auto"/>
          <w:sz w:val="21"/>
          <w:szCs w:val="21"/>
          <w:highlight w:val="none"/>
        </w:rPr>
        <w:t>六、定标</w:t>
      </w:r>
      <w:bookmarkEnd w:id="161"/>
      <w:bookmarkEnd w:id="162"/>
      <w:bookmarkEnd w:id="163"/>
    </w:p>
    <w:p w14:paraId="5B1DAB06">
      <w:pPr>
        <w:pStyle w:val="6"/>
        <w:numPr>
          <w:ilvl w:val="0"/>
          <w:numId w:val="0"/>
        </w:numPr>
        <w:spacing w:before="0" w:after="0" w:line="360" w:lineRule="auto"/>
        <w:rPr>
          <w:color w:val="auto"/>
          <w:kern w:val="2"/>
          <w:sz w:val="21"/>
          <w:szCs w:val="21"/>
          <w:highlight w:val="none"/>
        </w:rPr>
      </w:pPr>
      <w:bookmarkStart w:id="164" w:name="_Toc460857933"/>
      <w:bookmarkStart w:id="165" w:name="_Toc100932141"/>
      <w:bookmarkStart w:id="166" w:name="_Toc17707946"/>
      <w:r>
        <w:rPr>
          <w:color w:val="auto"/>
          <w:kern w:val="2"/>
          <w:sz w:val="21"/>
          <w:szCs w:val="21"/>
          <w:highlight w:val="none"/>
        </w:rPr>
        <w:t>（一）确定中标人</w:t>
      </w:r>
      <w:bookmarkEnd w:id="164"/>
      <w:bookmarkEnd w:id="165"/>
      <w:bookmarkEnd w:id="166"/>
    </w:p>
    <w:p w14:paraId="56CCAB42">
      <w:pPr>
        <w:pStyle w:val="19"/>
        <w:widowControl/>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1.本项目由评标委员会推荐中标候选人，采购人不得在评标委员会推荐的中标候选人以外确定中标候选人。</w:t>
      </w:r>
    </w:p>
    <w:p w14:paraId="1EB95410">
      <w:pPr>
        <w:pStyle w:val="19"/>
        <w:widowControl/>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4271E9BD">
      <w:pPr>
        <w:pStyle w:val="19"/>
        <w:widowControl/>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3.采购代理机构自中标人确定之日起2个工作日内，在发布招标公告的网站上对中标结果进行公示，中标结果公告期限为1个工作日。</w:t>
      </w:r>
    </w:p>
    <w:p w14:paraId="4F1AFE16">
      <w:pPr>
        <w:pStyle w:val="19"/>
        <w:widowControl/>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4.凡发现中标人有下列行为之一的，将移交政府采购监督管理部门依法处理：</w:t>
      </w:r>
    </w:p>
    <w:p w14:paraId="13500E17">
      <w:pPr>
        <w:numPr>
          <w:ilvl w:val="0"/>
          <w:numId w:val="13"/>
        </w:numPr>
        <w:spacing w:line="360" w:lineRule="auto"/>
        <w:rPr>
          <w:color w:val="auto"/>
          <w:szCs w:val="21"/>
          <w:highlight w:val="none"/>
        </w:rPr>
      </w:pPr>
      <w:r>
        <w:rPr>
          <w:color w:val="auto"/>
          <w:szCs w:val="21"/>
          <w:highlight w:val="none"/>
        </w:rPr>
        <w:t>提供虚假材料谋取中标的；</w:t>
      </w:r>
    </w:p>
    <w:p w14:paraId="7C9186CB">
      <w:pPr>
        <w:numPr>
          <w:ilvl w:val="0"/>
          <w:numId w:val="13"/>
        </w:numPr>
        <w:spacing w:line="360" w:lineRule="auto"/>
        <w:rPr>
          <w:color w:val="auto"/>
          <w:szCs w:val="21"/>
          <w:highlight w:val="none"/>
        </w:rPr>
      </w:pPr>
      <w:r>
        <w:rPr>
          <w:color w:val="auto"/>
          <w:szCs w:val="21"/>
          <w:highlight w:val="none"/>
        </w:rPr>
        <w:t>采取不正当手段诋毁、排挤其他投标人的；</w:t>
      </w:r>
    </w:p>
    <w:p w14:paraId="05E93B7D">
      <w:pPr>
        <w:numPr>
          <w:ilvl w:val="0"/>
          <w:numId w:val="13"/>
        </w:numPr>
        <w:spacing w:line="360" w:lineRule="auto"/>
        <w:rPr>
          <w:color w:val="auto"/>
          <w:szCs w:val="21"/>
          <w:highlight w:val="none"/>
        </w:rPr>
      </w:pPr>
      <w:r>
        <w:rPr>
          <w:color w:val="auto"/>
          <w:szCs w:val="21"/>
          <w:highlight w:val="none"/>
        </w:rPr>
        <w:t>与采购人、其他投标人或者采购代理机构工作人员恶意串通的；</w:t>
      </w:r>
    </w:p>
    <w:p w14:paraId="46DBD197">
      <w:pPr>
        <w:numPr>
          <w:ilvl w:val="0"/>
          <w:numId w:val="13"/>
        </w:numPr>
        <w:spacing w:line="360" w:lineRule="auto"/>
        <w:rPr>
          <w:color w:val="auto"/>
          <w:szCs w:val="21"/>
          <w:highlight w:val="none"/>
        </w:rPr>
      </w:pPr>
      <w:r>
        <w:rPr>
          <w:color w:val="auto"/>
          <w:szCs w:val="21"/>
          <w:highlight w:val="none"/>
        </w:rPr>
        <w:t>向采购人或采购代理机构人员行贿或者提供其他不正当利益的；</w:t>
      </w:r>
    </w:p>
    <w:p w14:paraId="674F4D70">
      <w:pPr>
        <w:numPr>
          <w:ilvl w:val="0"/>
          <w:numId w:val="13"/>
        </w:numPr>
        <w:spacing w:line="360" w:lineRule="auto"/>
        <w:rPr>
          <w:color w:val="auto"/>
          <w:szCs w:val="21"/>
          <w:highlight w:val="none"/>
        </w:rPr>
      </w:pPr>
      <w:r>
        <w:rPr>
          <w:color w:val="auto"/>
          <w:szCs w:val="21"/>
          <w:highlight w:val="none"/>
        </w:rPr>
        <w:t>拒绝有关部门监督检查或者提供虚假情况的；</w:t>
      </w:r>
    </w:p>
    <w:p w14:paraId="5403423D">
      <w:pPr>
        <w:numPr>
          <w:ilvl w:val="0"/>
          <w:numId w:val="13"/>
        </w:numPr>
        <w:spacing w:line="360" w:lineRule="auto"/>
        <w:rPr>
          <w:color w:val="auto"/>
          <w:szCs w:val="21"/>
          <w:highlight w:val="none"/>
        </w:rPr>
      </w:pPr>
      <w:r>
        <w:rPr>
          <w:color w:val="auto"/>
          <w:szCs w:val="21"/>
          <w:highlight w:val="none"/>
        </w:rPr>
        <w:t>有法律、法规规定的其他损害采购人利益和社会公共利益情形的。</w:t>
      </w:r>
    </w:p>
    <w:p w14:paraId="664690E2">
      <w:pPr>
        <w:pStyle w:val="5"/>
        <w:numPr>
          <w:ilvl w:val="0"/>
          <w:numId w:val="0"/>
        </w:numPr>
        <w:tabs>
          <w:tab w:val="clear" w:pos="576"/>
        </w:tabs>
        <w:spacing w:before="0" w:after="0" w:line="360" w:lineRule="auto"/>
        <w:jc w:val="left"/>
        <w:rPr>
          <w:rFonts w:ascii="Times New Roman" w:hAnsi="Times New Roman" w:eastAsia="宋体"/>
          <w:color w:val="auto"/>
          <w:sz w:val="21"/>
          <w:szCs w:val="21"/>
          <w:highlight w:val="none"/>
        </w:rPr>
      </w:pPr>
      <w:bookmarkStart w:id="167" w:name="_Toc100932142"/>
      <w:bookmarkStart w:id="168" w:name="_Toc17707947"/>
      <w:r>
        <w:rPr>
          <w:rFonts w:ascii="Times New Roman" w:hAnsi="Times New Roman" w:eastAsia="宋体"/>
          <w:color w:val="auto"/>
          <w:sz w:val="21"/>
          <w:szCs w:val="21"/>
          <w:highlight w:val="none"/>
        </w:rPr>
        <w:t>七、评标过程的监控</w:t>
      </w:r>
      <w:bookmarkEnd w:id="167"/>
      <w:bookmarkEnd w:id="168"/>
    </w:p>
    <w:p w14:paraId="79FFE8AB">
      <w:pPr>
        <w:snapToGrid w:val="0"/>
        <w:spacing w:line="360" w:lineRule="auto"/>
        <w:ind w:firstLine="420" w:firstLineChars="200"/>
        <w:jc w:val="left"/>
        <w:rPr>
          <w:color w:val="auto"/>
          <w:szCs w:val="21"/>
          <w:highlight w:val="none"/>
        </w:rPr>
      </w:pPr>
      <w:r>
        <w:rPr>
          <w:bCs/>
          <w:color w:val="auto"/>
          <w:szCs w:val="28"/>
          <w:highlight w:val="none"/>
        </w:rPr>
        <w:t>本项目评标过程实行全程录音、录像监控，投标人在评标过程中所进行的试图影响评标结果的不公正活动，可能导致其投标被拒绝。</w:t>
      </w:r>
    </w:p>
    <w:p w14:paraId="1A28CB13">
      <w:pPr>
        <w:pStyle w:val="5"/>
        <w:numPr>
          <w:ilvl w:val="0"/>
          <w:numId w:val="0"/>
        </w:numPr>
        <w:tabs>
          <w:tab w:val="clear" w:pos="576"/>
        </w:tabs>
        <w:spacing w:before="0" w:after="0" w:line="360" w:lineRule="auto"/>
        <w:jc w:val="left"/>
        <w:rPr>
          <w:rFonts w:ascii="Times New Roman" w:hAnsi="Times New Roman" w:eastAsia="宋体"/>
          <w:color w:val="auto"/>
          <w:sz w:val="21"/>
          <w:szCs w:val="21"/>
          <w:highlight w:val="none"/>
        </w:rPr>
      </w:pPr>
      <w:bookmarkStart w:id="169" w:name="_Toc17707948"/>
      <w:bookmarkStart w:id="170" w:name="_Toc460857934"/>
      <w:bookmarkStart w:id="171" w:name="_Toc460416664"/>
      <w:bookmarkStart w:id="172" w:name="_Toc100932143"/>
      <w:bookmarkStart w:id="173" w:name="_Toc460416359"/>
      <w:r>
        <w:rPr>
          <w:rFonts w:ascii="Times New Roman" w:hAnsi="Times New Roman" w:eastAsia="宋体"/>
          <w:color w:val="auto"/>
          <w:sz w:val="21"/>
          <w:szCs w:val="21"/>
          <w:highlight w:val="none"/>
        </w:rPr>
        <w:t>八、合同授予</w:t>
      </w:r>
      <w:bookmarkEnd w:id="169"/>
      <w:bookmarkEnd w:id="170"/>
      <w:bookmarkEnd w:id="171"/>
      <w:bookmarkEnd w:id="172"/>
      <w:bookmarkEnd w:id="173"/>
    </w:p>
    <w:p w14:paraId="4B8CCEF2">
      <w:pPr>
        <w:pStyle w:val="6"/>
        <w:numPr>
          <w:ilvl w:val="0"/>
          <w:numId w:val="0"/>
        </w:numPr>
        <w:spacing w:before="0" w:after="0" w:line="360" w:lineRule="auto"/>
        <w:rPr>
          <w:color w:val="auto"/>
          <w:kern w:val="2"/>
          <w:sz w:val="21"/>
          <w:szCs w:val="21"/>
          <w:highlight w:val="none"/>
        </w:rPr>
      </w:pPr>
      <w:bookmarkStart w:id="174" w:name="_Toc100932144"/>
      <w:bookmarkStart w:id="175" w:name="_Toc460857937"/>
      <w:bookmarkStart w:id="176" w:name="_Toc17707951"/>
      <w:r>
        <w:rPr>
          <w:color w:val="auto"/>
          <w:kern w:val="2"/>
          <w:sz w:val="21"/>
          <w:szCs w:val="21"/>
          <w:highlight w:val="none"/>
        </w:rPr>
        <w:t>（一）签订合同</w:t>
      </w:r>
      <w:bookmarkEnd w:id="174"/>
    </w:p>
    <w:p w14:paraId="3B4BDC48">
      <w:pPr>
        <w:snapToGrid w:val="0"/>
        <w:spacing w:line="360" w:lineRule="auto"/>
        <w:ind w:firstLine="420" w:firstLineChars="200"/>
        <w:rPr>
          <w:color w:val="auto"/>
          <w:szCs w:val="21"/>
          <w:highlight w:val="none"/>
        </w:rPr>
      </w:pPr>
      <w:r>
        <w:rPr>
          <w:color w:val="auto"/>
          <w:szCs w:val="21"/>
          <w:highlight w:val="none"/>
        </w:rPr>
        <w:t>1.采购人应当自中标通知书发出之日起30日内，按照采购文件和中标人投标文件的规定，与中标人签订书面合同。所签订的合同不得对采购文件确定的事项和中标人投标文件作实质性修改。</w:t>
      </w:r>
    </w:p>
    <w:p w14:paraId="616645A3">
      <w:pPr>
        <w:snapToGrid w:val="0"/>
        <w:spacing w:line="360" w:lineRule="auto"/>
        <w:ind w:firstLine="420" w:firstLineChars="200"/>
        <w:rPr>
          <w:color w:val="auto"/>
          <w:szCs w:val="21"/>
          <w:highlight w:val="none"/>
        </w:rPr>
      </w:pPr>
      <w:r>
        <w:rPr>
          <w:color w:val="auto"/>
          <w:szCs w:val="21"/>
          <w:highlight w:val="none"/>
        </w:rPr>
        <w:t>采购人不得向中标人提出任何不合理的要求作为签订合同的条件。</w:t>
      </w:r>
    </w:p>
    <w:p w14:paraId="32C845B1">
      <w:pPr>
        <w:pStyle w:val="19"/>
        <w:snapToGrid w:val="0"/>
        <w:spacing w:beforeLines="0" w:afterLines="0" w:line="360" w:lineRule="auto"/>
        <w:ind w:firstLine="411" w:firstLineChars="196"/>
        <w:rPr>
          <w:rFonts w:ascii="Times New Roman"/>
          <w:color w:val="auto"/>
          <w:kern w:val="2"/>
          <w:sz w:val="21"/>
          <w:szCs w:val="21"/>
          <w:highlight w:val="none"/>
        </w:rPr>
      </w:pPr>
      <w:r>
        <w:rPr>
          <w:rFonts w:ascii="Times New Roman"/>
          <w:color w:val="auto"/>
          <w:kern w:val="2"/>
          <w:sz w:val="21"/>
          <w:szCs w:val="21"/>
          <w:highlight w:val="none"/>
        </w:rPr>
        <w:t>2.采购人在签订合同时，在合同金额变更范围内，如需审批的办理相关审批手续。有权变更采购项目的数量和服务内容，但不能对单价或其他条款和条件作任何改变。</w:t>
      </w:r>
    </w:p>
    <w:p w14:paraId="27B2BA10">
      <w:pPr>
        <w:pStyle w:val="19"/>
        <w:snapToGrid w:val="0"/>
        <w:spacing w:beforeLines="0" w:afterLines="0" w:line="360" w:lineRule="auto"/>
        <w:ind w:firstLine="411" w:firstLineChars="196"/>
        <w:rPr>
          <w:rFonts w:ascii="Times New Roman"/>
          <w:color w:val="auto"/>
          <w:kern w:val="2"/>
          <w:sz w:val="21"/>
          <w:szCs w:val="21"/>
          <w:highlight w:val="none"/>
        </w:rPr>
      </w:pPr>
      <w:r>
        <w:rPr>
          <w:rFonts w:ascii="Times New Roman"/>
          <w:color w:val="auto"/>
          <w:kern w:val="2"/>
          <w:sz w:val="21"/>
          <w:szCs w:val="21"/>
          <w:highlight w:val="none"/>
        </w:rPr>
        <w:t>3.采购文件、中标供应商的投标文件及评标过程中有关的澄清文件均应作为合同签订的附件。</w:t>
      </w:r>
    </w:p>
    <w:p w14:paraId="00E90B1B">
      <w:pPr>
        <w:pStyle w:val="19"/>
        <w:snapToGrid w:val="0"/>
        <w:spacing w:beforeLines="0" w:afterLines="0" w:line="360" w:lineRule="auto"/>
        <w:ind w:firstLine="411" w:firstLineChars="196"/>
        <w:rPr>
          <w:rFonts w:ascii="Times New Roman"/>
          <w:color w:val="auto"/>
          <w:kern w:val="2"/>
          <w:sz w:val="21"/>
          <w:szCs w:val="21"/>
          <w:highlight w:val="none"/>
        </w:rPr>
      </w:pPr>
      <w:r>
        <w:rPr>
          <w:rFonts w:ascii="Times New Roman"/>
          <w:color w:val="auto"/>
          <w:kern w:val="2"/>
          <w:sz w:val="21"/>
          <w:szCs w:val="21"/>
          <w:highlight w:val="none"/>
        </w:rPr>
        <w:t>4.中标或者成交供应商拒绝与采购人签订合同的，采购人应重新招标。</w:t>
      </w:r>
    </w:p>
    <w:p w14:paraId="48F1A6A3">
      <w:pPr>
        <w:snapToGrid w:val="0"/>
        <w:spacing w:line="360" w:lineRule="auto"/>
        <w:ind w:firstLine="420" w:firstLineChars="200"/>
        <w:jc w:val="left"/>
        <w:rPr>
          <w:color w:val="auto"/>
          <w:szCs w:val="21"/>
          <w:highlight w:val="none"/>
        </w:rPr>
      </w:pPr>
      <w:r>
        <w:rPr>
          <w:color w:val="auto"/>
          <w:szCs w:val="21"/>
          <w:highlight w:val="none"/>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14:paraId="1F0AEF27">
      <w:pPr>
        <w:pStyle w:val="6"/>
        <w:numPr>
          <w:ilvl w:val="0"/>
          <w:numId w:val="0"/>
        </w:numPr>
        <w:spacing w:before="0" w:after="0" w:line="360" w:lineRule="auto"/>
        <w:rPr>
          <w:color w:val="auto"/>
          <w:kern w:val="2"/>
          <w:sz w:val="21"/>
          <w:szCs w:val="21"/>
          <w:highlight w:val="none"/>
        </w:rPr>
      </w:pPr>
      <w:bookmarkStart w:id="177" w:name="_Toc100932145"/>
      <w:bookmarkStart w:id="178" w:name="_Toc17707950"/>
      <w:bookmarkStart w:id="179" w:name="_Toc460857936"/>
      <w:r>
        <w:rPr>
          <w:color w:val="auto"/>
          <w:kern w:val="2"/>
          <w:sz w:val="21"/>
          <w:szCs w:val="21"/>
          <w:highlight w:val="none"/>
        </w:rPr>
        <w:t>（二）履约保证金（如有）</w:t>
      </w:r>
      <w:bookmarkEnd w:id="177"/>
      <w:bookmarkEnd w:id="178"/>
      <w:bookmarkEnd w:id="179"/>
    </w:p>
    <w:p w14:paraId="69146F58">
      <w:pPr>
        <w:pStyle w:val="19"/>
        <w:snapToGrid w:val="0"/>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1.签订合同时，中标人应按采购文件确定的履约保证金的金额，向采购人交纳履约保证金。</w:t>
      </w:r>
    </w:p>
    <w:p w14:paraId="4BF4E08A">
      <w:pPr>
        <w:pStyle w:val="19"/>
        <w:snapToGrid w:val="0"/>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2.签订合同后，如中标人不按双方合同约定履约，则没收其全部履约保证金，履约保证金不足以赔偿损失的，按实际损失赔偿。</w:t>
      </w:r>
    </w:p>
    <w:p w14:paraId="554FB132">
      <w:pPr>
        <w:pStyle w:val="19"/>
        <w:snapToGrid w:val="0"/>
        <w:spacing w:beforeLines="0" w:afterLines="0" w:line="360" w:lineRule="auto"/>
        <w:ind w:firstLine="420" w:firstLineChars="200"/>
        <w:jc w:val="left"/>
        <w:rPr>
          <w:rFonts w:ascii="Times New Roman"/>
          <w:color w:val="auto"/>
          <w:sz w:val="21"/>
          <w:szCs w:val="21"/>
          <w:highlight w:val="none"/>
        </w:rPr>
      </w:pPr>
      <w:r>
        <w:rPr>
          <w:rFonts w:ascii="Times New Roman"/>
          <w:color w:val="auto"/>
          <w:sz w:val="21"/>
          <w:szCs w:val="21"/>
          <w:highlight w:val="none"/>
        </w:rPr>
        <w:t>3.合同履行完毕后，采购人全额退还中标人的履约保证金</w:t>
      </w:r>
    </w:p>
    <w:p w14:paraId="3725CF5F">
      <w:pPr>
        <w:pStyle w:val="5"/>
        <w:numPr>
          <w:ilvl w:val="0"/>
          <w:numId w:val="0"/>
        </w:numPr>
        <w:tabs>
          <w:tab w:val="clear" w:pos="576"/>
        </w:tabs>
        <w:spacing w:before="0" w:after="0" w:line="360" w:lineRule="auto"/>
        <w:jc w:val="left"/>
        <w:rPr>
          <w:rFonts w:ascii="Times New Roman" w:hAnsi="Times New Roman" w:eastAsia="宋体"/>
          <w:color w:val="auto"/>
          <w:sz w:val="21"/>
          <w:szCs w:val="21"/>
          <w:highlight w:val="none"/>
        </w:rPr>
      </w:pPr>
      <w:bookmarkStart w:id="180" w:name="_Toc100932146"/>
      <w:r>
        <w:rPr>
          <w:rFonts w:ascii="Times New Roman" w:hAnsi="Times New Roman" w:eastAsia="宋体"/>
          <w:color w:val="auto"/>
          <w:sz w:val="21"/>
          <w:szCs w:val="21"/>
          <w:highlight w:val="none"/>
        </w:rPr>
        <w:t>九、特别说明</w:t>
      </w:r>
      <w:bookmarkEnd w:id="175"/>
      <w:bookmarkEnd w:id="176"/>
      <w:bookmarkEnd w:id="180"/>
    </w:p>
    <w:p w14:paraId="73DDF7C2">
      <w:pPr>
        <w:spacing w:line="360" w:lineRule="auto"/>
        <w:ind w:firstLine="315" w:firstLineChars="150"/>
        <w:rPr>
          <w:color w:val="auto"/>
          <w:highlight w:val="none"/>
        </w:rPr>
      </w:pPr>
      <w:r>
        <w:rPr>
          <w:color w:val="auto"/>
          <w:szCs w:val="21"/>
          <w:highlight w:val="none"/>
        </w:rPr>
        <w:t>1.</w:t>
      </w:r>
      <w:r>
        <w:rPr>
          <w:color w:val="auto"/>
          <w:highlight w:val="none"/>
        </w:rPr>
        <w:t xml:space="preserve"> 提供相同品牌产品且通过资格审查、符合性审查的不同投标人参加同一合同项下投标的，按一家投标人计算。</w:t>
      </w:r>
    </w:p>
    <w:p w14:paraId="02E45256">
      <w:pPr>
        <w:spacing w:line="360" w:lineRule="auto"/>
        <w:ind w:firstLine="525" w:firstLineChars="250"/>
        <w:rPr>
          <w:color w:val="auto"/>
          <w:highlight w:val="none"/>
        </w:rPr>
      </w:pPr>
      <w:r>
        <w:rPr>
          <w:color w:val="auto"/>
          <w:highlight w:val="none"/>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14:paraId="2C6B1DED">
      <w:pPr>
        <w:spacing w:line="360" w:lineRule="auto"/>
        <w:ind w:firstLine="525" w:firstLineChars="250"/>
        <w:rPr>
          <w:color w:val="auto"/>
          <w:highlight w:val="none"/>
        </w:rPr>
      </w:pPr>
      <w:r>
        <w:rPr>
          <w:color w:val="auto"/>
          <w:highlight w:val="none"/>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14:paraId="5F32213A">
      <w:pPr>
        <w:spacing w:line="360" w:lineRule="auto"/>
        <w:ind w:firstLine="315" w:firstLineChars="150"/>
        <w:rPr>
          <w:color w:val="auto"/>
          <w:highlight w:val="none"/>
        </w:rPr>
      </w:pPr>
      <w:r>
        <w:rPr>
          <w:color w:val="auto"/>
          <w:highlight w:val="none"/>
        </w:rPr>
        <w:t xml:space="preserve"> 非单一产品采购项目，投标人使用相同制造产品（相同制造产品是指采购文件中指定的“核心产品”）作为其项目的一部分，按一家投标人认定。</w:t>
      </w:r>
    </w:p>
    <w:p w14:paraId="6F0E194E">
      <w:pPr>
        <w:tabs>
          <w:tab w:val="left" w:pos="518"/>
        </w:tabs>
        <w:adjustRightInd w:val="0"/>
        <w:snapToGrid w:val="0"/>
        <w:spacing w:line="360" w:lineRule="auto"/>
        <w:ind w:firstLine="420" w:firstLineChars="200"/>
        <w:rPr>
          <w:color w:val="auto"/>
          <w:szCs w:val="21"/>
          <w:highlight w:val="none"/>
        </w:rPr>
      </w:pPr>
      <w:r>
        <w:rPr>
          <w:color w:val="auto"/>
          <w:szCs w:val="21"/>
          <w:highlight w:val="none"/>
        </w:rPr>
        <w:t>2.政府采购活动中有关中小企业的相关规定（采购进口产品的项目不适用）</w:t>
      </w:r>
    </w:p>
    <w:p w14:paraId="696020CD">
      <w:pPr>
        <w:tabs>
          <w:tab w:val="left" w:pos="518"/>
        </w:tabs>
        <w:adjustRightInd w:val="0"/>
        <w:snapToGrid w:val="0"/>
        <w:spacing w:line="360" w:lineRule="auto"/>
        <w:ind w:firstLine="420" w:firstLineChars="200"/>
        <w:rPr>
          <w:color w:val="auto"/>
          <w:szCs w:val="21"/>
          <w:highlight w:val="none"/>
        </w:rPr>
      </w:pPr>
      <w:r>
        <w:rPr>
          <w:color w:val="auto"/>
          <w:szCs w:val="21"/>
          <w:highlight w:val="none"/>
        </w:rPr>
        <w:t>2.1本项目</w:t>
      </w:r>
      <w:r>
        <w:rPr>
          <w:color w:val="auto"/>
          <w:szCs w:val="21"/>
          <w:highlight w:val="none"/>
          <w:u w:val="single"/>
        </w:rPr>
        <w:t xml:space="preserve">  否  </w:t>
      </w:r>
      <w:r>
        <w:rPr>
          <w:color w:val="auto"/>
          <w:szCs w:val="21"/>
          <w:highlight w:val="none"/>
        </w:rPr>
        <w:t>专门面向中小企业采购（不再享受价格扣除优惠）。</w:t>
      </w:r>
    </w:p>
    <w:p w14:paraId="34B49F31">
      <w:pPr>
        <w:tabs>
          <w:tab w:val="left" w:pos="518"/>
        </w:tabs>
        <w:adjustRightInd w:val="0"/>
        <w:snapToGrid w:val="0"/>
        <w:spacing w:line="360" w:lineRule="auto"/>
        <w:ind w:firstLine="420" w:firstLineChars="200"/>
        <w:rPr>
          <w:color w:val="auto"/>
          <w:szCs w:val="21"/>
          <w:highlight w:val="none"/>
        </w:rPr>
      </w:pPr>
      <w:r>
        <w:rPr>
          <w:color w:val="auto"/>
          <w:szCs w:val="21"/>
          <w:highlight w:val="none"/>
        </w:rPr>
        <w:t>2.2本项目对应的中小企业划分标准所属行业：</w:t>
      </w:r>
      <w:r>
        <w:rPr>
          <w:color w:val="auto"/>
          <w:szCs w:val="21"/>
          <w:highlight w:val="none"/>
          <w:u w:val="single"/>
        </w:rPr>
        <w:t>工业、软件和信息技术服务业、建筑业</w:t>
      </w:r>
    </w:p>
    <w:p w14:paraId="2C247544">
      <w:pPr>
        <w:tabs>
          <w:tab w:val="left" w:pos="518"/>
        </w:tabs>
        <w:adjustRightInd w:val="0"/>
        <w:snapToGrid w:val="0"/>
        <w:spacing w:line="360" w:lineRule="auto"/>
        <w:ind w:firstLine="420" w:firstLineChars="200"/>
        <w:rPr>
          <w:color w:val="auto"/>
          <w:szCs w:val="21"/>
          <w:highlight w:val="none"/>
        </w:rPr>
      </w:pPr>
      <w:r>
        <w:rPr>
          <w:color w:val="auto"/>
          <w:szCs w:val="21"/>
          <w:highlight w:val="none"/>
        </w:rPr>
        <w:t>2.3中小企业是指中华人民共和国境内依法设立，依据国务院批准的中小企业划分标准确定的小型企业和微型企业，但与大企业的负责人为同一人，或者与大企业存在直接控股、管理关系的除外。</w:t>
      </w:r>
    </w:p>
    <w:p w14:paraId="6094A3D5">
      <w:pPr>
        <w:tabs>
          <w:tab w:val="left" w:pos="518"/>
        </w:tabs>
        <w:adjustRightInd w:val="0"/>
        <w:snapToGrid w:val="0"/>
        <w:spacing w:line="360" w:lineRule="auto"/>
        <w:ind w:firstLine="420" w:firstLineChars="200"/>
        <w:rPr>
          <w:color w:val="auto"/>
          <w:szCs w:val="21"/>
          <w:highlight w:val="none"/>
        </w:rPr>
      </w:pPr>
      <w:r>
        <w:rPr>
          <w:color w:val="auto"/>
          <w:szCs w:val="21"/>
          <w:highlight w:val="none"/>
        </w:rPr>
        <w:t>符合中小企业划分标准的个体工商户，在政府采购活动中视同中小企业。</w:t>
      </w:r>
    </w:p>
    <w:p w14:paraId="7489D2BF">
      <w:pPr>
        <w:tabs>
          <w:tab w:val="left" w:pos="518"/>
        </w:tabs>
        <w:adjustRightInd w:val="0"/>
        <w:snapToGrid w:val="0"/>
        <w:spacing w:line="360" w:lineRule="auto"/>
        <w:ind w:firstLine="420" w:firstLineChars="200"/>
        <w:rPr>
          <w:color w:val="auto"/>
          <w:szCs w:val="21"/>
          <w:highlight w:val="none"/>
        </w:rPr>
      </w:pPr>
      <w:r>
        <w:rPr>
          <w:color w:val="auto"/>
          <w:szCs w:val="21"/>
          <w:highlight w:val="none"/>
        </w:rPr>
        <w:t>国务院批准的中小企业划分标准：具体见工信部联企业[2011]300号。</w:t>
      </w:r>
    </w:p>
    <w:p w14:paraId="40F9A9F1">
      <w:pPr>
        <w:tabs>
          <w:tab w:val="left" w:pos="518"/>
        </w:tabs>
        <w:adjustRightInd w:val="0"/>
        <w:snapToGrid w:val="0"/>
        <w:spacing w:line="360" w:lineRule="auto"/>
        <w:ind w:firstLine="420" w:firstLineChars="200"/>
        <w:rPr>
          <w:color w:val="auto"/>
          <w:szCs w:val="21"/>
          <w:highlight w:val="none"/>
        </w:rPr>
      </w:pPr>
      <w:r>
        <w:rPr>
          <w:color w:val="auto"/>
          <w:szCs w:val="21"/>
          <w:highlight w:val="none"/>
        </w:rPr>
        <w:t>2.4在政府采购活动中，供应商提供的货物、工程或者服务符合下列情形的，可享受小型、微型企业（以下简称小微企业）的价格扣除：</w:t>
      </w:r>
    </w:p>
    <w:p w14:paraId="554748C5">
      <w:pPr>
        <w:tabs>
          <w:tab w:val="left" w:pos="518"/>
        </w:tabs>
        <w:adjustRightInd w:val="0"/>
        <w:snapToGrid w:val="0"/>
        <w:spacing w:line="360" w:lineRule="auto"/>
        <w:ind w:firstLine="420" w:firstLineChars="200"/>
        <w:rPr>
          <w:color w:val="auto"/>
          <w:szCs w:val="21"/>
          <w:highlight w:val="none"/>
        </w:rPr>
      </w:pPr>
      <w:r>
        <w:rPr>
          <w:color w:val="auto"/>
          <w:szCs w:val="21"/>
          <w:highlight w:val="none"/>
        </w:rPr>
        <w:t>（1）在货物采购项目中，货物由小微企业制造，即货物由小微企业生产且使用该小微企业商号或者注册商标；</w:t>
      </w:r>
    </w:p>
    <w:p w14:paraId="13FAF8D0">
      <w:pPr>
        <w:tabs>
          <w:tab w:val="left" w:pos="518"/>
        </w:tabs>
        <w:adjustRightInd w:val="0"/>
        <w:snapToGrid w:val="0"/>
        <w:spacing w:line="360" w:lineRule="auto"/>
        <w:ind w:firstLine="420" w:firstLineChars="200"/>
        <w:rPr>
          <w:color w:val="auto"/>
          <w:szCs w:val="21"/>
          <w:highlight w:val="none"/>
        </w:rPr>
      </w:pPr>
      <w:r>
        <w:rPr>
          <w:color w:val="auto"/>
          <w:szCs w:val="21"/>
          <w:highlight w:val="none"/>
        </w:rPr>
        <w:t>（2）在工程采购项目中，工程由小微企业承建，即工程施工单位为小微企业；</w:t>
      </w:r>
    </w:p>
    <w:p w14:paraId="1F474D8E">
      <w:pPr>
        <w:tabs>
          <w:tab w:val="left" w:pos="518"/>
        </w:tabs>
        <w:adjustRightInd w:val="0"/>
        <w:snapToGrid w:val="0"/>
        <w:spacing w:line="360" w:lineRule="auto"/>
        <w:ind w:firstLine="420" w:firstLineChars="200"/>
        <w:rPr>
          <w:color w:val="auto"/>
          <w:szCs w:val="21"/>
          <w:highlight w:val="none"/>
        </w:rPr>
      </w:pPr>
      <w:r>
        <w:rPr>
          <w:color w:val="auto"/>
          <w:szCs w:val="21"/>
          <w:highlight w:val="none"/>
        </w:rPr>
        <w:t>（3）在服务采购项目中，服务由小微企业承接，即提供服务的人员为小微企业依照《中华人民共和国劳动合同法》订立劳动合同的从业人员。</w:t>
      </w:r>
    </w:p>
    <w:p w14:paraId="11E5EE82">
      <w:pPr>
        <w:tabs>
          <w:tab w:val="left" w:pos="518"/>
        </w:tabs>
        <w:adjustRightInd w:val="0"/>
        <w:snapToGrid w:val="0"/>
        <w:spacing w:line="360" w:lineRule="auto"/>
        <w:ind w:firstLine="420" w:firstLineChars="200"/>
        <w:rPr>
          <w:color w:val="auto"/>
          <w:szCs w:val="21"/>
          <w:highlight w:val="none"/>
        </w:rPr>
      </w:pPr>
      <w:r>
        <w:rPr>
          <w:color w:val="auto"/>
          <w:szCs w:val="21"/>
          <w:highlight w:val="none"/>
        </w:rPr>
        <w:t>以联合体形式参加政府采购活动，联合体各方均为小微企业的，联合体视同小微企业。</w:t>
      </w:r>
    </w:p>
    <w:p w14:paraId="22B30307">
      <w:pPr>
        <w:tabs>
          <w:tab w:val="left" w:pos="518"/>
        </w:tabs>
        <w:adjustRightInd w:val="0"/>
        <w:snapToGrid w:val="0"/>
        <w:spacing w:line="360" w:lineRule="auto"/>
        <w:ind w:firstLine="420" w:firstLineChars="200"/>
        <w:rPr>
          <w:color w:val="auto"/>
          <w:szCs w:val="21"/>
          <w:highlight w:val="none"/>
        </w:rPr>
      </w:pPr>
      <w:r>
        <w:rPr>
          <w:color w:val="auto"/>
          <w:szCs w:val="21"/>
          <w:highlight w:val="none"/>
        </w:rPr>
        <w:t>2.5在货物采购项目中，供应商提供的货物既有中小企业制造货物，也有大型企业制造货物的，不享受的小微企业价格扣除。</w:t>
      </w:r>
    </w:p>
    <w:p w14:paraId="546DF90B">
      <w:pPr>
        <w:tabs>
          <w:tab w:val="left" w:pos="518"/>
        </w:tabs>
        <w:adjustRightInd w:val="0"/>
        <w:snapToGrid w:val="0"/>
        <w:spacing w:line="360" w:lineRule="auto"/>
        <w:ind w:firstLine="420" w:firstLineChars="200"/>
        <w:rPr>
          <w:color w:val="auto"/>
          <w:szCs w:val="21"/>
          <w:highlight w:val="none"/>
        </w:rPr>
      </w:pPr>
      <w:r>
        <w:rPr>
          <w:color w:val="auto"/>
          <w:szCs w:val="21"/>
          <w:highlight w:val="none"/>
        </w:rPr>
        <w:t>2.6对于非专门面向中小企业采购的采购项目，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4％（工程项目为 2%）的价格扣除，用扣除后的价格参与评审。组成联合体或者接受分包的小微企业与联合体内其他企业、分包企业之间存在直接控股、管理关系的，不享受价格扣除优惠政策。</w:t>
      </w:r>
    </w:p>
    <w:p w14:paraId="796FA8E3">
      <w:pPr>
        <w:tabs>
          <w:tab w:val="left" w:pos="518"/>
        </w:tabs>
        <w:adjustRightInd w:val="0"/>
        <w:snapToGrid w:val="0"/>
        <w:spacing w:line="360" w:lineRule="auto"/>
        <w:ind w:firstLine="420" w:firstLineChars="200"/>
        <w:rPr>
          <w:color w:val="auto"/>
          <w:szCs w:val="21"/>
          <w:highlight w:val="none"/>
        </w:rPr>
      </w:pPr>
      <w:r>
        <w:rPr>
          <w:color w:val="auto"/>
          <w:szCs w:val="21"/>
          <w:highlight w:val="none"/>
        </w:rPr>
        <w:t xml:space="preserve">2.7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 </w:t>
      </w:r>
    </w:p>
    <w:p w14:paraId="59616377">
      <w:pPr>
        <w:tabs>
          <w:tab w:val="left" w:pos="518"/>
        </w:tabs>
        <w:adjustRightInd w:val="0"/>
        <w:snapToGrid w:val="0"/>
        <w:spacing w:line="360" w:lineRule="auto"/>
        <w:ind w:firstLine="420" w:firstLineChars="200"/>
        <w:rPr>
          <w:color w:val="auto"/>
          <w:szCs w:val="21"/>
          <w:highlight w:val="none"/>
        </w:rPr>
      </w:pPr>
      <w:r>
        <w:rPr>
          <w:color w:val="auto"/>
          <w:szCs w:val="21"/>
          <w:highlight w:val="none"/>
        </w:rPr>
        <w:t>供应商提供声明函内容不实的，属于提供虚假材料谋取中标、成交，依照《中华人民共和国政府采购法》等国家有关规定追究相应责任。</w:t>
      </w:r>
    </w:p>
    <w:p w14:paraId="4ED70C19">
      <w:pPr>
        <w:tabs>
          <w:tab w:val="left" w:pos="518"/>
        </w:tabs>
        <w:adjustRightInd w:val="0"/>
        <w:snapToGrid w:val="0"/>
        <w:spacing w:line="360" w:lineRule="auto"/>
        <w:ind w:firstLine="420" w:firstLineChars="200"/>
        <w:rPr>
          <w:color w:val="auto"/>
          <w:szCs w:val="21"/>
          <w:highlight w:val="none"/>
        </w:rPr>
      </w:pPr>
      <w:r>
        <w:rPr>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2812947B">
      <w:pPr>
        <w:tabs>
          <w:tab w:val="left" w:pos="518"/>
        </w:tabs>
        <w:adjustRightInd w:val="0"/>
        <w:snapToGrid w:val="0"/>
        <w:spacing w:line="360" w:lineRule="auto"/>
        <w:ind w:firstLine="420" w:firstLineChars="200"/>
        <w:rPr>
          <w:color w:val="auto"/>
          <w:szCs w:val="21"/>
          <w:highlight w:val="none"/>
        </w:rPr>
      </w:pPr>
      <w:r>
        <w:rPr>
          <w:color w:val="auto"/>
          <w:szCs w:val="21"/>
          <w:highlight w:val="none"/>
        </w:rPr>
        <w:t>2.8按规定享受扶持政策获得政府采购合同的，小微企业不得将合同分包给大中型企业，中型企业不得将合同分包给大型企业。</w:t>
      </w:r>
    </w:p>
    <w:p w14:paraId="7A31FA6D">
      <w:pPr>
        <w:tabs>
          <w:tab w:val="left" w:pos="518"/>
        </w:tabs>
        <w:adjustRightInd w:val="0"/>
        <w:snapToGrid w:val="0"/>
        <w:spacing w:line="360" w:lineRule="auto"/>
        <w:ind w:firstLine="420" w:firstLineChars="200"/>
        <w:rPr>
          <w:color w:val="auto"/>
          <w:szCs w:val="21"/>
          <w:highlight w:val="none"/>
        </w:rPr>
      </w:pPr>
      <w:r>
        <w:rPr>
          <w:color w:val="auto"/>
          <w:szCs w:val="21"/>
          <w:highlight w:val="none"/>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7ECC518">
      <w:pPr>
        <w:tabs>
          <w:tab w:val="left" w:pos="518"/>
        </w:tabs>
        <w:adjustRightInd w:val="0"/>
        <w:snapToGrid w:val="0"/>
        <w:spacing w:line="360" w:lineRule="auto"/>
        <w:ind w:firstLine="420" w:firstLineChars="200"/>
        <w:rPr>
          <w:color w:val="auto"/>
          <w:szCs w:val="21"/>
          <w:highlight w:val="none"/>
        </w:rPr>
      </w:pPr>
      <w:r>
        <w:rPr>
          <w:color w:val="auto"/>
          <w:szCs w:val="21"/>
          <w:highlight w:val="none"/>
        </w:rPr>
        <w:t>4. 根据《关于促进残疾人就业政府采购政策的通知》（财库[2017]141号）规定，在政府采购活动中，残疾人福利性单位视同小型、微型企业。残疾人福利性单位参加政府采购活动时，提供《残疾人福利性单位声明函》。</w:t>
      </w:r>
    </w:p>
    <w:p w14:paraId="1588D268">
      <w:pPr>
        <w:widowControl/>
        <w:spacing w:line="360" w:lineRule="auto"/>
        <w:ind w:firstLine="420" w:firstLineChars="200"/>
        <w:jc w:val="left"/>
        <w:rPr>
          <w:bCs/>
          <w:color w:val="auto"/>
          <w:szCs w:val="21"/>
          <w:highlight w:val="none"/>
        </w:rPr>
      </w:pPr>
      <w:r>
        <w:rPr>
          <w:bCs/>
          <w:color w:val="auto"/>
          <w:szCs w:val="21"/>
          <w:highlight w:val="none"/>
        </w:rPr>
        <w:t>*5</w:t>
      </w:r>
      <w:r>
        <w:rPr>
          <w:color w:val="auto"/>
          <w:szCs w:val="21"/>
          <w:highlight w:val="none"/>
        </w:rPr>
        <w:t xml:space="preserve">. </w:t>
      </w:r>
      <w:r>
        <w:rPr>
          <w:bCs/>
          <w:color w:val="auto"/>
          <w:szCs w:val="21"/>
          <w:highlight w:val="none"/>
        </w:rPr>
        <w:t>投标人应仔细阅读采购文件的所有内容，按照采购文件的要求提交投标文件，并对所提供的全部资料的真实性承担法律责任。</w:t>
      </w:r>
    </w:p>
    <w:p w14:paraId="7742E60E">
      <w:pPr>
        <w:spacing w:line="360" w:lineRule="auto"/>
        <w:ind w:firstLine="315" w:firstLineChars="150"/>
        <w:rPr>
          <w:color w:val="auto"/>
          <w:szCs w:val="21"/>
          <w:highlight w:val="none"/>
        </w:rPr>
      </w:pPr>
      <w:r>
        <w:rPr>
          <w:bCs/>
          <w:color w:val="auto"/>
          <w:szCs w:val="21"/>
          <w:highlight w:val="none"/>
        </w:rPr>
        <w:t>*6. 投标人在投标活动中提供任何虚假材料，其投标无效。</w:t>
      </w:r>
      <w:r>
        <w:rPr>
          <w:color w:val="auto"/>
          <w:szCs w:val="21"/>
          <w:highlight w:val="none"/>
        </w:rPr>
        <w:br w:type="page"/>
      </w:r>
    </w:p>
    <w:p w14:paraId="4A9245FE">
      <w:pPr>
        <w:pStyle w:val="4"/>
        <w:spacing w:before="0" w:after="0" w:line="360" w:lineRule="auto"/>
        <w:jc w:val="center"/>
        <w:rPr>
          <w:b w:val="0"/>
          <w:bCs w:val="0"/>
          <w:color w:val="auto"/>
          <w:sz w:val="28"/>
          <w:szCs w:val="28"/>
          <w:highlight w:val="none"/>
        </w:rPr>
      </w:pPr>
      <w:bookmarkStart w:id="181" w:name="_Toc17707952"/>
      <w:bookmarkStart w:id="182" w:name="_Toc100932147"/>
      <w:r>
        <w:rPr>
          <w:color w:val="auto"/>
          <w:sz w:val="30"/>
          <w:highlight w:val="none"/>
        </w:rPr>
        <w:t xml:space="preserve">第四章  </w:t>
      </w:r>
      <w:bookmarkStart w:id="183" w:name="_Hlk22492252"/>
      <w:r>
        <w:rPr>
          <w:color w:val="auto"/>
          <w:sz w:val="30"/>
          <w:highlight w:val="none"/>
        </w:rPr>
        <w:t>评标办法及评分标准</w:t>
      </w:r>
      <w:bookmarkEnd w:id="181"/>
      <w:bookmarkEnd w:id="182"/>
      <w:bookmarkEnd w:id="183"/>
    </w:p>
    <w:p w14:paraId="09C534A2">
      <w:pPr>
        <w:pStyle w:val="21"/>
        <w:widowControl/>
        <w:snapToGrid/>
        <w:spacing w:line="360" w:lineRule="auto"/>
        <w:ind w:firstLine="0" w:firstLineChars="0"/>
        <w:jc w:val="left"/>
        <w:rPr>
          <w:rFonts w:ascii="Times New Roman" w:hAnsi="Times New Roman"/>
          <w:strike/>
          <w:color w:val="auto"/>
          <w:sz w:val="21"/>
          <w:szCs w:val="21"/>
          <w:highlight w:val="none"/>
        </w:rPr>
      </w:pPr>
      <w:bookmarkStart w:id="184" w:name="_Toc317685600"/>
      <w:r>
        <w:rPr>
          <w:rFonts w:ascii="Times New Roman" w:hAnsi="Times New Roman"/>
          <w:color w:val="auto"/>
          <w:sz w:val="21"/>
          <w:szCs w:val="21"/>
          <w:highlight w:val="none"/>
        </w:rPr>
        <w:t>本办法严格遵照《中华人民共和国政府采购法》、《中华人民共和国政府采购法实施条例》、《政府采购货物和服务招标投标管理办法》，结合项目所在地政府有关政府采购规定和项目的实际情况制定。</w:t>
      </w:r>
    </w:p>
    <w:p w14:paraId="61B60EC1">
      <w:pPr>
        <w:pStyle w:val="21"/>
        <w:widowControl/>
        <w:snapToGrid/>
        <w:spacing w:line="360" w:lineRule="auto"/>
        <w:ind w:firstLine="0" w:firstLineChars="0"/>
        <w:jc w:val="left"/>
        <w:rPr>
          <w:rFonts w:ascii="Times New Roman" w:hAnsi="Times New Roman"/>
          <w:strike/>
          <w:color w:val="auto"/>
          <w:sz w:val="21"/>
          <w:szCs w:val="21"/>
          <w:highlight w:val="none"/>
        </w:rPr>
      </w:pPr>
    </w:p>
    <w:bookmarkEnd w:id="184"/>
    <w:p w14:paraId="069E9BDE">
      <w:pPr>
        <w:pStyle w:val="27"/>
        <w:spacing w:before="120" w:beforeLines="50" w:after="120" w:afterLines="50" w:line="240" w:lineRule="auto"/>
        <w:ind w:firstLine="413" w:firstLineChars="196"/>
        <w:jc w:val="left"/>
        <w:rPr>
          <w:rFonts w:ascii="Times New Roman" w:hAnsi="Times New Roman"/>
          <w:color w:val="auto"/>
          <w:sz w:val="21"/>
          <w:szCs w:val="21"/>
          <w:highlight w:val="none"/>
        </w:rPr>
      </w:pPr>
      <w:bookmarkStart w:id="185" w:name="_Toc495957613"/>
      <w:bookmarkStart w:id="186" w:name="_Toc481567075"/>
      <w:bookmarkStart w:id="187" w:name="_Toc493058315"/>
      <w:bookmarkStart w:id="188" w:name="_Toc17707953"/>
      <w:bookmarkStart w:id="189" w:name="_Toc100932148"/>
      <w:bookmarkStart w:id="190" w:name="_Toc51446753"/>
      <w:r>
        <w:rPr>
          <w:rFonts w:ascii="Times New Roman" w:hAnsi="Times New Roman"/>
          <w:color w:val="auto"/>
          <w:sz w:val="21"/>
          <w:szCs w:val="21"/>
          <w:highlight w:val="none"/>
        </w:rPr>
        <w:t>一、</w:t>
      </w:r>
      <w:bookmarkEnd w:id="185"/>
      <w:bookmarkEnd w:id="186"/>
      <w:bookmarkEnd w:id="187"/>
      <w:r>
        <w:rPr>
          <w:rFonts w:ascii="Times New Roman" w:hAnsi="Times New Roman"/>
          <w:color w:val="auto"/>
          <w:sz w:val="21"/>
          <w:szCs w:val="21"/>
          <w:highlight w:val="none"/>
        </w:rPr>
        <w:t>总则</w:t>
      </w:r>
      <w:bookmarkEnd w:id="188"/>
      <w:bookmarkEnd w:id="189"/>
      <w:bookmarkEnd w:id="190"/>
    </w:p>
    <w:p w14:paraId="6B43CB1B">
      <w:pPr>
        <w:spacing w:line="360" w:lineRule="auto"/>
        <w:ind w:firstLine="420" w:firstLineChars="200"/>
        <w:rPr>
          <w:color w:val="auto"/>
          <w:szCs w:val="21"/>
          <w:highlight w:val="none"/>
        </w:rPr>
      </w:pPr>
      <w:bookmarkStart w:id="191" w:name="_Toc493058316"/>
      <w:bookmarkStart w:id="192" w:name="_Toc495957614"/>
      <w:bookmarkStart w:id="193" w:name="_Toc259108326"/>
      <w:bookmarkStart w:id="194" w:name="_Toc249866769"/>
      <w:r>
        <w:rPr>
          <w:color w:val="auto"/>
          <w:szCs w:val="21"/>
          <w:highlight w:val="none"/>
        </w:rPr>
        <w:t>招标活动遵循公平、公正、科学、择优的原则依法进行，招标活动及当事人接受依法实施的监督。</w:t>
      </w:r>
    </w:p>
    <w:p w14:paraId="399C3D05">
      <w:pPr>
        <w:pStyle w:val="27"/>
        <w:spacing w:before="120" w:beforeLines="50" w:after="120" w:afterLines="50" w:line="240" w:lineRule="auto"/>
        <w:ind w:firstLine="413" w:firstLineChars="196"/>
        <w:jc w:val="left"/>
        <w:rPr>
          <w:rFonts w:ascii="Times New Roman" w:hAnsi="Times New Roman"/>
          <w:color w:val="auto"/>
          <w:sz w:val="21"/>
          <w:szCs w:val="21"/>
          <w:highlight w:val="none"/>
        </w:rPr>
      </w:pPr>
      <w:bookmarkStart w:id="195" w:name="_Toc51446755"/>
      <w:bookmarkStart w:id="196" w:name="_Toc100932149"/>
      <w:bookmarkStart w:id="197" w:name="_Toc17707954"/>
      <w:r>
        <w:rPr>
          <w:rFonts w:ascii="Times New Roman" w:hAnsi="Times New Roman"/>
          <w:color w:val="auto"/>
          <w:sz w:val="21"/>
          <w:szCs w:val="21"/>
          <w:highlight w:val="none"/>
        </w:rPr>
        <w:t>二、评标委员会</w:t>
      </w:r>
      <w:bookmarkEnd w:id="191"/>
      <w:bookmarkEnd w:id="192"/>
      <w:bookmarkEnd w:id="195"/>
      <w:bookmarkEnd w:id="196"/>
      <w:bookmarkEnd w:id="197"/>
    </w:p>
    <w:p w14:paraId="59ADB3B7">
      <w:pPr>
        <w:spacing w:line="360" w:lineRule="auto"/>
        <w:ind w:firstLine="315" w:firstLineChars="150"/>
        <w:rPr>
          <w:i/>
          <w:iCs/>
          <w:color w:val="auto"/>
          <w:szCs w:val="21"/>
          <w:highlight w:val="none"/>
        </w:rPr>
      </w:pPr>
      <w:r>
        <w:rPr>
          <w:color w:val="auto"/>
          <w:szCs w:val="21"/>
          <w:highlight w:val="none"/>
        </w:rPr>
        <w:t>（一）本次招标依法组建评标委员会。评标委员会由招标人代表和评审专家组成或全部由评审专家组成，评审专家从专家库随机抽取。</w:t>
      </w:r>
    </w:p>
    <w:p w14:paraId="7B2D84AE">
      <w:pPr>
        <w:spacing w:line="360" w:lineRule="auto"/>
        <w:ind w:firstLine="315" w:firstLineChars="150"/>
        <w:rPr>
          <w:color w:val="auto"/>
          <w:szCs w:val="21"/>
          <w:highlight w:val="none"/>
        </w:rPr>
      </w:pPr>
      <w:r>
        <w:rPr>
          <w:color w:val="auto"/>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1D684F77">
      <w:pPr>
        <w:spacing w:line="360" w:lineRule="auto"/>
        <w:ind w:firstLine="315" w:firstLineChars="150"/>
        <w:rPr>
          <w:color w:val="auto"/>
          <w:szCs w:val="21"/>
          <w:highlight w:val="none"/>
        </w:rPr>
      </w:pPr>
      <w:r>
        <w:rPr>
          <w:color w:val="auto"/>
          <w:szCs w:val="21"/>
          <w:highlight w:val="none"/>
        </w:rPr>
        <w:t>（三）评审专家有下列情形之一的，受到邀请应主动提出回避，采购当事人也可以要求该评审专家回避：</w:t>
      </w:r>
    </w:p>
    <w:p w14:paraId="00A88082">
      <w:pPr>
        <w:spacing w:line="360" w:lineRule="auto"/>
        <w:ind w:firstLine="420" w:firstLineChars="200"/>
        <w:rPr>
          <w:color w:val="auto"/>
          <w:szCs w:val="21"/>
          <w:highlight w:val="none"/>
        </w:rPr>
      </w:pPr>
      <w:r>
        <w:rPr>
          <w:color w:val="auto"/>
          <w:szCs w:val="21"/>
          <w:highlight w:val="none"/>
        </w:rPr>
        <w:t>1、参加采购活动前三年内，与供应商存在劳动关系，或者担任过供应商的董事、监事，或者是供应商的控股股东或实际控制人；</w:t>
      </w:r>
    </w:p>
    <w:p w14:paraId="0DF57286">
      <w:pPr>
        <w:spacing w:line="360" w:lineRule="auto"/>
        <w:ind w:firstLine="420" w:firstLineChars="200"/>
        <w:rPr>
          <w:color w:val="auto"/>
          <w:szCs w:val="21"/>
          <w:highlight w:val="none"/>
        </w:rPr>
      </w:pPr>
      <w:r>
        <w:rPr>
          <w:color w:val="auto"/>
          <w:szCs w:val="21"/>
          <w:highlight w:val="none"/>
        </w:rPr>
        <w:t>2、与供应商的法定代表人或者负责人有夫妻、直系血亲、三代以内旁系血亲或者近姻亲关系；</w:t>
      </w:r>
    </w:p>
    <w:p w14:paraId="034771AD">
      <w:pPr>
        <w:spacing w:line="360" w:lineRule="auto"/>
        <w:ind w:firstLine="420" w:firstLineChars="200"/>
        <w:rPr>
          <w:color w:val="auto"/>
          <w:szCs w:val="21"/>
          <w:highlight w:val="none"/>
        </w:rPr>
      </w:pPr>
      <w:r>
        <w:rPr>
          <w:color w:val="auto"/>
          <w:szCs w:val="21"/>
          <w:highlight w:val="none"/>
        </w:rPr>
        <w:t>3、曾经参加过本项目的进口产品论证工作；</w:t>
      </w:r>
    </w:p>
    <w:p w14:paraId="5EC1B382">
      <w:pPr>
        <w:spacing w:line="360" w:lineRule="auto"/>
        <w:ind w:firstLine="420" w:firstLineChars="200"/>
        <w:rPr>
          <w:color w:val="auto"/>
          <w:szCs w:val="21"/>
          <w:highlight w:val="none"/>
        </w:rPr>
      </w:pPr>
      <w:r>
        <w:rPr>
          <w:color w:val="auto"/>
          <w:szCs w:val="21"/>
          <w:highlight w:val="none"/>
        </w:rPr>
        <w:t>4、与供应商有其他可能影响政府采购活动公平、公正进行的关系。</w:t>
      </w:r>
    </w:p>
    <w:p w14:paraId="12F4A8E2">
      <w:pPr>
        <w:spacing w:line="360" w:lineRule="auto"/>
        <w:ind w:firstLine="315" w:firstLineChars="150"/>
        <w:rPr>
          <w:color w:val="auto"/>
          <w:szCs w:val="21"/>
          <w:highlight w:val="none"/>
        </w:rPr>
      </w:pPr>
      <w:r>
        <w:rPr>
          <w:color w:val="auto"/>
          <w:szCs w:val="21"/>
          <w:highlight w:val="none"/>
        </w:rPr>
        <w:t>（四）评标委员会判断投标文件的有效性、合格性和响应情况，仅依据投标人所递交一切文件的真实表述，不受与本项目无直接关联的外部信息、传言而影响自身的专业判断。</w:t>
      </w:r>
    </w:p>
    <w:p w14:paraId="4C74A422">
      <w:pPr>
        <w:spacing w:line="360" w:lineRule="auto"/>
        <w:ind w:firstLine="315" w:firstLineChars="150"/>
        <w:rPr>
          <w:color w:val="auto"/>
          <w:szCs w:val="21"/>
          <w:highlight w:val="none"/>
        </w:rPr>
      </w:pPr>
      <w:r>
        <w:rPr>
          <w:color w:val="auto"/>
          <w:szCs w:val="21"/>
          <w:highlight w:val="none"/>
        </w:rPr>
        <w:t>（五）评委依法独立评审，并对评审意见承担个人责任。评委对需要共同认定的事项存在争议的，按照少数服从多数的原则做出结论。持不同意见的评委应当在评审报告上签署不同意见并说明理由，否则视为同意。</w:t>
      </w:r>
    </w:p>
    <w:p w14:paraId="28721A97">
      <w:pPr>
        <w:pStyle w:val="27"/>
        <w:spacing w:before="120" w:beforeLines="50" w:after="120" w:afterLines="50" w:line="240" w:lineRule="auto"/>
        <w:ind w:firstLine="413" w:firstLineChars="196"/>
        <w:jc w:val="left"/>
        <w:rPr>
          <w:rFonts w:ascii="Times New Roman" w:hAnsi="Times New Roman"/>
          <w:color w:val="auto"/>
          <w:sz w:val="21"/>
          <w:szCs w:val="21"/>
          <w:highlight w:val="none"/>
        </w:rPr>
      </w:pPr>
      <w:bookmarkStart w:id="198" w:name="_Toc493058317"/>
      <w:bookmarkStart w:id="199" w:name="_Toc495957615"/>
      <w:bookmarkStart w:id="200" w:name="_Toc17707956"/>
      <w:bookmarkStart w:id="201" w:name="_Toc100932150"/>
      <w:bookmarkStart w:id="202" w:name="_Toc481567076"/>
      <w:bookmarkStart w:id="203" w:name="_Toc51446757"/>
      <w:r>
        <w:rPr>
          <w:rFonts w:ascii="Times New Roman" w:hAnsi="Times New Roman"/>
          <w:color w:val="auto"/>
          <w:sz w:val="21"/>
          <w:szCs w:val="21"/>
          <w:highlight w:val="none"/>
        </w:rPr>
        <w:t>三、评标方法</w:t>
      </w:r>
      <w:bookmarkEnd w:id="198"/>
      <w:bookmarkEnd w:id="199"/>
      <w:bookmarkEnd w:id="200"/>
      <w:bookmarkEnd w:id="201"/>
      <w:bookmarkEnd w:id="202"/>
      <w:bookmarkEnd w:id="203"/>
    </w:p>
    <w:p w14:paraId="6B5B826F">
      <w:pPr>
        <w:spacing w:line="360" w:lineRule="auto"/>
        <w:ind w:firstLine="420" w:firstLineChars="200"/>
        <w:rPr>
          <w:color w:val="auto"/>
          <w:szCs w:val="21"/>
          <w:highlight w:val="none"/>
        </w:rPr>
      </w:pPr>
      <w:r>
        <w:rPr>
          <w:color w:val="auto"/>
          <w:szCs w:val="21"/>
          <w:highlight w:val="none"/>
        </w:rPr>
        <w:t>（一）本次招标项目的评标方法为：综合评分法。</w:t>
      </w:r>
    </w:p>
    <w:p w14:paraId="73E72AE6">
      <w:pPr>
        <w:spacing w:line="360" w:lineRule="auto"/>
        <w:ind w:firstLine="420" w:firstLineChars="200"/>
        <w:rPr>
          <w:color w:val="auto"/>
          <w:szCs w:val="21"/>
          <w:highlight w:val="none"/>
        </w:rPr>
      </w:pPr>
      <w:r>
        <w:rPr>
          <w:color w:val="auto"/>
          <w:szCs w:val="21"/>
          <w:highlight w:val="none"/>
        </w:rPr>
        <w:t>（二）评分权重</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2615"/>
      </w:tblGrid>
      <w:tr w14:paraId="4744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14:paraId="2CAAB0C9">
            <w:pPr>
              <w:spacing w:before="120" w:beforeLines="50" w:after="120" w:afterLines="50"/>
              <w:ind w:firstLine="198"/>
              <w:jc w:val="center"/>
              <w:rPr>
                <w:color w:val="auto"/>
                <w:szCs w:val="21"/>
                <w:highlight w:val="none"/>
              </w:rPr>
            </w:pPr>
            <w:r>
              <w:rPr>
                <w:color w:val="auto"/>
                <w:szCs w:val="21"/>
                <w:highlight w:val="none"/>
              </w:rPr>
              <w:t>评分项目</w:t>
            </w:r>
          </w:p>
        </w:tc>
        <w:tc>
          <w:tcPr>
            <w:tcW w:w="3714" w:type="dxa"/>
            <w:vAlign w:val="center"/>
          </w:tcPr>
          <w:p w14:paraId="1B220FD6">
            <w:pPr>
              <w:spacing w:before="120" w:beforeLines="50" w:after="120" w:afterLines="50"/>
              <w:ind w:firstLine="198"/>
              <w:jc w:val="center"/>
              <w:rPr>
                <w:color w:val="auto"/>
                <w:szCs w:val="21"/>
                <w:highlight w:val="none"/>
              </w:rPr>
            </w:pPr>
            <w:r>
              <w:rPr>
                <w:color w:val="auto"/>
                <w:szCs w:val="21"/>
                <w:highlight w:val="none"/>
              </w:rPr>
              <w:t>商务技术分（分）</w:t>
            </w:r>
          </w:p>
        </w:tc>
        <w:tc>
          <w:tcPr>
            <w:tcW w:w="2615" w:type="dxa"/>
            <w:vAlign w:val="center"/>
          </w:tcPr>
          <w:p w14:paraId="32DD8C85">
            <w:pPr>
              <w:spacing w:before="120" w:beforeLines="50" w:after="120" w:afterLines="50"/>
              <w:ind w:firstLine="198"/>
              <w:jc w:val="center"/>
              <w:rPr>
                <w:color w:val="auto"/>
                <w:szCs w:val="21"/>
                <w:highlight w:val="none"/>
              </w:rPr>
            </w:pPr>
            <w:r>
              <w:rPr>
                <w:color w:val="auto"/>
                <w:szCs w:val="21"/>
                <w:highlight w:val="none"/>
              </w:rPr>
              <w:t>价格分（分）</w:t>
            </w:r>
          </w:p>
        </w:tc>
      </w:tr>
      <w:tr w14:paraId="54F8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14:paraId="52F4647A">
            <w:pPr>
              <w:spacing w:before="120" w:beforeLines="50" w:after="120" w:afterLines="50"/>
              <w:ind w:firstLine="198"/>
              <w:jc w:val="center"/>
              <w:rPr>
                <w:color w:val="auto"/>
                <w:szCs w:val="21"/>
                <w:highlight w:val="none"/>
              </w:rPr>
            </w:pPr>
            <w:r>
              <w:rPr>
                <w:color w:val="auto"/>
                <w:szCs w:val="21"/>
                <w:highlight w:val="none"/>
              </w:rPr>
              <w:t>权重</w:t>
            </w:r>
          </w:p>
        </w:tc>
        <w:tc>
          <w:tcPr>
            <w:tcW w:w="3714" w:type="dxa"/>
            <w:vAlign w:val="center"/>
          </w:tcPr>
          <w:p w14:paraId="2EFDB48F">
            <w:pPr>
              <w:spacing w:before="120" w:beforeLines="50" w:after="120" w:afterLines="50"/>
              <w:ind w:firstLine="198"/>
              <w:jc w:val="center"/>
              <w:rPr>
                <w:color w:val="auto"/>
                <w:szCs w:val="21"/>
                <w:highlight w:val="none"/>
              </w:rPr>
            </w:pPr>
            <w:r>
              <w:rPr>
                <w:color w:val="auto"/>
                <w:szCs w:val="21"/>
                <w:highlight w:val="none"/>
              </w:rPr>
              <w:t>70</w:t>
            </w:r>
          </w:p>
        </w:tc>
        <w:tc>
          <w:tcPr>
            <w:tcW w:w="2615" w:type="dxa"/>
            <w:vAlign w:val="center"/>
          </w:tcPr>
          <w:p w14:paraId="5E1AA6E7">
            <w:pPr>
              <w:spacing w:before="120" w:beforeLines="50" w:after="120" w:afterLines="50"/>
              <w:ind w:firstLine="198"/>
              <w:jc w:val="center"/>
              <w:rPr>
                <w:color w:val="auto"/>
                <w:szCs w:val="21"/>
                <w:highlight w:val="none"/>
              </w:rPr>
            </w:pPr>
            <w:r>
              <w:rPr>
                <w:color w:val="auto"/>
                <w:szCs w:val="21"/>
                <w:highlight w:val="none"/>
              </w:rPr>
              <w:t>30</w:t>
            </w:r>
          </w:p>
        </w:tc>
      </w:tr>
    </w:tbl>
    <w:p w14:paraId="4A116C56">
      <w:pPr>
        <w:spacing w:line="360" w:lineRule="auto"/>
        <w:ind w:firstLine="420" w:firstLineChars="200"/>
        <w:rPr>
          <w:color w:val="auto"/>
          <w:szCs w:val="21"/>
          <w:highlight w:val="none"/>
        </w:rPr>
      </w:pPr>
      <w:r>
        <w:rPr>
          <w:color w:val="auto"/>
          <w:szCs w:val="21"/>
          <w:highlight w:val="none"/>
        </w:rPr>
        <w:t>1、价格分采用低价优先法计算，即满足招标文件要求且参与评审价格最低为评标基准价，其价格分为满分。其他投标人的价格分按照下列公式计算：</w:t>
      </w:r>
    </w:p>
    <w:p w14:paraId="22971FEE">
      <w:pPr>
        <w:spacing w:line="360" w:lineRule="auto"/>
        <w:ind w:firstLine="420" w:firstLineChars="200"/>
        <w:rPr>
          <w:color w:val="auto"/>
          <w:szCs w:val="21"/>
          <w:highlight w:val="none"/>
        </w:rPr>
      </w:pPr>
      <w:r>
        <w:rPr>
          <w:color w:val="auto"/>
          <w:szCs w:val="21"/>
          <w:highlight w:val="none"/>
        </w:rPr>
        <w:t>参与评审价格=各投标人的投标价格-小微企业价格扣除优惠值10%（如有）</w:t>
      </w:r>
      <w:r>
        <w:rPr>
          <w:bCs/>
          <w:color w:val="auto"/>
          <w:szCs w:val="21"/>
          <w:highlight w:val="none"/>
        </w:rPr>
        <w:t>。</w:t>
      </w:r>
    </w:p>
    <w:p w14:paraId="17D22AA7">
      <w:pPr>
        <w:spacing w:line="360" w:lineRule="auto"/>
        <w:ind w:firstLine="420" w:firstLineChars="200"/>
        <w:rPr>
          <w:color w:val="auto"/>
          <w:szCs w:val="21"/>
          <w:highlight w:val="none"/>
        </w:rPr>
      </w:pPr>
      <w:r>
        <w:rPr>
          <w:color w:val="auto"/>
          <w:szCs w:val="21"/>
          <w:highlight w:val="none"/>
        </w:rPr>
        <w:t>价格分=（评标基准价/参与评审的价格）×价格权值×100</w:t>
      </w:r>
    </w:p>
    <w:p w14:paraId="5C71BD36">
      <w:pPr>
        <w:spacing w:line="360" w:lineRule="auto"/>
        <w:ind w:firstLine="420" w:firstLineChars="200"/>
        <w:rPr>
          <w:color w:val="auto"/>
          <w:szCs w:val="21"/>
          <w:highlight w:val="none"/>
        </w:rPr>
      </w:pPr>
      <w:r>
        <w:rPr>
          <w:color w:val="auto"/>
          <w:szCs w:val="21"/>
          <w:highlight w:val="none"/>
        </w:rPr>
        <w:t>2、合格投标人评标综合得分=价格分+商务技术分。</w:t>
      </w:r>
    </w:p>
    <w:p w14:paraId="7C15993E">
      <w:pPr>
        <w:spacing w:line="360" w:lineRule="auto"/>
        <w:ind w:firstLine="420" w:firstLineChars="200"/>
        <w:rPr>
          <w:color w:val="auto"/>
          <w:szCs w:val="21"/>
          <w:highlight w:val="none"/>
        </w:rPr>
      </w:pPr>
      <w:r>
        <w:rPr>
          <w:color w:val="auto"/>
          <w:szCs w:val="21"/>
          <w:highlight w:val="none"/>
        </w:rPr>
        <w:t>3、报价要求：本次招标设有预算价(或最高限价)，投标人报价超出预算价(或最高限价)的投标文件作无效处理。</w:t>
      </w:r>
    </w:p>
    <w:p w14:paraId="55680820">
      <w:pPr>
        <w:spacing w:line="360" w:lineRule="auto"/>
        <w:ind w:firstLine="420" w:firstLineChars="200"/>
        <w:rPr>
          <w:color w:val="auto"/>
          <w:kern w:val="0"/>
          <w:szCs w:val="21"/>
          <w:highlight w:val="none"/>
        </w:rPr>
      </w:pPr>
      <w:r>
        <w:rPr>
          <w:color w:val="auto"/>
          <w:szCs w:val="21"/>
          <w:highlight w:val="none"/>
        </w:rPr>
        <w:t>4、</w:t>
      </w:r>
      <w:r>
        <w:rPr>
          <w:color w:val="auto"/>
          <w:kern w:val="0"/>
          <w:szCs w:val="21"/>
          <w:highlight w:val="none"/>
        </w:rPr>
        <w:t>采用综合评分法的，评标结果按评审后得分由高到低顺序排列。得分相同的，按投标报价由低到高顺序排列。得分且投标报价相同的由投标人抽签决定。投标文件满足招标文件全部实质性要求，且按照评审因素的量化指标评审得分最高的投标人为排名第一的中标候选人。</w:t>
      </w:r>
    </w:p>
    <w:p w14:paraId="0800FCC4">
      <w:pPr>
        <w:spacing w:line="360" w:lineRule="auto"/>
        <w:ind w:firstLine="315" w:firstLineChars="150"/>
        <w:rPr>
          <w:color w:val="auto"/>
          <w:szCs w:val="21"/>
          <w:highlight w:val="none"/>
        </w:rPr>
      </w:pPr>
      <w:r>
        <w:rPr>
          <w:color w:val="auto"/>
          <w:szCs w:val="21"/>
          <w:highlight w:val="none"/>
        </w:rPr>
        <w:t>（三）</w:t>
      </w:r>
      <w:bookmarkStart w:id="204" w:name="_Toc481567079"/>
      <w:r>
        <w:rPr>
          <w:color w:val="auto"/>
          <w:szCs w:val="21"/>
          <w:highlight w:val="none"/>
        </w:rPr>
        <w:t>投标文件的澄清</w:t>
      </w:r>
      <w:bookmarkEnd w:id="204"/>
    </w:p>
    <w:p w14:paraId="533D8FD4">
      <w:pPr>
        <w:widowControl/>
        <w:spacing w:line="360" w:lineRule="auto"/>
        <w:ind w:firstLine="420" w:firstLineChars="200"/>
        <w:jc w:val="left"/>
        <w:rPr>
          <w:color w:val="auto"/>
          <w:kern w:val="0"/>
          <w:szCs w:val="21"/>
          <w:highlight w:val="none"/>
        </w:rPr>
      </w:pPr>
      <w:r>
        <w:rPr>
          <w:color w:val="auto"/>
          <w:szCs w:val="21"/>
          <w:highlight w:val="none"/>
        </w:rPr>
        <w:t>1、</w:t>
      </w:r>
      <w:r>
        <w:rPr>
          <w:color w:val="auto"/>
          <w:kern w:val="0"/>
          <w:szCs w:val="21"/>
          <w:highlight w:val="none"/>
        </w:rPr>
        <w:t>对于投标文件中含义不明确、同类问题表述不一致或者有明显文字和计算错误的内容，评标委员会应当以书面形式要求投标人作出必要的澄清、说明或者补正。</w:t>
      </w:r>
    </w:p>
    <w:p w14:paraId="7D7A2AEC">
      <w:pPr>
        <w:spacing w:line="360" w:lineRule="auto"/>
        <w:ind w:firstLine="420" w:firstLineChars="200"/>
        <w:rPr>
          <w:color w:val="auto"/>
          <w:kern w:val="0"/>
          <w:szCs w:val="21"/>
          <w:highlight w:val="none"/>
        </w:rPr>
      </w:pPr>
      <w:r>
        <w:rPr>
          <w:color w:val="auto"/>
          <w:szCs w:val="21"/>
          <w:highlight w:val="none"/>
        </w:rPr>
        <w:t>2、</w:t>
      </w:r>
      <w:r>
        <w:rPr>
          <w:color w:val="auto"/>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552D28D8">
      <w:pPr>
        <w:spacing w:line="360" w:lineRule="auto"/>
        <w:ind w:firstLine="420" w:firstLineChars="200"/>
        <w:rPr>
          <w:color w:val="auto"/>
          <w:szCs w:val="21"/>
          <w:highlight w:val="none"/>
        </w:rPr>
      </w:pPr>
      <w:r>
        <w:rPr>
          <w:color w:val="auto"/>
          <w:szCs w:val="21"/>
          <w:highlight w:val="none"/>
        </w:rPr>
        <w:t>（四）投标文件错误修正原则</w:t>
      </w:r>
    </w:p>
    <w:p w14:paraId="6BD16D7E">
      <w:pPr>
        <w:pStyle w:val="125"/>
        <w:widowControl/>
        <w:spacing w:beforeLines="0" w:afterLines="0" w:line="360" w:lineRule="auto"/>
        <w:ind w:left="689" w:leftChars="228" w:hanging="210" w:hangingChars="100"/>
        <w:jc w:val="left"/>
        <w:rPr>
          <w:rFonts w:ascii="Times New Roman" w:hAnsi="Times New Roman"/>
          <w:color w:val="auto"/>
          <w:sz w:val="21"/>
          <w:szCs w:val="21"/>
          <w:highlight w:val="none"/>
        </w:rPr>
      </w:pPr>
      <w:r>
        <w:rPr>
          <w:rFonts w:ascii="Times New Roman" w:hAnsi="Times New Roman"/>
          <w:color w:val="auto"/>
          <w:sz w:val="21"/>
          <w:szCs w:val="21"/>
          <w:highlight w:val="none"/>
        </w:rPr>
        <w:t>投标文件报价出现前后不一致的，除招标文件另有规定外，按照下列规定修正：</w:t>
      </w:r>
    </w:p>
    <w:p w14:paraId="0693C116">
      <w:pPr>
        <w:widowControl/>
        <w:numPr>
          <w:ilvl w:val="0"/>
          <w:numId w:val="14"/>
        </w:numPr>
        <w:spacing w:line="360" w:lineRule="auto"/>
        <w:ind w:firstLine="420" w:firstLineChars="200"/>
        <w:jc w:val="left"/>
        <w:rPr>
          <w:color w:val="auto"/>
          <w:szCs w:val="21"/>
          <w:highlight w:val="none"/>
        </w:rPr>
      </w:pPr>
      <w:r>
        <w:rPr>
          <w:color w:val="auto"/>
          <w:szCs w:val="21"/>
          <w:highlight w:val="none"/>
        </w:rPr>
        <w:t>投标文件中开标一览表（报价表）内容与投标文件中相应内容不一致的，以开标一览表（报价表）为准；</w:t>
      </w:r>
    </w:p>
    <w:p w14:paraId="06892BB4">
      <w:pPr>
        <w:widowControl/>
        <w:numPr>
          <w:ilvl w:val="0"/>
          <w:numId w:val="14"/>
        </w:numPr>
        <w:spacing w:line="360" w:lineRule="auto"/>
        <w:ind w:firstLine="420" w:firstLineChars="200"/>
        <w:jc w:val="left"/>
        <w:rPr>
          <w:color w:val="auto"/>
          <w:szCs w:val="21"/>
          <w:highlight w:val="none"/>
        </w:rPr>
      </w:pPr>
      <w:r>
        <w:rPr>
          <w:color w:val="auto"/>
          <w:szCs w:val="21"/>
          <w:highlight w:val="none"/>
        </w:rPr>
        <w:t>大写金额和小写金额不一致的，以大写金额为准；</w:t>
      </w:r>
    </w:p>
    <w:p w14:paraId="2322861B">
      <w:pPr>
        <w:widowControl/>
        <w:numPr>
          <w:ilvl w:val="0"/>
          <w:numId w:val="14"/>
        </w:numPr>
        <w:spacing w:line="360" w:lineRule="auto"/>
        <w:ind w:firstLine="420" w:firstLineChars="200"/>
        <w:jc w:val="left"/>
        <w:rPr>
          <w:color w:val="auto"/>
          <w:szCs w:val="21"/>
          <w:highlight w:val="none"/>
        </w:rPr>
      </w:pPr>
      <w:r>
        <w:rPr>
          <w:color w:val="auto"/>
          <w:szCs w:val="21"/>
          <w:highlight w:val="none"/>
        </w:rPr>
        <w:t>单价金额小数点或者百分比有明显错位的，以开标一览表的总价为准，并修改单价；</w:t>
      </w:r>
    </w:p>
    <w:p w14:paraId="752202E7">
      <w:pPr>
        <w:widowControl/>
        <w:numPr>
          <w:ilvl w:val="0"/>
          <w:numId w:val="14"/>
        </w:numPr>
        <w:spacing w:line="360" w:lineRule="auto"/>
        <w:ind w:firstLine="420" w:firstLineChars="200"/>
        <w:jc w:val="left"/>
        <w:rPr>
          <w:color w:val="auto"/>
          <w:szCs w:val="21"/>
          <w:highlight w:val="none"/>
        </w:rPr>
      </w:pPr>
      <w:r>
        <w:rPr>
          <w:color w:val="auto"/>
          <w:szCs w:val="21"/>
          <w:highlight w:val="none"/>
        </w:rPr>
        <w:t>总价金额与按单价汇总金额不一致的，以单价金额计算结果为准；</w:t>
      </w:r>
    </w:p>
    <w:p w14:paraId="2D76BBC4">
      <w:pPr>
        <w:widowControl/>
        <w:numPr>
          <w:ilvl w:val="0"/>
          <w:numId w:val="14"/>
        </w:numPr>
        <w:spacing w:line="360" w:lineRule="auto"/>
        <w:ind w:firstLine="420" w:firstLineChars="200"/>
        <w:jc w:val="left"/>
        <w:rPr>
          <w:color w:val="auto"/>
          <w:szCs w:val="21"/>
          <w:highlight w:val="none"/>
        </w:rPr>
      </w:pPr>
      <w:r>
        <w:rPr>
          <w:color w:val="auto"/>
          <w:szCs w:val="21"/>
          <w:highlight w:val="none"/>
        </w:rPr>
        <w:t>政采云平台填报的开标一览表中的价格与上传的报价文件中开标一览表的报价不一致的，以上传的报价文件为准。</w:t>
      </w:r>
    </w:p>
    <w:p w14:paraId="5E7E6E54">
      <w:pPr>
        <w:pStyle w:val="125"/>
        <w:widowControl/>
        <w:spacing w:beforeLines="0" w:afterLines="0" w:line="360" w:lineRule="auto"/>
        <w:ind w:firstLine="422" w:firstLineChars="200"/>
        <w:jc w:val="left"/>
        <w:rPr>
          <w:rFonts w:ascii="Times New Roman" w:hAnsi="Times New Roman"/>
          <w:color w:val="auto"/>
          <w:sz w:val="21"/>
          <w:szCs w:val="21"/>
          <w:highlight w:val="none"/>
        </w:rPr>
      </w:pPr>
      <w:r>
        <w:rPr>
          <w:rFonts w:ascii="Times New Roman" w:hAnsi="Times New Roman"/>
          <w:b/>
          <w:bCs/>
          <w:color w:val="auto"/>
          <w:sz w:val="21"/>
          <w:szCs w:val="21"/>
          <w:highlight w:val="none"/>
        </w:rPr>
        <w:t>同时出现两种以上不一致的，按照前款规定的顺序修正。修正后的报价经投标人确认后具有约束力，若投标人不确认的，则其投标无效。</w:t>
      </w:r>
    </w:p>
    <w:p w14:paraId="131F9D15">
      <w:pPr>
        <w:pStyle w:val="27"/>
        <w:spacing w:before="120" w:beforeLines="50" w:after="120" w:afterLines="50" w:line="240" w:lineRule="auto"/>
        <w:ind w:firstLine="413" w:firstLineChars="196"/>
        <w:jc w:val="left"/>
        <w:rPr>
          <w:rFonts w:ascii="Times New Roman" w:hAnsi="Times New Roman"/>
          <w:color w:val="auto"/>
          <w:sz w:val="21"/>
          <w:szCs w:val="21"/>
          <w:highlight w:val="none"/>
        </w:rPr>
      </w:pPr>
      <w:bookmarkStart w:id="205" w:name="_Toc481567077"/>
      <w:bookmarkStart w:id="206" w:name="_Toc495957616"/>
      <w:bookmarkStart w:id="207" w:name="_Toc493058318"/>
      <w:bookmarkStart w:id="208" w:name="_Toc51446758"/>
      <w:bookmarkStart w:id="209" w:name="_Toc17707957"/>
      <w:bookmarkStart w:id="210" w:name="_Toc100932151"/>
      <w:r>
        <w:rPr>
          <w:rFonts w:ascii="Times New Roman" w:hAnsi="Times New Roman"/>
          <w:color w:val="auto"/>
          <w:sz w:val="21"/>
          <w:szCs w:val="21"/>
          <w:highlight w:val="none"/>
        </w:rPr>
        <w:t>四、评标</w:t>
      </w:r>
      <w:bookmarkEnd w:id="193"/>
      <w:bookmarkEnd w:id="194"/>
      <w:bookmarkEnd w:id="205"/>
      <w:bookmarkEnd w:id="206"/>
      <w:bookmarkEnd w:id="207"/>
      <w:r>
        <w:rPr>
          <w:rFonts w:ascii="Times New Roman" w:hAnsi="Times New Roman"/>
          <w:color w:val="auto"/>
          <w:sz w:val="21"/>
          <w:szCs w:val="21"/>
          <w:highlight w:val="none"/>
        </w:rPr>
        <w:t>过程</w:t>
      </w:r>
      <w:bookmarkEnd w:id="208"/>
      <w:bookmarkEnd w:id="209"/>
      <w:bookmarkEnd w:id="210"/>
    </w:p>
    <w:p w14:paraId="76BFB8DC">
      <w:pPr>
        <w:pStyle w:val="21"/>
        <w:spacing w:line="360" w:lineRule="auto"/>
        <w:ind w:firstLine="420"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1.资格审查</w:t>
      </w:r>
    </w:p>
    <w:p w14:paraId="3C9E0170">
      <w:pPr>
        <w:pStyle w:val="21"/>
        <w:spacing w:line="360" w:lineRule="auto"/>
        <w:ind w:firstLine="420"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采购代理机构对投标人的资格进行审查。依据法律法规和招标文件的规定，对投标文件中的资格证明进行审查，以确定投标人是否具备投标资格。</w:t>
      </w:r>
    </w:p>
    <w:p w14:paraId="5AB180A6">
      <w:pPr>
        <w:pStyle w:val="21"/>
        <w:spacing w:line="360" w:lineRule="auto"/>
        <w:ind w:firstLine="420"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2.符合性审查</w:t>
      </w:r>
    </w:p>
    <w:p w14:paraId="27E2EF2C">
      <w:pPr>
        <w:spacing w:line="360" w:lineRule="auto"/>
        <w:ind w:firstLine="420" w:firstLineChars="200"/>
        <w:rPr>
          <w:color w:val="auto"/>
          <w:szCs w:val="21"/>
          <w:highlight w:val="none"/>
        </w:rPr>
      </w:pPr>
      <w:r>
        <w:rPr>
          <w:color w:val="auto"/>
          <w:szCs w:val="21"/>
          <w:highlight w:val="none"/>
        </w:rPr>
        <w:t>依据招标文件的规定，从投标人投标文件的有效性、完整性和对招标文件的响应程度进行审查，以确定是否对招标文件的实质性要求作出响应。</w:t>
      </w:r>
    </w:p>
    <w:p w14:paraId="071BC7ED">
      <w:pPr>
        <w:pStyle w:val="21"/>
        <w:spacing w:line="360" w:lineRule="auto"/>
        <w:ind w:left="473" w:firstLine="0" w:firstLineChars="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3.澄清问题</w:t>
      </w:r>
    </w:p>
    <w:p w14:paraId="5F594658">
      <w:pPr>
        <w:pStyle w:val="21"/>
        <w:spacing w:line="360" w:lineRule="auto"/>
        <w:ind w:firstLine="0" w:firstLineChars="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对于投标文件中含义不明确、同类问题表述不一致或者有明显文字和计算错误的内容，评标委员会可要求投标人以书面形式作出必要的澄清、说明或者补正。</w:t>
      </w:r>
    </w:p>
    <w:p w14:paraId="32AC4C67">
      <w:pPr>
        <w:pStyle w:val="21"/>
        <w:spacing w:line="360" w:lineRule="auto"/>
        <w:ind w:firstLine="0" w:firstLineChars="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14:paraId="5D9809C1">
      <w:pPr>
        <w:pStyle w:val="21"/>
        <w:spacing w:line="360" w:lineRule="auto"/>
        <w:ind w:left="473" w:firstLine="0" w:firstLineChars="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4.详细评审</w:t>
      </w:r>
    </w:p>
    <w:p w14:paraId="4CEE0FB9">
      <w:pPr>
        <w:pStyle w:val="21"/>
        <w:spacing w:line="360" w:lineRule="auto"/>
        <w:ind w:firstLine="420"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评标委员会对通过符合性审查的投标文件，依照本办法对技术、商务内容作进一步评审、比较。评标委员会成员经过阅标、审标和询标，对各投标人进行综合打分。</w:t>
      </w:r>
    </w:p>
    <w:p w14:paraId="21CF55F6">
      <w:pPr>
        <w:widowControl/>
        <w:spacing w:line="360" w:lineRule="auto"/>
        <w:ind w:firstLine="420" w:firstLineChars="200"/>
        <w:jc w:val="left"/>
        <w:rPr>
          <w:color w:val="auto"/>
          <w:highlight w:val="none"/>
        </w:rPr>
      </w:pPr>
      <w:r>
        <w:rPr>
          <w:color w:val="auto"/>
          <w:szCs w:val="21"/>
          <w:highlight w:val="none"/>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14:paraId="27B667F6">
      <w:pPr>
        <w:widowControl/>
        <w:spacing w:line="360" w:lineRule="auto"/>
        <w:ind w:firstLine="420" w:firstLineChars="200"/>
        <w:jc w:val="left"/>
        <w:rPr>
          <w:color w:val="auto"/>
          <w:szCs w:val="21"/>
          <w:highlight w:val="none"/>
        </w:rPr>
      </w:pPr>
      <w:r>
        <w:rPr>
          <w:color w:val="auto"/>
          <w:szCs w:val="21"/>
          <w:highlight w:val="none"/>
        </w:rPr>
        <w:t>注：评标委员会认为投标文件无效的，应组织相关投标人代表进行陈述、澄清或申辩。</w:t>
      </w:r>
    </w:p>
    <w:p w14:paraId="381CEFF5">
      <w:pPr>
        <w:widowControl/>
        <w:spacing w:line="360" w:lineRule="auto"/>
        <w:ind w:firstLine="422" w:firstLineChars="200"/>
        <w:jc w:val="left"/>
        <w:rPr>
          <w:b/>
          <w:bCs/>
          <w:color w:val="auto"/>
          <w:szCs w:val="21"/>
          <w:highlight w:val="none"/>
        </w:rPr>
      </w:pPr>
      <w:r>
        <w:rPr>
          <w:b/>
          <w:bCs/>
          <w:color w:val="auto"/>
          <w:szCs w:val="21"/>
          <w:highlight w:val="none"/>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14:paraId="341F710D">
      <w:pPr>
        <w:widowControl/>
        <w:spacing w:line="360" w:lineRule="auto"/>
        <w:ind w:firstLine="420" w:firstLineChars="200"/>
        <w:jc w:val="left"/>
        <w:rPr>
          <w:color w:val="auto"/>
          <w:szCs w:val="21"/>
          <w:highlight w:val="none"/>
        </w:rPr>
      </w:pPr>
      <w:r>
        <w:rPr>
          <w:color w:val="auto"/>
          <w:szCs w:val="21"/>
          <w:highlight w:val="none"/>
        </w:rPr>
        <w:t>采购代理机构可协助评标委员会主任评委对打分结果进行校对、核对并汇总统计；对明显畸高、畸低的评分（评标委员会成员个人主观打分偏离所有评审小组成员主观打分平均值30%以上的），评标委员会主任评委应提醒相关评标委员会成员进行复核或书面说明理由，评标委员会成员拒绝说明的，由现场监督员据实记录；评标委员会成员的评审、修改记录应保留原件，随项目其他资料一并存档。</w:t>
      </w:r>
    </w:p>
    <w:p w14:paraId="40387A15">
      <w:pPr>
        <w:widowControl/>
        <w:spacing w:line="360" w:lineRule="auto"/>
        <w:ind w:firstLine="420" w:firstLineChars="200"/>
        <w:jc w:val="left"/>
        <w:rPr>
          <w:color w:val="auto"/>
          <w:szCs w:val="21"/>
          <w:highlight w:val="none"/>
        </w:rPr>
      </w:pPr>
      <w:r>
        <w:rPr>
          <w:color w:val="auto"/>
          <w:szCs w:val="21"/>
          <w:highlight w:val="none"/>
        </w:rPr>
        <w:t>5.中标原则</w:t>
      </w:r>
    </w:p>
    <w:p w14:paraId="7B88F79C">
      <w:pPr>
        <w:widowControl/>
        <w:spacing w:line="360" w:lineRule="auto"/>
        <w:ind w:firstLine="420" w:firstLineChars="200"/>
        <w:jc w:val="left"/>
        <w:rPr>
          <w:color w:val="auto"/>
          <w:szCs w:val="21"/>
          <w:highlight w:val="none"/>
        </w:rPr>
      </w:pPr>
      <w:r>
        <w:rPr>
          <w:color w:val="auto"/>
          <w:szCs w:val="21"/>
          <w:highlight w:val="none"/>
        </w:rPr>
        <w:t>评标委员会根据投标人的综合得分高低排定顺序，推荐综合得分排名第一的投标人为本项目的中标候选人。如投标人综合得分相同的则价格低者优先中标；若技术商务得分也相同，则由投标人抽签决定。如评标过程中出现本招标文件未尽事宜，则由评标委员会讨论决定。</w:t>
      </w:r>
    </w:p>
    <w:p w14:paraId="115C6D48">
      <w:pPr>
        <w:widowControl/>
        <w:spacing w:line="360" w:lineRule="auto"/>
        <w:ind w:firstLine="420" w:firstLineChars="200"/>
        <w:jc w:val="left"/>
        <w:rPr>
          <w:color w:val="auto"/>
          <w:szCs w:val="21"/>
          <w:highlight w:val="none"/>
        </w:rPr>
      </w:pPr>
      <w:r>
        <w:rPr>
          <w:color w:val="auto"/>
          <w:szCs w:val="21"/>
          <w:highlight w:val="none"/>
        </w:rPr>
        <w:t>6.中标结果</w:t>
      </w:r>
    </w:p>
    <w:p w14:paraId="012FD7A5">
      <w:pPr>
        <w:spacing w:line="360" w:lineRule="auto"/>
        <w:ind w:firstLine="420" w:firstLineChars="200"/>
        <w:rPr>
          <w:color w:val="auto"/>
          <w:szCs w:val="21"/>
          <w:highlight w:val="none"/>
        </w:rPr>
      </w:pPr>
      <w:r>
        <w:rPr>
          <w:color w:val="auto"/>
          <w:szCs w:val="21"/>
          <w:highlight w:val="none"/>
        </w:rPr>
        <w:t>采购代理机构将中标结果在政府采购指定媒体上公示，并中标人发出中标通知书。</w:t>
      </w:r>
    </w:p>
    <w:p w14:paraId="421A8353">
      <w:pPr>
        <w:pStyle w:val="27"/>
        <w:spacing w:before="120" w:beforeLines="50" w:after="120" w:afterLines="50" w:line="240" w:lineRule="auto"/>
        <w:ind w:firstLine="413" w:firstLineChars="196"/>
        <w:jc w:val="left"/>
        <w:rPr>
          <w:rFonts w:ascii="Times New Roman" w:hAnsi="Times New Roman"/>
          <w:color w:val="auto"/>
          <w:sz w:val="21"/>
          <w:szCs w:val="21"/>
          <w:highlight w:val="none"/>
        </w:rPr>
      </w:pPr>
      <w:bookmarkStart w:id="211" w:name="_Toc17707958"/>
      <w:bookmarkStart w:id="212" w:name="_Toc100932152"/>
      <w:bookmarkStart w:id="213" w:name="_Toc51446759"/>
      <w:r>
        <w:rPr>
          <w:rFonts w:ascii="Times New Roman" w:hAnsi="Times New Roman"/>
          <w:color w:val="auto"/>
          <w:sz w:val="21"/>
          <w:szCs w:val="21"/>
          <w:highlight w:val="none"/>
        </w:rPr>
        <w:t>五、资格条件审查</w:t>
      </w:r>
      <w:bookmarkEnd w:id="211"/>
      <w:bookmarkEnd w:id="212"/>
      <w:bookmarkEnd w:id="213"/>
    </w:p>
    <w:p w14:paraId="3B5CDCAC">
      <w:pPr>
        <w:spacing w:line="360" w:lineRule="auto"/>
        <w:ind w:firstLine="522" w:firstLineChars="249"/>
        <w:rPr>
          <w:color w:val="auto"/>
          <w:szCs w:val="21"/>
          <w:highlight w:val="none"/>
        </w:rPr>
      </w:pPr>
      <w:r>
        <w:rPr>
          <w:color w:val="auto"/>
          <w:szCs w:val="21"/>
          <w:highlight w:val="none"/>
        </w:rPr>
        <w:t>由招标人或代理机构对投标人的资格进行审查。</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4C2F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14:paraId="72DB5049">
            <w:pPr>
              <w:spacing w:line="0" w:lineRule="atLeast"/>
              <w:jc w:val="center"/>
              <w:rPr>
                <w:color w:val="auto"/>
                <w:szCs w:val="21"/>
                <w:highlight w:val="none"/>
              </w:rPr>
            </w:pPr>
            <w:r>
              <w:rPr>
                <w:color w:val="auto"/>
                <w:szCs w:val="21"/>
                <w:highlight w:val="none"/>
              </w:rPr>
              <w:t>审查类别</w:t>
            </w:r>
          </w:p>
        </w:tc>
        <w:tc>
          <w:tcPr>
            <w:tcW w:w="7584" w:type="dxa"/>
            <w:vAlign w:val="center"/>
          </w:tcPr>
          <w:p w14:paraId="1455C8B5">
            <w:pPr>
              <w:spacing w:line="0" w:lineRule="atLeast"/>
              <w:jc w:val="center"/>
              <w:rPr>
                <w:color w:val="auto"/>
                <w:szCs w:val="21"/>
                <w:highlight w:val="none"/>
              </w:rPr>
            </w:pPr>
            <w:r>
              <w:rPr>
                <w:color w:val="auto"/>
                <w:szCs w:val="21"/>
                <w:highlight w:val="none"/>
              </w:rPr>
              <w:t>审查内容</w:t>
            </w:r>
          </w:p>
        </w:tc>
      </w:tr>
      <w:tr w14:paraId="646F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14:paraId="014B0252">
            <w:pPr>
              <w:spacing w:line="0" w:lineRule="atLeast"/>
              <w:jc w:val="center"/>
              <w:rPr>
                <w:color w:val="auto"/>
                <w:szCs w:val="21"/>
                <w:highlight w:val="none"/>
              </w:rPr>
            </w:pPr>
            <w:r>
              <w:rPr>
                <w:color w:val="auto"/>
                <w:szCs w:val="21"/>
                <w:highlight w:val="none"/>
              </w:rPr>
              <w:t>资格条件审查</w:t>
            </w:r>
          </w:p>
        </w:tc>
        <w:tc>
          <w:tcPr>
            <w:tcW w:w="7584" w:type="dxa"/>
            <w:vAlign w:val="center"/>
          </w:tcPr>
          <w:p w14:paraId="66BCCC2E">
            <w:pPr>
              <w:spacing w:line="0" w:lineRule="atLeast"/>
              <w:jc w:val="left"/>
              <w:rPr>
                <w:color w:val="auto"/>
                <w:szCs w:val="21"/>
                <w:highlight w:val="none"/>
              </w:rPr>
            </w:pPr>
            <w:r>
              <w:rPr>
                <w:color w:val="auto"/>
                <w:szCs w:val="21"/>
                <w:highlight w:val="none"/>
              </w:rPr>
              <w:t>（一）符合《中华人民共和国政府采购法》第二十二条规定的投标人资格条件</w:t>
            </w:r>
          </w:p>
        </w:tc>
      </w:tr>
      <w:tr w14:paraId="62FA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21" w:type="dxa"/>
            <w:vMerge w:val="continue"/>
            <w:vAlign w:val="center"/>
          </w:tcPr>
          <w:p w14:paraId="716C6008">
            <w:pPr>
              <w:spacing w:line="0" w:lineRule="atLeast"/>
              <w:jc w:val="center"/>
              <w:rPr>
                <w:color w:val="auto"/>
                <w:szCs w:val="21"/>
                <w:highlight w:val="none"/>
              </w:rPr>
            </w:pPr>
          </w:p>
        </w:tc>
        <w:tc>
          <w:tcPr>
            <w:tcW w:w="7584" w:type="dxa"/>
            <w:vAlign w:val="center"/>
          </w:tcPr>
          <w:p w14:paraId="295E6BFF">
            <w:pPr>
              <w:spacing w:line="0" w:lineRule="atLeast"/>
              <w:jc w:val="left"/>
              <w:rPr>
                <w:color w:val="auto"/>
                <w:szCs w:val="21"/>
                <w:highlight w:val="none"/>
              </w:rPr>
            </w:pPr>
            <w:r>
              <w:rPr>
                <w:color w:val="auto"/>
                <w:szCs w:val="21"/>
                <w:highlight w:val="none"/>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14:paraId="2174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14:paraId="044C345E">
            <w:pPr>
              <w:spacing w:line="0" w:lineRule="atLeast"/>
              <w:jc w:val="center"/>
              <w:rPr>
                <w:color w:val="auto"/>
                <w:szCs w:val="21"/>
                <w:highlight w:val="none"/>
              </w:rPr>
            </w:pPr>
          </w:p>
        </w:tc>
        <w:tc>
          <w:tcPr>
            <w:tcW w:w="7584" w:type="dxa"/>
            <w:vAlign w:val="center"/>
          </w:tcPr>
          <w:p w14:paraId="2FE1F432">
            <w:pPr>
              <w:spacing w:line="0" w:lineRule="atLeast"/>
              <w:jc w:val="left"/>
              <w:rPr>
                <w:color w:val="auto"/>
                <w:szCs w:val="21"/>
                <w:highlight w:val="none"/>
              </w:rPr>
            </w:pPr>
            <w:r>
              <w:rPr>
                <w:color w:val="auto"/>
                <w:szCs w:val="21"/>
                <w:highlight w:val="none"/>
              </w:rPr>
              <w:t>（三）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14:paraId="1E5E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vMerge w:val="continue"/>
            <w:vAlign w:val="center"/>
          </w:tcPr>
          <w:p w14:paraId="27095F4B">
            <w:pPr>
              <w:spacing w:line="0" w:lineRule="atLeast"/>
              <w:jc w:val="center"/>
              <w:rPr>
                <w:color w:val="auto"/>
                <w:szCs w:val="21"/>
                <w:highlight w:val="none"/>
              </w:rPr>
            </w:pPr>
          </w:p>
        </w:tc>
        <w:tc>
          <w:tcPr>
            <w:tcW w:w="7584" w:type="dxa"/>
            <w:vAlign w:val="center"/>
          </w:tcPr>
          <w:p w14:paraId="06C82532">
            <w:pPr>
              <w:spacing w:line="0" w:lineRule="atLeast"/>
              <w:jc w:val="left"/>
              <w:rPr>
                <w:color w:val="auto"/>
                <w:szCs w:val="21"/>
                <w:highlight w:val="none"/>
              </w:rPr>
            </w:pPr>
            <w:r>
              <w:rPr>
                <w:color w:val="auto"/>
                <w:szCs w:val="21"/>
                <w:highlight w:val="none"/>
              </w:rPr>
              <w:t>（四）</w:t>
            </w:r>
            <w:r>
              <w:rPr>
                <w:bCs/>
                <w:color w:val="auto"/>
                <w:szCs w:val="21"/>
                <w:highlight w:val="none"/>
              </w:rPr>
              <w:t>落实政府采购政策需满足的资格要求。</w:t>
            </w:r>
          </w:p>
        </w:tc>
      </w:tr>
      <w:tr w14:paraId="290E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14:paraId="306FA887">
            <w:pPr>
              <w:spacing w:line="0" w:lineRule="atLeast"/>
              <w:jc w:val="center"/>
              <w:rPr>
                <w:color w:val="auto"/>
                <w:szCs w:val="21"/>
                <w:highlight w:val="none"/>
              </w:rPr>
            </w:pPr>
          </w:p>
        </w:tc>
        <w:tc>
          <w:tcPr>
            <w:tcW w:w="7584" w:type="dxa"/>
            <w:vAlign w:val="center"/>
          </w:tcPr>
          <w:p w14:paraId="151FC80F">
            <w:pPr>
              <w:spacing w:line="0" w:lineRule="atLeast"/>
              <w:jc w:val="left"/>
              <w:rPr>
                <w:color w:val="auto"/>
                <w:szCs w:val="21"/>
                <w:highlight w:val="none"/>
              </w:rPr>
            </w:pPr>
            <w:r>
              <w:rPr>
                <w:color w:val="auto"/>
                <w:szCs w:val="21"/>
                <w:highlight w:val="none"/>
              </w:rPr>
              <w:t>（五）特定的资格条件。</w:t>
            </w:r>
          </w:p>
        </w:tc>
      </w:tr>
      <w:tr w14:paraId="1417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14:paraId="3D2F6FDB">
            <w:pPr>
              <w:spacing w:line="0" w:lineRule="atLeast"/>
              <w:jc w:val="center"/>
              <w:rPr>
                <w:color w:val="auto"/>
                <w:szCs w:val="21"/>
                <w:highlight w:val="none"/>
              </w:rPr>
            </w:pPr>
          </w:p>
        </w:tc>
        <w:tc>
          <w:tcPr>
            <w:tcW w:w="7584" w:type="dxa"/>
            <w:vAlign w:val="center"/>
          </w:tcPr>
          <w:p w14:paraId="553EFF94">
            <w:pPr>
              <w:spacing w:line="0" w:lineRule="atLeast"/>
              <w:jc w:val="left"/>
              <w:rPr>
                <w:color w:val="auto"/>
                <w:szCs w:val="21"/>
                <w:highlight w:val="none"/>
              </w:rPr>
            </w:pPr>
            <w:r>
              <w:rPr>
                <w:color w:val="auto"/>
                <w:szCs w:val="21"/>
                <w:highlight w:val="none"/>
              </w:rPr>
              <w:t>（六）本项目不接受联合体投标。</w:t>
            </w:r>
          </w:p>
        </w:tc>
      </w:tr>
    </w:tbl>
    <w:p w14:paraId="35134D86">
      <w:pPr>
        <w:pStyle w:val="27"/>
        <w:spacing w:before="120" w:beforeLines="50" w:after="120" w:afterLines="50" w:line="240" w:lineRule="auto"/>
        <w:ind w:firstLine="413" w:firstLineChars="196"/>
        <w:jc w:val="left"/>
        <w:rPr>
          <w:rFonts w:ascii="Times New Roman" w:hAnsi="Times New Roman"/>
          <w:color w:val="auto"/>
          <w:sz w:val="21"/>
          <w:szCs w:val="21"/>
          <w:highlight w:val="none"/>
        </w:rPr>
      </w:pPr>
      <w:bookmarkStart w:id="214" w:name="_Toc17707959"/>
      <w:bookmarkStart w:id="215" w:name="_Toc100932153"/>
      <w:bookmarkStart w:id="216" w:name="_Toc51446760"/>
      <w:r>
        <w:rPr>
          <w:rFonts w:ascii="Times New Roman" w:hAnsi="Times New Roman"/>
          <w:color w:val="auto"/>
          <w:sz w:val="21"/>
          <w:szCs w:val="21"/>
          <w:highlight w:val="none"/>
        </w:rPr>
        <w:t>六、符合性审查</w:t>
      </w:r>
      <w:bookmarkEnd w:id="214"/>
      <w:bookmarkEnd w:id="215"/>
      <w:bookmarkEnd w:id="216"/>
    </w:p>
    <w:p w14:paraId="1883B368">
      <w:pPr>
        <w:spacing w:line="360" w:lineRule="auto"/>
        <w:ind w:firstLine="420" w:firstLineChars="200"/>
        <w:rPr>
          <w:color w:val="auto"/>
          <w:szCs w:val="21"/>
          <w:highlight w:val="none"/>
        </w:rPr>
      </w:pPr>
      <w:r>
        <w:rPr>
          <w:color w:val="auto"/>
          <w:kern w:val="0"/>
          <w:szCs w:val="21"/>
          <w:highlight w:val="none"/>
        </w:rPr>
        <w:t>评标委员会应当对符合资格的投标人的投标文件进行符合性审查，以确定其是否满足招标文件的实质性要求。</w:t>
      </w:r>
    </w:p>
    <w:tbl>
      <w:tblPr>
        <w:tblStyle w:val="36"/>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14:paraId="22F19A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14:paraId="21CA6F25">
            <w:pPr>
              <w:spacing w:line="400" w:lineRule="exact"/>
              <w:jc w:val="center"/>
              <w:rPr>
                <w:b/>
                <w:bCs/>
                <w:color w:val="auto"/>
                <w:szCs w:val="21"/>
                <w:highlight w:val="none"/>
              </w:rPr>
            </w:pPr>
            <w:r>
              <w:rPr>
                <w:b/>
                <w:bCs/>
                <w:color w:val="auto"/>
                <w:szCs w:val="21"/>
                <w:highlight w:val="none"/>
              </w:rPr>
              <w:t>审查类别</w:t>
            </w:r>
          </w:p>
        </w:tc>
        <w:tc>
          <w:tcPr>
            <w:tcW w:w="7548" w:type="dxa"/>
            <w:vAlign w:val="center"/>
          </w:tcPr>
          <w:p w14:paraId="17A37BB0">
            <w:pPr>
              <w:spacing w:line="400" w:lineRule="exact"/>
              <w:jc w:val="center"/>
              <w:rPr>
                <w:b/>
                <w:bCs/>
                <w:color w:val="auto"/>
                <w:szCs w:val="21"/>
                <w:highlight w:val="none"/>
              </w:rPr>
            </w:pPr>
            <w:r>
              <w:rPr>
                <w:b/>
                <w:bCs/>
                <w:color w:val="auto"/>
                <w:szCs w:val="21"/>
                <w:highlight w:val="none"/>
              </w:rPr>
              <w:t>审查内容</w:t>
            </w:r>
          </w:p>
        </w:tc>
      </w:tr>
      <w:tr w14:paraId="04DEF1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14:paraId="29CF1475">
            <w:pPr>
              <w:spacing w:line="400" w:lineRule="exact"/>
              <w:jc w:val="center"/>
              <w:rPr>
                <w:color w:val="auto"/>
                <w:szCs w:val="21"/>
                <w:highlight w:val="none"/>
              </w:rPr>
            </w:pPr>
            <w:r>
              <w:rPr>
                <w:color w:val="auto"/>
                <w:szCs w:val="21"/>
                <w:highlight w:val="none"/>
              </w:rPr>
              <w:t>符合性审查</w:t>
            </w:r>
          </w:p>
        </w:tc>
        <w:tc>
          <w:tcPr>
            <w:tcW w:w="7548" w:type="dxa"/>
          </w:tcPr>
          <w:p w14:paraId="421D44C9">
            <w:pPr>
              <w:spacing w:line="400" w:lineRule="exact"/>
              <w:rPr>
                <w:color w:val="auto"/>
                <w:szCs w:val="21"/>
                <w:highlight w:val="none"/>
              </w:rPr>
            </w:pPr>
            <w:r>
              <w:rPr>
                <w:color w:val="auto"/>
                <w:szCs w:val="21"/>
                <w:highlight w:val="none"/>
              </w:rPr>
              <w:t>按招标文件要求签署、签章。</w:t>
            </w:r>
          </w:p>
        </w:tc>
      </w:tr>
      <w:tr w14:paraId="6B2C0B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17700299">
            <w:pPr>
              <w:spacing w:line="400" w:lineRule="exact"/>
              <w:rPr>
                <w:color w:val="auto"/>
                <w:szCs w:val="21"/>
                <w:highlight w:val="none"/>
              </w:rPr>
            </w:pPr>
          </w:p>
        </w:tc>
        <w:tc>
          <w:tcPr>
            <w:tcW w:w="7548" w:type="dxa"/>
          </w:tcPr>
          <w:p w14:paraId="29652A56">
            <w:pPr>
              <w:spacing w:line="400" w:lineRule="exact"/>
              <w:rPr>
                <w:color w:val="auto"/>
                <w:szCs w:val="21"/>
                <w:highlight w:val="none"/>
              </w:rPr>
            </w:pPr>
            <w:r>
              <w:rPr>
                <w:color w:val="auto"/>
                <w:szCs w:val="21"/>
                <w:highlight w:val="none"/>
              </w:rPr>
              <w:t>投标有效期满足招标文件要求。</w:t>
            </w:r>
          </w:p>
        </w:tc>
      </w:tr>
      <w:tr w14:paraId="4AC27C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02845DEE">
            <w:pPr>
              <w:spacing w:line="400" w:lineRule="exact"/>
              <w:rPr>
                <w:color w:val="auto"/>
                <w:szCs w:val="21"/>
                <w:highlight w:val="none"/>
              </w:rPr>
            </w:pPr>
          </w:p>
        </w:tc>
        <w:tc>
          <w:tcPr>
            <w:tcW w:w="7548" w:type="dxa"/>
          </w:tcPr>
          <w:p w14:paraId="29683D59">
            <w:pPr>
              <w:spacing w:line="400" w:lineRule="exact"/>
              <w:rPr>
                <w:color w:val="auto"/>
                <w:szCs w:val="21"/>
                <w:highlight w:val="none"/>
              </w:rPr>
            </w:pPr>
            <w:r>
              <w:rPr>
                <w:color w:val="auto"/>
                <w:szCs w:val="21"/>
                <w:highlight w:val="none"/>
              </w:rPr>
              <w:t>符合招标文件要求的，未发生与招标文件中标注“*”的条款实质性偏离的。</w:t>
            </w:r>
          </w:p>
        </w:tc>
      </w:tr>
      <w:tr w14:paraId="694C1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71D125A4">
            <w:pPr>
              <w:spacing w:line="400" w:lineRule="exact"/>
              <w:rPr>
                <w:color w:val="auto"/>
                <w:szCs w:val="21"/>
                <w:highlight w:val="none"/>
              </w:rPr>
            </w:pPr>
          </w:p>
        </w:tc>
        <w:tc>
          <w:tcPr>
            <w:tcW w:w="7548" w:type="dxa"/>
          </w:tcPr>
          <w:p w14:paraId="63EDB402">
            <w:pPr>
              <w:spacing w:line="400" w:lineRule="exact"/>
              <w:rPr>
                <w:color w:val="auto"/>
                <w:szCs w:val="21"/>
                <w:highlight w:val="none"/>
              </w:rPr>
            </w:pPr>
            <w:r>
              <w:rPr>
                <w:color w:val="auto"/>
                <w:szCs w:val="21"/>
                <w:highlight w:val="none"/>
              </w:rPr>
              <w:t>不含有采购人不能接受的附加条件。</w:t>
            </w:r>
          </w:p>
        </w:tc>
      </w:tr>
      <w:tr w14:paraId="331772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0A692CA9">
            <w:pPr>
              <w:spacing w:line="400" w:lineRule="exact"/>
              <w:rPr>
                <w:color w:val="auto"/>
                <w:szCs w:val="21"/>
                <w:highlight w:val="none"/>
              </w:rPr>
            </w:pPr>
          </w:p>
        </w:tc>
        <w:tc>
          <w:tcPr>
            <w:tcW w:w="7548" w:type="dxa"/>
          </w:tcPr>
          <w:p w14:paraId="04FCFF9C">
            <w:pPr>
              <w:spacing w:line="400" w:lineRule="exact"/>
              <w:rPr>
                <w:color w:val="auto"/>
                <w:szCs w:val="21"/>
                <w:highlight w:val="none"/>
              </w:rPr>
            </w:pPr>
            <w:r>
              <w:rPr>
                <w:color w:val="auto"/>
                <w:szCs w:val="21"/>
                <w:highlight w:val="none"/>
              </w:rPr>
              <w:t>委托人提供法定代表人授权委托书或填写项目齐全。</w:t>
            </w:r>
          </w:p>
        </w:tc>
      </w:tr>
      <w:tr w14:paraId="1FEAB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4D1CAB32">
            <w:pPr>
              <w:spacing w:line="400" w:lineRule="exact"/>
              <w:rPr>
                <w:color w:val="auto"/>
                <w:szCs w:val="21"/>
                <w:highlight w:val="none"/>
              </w:rPr>
            </w:pPr>
          </w:p>
        </w:tc>
        <w:tc>
          <w:tcPr>
            <w:tcW w:w="7548" w:type="dxa"/>
          </w:tcPr>
          <w:p w14:paraId="35D43057">
            <w:pPr>
              <w:spacing w:line="400" w:lineRule="exact"/>
              <w:rPr>
                <w:color w:val="auto"/>
                <w:highlight w:val="none"/>
              </w:rPr>
            </w:pPr>
            <w:r>
              <w:rPr>
                <w:color w:val="auto"/>
                <w:szCs w:val="21"/>
                <w:highlight w:val="none"/>
              </w:rPr>
              <w:t>投标文件格式规范、提供资料齐全或者未提供虚假内容。</w:t>
            </w:r>
          </w:p>
        </w:tc>
      </w:tr>
      <w:tr w14:paraId="242EE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402BFC1C">
            <w:pPr>
              <w:spacing w:line="400" w:lineRule="exact"/>
              <w:rPr>
                <w:color w:val="auto"/>
                <w:szCs w:val="21"/>
                <w:highlight w:val="none"/>
              </w:rPr>
            </w:pPr>
          </w:p>
        </w:tc>
        <w:tc>
          <w:tcPr>
            <w:tcW w:w="7548" w:type="dxa"/>
          </w:tcPr>
          <w:p w14:paraId="1A12675B">
            <w:pPr>
              <w:spacing w:line="400" w:lineRule="exact"/>
              <w:rPr>
                <w:color w:val="auto"/>
                <w:highlight w:val="none"/>
              </w:rPr>
            </w:pPr>
            <w:r>
              <w:rPr>
                <w:color w:val="auto"/>
                <w:szCs w:val="21"/>
                <w:highlight w:val="none"/>
              </w:rPr>
              <w:t>投标文件的实质性内容使用中文表述、表述明确、前后不矛盾或者使用计量单位符合招标文件要求的（经评标委员会认定并允许其当场更正的笔误除外）。</w:t>
            </w:r>
          </w:p>
        </w:tc>
      </w:tr>
      <w:tr w14:paraId="1FE2AD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6EE5077B">
            <w:pPr>
              <w:spacing w:line="400" w:lineRule="exact"/>
              <w:rPr>
                <w:color w:val="auto"/>
                <w:szCs w:val="21"/>
                <w:highlight w:val="none"/>
              </w:rPr>
            </w:pPr>
          </w:p>
        </w:tc>
        <w:tc>
          <w:tcPr>
            <w:tcW w:w="7548" w:type="dxa"/>
          </w:tcPr>
          <w:p w14:paraId="1FAE3AE1">
            <w:pPr>
              <w:spacing w:line="400" w:lineRule="exact"/>
              <w:rPr>
                <w:color w:val="auto"/>
                <w:highlight w:val="none"/>
              </w:rPr>
            </w:pPr>
            <w:r>
              <w:rPr>
                <w:color w:val="auto"/>
                <w:szCs w:val="21"/>
                <w:highlight w:val="none"/>
              </w:rPr>
              <w:t>投标文件的关键内容字迹清晰、易辨认的，或者投标文件中经修正的内容字迹易辩认或者修改处按规定签署、盖章。</w:t>
            </w:r>
          </w:p>
        </w:tc>
      </w:tr>
      <w:tr w14:paraId="2B0611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3509D893">
            <w:pPr>
              <w:spacing w:line="400" w:lineRule="exact"/>
              <w:rPr>
                <w:color w:val="auto"/>
                <w:szCs w:val="21"/>
                <w:highlight w:val="none"/>
              </w:rPr>
            </w:pPr>
          </w:p>
        </w:tc>
        <w:tc>
          <w:tcPr>
            <w:tcW w:w="7548" w:type="dxa"/>
          </w:tcPr>
          <w:p w14:paraId="47E90B46">
            <w:pPr>
              <w:spacing w:line="400" w:lineRule="exact"/>
              <w:rPr>
                <w:color w:val="auto"/>
                <w:szCs w:val="21"/>
                <w:highlight w:val="none"/>
              </w:rPr>
            </w:pPr>
            <w:r>
              <w:rPr>
                <w:color w:val="auto"/>
                <w:szCs w:val="21"/>
                <w:highlight w:val="none"/>
              </w:rPr>
              <w:t>未发现法律、法规和招标文件规定的其他无效情形。</w:t>
            </w:r>
          </w:p>
        </w:tc>
      </w:tr>
    </w:tbl>
    <w:p w14:paraId="0EB7FC59">
      <w:pPr>
        <w:pStyle w:val="27"/>
        <w:spacing w:before="120" w:beforeLines="50" w:after="120" w:afterLines="50" w:line="240" w:lineRule="auto"/>
        <w:ind w:firstLine="413" w:firstLineChars="196"/>
        <w:jc w:val="left"/>
        <w:rPr>
          <w:rFonts w:ascii="Times New Roman" w:hAnsi="Times New Roman"/>
          <w:color w:val="auto"/>
          <w:sz w:val="21"/>
          <w:szCs w:val="21"/>
          <w:highlight w:val="none"/>
        </w:rPr>
      </w:pPr>
      <w:bookmarkStart w:id="217" w:name="_Toc259108323"/>
      <w:bookmarkStart w:id="218" w:name="_Toc17707960"/>
      <w:bookmarkStart w:id="219" w:name="_Toc51446761"/>
      <w:bookmarkStart w:id="220" w:name="_Toc249866767"/>
      <w:bookmarkStart w:id="221" w:name="_Toc100932154"/>
      <w:bookmarkStart w:id="222" w:name="_Toc17707961"/>
      <w:bookmarkStart w:id="223" w:name="_Toc100932155"/>
      <w:r>
        <w:rPr>
          <w:rFonts w:ascii="Times New Roman" w:hAnsi="Times New Roman"/>
          <w:color w:val="auto"/>
          <w:sz w:val="21"/>
          <w:szCs w:val="21"/>
          <w:highlight w:val="none"/>
        </w:rPr>
        <w:t>七、投标无效的情形</w:t>
      </w:r>
      <w:bookmarkEnd w:id="217"/>
      <w:bookmarkEnd w:id="218"/>
      <w:bookmarkEnd w:id="219"/>
      <w:bookmarkEnd w:id="220"/>
      <w:bookmarkEnd w:id="221"/>
    </w:p>
    <w:p w14:paraId="4FE058C0">
      <w:pPr>
        <w:spacing w:line="360" w:lineRule="auto"/>
        <w:ind w:firstLine="422" w:firstLineChars="200"/>
        <w:rPr>
          <w:b/>
          <w:color w:val="auto"/>
          <w:szCs w:val="21"/>
          <w:highlight w:val="none"/>
        </w:rPr>
      </w:pPr>
      <w:r>
        <w:rPr>
          <w:b/>
          <w:color w:val="auto"/>
          <w:szCs w:val="21"/>
          <w:highlight w:val="none"/>
        </w:rPr>
        <w:t>没有响应招标文件实质性要求的投标将被视为无效投标。投标人不得通过修正或撤消不合要求的偏离或保留从而使其投标成为实质上响应的投标。</w:t>
      </w:r>
    </w:p>
    <w:p w14:paraId="2C39E4BE">
      <w:pPr>
        <w:spacing w:line="360" w:lineRule="auto"/>
        <w:ind w:firstLine="422" w:firstLineChars="200"/>
        <w:rPr>
          <w:b/>
          <w:color w:val="auto"/>
          <w:szCs w:val="21"/>
          <w:highlight w:val="none"/>
        </w:rPr>
      </w:pPr>
      <w:r>
        <w:rPr>
          <w:b/>
          <w:color w:val="auto"/>
          <w:szCs w:val="21"/>
          <w:highlight w:val="none"/>
        </w:rPr>
        <w:t>不同供应商的文件出自同一终端设备或在相同Internet主机分配地址（相同IP地址）网上报名或上传电子投标文件视为无效响应。</w:t>
      </w:r>
    </w:p>
    <w:p w14:paraId="6B0ADB74">
      <w:pPr>
        <w:pStyle w:val="15"/>
        <w:widowControl/>
        <w:spacing w:line="360" w:lineRule="auto"/>
        <w:ind w:firstLine="398" w:firstLineChars="196"/>
        <w:jc w:val="left"/>
        <w:rPr>
          <w:rFonts w:ascii="Times New Roman"/>
          <w:b/>
          <w:bCs/>
          <w:color w:val="auto"/>
          <w:sz w:val="21"/>
          <w:szCs w:val="21"/>
          <w:highlight w:val="none"/>
        </w:rPr>
      </w:pPr>
      <w:r>
        <w:rPr>
          <w:rFonts w:ascii="Times New Roman"/>
          <w:b/>
          <w:bCs/>
          <w:color w:val="auto"/>
          <w:sz w:val="21"/>
          <w:szCs w:val="21"/>
          <w:highlight w:val="none"/>
        </w:rPr>
        <w:t>1.在资格审查时，不具备招标文件中规定的资格要求的，或者资格证明文件不全的，投标文件将被视为无效；</w:t>
      </w:r>
    </w:p>
    <w:p w14:paraId="3E3EBC38">
      <w:pPr>
        <w:pStyle w:val="15"/>
        <w:widowControl/>
        <w:spacing w:line="360" w:lineRule="auto"/>
        <w:ind w:firstLine="398" w:firstLineChars="196"/>
        <w:jc w:val="left"/>
        <w:rPr>
          <w:rFonts w:ascii="Times New Roman"/>
          <w:b/>
          <w:bCs/>
          <w:color w:val="auto"/>
          <w:sz w:val="21"/>
          <w:szCs w:val="21"/>
          <w:highlight w:val="none"/>
        </w:rPr>
      </w:pPr>
      <w:r>
        <w:rPr>
          <w:rFonts w:ascii="Times New Roman"/>
          <w:b/>
          <w:bCs/>
          <w:color w:val="auto"/>
          <w:sz w:val="21"/>
          <w:szCs w:val="21"/>
          <w:highlight w:val="none"/>
        </w:rPr>
        <w:t>2.在符合性审查时，如发现下列情形之一的，投标文件将被视为无效：</w:t>
      </w:r>
    </w:p>
    <w:p w14:paraId="190975BB">
      <w:pPr>
        <w:pStyle w:val="15"/>
        <w:widowControl/>
        <w:numPr>
          <w:ilvl w:val="0"/>
          <w:numId w:val="15"/>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投标文件未按招标文件要求签署、签章的；</w:t>
      </w:r>
    </w:p>
    <w:p w14:paraId="14775929">
      <w:pPr>
        <w:pStyle w:val="15"/>
        <w:widowControl/>
        <w:numPr>
          <w:ilvl w:val="0"/>
          <w:numId w:val="15"/>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投标有效期不满足招标文件要求的；</w:t>
      </w:r>
    </w:p>
    <w:p w14:paraId="0467647E">
      <w:pPr>
        <w:pStyle w:val="15"/>
        <w:widowControl/>
        <w:numPr>
          <w:ilvl w:val="0"/>
          <w:numId w:val="15"/>
        </w:numPr>
        <w:spacing w:line="360" w:lineRule="auto"/>
        <w:jc w:val="left"/>
        <w:rPr>
          <w:rFonts w:ascii="Times New Roman"/>
          <w:b/>
          <w:bCs/>
          <w:color w:val="auto"/>
          <w:sz w:val="21"/>
          <w:szCs w:val="21"/>
          <w:highlight w:val="none"/>
        </w:rPr>
      </w:pPr>
      <w:r>
        <w:rPr>
          <w:rFonts w:ascii="Times New Roman"/>
          <w:b/>
          <w:bCs/>
          <w:snapToGrid w:val="0"/>
          <w:color w:val="auto"/>
          <w:sz w:val="21"/>
          <w:szCs w:val="21"/>
          <w:highlight w:val="none"/>
        </w:rPr>
        <w:t>明显不符合招标文件要求的，或者与</w:t>
      </w:r>
      <w:r>
        <w:rPr>
          <w:rFonts w:ascii="Times New Roman"/>
          <w:b/>
          <w:bCs/>
          <w:color w:val="auto"/>
          <w:sz w:val="21"/>
          <w:szCs w:val="21"/>
          <w:highlight w:val="none"/>
        </w:rPr>
        <w:t>招标文件中标注“*”的条款发生实质性负偏离的；</w:t>
      </w:r>
    </w:p>
    <w:p w14:paraId="2465D4EE">
      <w:pPr>
        <w:pStyle w:val="15"/>
        <w:widowControl/>
        <w:numPr>
          <w:ilvl w:val="0"/>
          <w:numId w:val="15"/>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投标文件中含有采购人不能接受的附加条件的；</w:t>
      </w:r>
    </w:p>
    <w:p w14:paraId="4A8DB01A">
      <w:pPr>
        <w:pStyle w:val="15"/>
        <w:widowControl/>
        <w:numPr>
          <w:ilvl w:val="0"/>
          <w:numId w:val="15"/>
        </w:numPr>
        <w:spacing w:line="360" w:lineRule="auto"/>
        <w:jc w:val="left"/>
        <w:rPr>
          <w:rFonts w:ascii="Times New Roman"/>
          <w:b/>
          <w:bCs/>
          <w:color w:val="auto"/>
          <w:sz w:val="21"/>
          <w:szCs w:val="21"/>
          <w:highlight w:val="none"/>
        </w:rPr>
      </w:pPr>
      <w:r>
        <w:rPr>
          <w:rFonts w:ascii="Times New Roman"/>
          <w:b/>
          <w:bCs/>
          <w:color w:val="auto"/>
          <w:sz w:val="21"/>
          <w:szCs w:val="21"/>
          <w:highlight w:val="none"/>
        </w:rPr>
        <w:t>委托人未提供法定代表人授权委托书或填写项目不齐全的；</w:t>
      </w:r>
    </w:p>
    <w:p w14:paraId="3028BD80">
      <w:pPr>
        <w:pStyle w:val="15"/>
        <w:widowControl/>
        <w:numPr>
          <w:ilvl w:val="0"/>
          <w:numId w:val="15"/>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投标文件格式不规范、提供资料不齐全或者内容虚假的；</w:t>
      </w:r>
    </w:p>
    <w:p w14:paraId="665FF64F">
      <w:pPr>
        <w:pStyle w:val="15"/>
        <w:widowControl/>
        <w:numPr>
          <w:ilvl w:val="0"/>
          <w:numId w:val="15"/>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投标文件的实质性内容未使用中文表述、表述不明确、前后矛盾或者使用计量单位不符合招标文件要求的（经评标委员会认定并允许其当场更正的笔误除外）；</w:t>
      </w:r>
    </w:p>
    <w:p w14:paraId="05C39160">
      <w:pPr>
        <w:pStyle w:val="15"/>
        <w:widowControl/>
        <w:numPr>
          <w:ilvl w:val="0"/>
          <w:numId w:val="15"/>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投标文件的关键内容字迹模糊、无法辨认的，或者投标文件中经修正的内容字迹模糊难以辩认或者修改处未按规定签署、盖章的；</w:t>
      </w:r>
    </w:p>
    <w:p w14:paraId="1265242A">
      <w:pPr>
        <w:pStyle w:val="15"/>
        <w:widowControl/>
        <w:numPr>
          <w:ilvl w:val="0"/>
          <w:numId w:val="15"/>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法律、法规和招标文件规定的其他无效情形；</w:t>
      </w:r>
    </w:p>
    <w:p w14:paraId="10240D54">
      <w:pPr>
        <w:pStyle w:val="15"/>
        <w:widowControl/>
        <w:spacing w:line="360" w:lineRule="auto"/>
        <w:ind w:firstLine="398" w:firstLineChars="196"/>
        <w:jc w:val="left"/>
        <w:rPr>
          <w:rFonts w:ascii="Times New Roman"/>
          <w:b/>
          <w:bCs/>
          <w:color w:val="auto"/>
          <w:sz w:val="21"/>
          <w:szCs w:val="21"/>
          <w:highlight w:val="none"/>
        </w:rPr>
      </w:pPr>
      <w:r>
        <w:rPr>
          <w:rFonts w:ascii="Times New Roman"/>
          <w:b/>
          <w:bCs/>
          <w:color w:val="auto"/>
          <w:sz w:val="21"/>
          <w:szCs w:val="21"/>
          <w:highlight w:val="none"/>
        </w:rPr>
        <w:t>3.在技术商务评审时，如发现下列情形之一的，投标文件将被视为无效：</w:t>
      </w:r>
    </w:p>
    <w:p w14:paraId="6ACC0230">
      <w:pPr>
        <w:pStyle w:val="15"/>
        <w:widowControl/>
        <w:spacing w:line="360" w:lineRule="auto"/>
        <w:ind w:firstLine="400"/>
        <w:jc w:val="left"/>
        <w:rPr>
          <w:rFonts w:ascii="Times New Roman"/>
          <w:b/>
          <w:bCs/>
          <w:color w:val="auto"/>
          <w:sz w:val="21"/>
          <w:szCs w:val="21"/>
          <w:highlight w:val="none"/>
        </w:rPr>
      </w:pPr>
      <w:r>
        <w:rPr>
          <w:rFonts w:ascii="Times New Roman"/>
          <w:b/>
          <w:bCs/>
          <w:color w:val="auto"/>
          <w:sz w:val="21"/>
          <w:szCs w:val="21"/>
          <w:highlight w:val="none"/>
        </w:rPr>
        <w:t>（1）未提供或未如实提供投标服务需求，或者投标文件标明的响应或偏离与事实不符或虚假投标的；</w:t>
      </w:r>
    </w:p>
    <w:p w14:paraId="72B0F993">
      <w:pPr>
        <w:pStyle w:val="15"/>
        <w:widowControl/>
        <w:spacing w:line="360" w:lineRule="auto"/>
        <w:ind w:firstLine="400"/>
        <w:jc w:val="left"/>
        <w:rPr>
          <w:rFonts w:ascii="Times New Roman"/>
          <w:b/>
          <w:bCs/>
          <w:color w:val="auto"/>
          <w:sz w:val="21"/>
          <w:szCs w:val="21"/>
          <w:highlight w:val="none"/>
        </w:rPr>
      </w:pPr>
      <w:r>
        <w:rPr>
          <w:rFonts w:ascii="Times New Roman"/>
          <w:b/>
          <w:bCs/>
          <w:color w:val="auto"/>
          <w:sz w:val="21"/>
          <w:szCs w:val="21"/>
          <w:highlight w:val="none"/>
        </w:rPr>
        <w:t>（2）投标技术方案不明确，存在一个或一个以上备选（替代）投标方案的；</w:t>
      </w:r>
    </w:p>
    <w:p w14:paraId="72FA2440">
      <w:pPr>
        <w:pStyle w:val="15"/>
        <w:widowControl/>
        <w:spacing w:line="360" w:lineRule="auto"/>
        <w:ind w:firstLine="398" w:firstLineChars="196"/>
        <w:jc w:val="left"/>
        <w:rPr>
          <w:rFonts w:ascii="Times New Roman"/>
          <w:b/>
          <w:bCs/>
          <w:color w:val="auto"/>
          <w:sz w:val="21"/>
          <w:szCs w:val="21"/>
          <w:highlight w:val="none"/>
        </w:rPr>
      </w:pPr>
      <w:r>
        <w:rPr>
          <w:rFonts w:ascii="Times New Roman"/>
          <w:b/>
          <w:bCs/>
          <w:color w:val="auto"/>
          <w:sz w:val="21"/>
          <w:szCs w:val="21"/>
          <w:highlight w:val="none"/>
        </w:rPr>
        <w:t>4.在报价评审时，如发现下列情形之一的，投标文件将被视为无效：</w:t>
      </w:r>
    </w:p>
    <w:p w14:paraId="5A51BFD6">
      <w:pPr>
        <w:pStyle w:val="15"/>
        <w:widowControl/>
        <w:numPr>
          <w:ilvl w:val="0"/>
          <w:numId w:val="16"/>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报价超过招标文件中规定的预算金额或者最高限价的；</w:t>
      </w:r>
    </w:p>
    <w:p w14:paraId="42CEC74E">
      <w:pPr>
        <w:pStyle w:val="15"/>
        <w:widowControl/>
        <w:numPr>
          <w:ilvl w:val="0"/>
          <w:numId w:val="16"/>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未采用招标文件要求的报价形式报价的；</w:t>
      </w:r>
    </w:p>
    <w:p w14:paraId="3F54F667">
      <w:pPr>
        <w:pStyle w:val="15"/>
        <w:widowControl/>
        <w:numPr>
          <w:ilvl w:val="0"/>
          <w:numId w:val="16"/>
        </w:numPr>
        <w:spacing w:line="360" w:lineRule="auto"/>
        <w:jc w:val="left"/>
        <w:rPr>
          <w:rFonts w:ascii="Times New Roman"/>
          <w:b/>
          <w:bCs/>
          <w:color w:val="auto"/>
          <w:sz w:val="21"/>
          <w:szCs w:val="21"/>
          <w:highlight w:val="none"/>
        </w:rPr>
      </w:pPr>
      <w:r>
        <w:rPr>
          <w:rFonts w:ascii="Times New Roman"/>
          <w:b/>
          <w:bCs/>
          <w:color w:val="auto"/>
          <w:sz w:val="21"/>
          <w:szCs w:val="21"/>
          <w:highlight w:val="none"/>
        </w:rPr>
        <w:t>投标报价具有选择性；</w:t>
      </w:r>
    </w:p>
    <w:p w14:paraId="2DBDC1DD">
      <w:pPr>
        <w:pStyle w:val="15"/>
        <w:widowControl/>
        <w:numPr>
          <w:ilvl w:val="0"/>
          <w:numId w:val="16"/>
        </w:numPr>
        <w:spacing w:line="360" w:lineRule="auto"/>
        <w:jc w:val="left"/>
        <w:rPr>
          <w:rFonts w:ascii="Times New Roman"/>
          <w:b/>
          <w:bCs/>
          <w:color w:val="auto"/>
          <w:sz w:val="21"/>
          <w:szCs w:val="21"/>
          <w:highlight w:val="none"/>
        </w:rPr>
      </w:pPr>
      <w:r>
        <w:rPr>
          <w:rFonts w:ascii="Times New Roman"/>
          <w:b/>
          <w:bCs/>
          <w:color w:val="auto"/>
          <w:sz w:val="21"/>
          <w:szCs w:val="21"/>
          <w:highlight w:val="none"/>
        </w:rPr>
        <w:t>评标委员会一致认为报价不合理的（不平衡报价）；</w:t>
      </w:r>
    </w:p>
    <w:p w14:paraId="7CC995B4">
      <w:pPr>
        <w:pStyle w:val="15"/>
        <w:widowControl/>
        <w:numPr>
          <w:ilvl w:val="0"/>
          <w:numId w:val="16"/>
        </w:numPr>
        <w:spacing w:line="360" w:lineRule="auto"/>
        <w:jc w:val="left"/>
        <w:rPr>
          <w:rFonts w:ascii="Times New Roman"/>
          <w:b/>
          <w:color w:val="auto"/>
          <w:sz w:val="21"/>
          <w:szCs w:val="21"/>
          <w:highlight w:val="none"/>
        </w:rPr>
      </w:pPr>
      <w:r>
        <w:rPr>
          <w:rFonts w:ascii="Times New Roman"/>
          <w:b/>
          <w:color w:val="auto"/>
          <w:sz w:val="21"/>
          <w:szCs w:val="21"/>
          <w:highlight w:val="none"/>
        </w:rPr>
        <w:t>评标委员会认为投标人的报价明显低于其他通过符合性审查投标人的报价，有可能影响服务质量或者不能诚信履约的，且不能在评标现场合理时间内提供相关证明材料说明其报价的合理性的；</w:t>
      </w:r>
    </w:p>
    <w:p w14:paraId="5A7842AA">
      <w:pPr>
        <w:pStyle w:val="15"/>
        <w:widowControl/>
        <w:numPr>
          <w:ilvl w:val="0"/>
          <w:numId w:val="16"/>
        </w:numPr>
        <w:spacing w:line="360" w:lineRule="auto"/>
        <w:jc w:val="left"/>
        <w:rPr>
          <w:rFonts w:ascii="Times New Roman"/>
          <w:b/>
          <w:color w:val="auto"/>
          <w:sz w:val="21"/>
          <w:szCs w:val="21"/>
          <w:highlight w:val="none"/>
        </w:rPr>
      </w:pPr>
      <w:r>
        <w:rPr>
          <w:rFonts w:ascii="Times New Roman"/>
          <w:b/>
          <w:color w:val="auto"/>
          <w:sz w:val="21"/>
          <w:szCs w:val="21"/>
          <w:highlight w:val="none"/>
        </w:rPr>
        <w:t>招标文件规定的其他无效情形；</w:t>
      </w:r>
    </w:p>
    <w:p w14:paraId="6296E940">
      <w:pPr>
        <w:spacing w:line="360" w:lineRule="auto"/>
        <w:ind w:firstLine="422" w:firstLineChars="200"/>
        <w:rPr>
          <w:b/>
          <w:color w:val="auto"/>
          <w:szCs w:val="21"/>
          <w:highlight w:val="none"/>
        </w:rPr>
      </w:pPr>
      <w:r>
        <w:rPr>
          <w:b/>
          <w:color w:val="auto"/>
          <w:szCs w:val="21"/>
          <w:highlight w:val="none"/>
        </w:rPr>
        <w:t>5.被拒绝的投标文件为无效。</w:t>
      </w:r>
    </w:p>
    <w:p w14:paraId="37CAD363">
      <w:pPr>
        <w:spacing w:line="360" w:lineRule="auto"/>
        <w:ind w:firstLine="422" w:firstLineChars="200"/>
        <w:rPr>
          <w:b/>
          <w:color w:val="auto"/>
          <w:szCs w:val="21"/>
          <w:highlight w:val="none"/>
        </w:rPr>
      </w:pPr>
    </w:p>
    <w:p w14:paraId="2CE9F358">
      <w:pPr>
        <w:widowControl/>
        <w:jc w:val="left"/>
        <w:rPr>
          <w:color w:val="auto"/>
          <w:szCs w:val="21"/>
          <w:highlight w:val="none"/>
        </w:rPr>
      </w:pPr>
      <w:r>
        <w:rPr>
          <w:color w:val="auto"/>
          <w:szCs w:val="21"/>
          <w:highlight w:val="none"/>
        </w:rPr>
        <w:br w:type="page"/>
      </w:r>
    </w:p>
    <w:p w14:paraId="163E7120">
      <w:pPr>
        <w:pStyle w:val="27"/>
        <w:spacing w:before="120" w:beforeLines="50" w:after="120" w:afterLines="50" w:line="240" w:lineRule="auto"/>
        <w:ind w:firstLine="413" w:firstLineChars="196"/>
        <w:jc w:val="left"/>
        <w:rPr>
          <w:rFonts w:ascii="Times New Roman" w:hAnsi="Times New Roman"/>
          <w:color w:val="auto"/>
          <w:sz w:val="21"/>
          <w:szCs w:val="21"/>
          <w:highlight w:val="none"/>
        </w:rPr>
      </w:pPr>
      <w:r>
        <w:rPr>
          <w:rFonts w:ascii="Times New Roman" w:hAnsi="Times New Roman"/>
          <w:color w:val="auto"/>
          <w:sz w:val="21"/>
          <w:szCs w:val="21"/>
          <w:highlight w:val="none"/>
        </w:rPr>
        <w:t>八、评分标准表</w:t>
      </w:r>
      <w:bookmarkEnd w:id="222"/>
      <w:bookmarkEnd w:id="223"/>
    </w:p>
    <w:tbl>
      <w:tblPr>
        <w:tblStyle w:val="36"/>
        <w:tblW w:w="102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5"/>
        <w:gridCol w:w="9003"/>
        <w:gridCol w:w="502"/>
      </w:tblGrid>
      <w:tr w14:paraId="11644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95" w:type="dxa"/>
            <w:vAlign w:val="center"/>
          </w:tcPr>
          <w:p w14:paraId="4DA2F238">
            <w:pPr>
              <w:autoSpaceDE w:val="0"/>
              <w:autoSpaceDN w:val="0"/>
              <w:spacing w:line="320" w:lineRule="exact"/>
              <w:contextualSpacing/>
              <w:jc w:val="center"/>
              <w:rPr>
                <w:color w:val="auto"/>
                <w:szCs w:val="21"/>
                <w:highlight w:val="none"/>
              </w:rPr>
            </w:pPr>
            <w:r>
              <w:rPr>
                <w:color w:val="auto"/>
                <w:szCs w:val="21"/>
                <w:highlight w:val="none"/>
              </w:rPr>
              <w:t>分值</w:t>
            </w:r>
          </w:p>
        </w:tc>
        <w:tc>
          <w:tcPr>
            <w:tcW w:w="9003" w:type="dxa"/>
            <w:vAlign w:val="center"/>
          </w:tcPr>
          <w:p w14:paraId="38E02276">
            <w:pPr>
              <w:autoSpaceDE w:val="0"/>
              <w:autoSpaceDN w:val="0"/>
              <w:spacing w:line="320" w:lineRule="exact"/>
              <w:contextualSpacing/>
              <w:jc w:val="center"/>
              <w:rPr>
                <w:color w:val="auto"/>
                <w:szCs w:val="21"/>
                <w:highlight w:val="none"/>
              </w:rPr>
            </w:pPr>
            <w:r>
              <w:rPr>
                <w:color w:val="auto"/>
                <w:szCs w:val="21"/>
                <w:highlight w:val="none"/>
              </w:rPr>
              <w:t>评分标准</w:t>
            </w:r>
          </w:p>
        </w:tc>
        <w:tc>
          <w:tcPr>
            <w:tcW w:w="502" w:type="dxa"/>
            <w:vAlign w:val="center"/>
          </w:tcPr>
          <w:p w14:paraId="028A620C">
            <w:pPr>
              <w:autoSpaceDE w:val="0"/>
              <w:autoSpaceDN w:val="0"/>
              <w:spacing w:line="320" w:lineRule="exact"/>
              <w:contextualSpacing/>
              <w:jc w:val="center"/>
              <w:rPr>
                <w:color w:val="auto"/>
                <w:szCs w:val="21"/>
                <w:highlight w:val="none"/>
              </w:rPr>
            </w:pPr>
          </w:p>
        </w:tc>
      </w:tr>
      <w:tr w14:paraId="362D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95" w:type="dxa"/>
            <w:vMerge w:val="restart"/>
            <w:textDirection w:val="tbRlV"/>
            <w:vAlign w:val="center"/>
          </w:tcPr>
          <w:p w14:paraId="7D81B944">
            <w:pPr>
              <w:widowControl/>
              <w:spacing w:line="320" w:lineRule="exact"/>
              <w:ind w:left="113" w:right="113"/>
              <w:contextualSpacing/>
              <w:jc w:val="center"/>
              <w:rPr>
                <w:color w:val="auto"/>
                <w:szCs w:val="21"/>
                <w:highlight w:val="none"/>
              </w:rPr>
            </w:pPr>
            <w:r>
              <w:rPr>
                <w:color w:val="auto"/>
                <w:szCs w:val="21"/>
                <w:highlight w:val="none"/>
              </w:rPr>
              <w:t>商务技术分（70分）</w:t>
            </w:r>
          </w:p>
        </w:tc>
        <w:tc>
          <w:tcPr>
            <w:tcW w:w="9003" w:type="dxa"/>
            <w:vAlign w:val="center"/>
          </w:tcPr>
          <w:p w14:paraId="7B4D0ACB">
            <w:pPr>
              <w:widowControl/>
              <w:spacing w:line="320" w:lineRule="exact"/>
              <w:rPr>
                <w:color w:val="auto"/>
                <w:sz w:val="20"/>
                <w:szCs w:val="20"/>
                <w:highlight w:val="none"/>
              </w:rPr>
            </w:pPr>
            <w:r>
              <w:rPr>
                <w:b/>
                <w:bCs/>
                <w:color w:val="auto"/>
                <w:szCs w:val="21"/>
                <w:highlight w:val="none"/>
              </w:rPr>
              <w:t>技术性能指标响应性（2</w:t>
            </w:r>
            <w:r>
              <w:rPr>
                <w:rFonts w:hint="eastAsia"/>
                <w:b/>
                <w:bCs/>
                <w:color w:val="auto"/>
                <w:szCs w:val="21"/>
                <w:highlight w:val="none"/>
                <w:lang w:val="en-US" w:eastAsia="zh-CN"/>
              </w:rPr>
              <w:t>5</w:t>
            </w:r>
            <w:r>
              <w:rPr>
                <w:b/>
                <w:bCs/>
                <w:color w:val="auto"/>
                <w:szCs w:val="21"/>
                <w:highlight w:val="none"/>
              </w:rPr>
              <w:t>分）</w:t>
            </w:r>
          </w:p>
          <w:p w14:paraId="77B06129">
            <w:pPr>
              <w:widowControl/>
              <w:spacing w:line="320" w:lineRule="exact"/>
              <w:rPr>
                <w:color w:val="auto"/>
                <w:szCs w:val="21"/>
                <w:highlight w:val="none"/>
              </w:rPr>
            </w:pPr>
            <w:r>
              <w:rPr>
                <w:rFonts w:hint="eastAsia"/>
                <w:color w:val="auto"/>
                <w:szCs w:val="21"/>
                <w:highlight w:val="none"/>
              </w:rPr>
              <w:t>根据</w:t>
            </w:r>
            <w:r>
              <w:rPr>
                <w:color w:val="auto"/>
                <w:szCs w:val="21"/>
                <w:highlight w:val="none"/>
              </w:rPr>
              <w:t>招标文件《第二章采购需求》中“二、技术需求：（三）技术规格要求”的各项</w:t>
            </w:r>
            <w:r>
              <w:rPr>
                <w:rFonts w:hint="eastAsia"/>
                <w:color w:val="auto"/>
                <w:szCs w:val="21"/>
                <w:highlight w:val="none"/>
              </w:rPr>
              <w:t>技术条款（按照最小序号计）响应情况进行评议，完全响应</w:t>
            </w:r>
            <w:r>
              <w:rPr>
                <w:color w:val="auto"/>
                <w:szCs w:val="21"/>
                <w:highlight w:val="none"/>
              </w:rPr>
              <w:t>的得满分2</w:t>
            </w:r>
            <w:r>
              <w:rPr>
                <w:rFonts w:hint="eastAsia"/>
                <w:color w:val="auto"/>
                <w:szCs w:val="21"/>
                <w:highlight w:val="none"/>
                <w:lang w:val="en-US" w:eastAsia="zh-CN"/>
              </w:rPr>
              <w:t>5</w:t>
            </w:r>
            <w:r>
              <w:rPr>
                <w:color w:val="auto"/>
                <w:szCs w:val="21"/>
                <w:highlight w:val="none"/>
              </w:rPr>
              <w:t>分，一般技术</w:t>
            </w:r>
            <w:r>
              <w:rPr>
                <w:rFonts w:hint="eastAsia"/>
                <w:color w:val="auto"/>
                <w:szCs w:val="21"/>
                <w:highlight w:val="none"/>
              </w:rPr>
              <w:t>条款</w:t>
            </w:r>
            <w:r>
              <w:rPr>
                <w:color w:val="auto"/>
                <w:szCs w:val="21"/>
                <w:highlight w:val="none"/>
              </w:rPr>
              <w:t>每负偏离一条扣1分；标有“▲”的</w:t>
            </w:r>
            <w:r>
              <w:rPr>
                <w:rFonts w:hint="eastAsia"/>
                <w:color w:val="auto"/>
                <w:szCs w:val="21"/>
                <w:highlight w:val="none"/>
              </w:rPr>
              <w:t>技术</w:t>
            </w:r>
            <w:r>
              <w:rPr>
                <w:color w:val="auto"/>
                <w:szCs w:val="21"/>
                <w:highlight w:val="none"/>
              </w:rPr>
              <w:t>条款每负</w:t>
            </w:r>
            <w:r>
              <w:rPr>
                <w:rFonts w:hint="eastAsia"/>
                <w:color w:val="auto"/>
                <w:szCs w:val="21"/>
                <w:highlight w:val="none"/>
              </w:rPr>
              <w:t>偏离一条扣1.5分，当扣减至0分时作无效标处理。</w:t>
            </w:r>
          </w:p>
          <w:p w14:paraId="1A8E38D2">
            <w:pPr>
              <w:widowControl/>
              <w:spacing w:line="320" w:lineRule="exact"/>
              <w:rPr>
                <w:color w:val="auto"/>
                <w:sz w:val="20"/>
                <w:szCs w:val="20"/>
                <w:highlight w:val="none"/>
              </w:rPr>
            </w:pPr>
            <w:r>
              <w:rPr>
                <w:b/>
                <w:color w:val="auto"/>
                <w:szCs w:val="21"/>
                <w:highlight w:val="none"/>
              </w:rPr>
              <w:t>注：未提供有效证明材料或证明材料中内容与采购要求指标不一致的，该条款按负偏离处理。</w:t>
            </w:r>
          </w:p>
        </w:tc>
        <w:tc>
          <w:tcPr>
            <w:tcW w:w="502" w:type="dxa"/>
            <w:vAlign w:val="center"/>
          </w:tcPr>
          <w:p w14:paraId="3947E32F">
            <w:pPr>
              <w:spacing w:line="320" w:lineRule="exact"/>
              <w:contextualSpacing/>
              <w:jc w:val="center"/>
              <w:rPr>
                <w:color w:val="auto"/>
                <w:szCs w:val="21"/>
                <w:highlight w:val="none"/>
              </w:rPr>
            </w:pPr>
          </w:p>
        </w:tc>
      </w:tr>
      <w:tr w14:paraId="63D9D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95" w:type="dxa"/>
            <w:vMerge w:val="continue"/>
            <w:textDirection w:val="tbRlV"/>
            <w:vAlign w:val="center"/>
          </w:tcPr>
          <w:p w14:paraId="5792709F">
            <w:pPr>
              <w:widowControl/>
              <w:spacing w:line="320" w:lineRule="exact"/>
              <w:ind w:left="113" w:right="113"/>
              <w:contextualSpacing/>
              <w:jc w:val="center"/>
              <w:rPr>
                <w:color w:val="auto"/>
                <w:szCs w:val="21"/>
                <w:highlight w:val="none"/>
              </w:rPr>
            </w:pPr>
          </w:p>
        </w:tc>
        <w:tc>
          <w:tcPr>
            <w:tcW w:w="9003" w:type="dxa"/>
            <w:vAlign w:val="center"/>
          </w:tcPr>
          <w:p w14:paraId="188EF940">
            <w:pPr>
              <w:widowControl/>
              <w:spacing w:line="320" w:lineRule="exact"/>
              <w:rPr>
                <w:b/>
                <w:bCs/>
                <w:color w:val="auto"/>
                <w:szCs w:val="21"/>
                <w:highlight w:val="none"/>
              </w:rPr>
            </w:pPr>
            <w:r>
              <w:rPr>
                <w:b/>
                <w:bCs/>
                <w:color w:val="auto"/>
                <w:szCs w:val="21"/>
                <w:highlight w:val="none"/>
              </w:rPr>
              <w:t>建设方案（</w:t>
            </w:r>
            <w:r>
              <w:rPr>
                <w:rFonts w:hint="eastAsia"/>
                <w:b/>
                <w:bCs/>
                <w:color w:val="auto"/>
                <w:szCs w:val="21"/>
                <w:highlight w:val="none"/>
                <w:lang w:val="en-US" w:eastAsia="zh-CN"/>
              </w:rPr>
              <w:t>8</w:t>
            </w:r>
            <w:r>
              <w:rPr>
                <w:b/>
                <w:bCs/>
                <w:color w:val="auto"/>
                <w:szCs w:val="21"/>
                <w:highlight w:val="none"/>
              </w:rPr>
              <w:t>分）</w:t>
            </w:r>
          </w:p>
          <w:p w14:paraId="52249834">
            <w:pPr>
              <w:spacing w:line="320" w:lineRule="exact"/>
              <w:rPr>
                <w:bCs/>
                <w:color w:val="auto"/>
                <w:szCs w:val="21"/>
                <w:highlight w:val="none"/>
              </w:rPr>
            </w:pPr>
            <w:r>
              <w:rPr>
                <w:bCs/>
                <w:color w:val="auto"/>
                <w:szCs w:val="21"/>
                <w:highlight w:val="none"/>
              </w:rPr>
              <w:t>根据投标人提供的智慧文旅实训室建设方案进行综合评议，需包含但不限于以下要求：</w:t>
            </w:r>
          </w:p>
          <w:p w14:paraId="2B9D0B53">
            <w:pPr>
              <w:widowControl/>
              <w:spacing w:line="320" w:lineRule="exact"/>
              <w:ind w:left="360" w:hanging="360"/>
              <w:rPr>
                <w:bCs/>
                <w:color w:val="auto"/>
                <w:szCs w:val="21"/>
                <w:highlight w:val="none"/>
              </w:rPr>
            </w:pPr>
            <w:r>
              <w:rPr>
                <w:bCs/>
                <w:color w:val="auto"/>
                <w:szCs w:val="21"/>
                <w:highlight w:val="none"/>
              </w:rPr>
              <w:t>1）建设方案</w:t>
            </w:r>
            <w:r>
              <w:rPr>
                <w:rFonts w:hint="eastAsia"/>
                <w:bCs/>
                <w:color w:val="auto"/>
                <w:szCs w:val="21"/>
                <w:highlight w:val="none"/>
              </w:rPr>
              <w:t>思路是否清晰，整体架构是否明确。</w:t>
            </w:r>
          </w:p>
          <w:p w14:paraId="78054340">
            <w:pPr>
              <w:widowControl/>
              <w:spacing w:line="320" w:lineRule="exact"/>
              <w:ind w:left="360" w:hanging="360"/>
              <w:rPr>
                <w:bCs/>
                <w:color w:val="auto"/>
                <w:szCs w:val="21"/>
                <w:highlight w:val="none"/>
              </w:rPr>
            </w:pPr>
            <w:r>
              <w:rPr>
                <w:bCs/>
                <w:color w:val="auto"/>
                <w:szCs w:val="21"/>
                <w:highlight w:val="none"/>
              </w:rPr>
              <w:t>2）建设方案是否符合智慧文旅实训室文化主题，是否突出优势、亮点；</w:t>
            </w:r>
          </w:p>
          <w:p w14:paraId="6DDBC50B">
            <w:pPr>
              <w:spacing w:line="320" w:lineRule="exact"/>
              <w:rPr>
                <w:bCs/>
                <w:color w:val="auto"/>
                <w:szCs w:val="21"/>
                <w:highlight w:val="none"/>
              </w:rPr>
            </w:pPr>
            <w:r>
              <w:rPr>
                <w:rFonts w:hint="eastAsia"/>
                <w:bCs/>
                <w:color w:val="auto"/>
                <w:szCs w:val="21"/>
                <w:highlight w:val="none"/>
              </w:rPr>
              <w:t>3）</w:t>
            </w:r>
            <w:r>
              <w:rPr>
                <w:bCs/>
                <w:color w:val="auto"/>
                <w:szCs w:val="21"/>
                <w:highlight w:val="none"/>
              </w:rPr>
              <w:t>施工组织方案</w:t>
            </w:r>
            <w:r>
              <w:rPr>
                <w:rFonts w:hint="eastAsia"/>
                <w:bCs/>
                <w:color w:val="auto"/>
                <w:szCs w:val="21"/>
                <w:highlight w:val="none"/>
              </w:rPr>
              <w:t>（主要机具、材料选用、施工技术措施等）</w:t>
            </w:r>
            <w:r>
              <w:rPr>
                <w:bCs/>
                <w:color w:val="auto"/>
                <w:szCs w:val="21"/>
                <w:highlight w:val="none"/>
              </w:rPr>
              <w:t>及措施</w:t>
            </w:r>
            <w:r>
              <w:rPr>
                <w:rFonts w:hint="eastAsia"/>
                <w:bCs/>
                <w:color w:val="auto"/>
                <w:szCs w:val="21"/>
                <w:highlight w:val="none"/>
              </w:rPr>
              <w:t>（成品保护、质量问题防治等）</w:t>
            </w:r>
            <w:r>
              <w:rPr>
                <w:bCs/>
                <w:color w:val="auto"/>
                <w:szCs w:val="21"/>
                <w:highlight w:val="none"/>
              </w:rPr>
              <w:t>是否完整，质量问题原因分析防治措施是否贴合实际建设，安全管理是否到位；</w:t>
            </w:r>
          </w:p>
          <w:p w14:paraId="53116469">
            <w:pPr>
              <w:spacing w:line="320" w:lineRule="exact"/>
              <w:rPr>
                <w:bCs/>
                <w:color w:val="auto"/>
                <w:szCs w:val="21"/>
                <w:highlight w:val="none"/>
              </w:rPr>
            </w:pPr>
            <w:r>
              <w:rPr>
                <w:rFonts w:hint="eastAsia"/>
                <w:bCs/>
                <w:color w:val="auto"/>
                <w:szCs w:val="21"/>
                <w:highlight w:val="none"/>
              </w:rPr>
              <w:t>建设方案思路清晰及整体架构清晰明确，</w:t>
            </w:r>
            <w:r>
              <w:rPr>
                <w:bCs/>
                <w:color w:val="auto"/>
                <w:szCs w:val="21"/>
                <w:highlight w:val="none"/>
              </w:rPr>
              <w:t>主题</w:t>
            </w:r>
            <w:r>
              <w:rPr>
                <w:rFonts w:hint="eastAsia"/>
                <w:bCs/>
                <w:color w:val="auto"/>
                <w:szCs w:val="21"/>
                <w:highlight w:val="none"/>
                <w:lang w:val="en-US" w:eastAsia="zh-CN"/>
              </w:rPr>
              <w:t>内容</w:t>
            </w:r>
            <w:r>
              <w:rPr>
                <w:bCs/>
                <w:color w:val="auto"/>
                <w:szCs w:val="21"/>
                <w:highlight w:val="none"/>
              </w:rPr>
              <w:t>突出</w:t>
            </w:r>
            <w:r>
              <w:rPr>
                <w:rFonts w:hint="eastAsia"/>
                <w:bCs/>
                <w:color w:val="auto"/>
                <w:szCs w:val="21"/>
                <w:highlight w:val="none"/>
                <w:lang w:val="en-US" w:eastAsia="zh-CN"/>
              </w:rPr>
              <w:t>有特色</w:t>
            </w:r>
            <w:r>
              <w:rPr>
                <w:bCs/>
                <w:color w:val="auto"/>
                <w:szCs w:val="21"/>
                <w:highlight w:val="none"/>
              </w:rPr>
              <w:t>，</w:t>
            </w:r>
            <w:r>
              <w:rPr>
                <w:rFonts w:hint="eastAsia"/>
                <w:bCs/>
                <w:color w:val="auto"/>
                <w:szCs w:val="21"/>
                <w:highlight w:val="none"/>
              </w:rPr>
              <w:t>施工组织及措施完善并契合实际</w:t>
            </w:r>
            <w:r>
              <w:rPr>
                <w:bCs/>
                <w:color w:val="auto"/>
                <w:szCs w:val="21"/>
                <w:highlight w:val="none"/>
              </w:rPr>
              <w:t>的，得</w:t>
            </w:r>
            <w:r>
              <w:rPr>
                <w:rFonts w:hint="eastAsia"/>
                <w:bCs/>
                <w:color w:val="auto"/>
                <w:szCs w:val="21"/>
                <w:highlight w:val="none"/>
                <w:lang w:val="en-US" w:eastAsia="zh-CN"/>
              </w:rPr>
              <w:t>8</w:t>
            </w:r>
            <w:r>
              <w:rPr>
                <w:bCs/>
                <w:color w:val="auto"/>
                <w:szCs w:val="21"/>
                <w:highlight w:val="none"/>
              </w:rPr>
              <w:t>分；</w:t>
            </w:r>
          </w:p>
          <w:p w14:paraId="2640DBC3">
            <w:pPr>
              <w:spacing w:line="320" w:lineRule="exact"/>
              <w:rPr>
                <w:rFonts w:hint="eastAsia"/>
                <w:bCs/>
                <w:color w:val="auto"/>
                <w:szCs w:val="21"/>
                <w:highlight w:val="none"/>
              </w:rPr>
            </w:pPr>
            <w:r>
              <w:rPr>
                <w:bCs/>
                <w:color w:val="auto"/>
                <w:szCs w:val="21"/>
                <w:highlight w:val="none"/>
              </w:rPr>
              <w:t>建设方案</w:t>
            </w:r>
            <w:r>
              <w:rPr>
                <w:rFonts w:hint="eastAsia"/>
                <w:bCs/>
                <w:color w:val="auto"/>
                <w:szCs w:val="21"/>
                <w:highlight w:val="none"/>
              </w:rPr>
              <w:t>思路及整体架构清晰明确，</w:t>
            </w:r>
            <w:r>
              <w:rPr>
                <w:bCs/>
                <w:color w:val="auto"/>
                <w:szCs w:val="21"/>
                <w:highlight w:val="none"/>
              </w:rPr>
              <w:t>主题基本满足建设需求</w:t>
            </w:r>
            <w:r>
              <w:rPr>
                <w:rFonts w:hint="eastAsia"/>
                <w:bCs/>
                <w:color w:val="auto"/>
                <w:szCs w:val="21"/>
                <w:highlight w:val="none"/>
                <w:lang w:val="en-US" w:eastAsia="zh-CN"/>
              </w:rPr>
              <w:t>有一定特色</w:t>
            </w:r>
            <w:r>
              <w:rPr>
                <w:bCs/>
                <w:color w:val="auto"/>
                <w:szCs w:val="21"/>
                <w:highlight w:val="none"/>
              </w:rPr>
              <w:t>，</w:t>
            </w:r>
            <w:r>
              <w:rPr>
                <w:rFonts w:hint="eastAsia"/>
                <w:bCs/>
                <w:color w:val="auto"/>
                <w:szCs w:val="21"/>
                <w:highlight w:val="none"/>
              </w:rPr>
              <w:t>施工组织及措施基本完善</w:t>
            </w:r>
            <w:r>
              <w:rPr>
                <w:bCs/>
                <w:color w:val="auto"/>
                <w:szCs w:val="21"/>
                <w:highlight w:val="none"/>
              </w:rPr>
              <w:t>，但缺</w:t>
            </w:r>
            <w:r>
              <w:rPr>
                <w:rFonts w:hint="eastAsia"/>
                <w:bCs/>
                <w:color w:val="auto"/>
                <w:szCs w:val="21"/>
                <w:highlight w:val="none"/>
              </w:rPr>
              <w:t>乏针对性的，得</w:t>
            </w:r>
            <w:r>
              <w:rPr>
                <w:rFonts w:hint="eastAsia"/>
                <w:bCs/>
                <w:color w:val="auto"/>
                <w:szCs w:val="21"/>
                <w:highlight w:val="none"/>
                <w:lang w:val="en-US" w:eastAsia="zh-CN"/>
              </w:rPr>
              <w:t>6</w:t>
            </w:r>
            <w:r>
              <w:rPr>
                <w:rFonts w:hint="eastAsia"/>
                <w:bCs/>
                <w:color w:val="auto"/>
                <w:szCs w:val="21"/>
                <w:highlight w:val="none"/>
              </w:rPr>
              <w:t>分；</w:t>
            </w:r>
          </w:p>
          <w:p w14:paraId="40EA389E">
            <w:pPr>
              <w:spacing w:line="320" w:lineRule="exact"/>
              <w:rPr>
                <w:rFonts w:hint="eastAsia"/>
                <w:bCs/>
                <w:color w:val="auto"/>
                <w:szCs w:val="21"/>
                <w:highlight w:val="none"/>
              </w:rPr>
            </w:pPr>
            <w:r>
              <w:rPr>
                <w:rFonts w:hint="eastAsia"/>
                <w:bCs/>
                <w:color w:val="auto"/>
                <w:szCs w:val="21"/>
                <w:highlight w:val="none"/>
              </w:rPr>
              <w:t>建设方案思路及整体架构基本清晰明确，主题基本满足建设需求</w:t>
            </w:r>
            <w:r>
              <w:rPr>
                <w:rFonts w:hint="eastAsia"/>
                <w:bCs/>
                <w:color w:val="auto"/>
                <w:szCs w:val="21"/>
                <w:highlight w:val="none"/>
                <w:lang w:val="en-US" w:eastAsia="zh-CN"/>
              </w:rPr>
              <w:t>但无特色</w:t>
            </w:r>
            <w:r>
              <w:rPr>
                <w:rFonts w:hint="eastAsia"/>
                <w:bCs/>
                <w:color w:val="auto"/>
                <w:szCs w:val="21"/>
                <w:highlight w:val="none"/>
              </w:rPr>
              <w:t>，施工组织及措施基本完善，但缺乏针对性的，得</w:t>
            </w:r>
            <w:r>
              <w:rPr>
                <w:rFonts w:hint="eastAsia"/>
                <w:bCs/>
                <w:color w:val="auto"/>
                <w:szCs w:val="21"/>
                <w:highlight w:val="none"/>
                <w:lang w:val="en-US" w:eastAsia="zh-CN"/>
              </w:rPr>
              <w:t>4</w:t>
            </w:r>
            <w:r>
              <w:rPr>
                <w:rFonts w:hint="eastAsia"/>
                <w:bCs/>
                <w:color w:val="auto"/>
                <w:szCs w:val="21"/>
                <w:highlight w:val="none"/>
              </w:rPr>
              <w:t>分；</w:t>
            </w:r>
          </w:p>
          <w:p w14:paraId="625FDA96">
            <w:pPr>
              <w:spacing w:line="320" w:lineRule="exact"/>
              <w:rPr>
                <w:bCs/>
                <w:color w:val="auto"/>
                <w:szCs w:val="21"/>
                <w:highlight w:val="none"/>
              </w:rPr>
            </w:pPr>
            <w:r>
              <w:rPr>
                <w:bCs/>
                <w:color w:val="auto"/>
                <w:szCs w:val="21"/>
                <w:highlight w:val="none"/>
              </w:rPr>
              <w:t>建设方案</w:t>
            </w:r>
            <w:r>
              <w:rPr>
                <w:rFonts w:hint="eastAsia"/>
                <w:bCs/>
                <w:color w:val="auto"/>
                <w:szCs w:val="21"/>
                <w:highlight w:val="none"/>
              </w:rPr>
              <w:t>思路及整体架构混乱，主题</w:t>
            </w:r>
            <w:r>
              <w:rPr>
                <w:rFonts w:hint="eastAsia"/>
                <w:bCs/>
                <w:color w:val="auto"/>
                <w:szCs w:val="21"/>
                <w:highlight w:val="none"/>
                <w:lang w:val="en-US" w:eastAsia="zh-CN"/>
              </w:rPr>
              <w:t>与</w:t>
            </w:r>
            <w:r>
              <w:rPr>
                <w:rFonts w:hint="eastAsia"/>
                <w:bCs/>
                <w:color w:val="auto"/>
                <w:szCs w:val="21"/>
                <w:highlight w:val="none"/>
              </w:rPr>
              <w:t>建设需求</w:t>
            </w:r>
            <w:r>
              <w:rPr>
                <w:rFonts w:hint="eastAsia"/>
                <w:bCs/>
                <w:color w:val="auto"/>
                <w:szCs w:val="21"/>
                <w:highlight w:val="none"/>
                <w:lang w:val="en-US" w:eastAsia="zh-CN"/>
              </w:rPr>
              <w:t>差异较大</w:t>
            </w:r>
            <w:r>
              <w:rPr>
                <w:bCs/>
                <w:color w:val="auto"/>
                <w:szCs w:val="21"/>
                <w:highlight w:val="none"/>
              </w:rPr>
              <w:t>，</w:t>
            </w:r>
            <w:r>
              <w:rPr>
                <w:rFonts w:hint="eastAsia"/>
                <w:bCs/>
                <w:color w:val="auto"/>
                <w:szCs w:val="21"/>
                <w:highlight w:val="none"/>
              </w:rPr>
              <w:t>施工组织及措施</w:t>
            </w:r>
            <w:r>
              <w:rPr>
                <w:color w:val="auto"/>
                <w:szCs w:val="21"/>
                <w:highlight w:val="none"/>
              </w:rPr>
              <w:t>内容简单，可执行力低</w:t>
            </w:r>
            <w:r>
              <w:rPr>
                <w:bCs/>
                <w:color w:val="auto"/>
                <w:szCs w:val="21"/>
                <w:highlight w:val="none"/>
              </w:rPr>
              <w:t>的，得2分；</w:t>
            </w:r>
          </w:p>
          <w:p w14:paraId="780A216A">
            <w:pPr>
              <w:widowControl/>
              <w:spacing w:line="320" w:lineRule="exact"/>
              <w:rPr>
                <w:b/>
                <w:color w:val="auto"/>
                <w:szCs w:val="21"/>
                <w:highlight w:val="none"/>
              </w:rPr>
            </w:pPr>
            <w:r>
              <w:rPr>
                <w:bCs/>
                <w:color w:val="auto"/>
                <w:szCs w:val="21"/>
                <w:highlight w:val="none"/>
              </w:rPr>
              <w:t>未提供的不得分。</w:t>
            </w:r>
          </w:p>
        </w:tc>
        <w:tc>
          <w:tcPr>
            <w:tcW w:w="502" w:type="dxa"/>
            <w:vAlign w:val="center"/>
          </w:tcPr>
          <w:p w14:paraId="5E129712">
            <w:pPr>
              <w:spacing w:line="320" w:lineRule="exact"/>
              <w:contextualSpacing/>
              <w:jc w:val="center"/>
              <w:rPr>
                <w:color w:val="auto"/>
                <w:szCs w:val="21"/>
                <w:highlight w:val="none"/>
              </w:rPr>
            </w:pPr>
          </w:p>
        </w:tc>
      </w:tr>
      <w:tr w14:paraId="2F2D9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95" w:type="dxa"/>
            <w:vMerge w:val="continue"/>
            <w:textDirection w:val="tbRlV"/>
            <w:vAlign w:val="center"/>
          </w:tcPr>
          <w:p w14:paraId="6D3E0ED3">
            <w:pPr>
              <w:widowControl/>
              <w:spacing w:line="320" w:lineRule="exact"/>
              <w:ind w:left="113" w:right="113"/>
              <w:contextualSpacing/>
              <w:jc w:val="center"/>
              <w:rPr>
                <w:color w:val="auto"/>
                <w:szCs w:val="21"/>
                <w:highlight w:val="none"/>
              </w:rPr>
            </w:pPr>
          </w:p>
        </w:tc>
        <w:tc>
          <w:tcPr>
            <w:tcW w:w="9003" w:type="dxa"/>
            <w:vAlign w:val="center"/>
          </w:tcPr>
          <w:p w14:paraId="3EDE33AB">
            <w:pPr>
              <w:widowControl/>
              <w:spacing w:line="320" w:lineRule="exact"/>
              <w:rPr>
                <w:b/>
                <w:bCs/>
                <w:color w:val="auto"/>
                <w:szCs w:val="21"/>
                <w:highlight w:val="none"/>
              </w:rPr>
            </w:pPr>
            <w:r>
              <w:rPr>
                <w:b/>
                <w:bCs/>
                <w:color w:val="auto"/>
                <w:szCs w:val="21"/>
                <w:highlight w:val="none"/>
              </w:rPr>
              <w:t>供货方案（</w:t>
            </w:r>
            <w:r>
              <w:rPr>
                <w:rFonts w:hint="eastAsia"/>
                <w:b/>
                <w:bCs/>
                <w:color w:val="auto"/>
                <w:szCs w:val="21"/>
                <w:highlight w:val="none"/>
                <w:lang w:val="en-US" w:eastAsia="zh-CN"/>
              </w:rPr>
              <w:t>6</w:t>
            </w:r>
            <w:r>
              <w:rPr>
                <w:b/>
                <w:bCs/>
                <w:color w:val="auto"/>
                <w:szCs w:val="21"/>
                <w:highlight w:val="none"/>
              </w:rPr>
              <w:t>分）</w:t>
            </w:r>
          </w:p>
          <w:p w14:paraId="0317AD22">
            <w:pPr>
              <w:widowControl/>
              <w:spacing w:line="320" w:lineRule="exact"/>
              <w:rPr>
                <w:bCs/>
                <w:color w:val="auto"/>
                <w:szCs w:val="21"/>
                <w:highlight w:val="none"/>
              </w:rPr>
            </w:pPr>
            <w:r>
              <w:rPr>
                <w:bCs/>
                <w:color w:val="auto"/>
                <w:szCs w:val="21"/>
                <w:highlight w:val="none"/>
              </w:rPr>
              <w:t>根据投标人提供的供货方案进行综合评议，需包括但不限于以下要点：</w:t>
            </w:r>
          </w:p>
          <w:p w14:paraId="52F42D77">
            <w:pPr>
              <w:widowControl/>
              <w:spacing w:line="320" w:lineRule="exact"/>
              <w:ind w:left="360" w:hanging="360"/>
              <w:rPr>
                <w:bCs/>
                <w:color w:val="auto"/>
                <w:szCs w:val="21"/>
                <w:highlight w:val="none"/>
              </w:rPr>
            </w:pPr>
            <w:r>
              <w:rPr>
                <w:bCs/>
                <w:color w:val="auto"/>
                <w:szCs w:val="21"/>
                <w:highlight w:val="none"/>
              </w:rPr>
              <w:t>1）投标产品的采购方案实施步骤是否详细、条理清晰；</w:t>
            </w:r>
          </w:p>
          <w:p w14:paraId="15088BC1">
            <w:pPr>
              <w:widowControl/>
              <w:spacing w:line="320" w:lineRule="exact"/>
              <w:ind w:left="360" w:hanging="360"/>
              <w:rPr>
                <w:bCs/>
                <w:color w:val="auto"/>
                <w:szCs w:val="21"/>
                <w:highlight w:val="none"/>
              </w:rPr>
            </w:pPr>
            <w:r>
              <w:rPr>
                <w:bCs/>
                <w:color w:val="auto"/>
                <w:szCs w:val="21"/>
                <w:highlight w:val="none"/>
              </w:rPr>
              <w:t>2）时间进度安排是否合理，满足招标文件要求；</w:t>
            </w:r>
          </w:p>
          <w:p w14:paraId="6830149C">
            <w:pPr>
              <w:widowControl/>
              <w:spacing w:line="320" w:lineRule="exact"/>
              <w:ind w:left="360" w:hanging="360"/>
              <w:rPr>
                <w:bCs/>
                <w:color w:val="auto"/>
                <w:szCs w:val="21"/>
                <w:highlight w:val="none"/>
              </w:rPr>
            </w:pPr>
            <w:r>
              <w:rPr>
                <w:bCs/>
                <w:color w:val="auto"/>
                <w:szCs w:val="21"/>
                <w:highlight w:val="none"/>
              </w:rPr>
              <w:t>3）包装、运输方式、交货保障方案是否具有可操作性；</w:t>
            </w:r>
          </w:p>
          <w:p w14:paraId="6D79FA39">
            <w:pPr>
              <w:widowControl/>
              <w:spacing w:line="320" w:lineRule="exact"/>
              <w:rPr>
                <w:bCs/>
                <w:color w:val="auto"/>
                <w:szCs w:val="21"/>
                <w:highlight w:val="none"/>
              </w:rPr>
            </w:pPr>
            <w:r>
              <w:rPr>
                <w:bCs/>
                <w:color w:val="auto"/>
                <w:szCs w:val="21"/>
                <w:highlight w:val="none"/>
              </w:rPr>
              <w:t>供货方案</w:t>
            </w:r>
            <w:r>
              <w:rPr>
                <w:color w:val="auto"/>
                <w:kern w:val="0"/>
                <w:highlight w:val="none"/>
              </w:rPr>
              <w:t>描述详细完善</w:t>
            </w:r>
            <w:r>
              <w:rPr>
                <w:bCs/>
                <w:color w:val="auto"/>
                <w:szCs w:val="21"/>
                <w:highlight w:val="none"/>
              </w:rPr>
              <w:t>，时间节点安排清晰，交货方式有保障，</w:t>
            </w:r>
            <w:r>
              <w:rPr>
                <w:color w:val="auto"/>
                <w:kern w:val="0"/>
                <w:highlight w:val="none"/>
              </w:rPr>
              <w:t>能安全及时的交货</w:t>
            </w:r>
            <w:r>
              <w:rPr>
                <w:bCs/>
                <w:color w:val="auto"/>
                <w:szCs w:val="21"/>
                <w:highlight w:val="none"/>
              </w:rPr>
              <w:t>得</w:t>
            </w:r>
            <w:r>
              <w:rPr>
                <w:rFonts w:hint="eastAsia"/>
                <w:bCs/>
                <w:color w:val="auto"/>
                <w:szCs w:val="21"/>
                <w:highlight w:val="none"/>
                <w:lang w:val="en-US" w:eastAsia="zh-CN"/>
              </w:rPr>
              <w:t>6</w:t>
            </w:r>
            <w:r>
              <w:rPr>
                <w:bCs/>
                <w:color w:val="auto"/>
                <w:szCs w:val="21"/>
                <w:highlight w:val="none"/>
              </w:rPr>
              <w:t>分；</w:t>
            </w:r>
          </w:p>
          <w:p w14:paraId="7ACE1844">
            <w:pPr>
              <w:widowControl/>
              <w:spacing w:line="320" w:lineRule="exact"/>
              <w:rPr>
                <w:bCs/>
                <w:color w:val="auto"/>
                <w:szCs w:val="21"/>
                <w:highlight w:val="none"/>
              </w:rPr>
            </w:pPr>
            <w:r>
              <w:rPr>
                <w:bCs/>
                <w:color w:val="auto"/>
                <w:szCs w:val="21"/>
                <w:highlight w:val="none"/>
              </w:rPr>
              <w:t>供货方案</w:t>
            </w:r>
            <w:r>
              <w:rPr>
                <w:color w:val="auto"/>
                <w:kern w:val="0"/>
                <w:highlight w:val="none"/>
              </w:rPr>
              <w:t>描述基本完整</w:t>
            </w:r>
            <w:r>
              <w:rPr>
                <w:bCs/>
                <w:color w:val="auto"/>
                <w:szCs w:val="21"/>
                <w:highlight w:val="none"/>
              </w:rPr>
              <w:t>，有基本的时间节点安排，有基础的交货保障性得</w:t>
            </w:r>
            <w:r>
              <w:rPr>
                <w:rFonts w:hint="eastAsia"/>
                <w:bCs/>
                <w:color w:val="auto"/>
                <w:szCs w:val="21"/>
                <w:highlight w:val="none"/>
                <w:lang w:val="en-US" w:eastAsia="zh-CN"/>
              </w:rPr>
              <w:t>4</w:t>
            </w:r>
            <w:r>
              <w:rPr>
                <w:bCs/>
                <w:color w:val="auto"/>
                <w:szCs w:val="21"/>
                <w:highlight w:val="none"/>
              </w:rPr>
              <w:t>分；</w:t>
            </w:r>
          </w:p>
          <w:p w14:paraId="2160717A">
            <w:pPr>
              <w:widowControl/>
              <w:spacing w:line="320" w:lineRule="exact"/>
              <w:rPr>
                <w:bCs/>
                <w:color w:val="auto"/>
                <w:szCs w:val="21"/>
                <w:highlight w:val="none"/>
              </w:rPr>
            </w:pPr>
            <w:r>
              <w:rPr>
                <w:bCs/>
                <w:color w:val="auto"/>
                <w:szCs w:val="21"/>
                <w:highlight w:val="none"/>
              </w:rPr>
              <w:t>供货方案内容简单、缺乏针对性、时间安排含糊不清、交货保障性不确定的得</w:t>
            </w:r>
            <w:r>
              <w:rPr>
                <w:rFonts w:hint="eastAsia"/>
                <w:bCs/>
                <w:color w:val="auto"/>
                <w:szCs w:val="21"/>
                <w:highlight w:val="none"/>
                <w:lang w:val="en-US" w:eastAsia="zh-CN"/>
              </w:rPr>
              <w:t>2</w:t>
            </w:r>
            <w:r>
              <w:rPr>
                <w:bCs/>
                <w:color w:val="auto"/>
                <w:szCs w:val="21"/>
                <w:highlight w:val="none"/>
              </w:rPr>
              <w:t>分；</w:t>
            </w:r>
          </w:p>
          <w:p w14:paraId="5C9F87AE">
            <w:pPr>
              <w:widowControl/>
              <w:spacing w:line="320" w:lineRule="exact"/>
              <w:rPr>
                <w:bCs/>
                <w:color w:val="auto"/>
                <w:sz w:val="20"/>
                <w:szCs w:val="20"/>
                <w:highlight w:val="none"/>
              </w:rPr>
            </w:pPr>
            <w:r>
              <w:rPr>
                <w:bCs/>
                <w:color w:val="auto"/>
                <w:szCs w:val="21"/>
                <w:highlight w:val="none"/>
              </w:rPr>
              <w:t>未提供的不得分。</w:t>
            </w:r>
          </w:p>
        </w:tc>
        <w:tc>
          <w:tcPr>
            <w:tcW w:w="502" w:type="dxa"/>
            <w:vAlign w:val="center"/>
          </w:tcPr>
          <w:p w14:paraId="0CF84B6A">
            <w:pPr>
              <w:spacing w:line="320" w:lineRule="exact"/>
              <w:contextualSpacing/>
              <w:jc w:val="center"/>
              <w:rPr>
                <w:color w:val="auto"/>
                <w:szCs w:val="21"/>
                <w:highlight w:val="none"/>
              </w:rPr>
            </w:pPr>
          </w:p>
        </w:tc>
      </w:tr>
      <w:tr w14:paraId="1C775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5" w:hRule="atLeast"/>
          <w:jc w:val="center"/>
        </w:trPr>
        <w:tc>
          <w:tcPr>
            <w:tcW w:w="695" w:type="dxa"/>
            <w:vMerge w:val="continue"/>
            <w:textDirection w:val="tbRlV"/>
            <w:vAlign w:val="center"/>
          </w:tcPr>
          <w:p w14:paraId="2D72BD91">
            <w:pPr>
              <w:widowControl/>
              <w:spacing w:line="320" w:lineRule="exact"/>
              <w:ind w:left="113" w:right="113"/>
              <w:contextualSpacing/>
              <w:jc w:val="center"/>
              <w:rPr>
                <w:color w:val="auto"/>
                <w:szCs w:val="21"/>
                <w:highlight w:val="none"/>
              </w:rPr>
            </w:pPr>
          </w:p>
        </w:tc>
        <w:tc>
          <w:tcPr>
            <w:tcW w:w="9003" w:type="dxa"/>
            <w:vAlign w:val="center"/>
          </w:tcPr>
          <w:p w14:paraId="3CF98EAE">
            <w:pPr>
              <w:widowControl/>
              <w:spacing w:line="320" w:lineRule="exact"/>
              <w:rPr>
                <w:b/>
                <w:bCs/>
                <w:color w:val="auto"/>
                <w:szCs w:val="21"/>
                <w:highlight w:val="none"/>
              </w:rPr>
            </w:pPr>
            <w:r>
              <w:rPr>
                <w:b/>
                <w:bCs/>
                <w:color w:val="auto"/>
                <w:szCs w:val="21"/>
                <w:highlight w:val="none"/>
              </w:rPr>
              <w:t>安装、调试方案（</w:t>
            </w:r>
            <w:r>
              <w:rPr>
                <w:rFonts w:hint="eastAsia"/>
                <w:b/>
                <w:bCs/>
                <w:color w:val="auto"/>
                <w:szCs w:val="21"/>
                <w:highlight w:val="none"/>
                <w:lang w:val="en-US" w:eastAsia="zh-CN"/>
              </w:rPr>
              <w:t>6</w:t>
            </w:r>
            <w:r>
              <w:rPr>
                <w:b/>
                <w:bCs/>
                <w:color w:val="auto"/>
                <w:szCs w:val="21"/>
                <w:highlight w:val="none"/>
              </w:rPr>
              <w:t>分）</w:t>
            </w:r>
          </w:p>
          <w:p w14:paraId="29B2A4DB">
            <w:pPr>
              <w:widowControl/>
              <w:spacing w:line="320" w:lineRule="exact"/>
              <w:rPr>
                <w:bCs/>
                <w:color w:val="auto"/>
                <w:szCs w:val="21"/>
                <w:highlight w:val="none"/>
              </w:rPr>
            </w:pPr>
            <w:r>
              <w:rPr>
                <w:bCs/>
                <w:color w:val="auto"/>
                <w:szCs w:val="21"/>
                <w:highlight w:val="none"/>
              </w:rPr>
              <w:t>根据投标人提供的安装、调试方案进行综合评议，需包含但不限于以下要点：</w:t>
            </w:r>
          </w:p>
          <w:p w14:paraId="2A5B83DC">
            <w:pPr>
              <w:widowControl/>
              <w:spacing w:line="320" w:lineRule="exact"/>
              <w:ind w:left="360" w:hanging="360"/>
              <w:rPr>
                <w:bCs/>
                <w:color w:val="auto"/>
                <w:szCs w:val="21"/>
                <w:highlight w:val="none"/>
              </w:rPr>
            </w:pPr>
            <w:r>
              <w:rPr>
                <w:bCs/>
                <w:color w:val="auto"/>
                <w:szCs w:val="21"/>
                <w:highlight w:val="none"/>
              </w:rPr>
              <w:t>1）安装方案是否根据现场情况进行制定，符合实际需求；</w:t>
            </w:r>
          </w:p>
          <w:p w14:paraId="7066E6D5">
            <w:pPr>
              <w:widowControl/>
              <w:spacing w:line="320" w:lineRule="exact"/>
              <w:ind w:left="360" w:hanging="360"/>
              <w:rPr>
                <w:bCs/>
                <w:color w:val="auto"/>
                <w:szCs w:val="21"/>
                <w:highlight w:val="none"/>
              </w:rPr>
            </w:pPr>
            <w:r>
              <w:rPr>
                <w:bCs/>
                <w:color w:val="auto"/>
                <w:szCs w:val="21"/>
                <w:highlight w:val="none"/>
              </w:rPr>
              <w:t>2）调试和试运行方案是否详细、完整；</w:t>
            </w:r>
          </w:p>
          <w:p w14:paraId="38599183">
            <w:pPr>
              <w:widowControl/>
              <w:spacing w:line="320" w:lineRule="exact"/>
              <w:ind w:left="360" w:hanging="360"/>
              <w:rPr>
                <w:bCs/>
                <w:color w:val="auto"/>
                <w:szCs w:val="21"/>
                <w:highlight w:val="none"/>
              </w:rPr>
            </w:pPr>
            <w:r>
              <w:rPr>
                <w:bCs/>
                <w:color w:val="auto"/>
                <w:szCs w:val="21"/>
                <w:highlight w:val="none"/>
              </w:rPr>
              <w:t>3）对安装、调试、试运行中出现的突发事件预案是否周到全面，解决方式是否合理有效；</w:t>
            </w:r>
          </w:p>
          <w:p w14:paraId="3C131A45">
            <w:pPr>
              <w:widowControl/>
              <w:spacing w:line="320" w:lineRule="exact"/>
              <w:rPr>
                <w:bCs/>
                <w:color w:val="auto"/>
                <w:szCs w:val="21"/>
                <w:highlight w:val="none"/>
              </w:rPr>
            </w:pPr>
            <w:r>
              <w:rPr>
                <w:bCs/>
                <w:color w:val="auto"/>
                <w:szCs w:val="21"/>
                <w:highlight w:val="none"/>
              </w:rPr>
              <w:t>对现场情况熟悉、安装方案贴合现场实际进行制定，调试和试运行方案具体、操作性强得</w:t>
            </w:r>
            <w:r>
              <w:rPr>
                <w:rFonts w:hint="eastAsia"/>
                <w:bCs/>
                <w:color w:val="auto"/>
                <w:szCs w:val="21"/>
                <w:highlight w:val="none"/>
                <w:lang w:val="en-US" w:eastAsia="zh-CN"/>
              </w:rPr>
              <w:t>6</w:t>
            </w:r>
            <w:r>
              <w:rPr>
                <w:bCs/>
                <w:color w:val="auto"/>
                <w:szCs w:val="21"/>
                <w:highlight w:val="none"/>
              </w:rPr>
              <w:t>分；</w:t>
            </w:r>
          </w:p>
          <w:p w14:paraId="5822D505">
            <w:pPr>
              <w:widowControl/>
              <w:spacing w:line="320" w:lineRule="exact"/>
              <w:rPr>
                <w:bCs/>
                <w:color w:val="auto"/>
                <w:szCs w:val="21"/>
                <w:highlight w:val="none"/>
              </w:rPr>
            </w:pPr>
            <w:r>
              <w:rPr>
                <w:bCs/>
                <w:color w:val="auto"/>
                <w:szCs w:val="21"/>
                <w:highlight w:val="none"/>
              </w:rPr>
              <w:t>了解安装现场情况，安装方案和试运行方案比较清晰得</w:t>
            </w:r>
            <w:r>
              <w:rPr>
                <w:rFonts w:hint="eastAsia"/>
                <w:bCs/>
                <w:color w:val="auto"/>
                <w:szCs w:val="21"/>
                <w:highlight w:val="none"/>
                <w:lang w:val="en-US" w:eastAsia="zh-CN"/>
              </w:rPr>
              <w:t>4</w:t>
            </w:r>
            <w:r>
              <w:rPr>
                <w:bCs/>
                <w:color w:val="auto"/>
                <w:szCs w:val="21"/>
                <w:highlight w:val="none"/>
              </w:rPr>
              <w:t>分；</w:t>
            </w:r>
          </w:p>
          <w:p w14:paraId="42FD37AB">
            <w:pPr>
              <w:widowControl/>
              <w:spacing w:line="320" w:lineRule="exact"/>
              <w:rPr>
                <w:bCs/>
                <w:color w:val="auto"/>
                <w:szCs w:val="21"/>
                <w:highlight w:val="none"/>
              </w:rPr>
            </w:pPr>
            <w:r>
              <w:rPr>
                <w:bCs/>
                <w:color w:val="auto"/>
                <w:szCs w:val="21"/>
                <w:highlight w:val="none"/>
              </w:rPr>
              <w:t>安装方案和试运行方案内容简单得</w:t>
            </w:r>
            <w:r>
              <w:rPr>
                <w:rFonts w:hint="eastAsia"/>
                <w:bCs/>
                <w:color w:val="auto"/>
                <w:szCs w:val="21"/>
                <w:highlight w:val="none"/>
                <w:lang w:val="en-US" w:eastAsia="zh-CN"/>
              </w:rPr>
              <w:t>2</w:t>
            </w:r>
            <w:r>
              <w:rPr>
                <w:bCs/>
                <w:color w:val="auto"/>
                <w:szCs w:val="21"/>
                <w:highlight w:val="none"/>
              </w:rPr>
              <w:t>分；</w:t>
            </w:r>
          </w:p>
          <w:p w14:paraId="304CEDA5">
            <w:pPr>
              <w:widowControl/>
              <w:spacing w:line="320" w:lineRule="exact"/>
              <w:rPr>
                <w:bCs/>
                <w:color w:val="auto"/>
                <w:sz w:val="20"/>
                <w:szCs w:val="20"/>
                <w:highlight w:val="none"/>
              </w:rPr>
            </w:pPr>
            <w:r>
              <w:rPr>
                <w:bCs/>
                <w:color w:val="auto"/>
                <w:szCs w:val="21"/>
                <w:highlight w:val="none"/>
              </w:rPr>
              <w:t>未提供的不得分。</w:t>
            </w:r>
          </w:p>
        </w:tc>
        <w:tc>
          <w:tcPr>
            <w:tcW w:w="502" w:type="dxa"/>
            <w:vAlign w:val="center"/>
          </w:tcPr>
          <w:p w14:paraId="1A30B144">
            <w:pPr>
              <w:spacing w:line="320" w:lineRule="exact"/>
              <w:contextualSpacing/>
              <w:jc w:val="center"/>
              <w:rPr>
                <w:color w:val="auto"/>
                <w:szCs w:val="21"/>
                <w:highlight w:val="none"/>
              </w:rPr>
            </w:pPr>
          </w:p>
        </w:tc>
      </w:tr>
      <w:tr w14:paraId="37992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95" w:type="dxa"/>
            <w:vMerge w:val="continue"/>
            <w:textDirection w:val="tbRlV"/>
            <w:vAlign w:val="center"/>
          </w:tcPr>
          <w:p w14:paraId="25887EA0">
            <w:pPr>
              <w:widowControl/>
              <w:spacing w:line="320" w:lineRule="exact"/>
              <w:ind w:left="113" w:right="113"/>
              <w:contextualSpacing/>
              <w:jc w:val="center"/>
              <w:rPr>
                <w:color w:val="auto"/>
                <w:szCs w:val="21"/>
                <w:highlight w:val="none"/>
              </w:rPr>
            </w:pPr>
          </w:p>
        </w:tc>
        <w:tc>
          <w:tcPr>
            <w:tcW w:w="9003" w:type="dxa"/>
            <w:vAlign w:val="center"/>
          </w:tcPr>
          <w:p w14:paraId="392D7EEB">
            <w:pPr>
              <w:widowControl/>
              <w:spacing w:line="320" w:lineRule="exact"/>
              <w:rPr>
                <w:b/>
                <w:bCs/>
                <w:i/>
                <w:color w:val="auto"/>
                <w:szCs w:val="21"/>
                <w:highlight w:val="none"/>
              </w:rPr>
            </w:pPr>
            <w:r>
              <w:rPr>
                <w:b/>
                <w:bCs/>
                <w:color w:val="auto"/>
                <w:szCs w:val="21"/>
                <w:highlight w:val="none"/>
              </w:rPr>
              <w:t>验收方案（5分）</w:t>
            </w:r>
          </w:p>
          <w:p w14:paraId="5ED5CA6F">
            <w:pPr>
              <w:widowControl/>
              <w:spacing w:line="320" w:lineRule="exact"/>
              <w:rPr>
                <w:bCs/>
                <w:color w:val="auto"/>
                <w:szCs w:val="21"/>
                <w:highlight w:val="none"/>
              </w:rPr>
            </w:pPr>
            <w:r>
              <w:rPr>
                <w:bCs/>
                <w:color w:val="auto"/>
                <w:szCs w:val="21"/>
                <w:highlight w:val="none"/>
              </w:rPr>
              <w:t>对投标人提供的验收方案进行综合评议，需包含但不限于以下要求：</w:t>
            </w:r>
          </w:p>
          <w:p w14:paraId="6B82F17A">
            <w:pPr>
              <w:widowControl/>
              <w:spacing w:line="320" w:lineRule="exact"/>
              <w:ind w:left="360" w:hanging="360"/>
              <w:rPr>
                <w:bCs/>
                <w:color w:val="auto"/>
                <w:szCs w:val="21"/>
                <w:highlight w:val="none"/>
              </w:rPr>
            </w:pPr>
            <w:r>
              <w:rPr>
                <w:bCs/>
                <w:color w:val="auto"/>
                <w:szCs w:val="21"/>
                <w:highlight w:val="none"/>
              </w:rPr>
              <w:t>1）验收方式和方法是否合理、科学；</w:t>
            </w:r>
          </w:p>
          <w:p w14:paraId="1C13B7FC">
            <w:pPr>
              <w:widowControl/>
              <w:spacing w:line="320" w:lineRule="exact"/>
              <w:ind w:left="360" w:hanging="360"/>
              <w:rPr>
                <w:bCs/>
                <w:color w:val="auto"/>
                <w:szCs w:val="21"/>
                <w:highlight w:val="none"/>
              </w:rPr>
            </w:pPr>
            <w:r>
              <w:rPr>
                <w:bCs/>
                <w:color w:val="auto"/>
                <w:szCs w:val="21"/>
                <w:highlight w:val="none"/>
              </w:rPr>
              <w:t>2）验收标准是否明确、合理；</w:t>
            </w:r>
          </w:p>
          <w:p w14:paraId="582AC68E">
            <w:pPr>
              <w:widowControl/>
              <w:spacing w:line="320" w:lineRule="exact"/>
              <w:ind w:left="360" w:hanging="360"/>
              <w:rPr>
                <w:bCs/>
                <w:color w:val="auto"/>
                <w:szCs w:val="21"/>
                <w:highlight w:val="none"/>
              </w:rPr>
            </w:pPr>
            <w:r>
              <w:rPr>
                <w:bCs/>
                <w:color w:val="auto"/>
                <w:szCs w:val="21"/>
                <w:highlight w:val="none"/>
              </w:rPr>
              <w:t>3）验收流程是否条理清晰、流程完整：</w:t>
            </w:r>
          </w:p>
          <w:p w14:paraId="501F4ED2">
            <w:pPr>
              <w:widowControl/>
              <w:spacing w:line="320" w:lineRule="exact"/>
              <w:rPr>
                <w:bCs/>
                <w:color w:val="auto"/>
                <w:szCs w:val="21"/>
                <w:highlight w:val="none"/>
              </w:rPr>
            </w:pPr>
            <w:r>
              <w:rPr>
                <w:bCs/>
                <w:color w:val="auto"/>
                <w:szCs w:val="21"/>
                <w:highlight w:val="none"/>
              </w:rPr>
              <w:t>验收方案结合项目使用需求进行制定，验收标准明确，验收流程清晰、满足项目要求的得5分；</w:t>
            </w:r>
          </w:p>
          <w:p w14:paraId="211B3027">
            <w:pPr>
              <w:widowControl/>
              <w:spacing w:line="320" w:lineRule="exact"/>
              <w:rPr>
                <w:bCs/>
                <w:color w:val="auto"/>
                <w:szCs w:val="21"/>
                <w:highlight w:val="none"/>
              </w:rPr>
            </w:pPr>
            <w:r>
              <w:rPr>
                <w:bCs/>
                <w:color w:val="auto"/>
                <w:szCs w:val="21"/>
                <w:highlight w:val="none"/>
              </w:rPr>
              <w:t>验收方案完整，有基础的验收标准和验收流程，满足项目的基础要求的得3分；</w:t>
            </w:r>
          </w:p>
          <w:p w14:paraId="24573396">
            <w:pPr>
              <w:widowControl/>
              <w:spacing w:line="320" w:lineRule="exact"/>
              <w:rPr>
                <w:bCs/>
                <w:color w:val="auto"/>
                <w:szCs w:val="21"/>
                <w:highlight w:val="none"/>
              </w:rPr>
            </w:pPr>
            <w:r>
              <w:rPr>
                <w:bCs/>
                <w:color w:val="auto"/>
                <w:szCs w:val="21"/>
                <w:highlight w:val="none"/>
              </w:rPr>
              <w:t>验收方案内容简单、验收标准和验收流程简单的得1分；</w:t>
            </w:r>
          </w:p>
          <w:p w14:paraId="1A685F60">
            <w:pPr>
              <w:widowControl/>
              <w:spacing w:line="320" w:lineRule="exact"/>
              <w:rPr>
                <w:bCs/>
                <w:color w:val="auto"/>
                <w:sz w:val="20"/>
                <w:szCs w:val="20"/>
                <w:highlight w:val="none"/>
              </w:rPr>
            </w:pPr>
            <w:r>
              <w:rPr>
                <w:bCs/>
                <w:color w:val="auto"/>
                <w:szCs w:val="21"/>
                <w:highlight w:val="none"/>
              </w:rPr>
              <w:t>未提供的不得分。</w:t>
            </w:r>
          </w:p>
        </w:tc>
        <w:tc>
          <w:tcPr>
            <w:tcW w:w="502" w:type="dxa"/>
            <w:vAlign w:val="center"/>
          </w:tcPr>
          <w:p w14:paraId="2C87089D">
            <w:pPr>
              <w:spacing w:line="320" w:lineRule="exact"/>
              <w:contextualSpacing/>
              <w:jc w:val="center"/>
              <w:rPr>
                <w:color w:val="auto"/>
                <w:szCs w:val="21"/>
                <w:highlight w:val="none"/>
              </w:rPr>
            </w:pPr>
          </w:p>
        </w:tc>
      </w:tr>
      <w:tr w14:paraId="62D2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95" w:type="dxa"/>
            <w:vMerge w:val="continue"/>
            <w:textDirection w:val="tbRlV"/>
            <w:vAlign w:val="center"/>
          </w:tcPr>
          <w:p w14:paraId="5B99407E">
            <w:pPr>
              <w:widowControl/>
              <w:spacing w:line="320" w:lineRule="exact"/>
              <w:ind w:left="113" w:right="113"/>
              <w:contextualSpacing/>
              <w:jc w:val="center"/>
              <w:rPr>
                <w:color w:val="auto"/>
                <w:szCs w:val="21"/>
                <w:highlight w:val="none"/>
              </w:rPr>
            </w:pPr>
          </w:p>
        </w:tc>
        <w:tc>
          <w:tcPr>
            <w:tcW w:w="9003" w:type="dxa"/>
            <w:vAlign w:val="center"/>
          </w:tcPr>
          <w:p w14:paraId="6257935E">
            <w:pPr>
              <w:widowControl/>
              <w:spacing w:line="320" w:lineRule="exact"/>
              <w:rPr>
                <w:bCs/>
                <w:color w:val="auto"/>
                <w:szCs w:val="21"/>
                <w:highlight w:val="none"/>
              </w:rPr>
            </w:pPr>
            <w:r>
              <w:rPr>
                <w:b/>
                <w:bCs/>
                <w:color w:val="auto"/>
                <w:szCs w:val="21"/>
                <w:highlight w:val="none"/>
              </w:rPr>
              <w:t>培训方案（5分）</w:t>
            </w:r>
          </w:p>
          <w:p w14:paraId="7EDA2A33">
            <w:pPr>
              <w:widowControl/>
              <w:spacing w:line="320" w:lineRule="exact"/>
              <w:rPr>
                <w:bCs/>
                <w:color w:val="auto"/>
                <w:szCs w:val="21"/>
                <w:highlight w:val="none"/>
              </w:rPr>
            </w:pPr>
            <w:r>
              <w:rPr>
                <w:bCs/>
                <w:color w:val="auto"/>
                <w:szCs w:val="21"/>
                <w:highlight w:val="none"/>
              </w:rPr>
              <w:t>根据投标人提供的培训方案进行综合评议，需包含但不限于以下要求：</w:t>
            </w:r>
          </w:p>
          <w:p w14:paraId="0C3DD5DB">
            <w:pPr>
              <w:widowControl/>
              <w:spacing w:line="320" w:lineRule="exact"/>
              <w:rPr>
                <w:bCs/>
                <w:color w:val="auto"/>
                <w:szCs w:val="21"/>
                <w:highlight w:val="none"/>
              </w:rPr>
            </w:pPr>
            <w:r>
              <w:rPr>
                <w:bCs/>
                <w:color w:val="auto"/>
                <w:szCs w:val="21"/>
                <w:highlight w:val="none"/>
              </w:rPr>
              <w:t>1）培训计划是否根据投标产品（硬件和软件）在实际使用过程中的情况进行制定，符合实际需求；</w:t>
            </w:r>
          </w:p>
          <w:p w14:paraId="017CDA52">
            <w:pPr>
              <w:widowControl/>
              <w:spacing w:line="320" w:lineRule="exact"/>
              <w:rPr>
                <w:bCs/>
                <w:color w:val="auto"/>
                <w:szCs w:val="21"/>
                <w:highlight w:val="none"/>
              </w:rPr>
            </w:pPr>
            <w:r>
              <w:rPr>
                <w:bCs/>
                <w:color w:val="auto"/>
                <w:szCs w:val="21"/>
                <w:highlight w:val="none"/>
              </w:rPr>
              <w:t>2）培训人员配备是否充足，培训场地安排是否合理；</w:t>
            </w:r>
          </w:p>
          <w:p w14:paraId="50EDA44E">
            <w:pPr>
              <w:widowControl/>
              <w:spacing w:line="320" w:lineRule="exact"/>
              <w:rPr>
                <w:bCs/>
                <w:color w:val="auto"/>
                <w:szCs w:val="21"/>
                <w:highlight w:val="none"/>
              </w:rPr>
            </w:pPr>
            <w:r>
              <w:rPr>
                <w:bCs/>
                <w:color w:val="auto"/>
                <w:szCs w:val="21"/>
                <w:highlight w:val="none"/>
              </w:rPr>
              <w:t>3）培训内容是否完整、包含但不限于投标产品（硬件和软件）使用方法、操作流程、注意事项等；</w:t>
            </w:r>
          </w:p>
          <w:p w14:paraId="2EC17F4D">
            <w:pPr>
              <w:widowControl/>
              <w:spacing w:line="320" w:lineRule="exact"/>
              <w:rPr>
                <w:bCs/>
                <w:color w:val="auto"/>
                <w:szCs w:val="21"/>
                <w:highlight w:val="none"/>
              </w:rPr>
            </w:pPr>
            <w:r>
              <w:rPr>
                <w:bCs/>
                <w:color w:val="auto"/>
                <w:szCs w:val="21"/>
                <w:highlight w:val="none"/>
              </w:rPr>
              <w:t>人员培训方案与实际相结合，培训时间安排合理，培训内容符合产品使用要求，培训次数能确保产品实际使用人灵活使用且场地安排合理的得5分；</w:t>
            </w:r>
          </w:p>
          <w:p w14:paraId="5CB6679C">
            <w:pPr>
              <w:widowControl/>
              <w:spacing w:line="320" w:lineRule="exact"/>
              <w:rPr>
                <w:bCs/>
                <w:color w:val="auto"/>
                <w:szCs w:val="21"/>
                <w:highlight w:val="none"/>
              </w:rPr>
            </w:pPr>
            <w:r>
              <w:rPr>
                <w:bCs/>
                <w:color w:val="auto"/>
                <w:szCs w:val="21"/>
                <w:highlight w:val="none"/>
              </w:rPr>
              <w:t>人员培训方案时间安排基本合理，培训内容基本符合产品使用要求，培训次数基本能确保产品实际使用人操作的得3分；</w:t>
            </w:r>
          </w:p>
          <w:p w14:paraId="59287865">
            <w:pPr>
              <w:widowControl/>
              <w:spacing w:line="320" w:lineRule="exact"/>
              <w:rPr>
                <w:bCs/>
                <w:color w:val="auto"/>
                <w:szCs w:val="21"/>
                <w:highlight w:val="none"/>
              </w:rPr>
            </w:pPr>
            <w:r>
              <w:rPr>
                <w:bCs/>
                <w:color w:val="auto"/>
                <w:szCs w:val="21"/>
                <w:highlight w:val="none"/>
              </w:rPr>
              <w:t>人员培训方案没有结合采购需求，培训内容敷衍，没有相应培训场地且培训时间不合理的得1分；</w:t>
            </w:r>
          </w:p>
          <w:p w14:paraId="3BCD8AA7">
            <w:pPr>
              <w:widowControl/>
              <w:spacing w:line="320" w:lineRule="exact"/>
              <w:rPr>
                <w:bCs/>
                <w:color w:val="auto"/>
                <w:szCs w:val="21"/>
                <w:highlight w:val="none"/>
              </w:rPr>
            </w:pPr>
            <w:r>
              <w:rPr>
                <w:bCs/>
                <w:color w:val="auto"/>
                <w:szCs w:val="21"/>
                <w:highlight w:val="none"/>
              </w:rPr>
              <w:t>未提供的不得分。</w:t>
            </w:r>
          </w:p>
        </w:tc>
        <w:tc>
          <w:tcPr>
            <w:tcW w:w="502" w:type="dxa"/>
            <w:vAlign w:val="center"/>
          </w:tcPr>
          <w:p w14:paraId="79761782">
            <w:pPr>
              <w:spacing w:line="320" w:lineRule="exact"/>
              <w:contextualSpacing/>
              <w:jc w:val="center"/>
              <w:rPr>
                <w:color w:val="auto"/>
                <w:szCs w:val="21"/>
                <w:highlight w:val="none"/>
              </w:rPr>
            </w:pPr>
          </w:p>
        </w:tc>
      </w:tr>
      <w:tr w14:paraId="4CC6E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95" w:type="dxa"/>
            <w:vMerge w:val="continue"/>
            <w:textDirection w:val="tbRlV"/>
            <w:vAlign w:val="center"/>
          </w:tcPr>
          <w:p w14:paraId="7A51AED2">
            <w:pPr>
              <w:widowControl/>
              <w:spacing w:line="320" w:lineRule="exact"/>
              <w:ind w:left="113" w:right="113"/>
              <w:contextualSpacing/>
              <w:jc w:val="center"/>
              <w:rPr>
                <w:color w:val="auto"/>
                <w:szCs w:val="21"/>
                <w:highlight w:val="none"/>
              </w:rPr>
            </w:pPr>
          </w:p>
        </w:tc>
        <w:tc>
          <w:tcPr>
            <w:tcW w:w="9003" w:type="dxa"/>
            <w:vAlign w:val="center"/>
          </w:tcPr>
          <w:p w14:paraId="4932CA9A">
            <w:pPr>
              <w:snapToGrid w:val="0"/>
              <w:spacing w:line="320" w:lineRule="exact"/>
              <w:rPr>
                <w:b/>
                <w:color w:val="auto"/>
                <w:szCs w:val="21"/>
                <w:highlight w:val="none"/>
              </w:rPr>
            </w:pPr>
            <w:r>
              <w:rPr>
                <w:b/>
                <w:color w:val="auto"/>
                <w:szCs w:val="21"/>
                <w:highlight w:val="none"/>
              </w:rPr>
              <w:t>设备运行和维修成本（</w:t>
            </w:r>
            <w:r>
              <w:rPr>
                <w:rFonts w:hint="eastAsia"/>
                <w:b/>
                <w:color w:val="auto"/>
                <w:szCs w:val="21"/>
                <w:highlight w:val="none"/>
                <w:lang w:val="en-US" w:eastAsia="zh-CN"/>
              </w:rPr>
              <w:t>5</w:t>
            </w:r>
            <w:r>
              <w:rPr>
                <w:b/>
                <w:color w:val="auto"/>
                <w:szCs w:val="21"/>
                <w:highlight w:val="none"/>
              </w:rPr>
              <w:t>分）</w:t>
            </w:r>
          </w:p>
          <w:p w14:paraId="23D9477B">
            <w:pPr>
              <w:widowControl/>
              <w:spacing w:line="320" w:lineRule="exact"/>
              <w:rPr>
                <w:bCs/>
                <w:color w:val="auto"/>
                <w:szCs w:val="21"/>
                <w:highlight w:val="none"/>
              </w:rPr>
            </w:pPr>
            <w:r>
              <w:rPr>
                <w:bCs/>
                <w:color w:val="auto"/>
                <w:szCs w:val="21"/>
                <w:highlight w:val="none"/>
              </w:rPr>
              <w:t>根据投标人提供的所投产品质保期满后的运行和维修成本进行综合评议，需包含但不限于以下要求：</w:t>
            </w:r>
          </w:p>
          <w:p w14:paraId="22886565">
            <w:pPr>
              <w:widowControl/>
              <w:spacing w:line="320" w:lineRule="exact"/>
              <w:ind w:left="360" w:hanging="360"/>
              <w:rPr>
                <w:bCs/>
                <w:color w:val="auto"/>
                <w:szCs w:val="21"/>
                <w:highlight w:val="none"/>
              </w:rPr>
            </w:pPr>
            <w:r>
              <w:rPr>
                <w:bCs/>
                <w:color w:val="auto"/>
                <w:szCs w:val="21"/>
                <w:highlight w:val="none"/>
              </w:rPr>
              <w:t xml:space="preserve">1）提供的保修方案及维修价格是否合理，备品备件的数量、品种储备是否充足； </w:t>
            </w:r>
          </w:p>
          <w:p w14:paraId="55B40CFF">
            <w:pPr>
              <w:widowControl/>
              <w:spacing w:line="320" w:lineRule="exact"/>
              <w:ind w:left="360" w:hanging="360"/>
              <w:rPr>
                <w:bCs/>
                <w:color w:val="auto"/>
                <w:szCs w:val="21"/>
                <w:highlight w:val="none"/>
              </w:rPr>
            </w:pPr>
            <w:r>
              <w:rPr>
                <w:bCs/>
                <w:color w:val="auto"/>
                <w:szCs w:val="21"/>
                <w:highlight w:val="none"/>
              </w:rPr>
              <w:t>2）消耗品或易耗品、备品备件的使用周期、价格是否具有优势；</w:t>
            </w:r>
          </w:p>
          <w:p w14:paraId="05FBB690">
            <w:pPr>
              <w:widowControl/>
              <w:spacing w:line="320" w:lineRule="exact"/>
              <w:ind w:left="360" w:hanging="360"/>
              <w:rPr>
                <w:bCs/>
                <w:color w:val="auto"/>
                <w:szCs w:val="21"/>
                <w:highlight w:val="none"/>
              </w:rPr>
            </w:pPr>
            <w:r>
              <w:rPr>
                <w:bCs/>
                <w:color w:val="auto"/>
                <w:szCs w:val="21"/>
                <w:highlight w:val="none"/>
              </w:rPr>
              <w:t>3）软件升级情况；</w:t>
            </w:r>
          </w:p>
          <w:p w14:paraId="55E11427">
            <w:pPr>
              <w:widowControl/>
              <w:spacing w:line="320" w:lineRule="exact"/>
              <w:rPr>
                <w:bCs/>
                <w:color w:val="auto"/>
                <w:szCs w:val="21"/>
                <w:highlight w:val="none"/>
              </w:rPr>
            </w:pPr>
            <w:r>
              <w:rPr>
                <w:bCs/>
                <w:color w:val="auto"/>
                <w:szCs w:val="21"/>
                <w:highlight w:val="none"/>
              </w:rPr>
              <w:t>维修成本方案与货物实际相结合，维修服务费合理，维修完成时间及时且能保障维修质量，备品备件储备数量和品种充足，价格有优势低于市场价，软件升级情况好的得</w:t>
            </w:r>
            <w:r>
              <w:rPr>
                <w:rFonts w:hint="eastAsia"/>
                <w:bCs/>
                <w:color w:val="auto"/>
                <w:szCs w:val="21"/>
                <w:highlight w:val="none"/>
                <w:lang w:val="en-US" w:eastAsia="zh-CN"/>
              </w:rPr>
              <w:t>5</w:t>
            </w:r>
            <w:r>
              <w:rPr>
                <w:bCs/>
                <w:color w:val="auto"/>
                <w:szCs w:val="21"/>
                <w:highlight w:val="none"/>
              </w:rPr>
              <w:t>分；</w:t>
            </w:r>
          </w:p>
          <w:p w14:paraId="29C50CBF">
            <w:pPr>
              <w:widowControl/>
              <w:spacing w:line="320" w:lineRule="exact"/>
              <w:rPr>
                <w:bCs/>
                <w:color w:val="auto"/>
                <w:szCs w:val="21"/>
                <w:highlight w:val="none"/>
              </w:rPr>
            </w:pPr>
            <w:r>
              <w:rPr>
                <w:bCs/>
                <w:color w:val="auto"/>
                <w:szCs w:val="21"/>
                <w:highlight w:val="none"/>
              </w:rPr>
              <w:t>维修成本方案基本与货物实际结合，维修服务费较合理，维修完成时间和维修质量有基础保障，备品备件储备数量和品种量一般，有一定价格优势，软件升级情况符合要求的得</w:t>
            </w:r>
            <w:r>
              <w:rPr>
                <w:rFonts w:hint="eastAsia"/>
                <w:bCs/>
                <w:color w:val="auto"/>
                <w:szCs w:val="21"/>
                <w:highlight w:val="none"/>
                <w:lang w:val="en-US" w:eastAsia="zh-CN"/>
              </w:rPr>
              <w:t>3</w:t>
            </w:r>
            <w:r>
              <w:rPr>
                <w:bCs/>
                <w:color w:val="auto"/>
                <w:szCs w:val="21"/>
                <w:highlight w:val="none"/>
              </w:rPr>
              <w:t>分；</w:t>
            </w:r>
          </w:p>
          <w:p w14:paraId="573D61FB">
            <w:pPr>
              <w:widowControl/>
              <w:spacing w:line="320" w:lineRule="exact"/>
              <w:rPr>
                <w:bCs/>
                <w:color w:val="auto"/>
                <w:szCs w:val="21"/>
                <w:highlight w:val="none"/>
              </w:rPr>
            </w:pPr>
            <w:r>
              <w:rPr>
                <w:bCs/>
                <w:color w:val="auto"/>
                <w:szCs w:val="21"/>
                <w:highlight w:val="none"/>
              </w:rPr>
              <w:t>维修成本方案内容简单，维修服务费较合理较高，备品备件储备数量和品种较少，无法满足运行要求，软件升级不够及时的得</w:t>
            </w:r>
            <w:r>
              <w:rPr>
                <w:rFonts w:hint="eastAsia"/>
                <w:bCs/>
                <w:color w:val="auto"/>
                <w:szCs w:val="21"/>
                <w:highlight w:val="none"/>
                <w:lang w:val="en-US" w:eastAsia="zh-CN"/>
              </w:rPr>
              <w:t>1</w:t>
            </w:r>
            <w:bookmarkStart w:id="248" w:name="_GoBack"/>
            <w:bookmarkEnd w:id="248"/>
            <w:r>
              <w:rPr>
                <w:bCs/>
                <w:color w:val="auto"/>
                <w:szCs w:val="21"/>
                <w:highlight w:val="none"/>
              </w:rPr>
              <w:t>分；</w:t>
            </w:r>
          </w:p>
          <w:p w14:paraId="550068AB">
            <w:pPr>
              <w:widowControl/>
              <w:spacing w:line="320" w:lineRule="exact"/>
              <w:rPr>
                <w:bCs/>
                <w:color w:val="auto"/>
                <w:szCs w:val="21"/>
                <w:highlight w:val="none"/>
              </w:rPr>
            </w:pPr>
            <w:r>
              <w:rPr>
                <w:bCs/>
                <w:color w:val="auto"/>
                <w:szCs w:val="21"/>
                <w:highlight w:val="none"/>
              </w:rPr>
              <w:t xml:space="preserve">未提供的不得分。 </w:t>
            </w:r>
          </w:p>
        </w:tc>
        <w:tc>
          <w:tcPr>
            <w:tcW w:w="502" w:type="dxa"/>
            <w:vAlign w:val="center"/>
          </w:tcPr>
          <w:p w14:paraId="7E4A8FB2">
            <w:pPr>
              <w:spacing w:line="320" w:lineRule="exact"/>
              <w:contextualSpacing/>
              <w:jc w:val="center"/>
              <w:rPr>
                <w:color w:val="auto"/>
                <w:szCs w:val="21"/>
                <w:highlight w:val="none"/>
              </w:rPr>
            </w:pPr>
          </w:p>
        </w:tc>
      </w:tr>
      <w:tr w14:paraId="27CE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95" w:type="dxa"/>
            <w:vMerge w:val="continue"/>
            <w:textDirection w:val="tbRlV"/>
            <w:vAlign w:val="center"/>
          </w:tcPr>
          <w:p w14:paraId="737DDF06">
            <w:pPr>
              <w:widowControl/>
              <w:spacing w:line="320" w:lineRule="exact"/>
              <w:ind w:left="113" w:right="113"/>
              <w:contextualSpacing/>
              <w:jc w:val="center"/>
              <w:rPr>
                <w:color w:val="auto"/>
                <w:szCs w:val="21"/>
                <w:highlight w:val="none"/>
              </w:rPr>
            </w:pPr>
          </w:p>
        </w:tc>
        <w:tc>
          <w:tcPr>
            <w:tcW w:w="9003" w:type="dxa"/>
            <w:vAlign w:val="center"/>
          </w:tcPr>
          <w:p w14:paraId="60E99821">
            <w:pPr>
              <w:widowControl/>
              <w:spacing w:line="320" w:lineRule="exact"/>
              <w:rPr>
                <w:b/>
                <w:bCs/>
                <w:color w:val="auto"/>
                <w:szCs w:val="21"/>
                <w:highlight w:val="none"/>
              </w:rPr>
            </w:pPr>
            <w:r>
              <w:rPr>
                <w:b/>
                <w:bCs/>
                <w:color w:val="auto"/>
                <w:szCs w:val="21"/>
                <w:highlight w:val="none"/>
              </w:rPr>
              <w:t>售后服务方案（</w:t>
            </w:r>
            <w:r>
              <w:rPr>
                <w:rFonts w:hint="eastAsia"/>
                <w:b/>
                <w:bCs/>
                <w:color w:val="auto"/>
                <w:szCs w:val="21"/>
                <w:highlight w:val="none"/>
                <w:lang w:val="en-US" w:eastAsia="zh-CN"/>
              </w:rPr>
              <w:t>6</w:t>
            </w:r>
            <w:r>
              <w:rPr>
                <w:b/>
                <w:bCs/>
                <w:color w:val="auto"/>
                <w:szCs w:val="21"/>
                <w:highlight w:val="none"/>
              </w:rPr>
              <w:t>分）</w:t>
            </w:r>
          </w:p>
          <w:p w14:paraId="65FF4884">
            <w:pPr>
              <w:widowControl/>
              <w:spacing w:line="320" w:lineRule="exact"/>
              <w:rPr>
                <w:bCs/>
                <w:color w:val="auto"/>
                <w:szCs w:val="21"/>
                <w:highlight w:val="none"/>
              </w:rPr>
            </w:pPr>
            <w:r>
              <w:rPr>
                <w:bCs/>
                <w:color w:val="auto"/>
                <w:szCs w:val="21"/>
                <w:highlight w:val="none"/>
              </w:rPr>
              <w:t>投标人结合自身实际情况提供的售后服务方案进行综合评议，需包含但不限于以下要求：</w:t>
            </w:r>
          </w:p>
          <w:p w14:paraId="1EC47045">
            <w:pPr>
              <w:widowControl/>
              <w:spacing w:line="320" w:lineRule="exact"/>
              <w:ind w:left="360" w:hanging="360"/>
              <w:rPr>
                <w:bCs/>
                <w:color w:val="auto"/>
                <w:szCs w:val="21"/>
                <w:highlight w:val="none"/>
              </w:rPr>
            </w:pPr>
            <w:r>
              <w:rPr>
                <w:bCs/>
                <w:color w:val="auto"/>
                <w:szCs w:val="21"/>
                <w:highlight w:val="none"/>
              </w:rPr>
              <w:t>1）售后服务人员配置是否充足，经验是否丰富；</w:t>
            </w:r>
          </w:p>
          <w:p w14:paraId="52BF9B79">
            <w:pPr>
              <w:widowControl/>
              <w:spacing w:line="320" w:lineRule="exact"/>
              <w:ind w:left="360" w:hanging="360"/>
              <w:rPr>
                <w:bCs/>
                <w:color w:val="auto"/>
                <w:szCs w:val="21"/>
                <w:highlight w:val="none"/>
              </w:rPr>
            </w:pPr>
            <w:r>
              <w:rPr>
                <w:bCs/>
                <w:color w:val="auto"/>
                <w:szCs w:val="21"/>
                <w:highlight w:val="none"/>
              </w:rPr>
              <w:t>2）售后服务便捷性、服务响应时效；</w:t>
            </w:r>
          </w:p>
          <w:p w14:paraId="29979564">
            <w:pPr>
              <w:widowControl/>
              <w:spacing w:line="320" w:lineRule="exact"/>
              <w:rPr>
                <w:bCs/>
                <w:color w:val="auto"/>
                <w:szCs w:val="21"/>
                <w:highlight w:val="none"/>
              </w:rPr>
            </w:pPr>
            <w:r>
              <w:rPr>
                <w:bCs/>
                <w:color w:val="auto"/>
                <w:szCs w:val="21"/>
                <w:highlight w:val="none"/>
              </w:rPr>
              <w:t>售后服务有保障且有相应的售后服务机构，售后服务人员配置充足、经验丰富，服务响应及时的得</w:t>
            </w:r>
            <w:r>
              <w:rPr>
                <w:rFonts w:hint="eastAsia"/>
                <w:bCs/>
                <w:color w:val="auto"/>
                <w:szCs w:val="21"/>
                <w:highlight w:val="none"/>
                <w:lang w:val="en-US" w:eastAsia="zh-CN"/>
              </w:rPr>
              <w:t>6</w:t>
            </w:r>
            <w:r>
              <w:rPr>
                <w:bCs/>
                <w:color w:val="auto"/>
                <w:szCs w:val="21"/>
                <w:highlight w:val="none"/>
              </w:rPr>
              <w:t>分；</w:t>
            </w:r>
          </w:p>
          <w:p w14:paraId="35B1CC63">
            <w:pPr>
              <w:widowControl/>
              <w:spacing w:line="320" w:lineRule="exact"/>
              <w:rPr>
                <w:bCs/>
                <w:color w:val="auto"/>
                <w:szCs w:val="21"/>
                <w:highlight w:val="none"/>
              </w:rPr>
            </w:pPr>
            <w:r>
              <w:rPr>
                <w:bCs/>
                <w:color w:val="auto"/>
                <w:szCs w:val="21"/>
                <w:highlight w:val="none"/>
              </w:rPr>
              <w:t>有售后服务机构，售后服务人员配置较紧凑、经验较丰富，服务响应较及时的得</w:t>
            </w:r>
            <w:r>
              <w:rPr>
                <w:rFonts w:hint="eastAsia"/>
                <w:bCs/>
                <w:color w:val="auto"/>
                <w:szCs w:val="21"/>
                <w:highlight w:val="none"/>
                <w:lang w:val="en-US" w:eastAsia="zh-CN"/>
              </w:rPr>
              <w:t>4</w:t>
            </w:r>
            <w:r>
              <w:rPr>
                <w:bCs/>
                <w:color w:val="auto"/>
                <w:szCs w:val="21"/>
                <w:highlight w:val="none"/>
              </w:rPr>
              <w:t>分；</w:t>
            </w:r>
          </w:p>
          <w:p w14:paraId="7F515991">
            <w:pPr>
              <w:widowControl/>
              <w:spacing w:line="320" w:lineRule="exact"/>
              <w:rPr>
                <w:bCs/>
                <w:color w:val="auto"/>
                <w:szCs w:val="21"/>
                <w:highlight w:val="none"/>
              </w:rPr>
            </w:pPr>
            <w:r>
              <w:rPr>
                <w:bCs/>
                <w:color w:val="auto"/>
                <w:szCs w:val="21"/>
                <w:highlight w:val="none"/>
              </w:rPr>
              <w:t>售后服务机构简单，售后服务人员配置少、经验欠缺，售后服务保障性较差的得</w:t>
            </w:r>
            <w:r>
              <w:rPr>
                <w:rFonts w:hint="eastAsia"/>
                <w:bCs/>
                <w:color w:val="auto"/>
                <w:szCs w:val="21"/>
                <w:highlight w:val="none"/>
                <w:lang w:val="en-US" w:eastAsia="zh-CN"/>
              </w:rPr>
              <w:t>2</w:t>
            </w:r>
            <w:r>
              <w:rPr>
                <w:bCs/>
                <w:color w:val="auto"/>
                <w:szCs w:val="21"/>
                <w:highlight w:val="none"/>
              </w:rPr>
              <w:t>分；</w:t>
            </w:r>
          </w:p>
          <w:p w14:paraId="720B62ED">
            <w:pPr>
              <w:widowControl/>
              <w:spacing w:line="320" w:lineRule="exact"/>
              <w:rPr>
                <w:bCs/>
                <w:color w:val="auto"/>
                <w:sz w:val="20"/>
                <w:szCs w:val="20"/>
                <w:highlight w:val="none"/>
              </w:rPr>
            </w:pPr>
            <w:r>
              <w:rPr>
                <w:bCs/>
                <w:color w:val="auto"/>
                <w:szCs w:val="21"/>
                <w:highlight w:val="none"/>
              </w:rPr>
              <w:t>未提供的不得分。</w:t>
            </w:r>
          </w:p>
        </w:tc>
        <w:tc>
          <w:tcPr>
            <w:tcW w:w="502" w:type="dxa"/>
            <w:vAlign w:val="center"/>
          </w:tcPr>
          <w:p w14:paraId="5E5C63C8">
            <w:pPr>
              <w:spacing w:line="320" w:lineRule="exact"/>
              <w:contextualSpacing/>
              <w:jc w:val="center"/>
              <w:rPr>
                <w:color w:val="auto"/>
                <w:szCs w:val="21"/>
                <w:highlight w:val="none"/>
              </w:rPr>
            </w:pPr>
          </w:p>
        </w:tc>
      </w:tr>
      <w:tr w14:paraId="4C958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95" w:type="dxa"/>
            <w:vMerge w:val="continue"/>
            <w:textDirection w:val="tbRlV"/>
            <w:vAlign w:val="center"/>
          </w:tcPr>
          <w:p w14:paraId="0325C413">
            <w:pPr>
              <w:widowControl/>
              <w:spacing w:line="320" w:lineRule="exact"/>
              <w:ind w:left="113" w:right="113"/>
              <w:contextualSpacing/>
              <w:jc w:val="center"/>
              <w:rPr>
                <w:color w:val="auto"/>
                <w:szCs w:val="21"/>
                <w:highlight w:val="none"/>
              </w:rPr>
            </w:pPr>
          </w:p>
        </w:tc>
        <w:tc>
          <w:tcPr>
            <w:tcW w:w="9003" w:type="dxa"/>
            <w:vAlign w:val="center"/>
          </w:tcPr>
          <w:p w14:paraId="31743C41">
            <w:pPr>
              <w:widowControl/>
              <w:spacing w:line="320" w:lineRule="exact"/>
              <w:rPr>
                <w:b/>
                <w:color w:val="auto"/>
                <w:szCs w:val="21"/>
                <w:highlight w:val="none"/>
              </w:rPr>
            </w:pPr>
            <w:r>
              <w:rPr>
                <w:b/>
                <w:color w:val="auto"/>
                <w:szCs w:val="21"/>
                <w:highlight w:val="none"/>
              </w:rPr>
              <w:t>投标人业绩（3分）</w:t>
            </w:r>
          </w:p>
          <w:p w14:paraId="28C5C3D9">
            <w:pPr>
              <w:widowControl/>
              <w:spacing w:line="320" w:lineRule="exact"/>
              <w:rPr>
                <w:color w:val="auto"/>
                <w:szCs w:val="21"/>
                <w:highlight w:val="none"/>
              </w:rPr>
            </w:pPr>
            <w:r>
              <w:rPr>
                <w:color w:val="auto"/>
                <w:szCs w:val="21"/>
                <w:highlight w:val="none"/>
              </w:rPr>
              <w:t>投标人自2021年1月1日起每提供一个类似项目业绩得1分，最高得3分。</w:t>
            </w:r>
          </w:p>
          <w:p w14:paraId="474D19AF">
            <w:pPr>
              <w:widowControl/>
              <w:spacing w:line="320" w:lineRule="exact"/>
              <w:rPr>
                <w:color w:val="auto"/>
                <w:szCs w:val="21"/>
                <w:highlight w:val="none"/>
              </w:rPr>
            </w:pPr>
            <w:r>
              <w:rPr>
                <w:b/>
                <w:bCs/>
                <w:color w:val="auto"/>
                <w:szCs w:val="21"/>
                <w:highlight w:val="none"/>
              </w:rPr>
              <w:t>注：以合同签订时间为准。需提供合同复印件并加盖公章，合同的有效性需得到评标小组认可。</w:t>
            </w:r>
          </w:p>
        </w:tc>
        <w:tc>
          <w:tcPr>
            <w:tcW w:w="502" w:type="dxa"/>
            <w:vAlign w:val="center"/>
          </w:tcPr>
          <w:p w14:paraId="2612EA91">
            <w:pPr>
              <w:spacing w:line="320" w:lineRule="exact"/>
              <w:contextualSpacing/>
              <w:jc w:val="center"/>
              <w:rPr>
                <w:color w:val="auto"/>
                <w:szCs w:val="21"/>
                <w:highlight w:val="none"/>
              </w:rPr>
            </w:pPr>
          </w:p>
        </w:tc>
      </w:tr>
      <w:tr w14:paraId="2A49A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95" w:type="dxa"/>
            <w:vMerge w:val="continue"/>
            <w:textDirection w:val="tbRlV"/>
            <w:vAlign w:val="center"/>
          </w:tcPr>
          <w:p w14:paraId="078F967B">
            <w:pPr>
              <w:widowControl/>
              <w:spacing w:line="320" w:lineRule="exact"/>
              <w:ind w:left="113" w:right="113"/>
              <w:contextualSpacing/>
              <w:jc w:val="center"/>
              <w:rPr>
                <w:color w:val="auto"/>
                <w:szCs w:val="21"/>
                <w:highlight w:val="none"/>
              </w:rPr>
            </w:pPr>
          </w:p>
        </w:tc>
        <w:tc>
          <w:tcPr>
            <w:tcW w:w="9003" w:type="dxa"/>
            <w:vAlign w:val="center"/>
          </w:tcPr>
          <w:p w14:paraId="4EA07716">
            <w:pPr>
              <w:widowControl/>
              <w:spacing w:line="320" w:lineRule="exact"/>
              <w:rPr>
                <w:b/>
                <w:color w:val="auto"/>
                <w:szCs w:val="21"/>
                <w:highlight w:val="none"/>
              </w:rPr>
            </w:pPr>
            <w:r>
              <w:rPr>
                <w:b/>
                <w:color w:val="auto"/>
                <w:szCs w:val="21"/>
                <w:highlight w:val="none"/>
              </w:rPr>
              <w:t>节能环保产品（1分）</w:t>
            </w:r>
          </w:p>
          <w:p w14:paraId="6EEFF913">
            <w:pPr>
              <w:widowControl/>
              <w:spacing w:line="320" w:lineRule="exact"/>
              <w:rPr>
                <w:color w:val="auto"/>
                <w:szCs w:val="21"/>
                <w:highlight w:val="none"/>
              </w:rPr>
            </w:pPr>
            <w:r>
              <w:rPr>
                <w:color w:val="auto"/>
                <w:szCs w:val="21"/>
                <w:highlight w:val="none"/>
              </w:rPr>
              <w:t>提供的投标产品有属于节能产品（为财政部和国家发展改革委公布的最新一期的节能产品政府采购清单中的产品）得0.5分，有属于环境标志产品（为财政部和环境保护部公布的最新一期的环境标志产品政府采购清单中的产品）得0.5分。</w:t>
            </w:r>
          </w:p>
          <w:p w14:paraId="0E80DCDD">
            <w:pPr>
              <w:widowControl/>
              <w:spacing w:line="320" w:lineRule="exact"/>
              <w:rPr>
                <w:color w:val="auto"/>
                <w:szCs w:val="21"/>
                <w:highlight w:val="none"/>
              </w:rPr>
            </w:pPr>
            <w:r>
              <w:rPr>
                <w:color w:val="auto"/>
                <w:szCs w:val="21"/>
                <w:highlight w:val="none"/>
              </w:rPr>
              <w:t>注：1）提供政府采购品目清单相关内容页（并对相关内容作圈记），采购品目清单详见《关于印发环境标志产品政府采购品目清单的通知》（财库〔2019〕18号）和《关于印发节能产品政府采购品目清单的通知》（财库〔2019〕19号）。</w:t>
            </w:r>
          </w:p>
          <w:p w14:paraId="05E458DB">
            <w:pPr>
              <w:widowControl/>
              <w:spacing w:line="320" w:lineRule="exact"/>
              <w:rPr>
                <w:color w:val="auto"/>
                <w:szCs w:val="21"/>
                <w:highlight w:val="none"/>
              </w:rPr>
            </w:pPr>
            <w:r>
              <w:rPr>
                <w:color w:val="auto"/>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502" w:type="dxa"/>
            <w:vAlign w:val="center"/>
          </w:tcPr>
          <w:p w14:paraId="657E8DF6">
            <w:pPr>
              <w:spacing w:line="320" w:lineRule="exact"/>
              <w:contextualSpacing/>
              <w:jc w:val="center"/>
              <w:rPr>
                <w:color w:val="auto"/>
                <w:szCs w:val="21"/>
                <w:highlight w:val="none"/>
              </w:rPr>
            </w:pPr>
          </w:p>
        </w:tc>
      </w:tr>
      <w:tr w14:paraId="2ECFC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2" w:hRule="atLeast"/>
          <w:jc w:val="center"/>
        </w:trPr>
        <w:tc>
          <w:tcPr>
            <w:tcW w:w="695" w:type="dxa"/>
            <w:textDirection w:val="tbRlV"/>
            <w:vAlign w:val="center"/>
          </w:tcPr>
          <w:p w14:paraId="0AC448EC">
            <w:pPr>
              <w:widowControl/>
              <w:spacing w:line="320" w:lineRule="exact"/>
              <w:ind w:left="113" w:right="113"/>
              <w:contextualSpacing/>
              <w:jc w:val="center"/>
              <w:rPr>
                <w:color w:val="auto"/>
                <w:szCs w:val="21"/>
                <w:highlight w:val="none"/>
              </w:rPr>
            </w:pPr>
            <w:r>
              <w:rPr>
                <w:color w:val="auto"/>
                <w:szCs w:val="21"/>
                <w:highlight w:val="none"/>
              </w:rPr>
              <w:t>价格分（30分）</w:t>
            </w:r>
          </w:p>
        </w:tc>
        <w:tc>
          <w:tcPr>
            <w:tcW w:w="9003" w:type="dxa"/>
            <w:vAlign w:val="center"/>
          </w:tcPr>
          <w:p w14:paraId="1E59F636">
            <w:pPr>
              <w:widowControl/>
              <w:spacing w:line="320" w:lineRule="exact"/>
              <w:rPr>
                <w:b/>
                <w:color w:val="auto"/>
                <w:szCs w:val="21"/>
                <w:highlight w:val="none"/>
              </w:rPr>
            </w:pPr>
            <w:r>
              <w:rPr>
                <w:b/>
                <w:color w:val="auto"/>
                <w:szCs w:val="21"/>
                <w:highlight w:val="none"/>
              </w:rPr>
              <w:t>价格分（30分）</w:t>
            </w:r>
          </w:p>
          <w:p w14:paraId="086CC071">
            <w:pPr>
              <w:spacing w:line="360" w:lineRule="exact"/>
              <w:rPr>
                <w:bCs/>
                <w:color w:val="auto"/>
                <w:szCs w:val="21"/>
                <w:highlight w:val="none"/>
              </w:rPr>
            </w:pPr>
            <w:r>
              <w:rPr>
                <w:bCs/>
                <w:color w:val="auto"/>
                <w:szCs w:val="21"/>
                <w:highlight w:val="none"/>
              </w:rPr>
              <w:t>评标基准价指的是满足招标文件要求且最低的参与评审的价格。</w:t>
            </w:r>
          </w:p>
          <w:p w14:paraId="48F0F03C">
            <w:pPr>
              <w:spacing w:line="360" w:lineRule="exact"/>
              <w:rPr>
                <w:bCs/>
                <w:color w:val="auto"/>
                <w:szCs w:val="21"/>
                <w:highlight w:val="none"/>
              </w:rPr>
            </w:pPr>
            <w:r>
              <w:rPr>
                <w:bCs/>
                <w:color w:val="auto"/>
                <w:szCs w:val="21"/>
                <w:highlight w:val="none"/>
              </w:rPr>
              <w:t>参与评审的价格=投标报价-</w:t>
            </w:r>
            <w:r>
              <w:rPr>
                <w:color w:val="auto"/>
                <w:szCs w:val="21"/>
                <w:highlight w:val="none"/>
              </w:rPr>
              <w:t>小微企业价格扣除优惠值10%（如有）</w:t>
            </w:r>
            <w:r>
              <w:rPr>
                <w:bCs/>
                <w:color w:val="auto"/>
                <w:szCs w:val="21"/>
                <w:highlight w:val="none"/>
              </w:rPr>
              <w:t>。</w:t>
            </w:r>
          </w:p>
          <w:p w14:paraId="20644463">
            <w:pPr>
              <w:spacing w:line="360" w:lineRule="exact"/>
              <w:rPr>
                <w:bCs/>
                <w:color w:val="auto"/>
                <w:szCs w:val="21"/>
                <w:highlight w:val="none"/>
              </w:rPr>
            </w:pPr>
            <w:r>
              <w:rPr>
                <w:bCs/>
                <w:color w:val="auto"/>
                <w:szCs w:val="21"/>
                <w:highlight w:val="none"/>
              </w:rPr>
              <w:t>参与评审的价格为评标基准价的其价格得分得满分30分。</w:t>
            </w:r>
          </w:p>
          <w:p w14:paraId="729630B6">
            <w:pPr>
              <w:spacing w:line="360" w:lineRule="exact"/>
              <w:rPr>
                <w:bCs/>
                <w:color w:val="auto"/>
                <w:szCs w:val="21"/>
                <w:highlight w:val="none"/>
              </w:rPr>
            </w:pPr>
            <w:r>
              <w:rPr>
                <w:bCs/>
                <w:color w:val="auto"/>
                <w:szCs w:val="21"/>
                <w:highlight w:val="none"/>
              </w:rPr>
              <w:t>其他投标人价格得分按照下列公式计算：</w:t>
            </w:r>
          </w:p>
          <w:p w14:paraId="3DDCB9F5">
            <w:pPr>
              <w:widowControl/>
              <w:spacing w:line="320" w:lineRule="exact"/>
              <w:rPr>
                <w:bCs/>
                <w:color w:val="auto"/>
                <w:szCs w:val="21"/>
                <w:highlight w:val="none"/>
              </w:rPr>
            </w:pPr>
            <w:r>
              <w:rPr>
                <w:bCs/>
                <w:color w:val="auto"/>
                <w:szCs w:val="21"/>
                <w:highlight w:val="none"/>
              </w:rPr>
              <w:t>价格得分=（评标基准价/各投标人参与评审的价格）×30％×100。</w:t>
            </w:r>
          </w:p>
          <w:p w14:paraId="32F843E7">
            <w:pPr>
              <w:widowControl/>
              <w:spacing w:line="320" w:lineRule="exact"/>
              <w:rPr>
                <w:color w:val="auto"/>
                <w:highlight w:val="none"/>
              </w:rPr>
            </w:pPr>
            <w:r>
              <w:rPr>
                <w:color w:val="auto"/>
                <w:szCs w:val="21"/>
                <w:highlight w:val="none"/>
              </w:rPr>
              <w:t>投标报价超过采购预算（或最高限价）的投标无效。</w:t>
            </w:r>
          </w:p>
        </w:tc>
        <w:tc>
          <w:tcPr>
            <w:tcW w:w="502" w:type="dxa"/>
            <w:vAlign w:val="center"/>
          </w:tcPr>
          <w:p w14:paraId="6CD5891E">
            <w:pPr>
              <w:widowControl/>
              <w:spacing w:line="320" w:lineRule="exact"/>
              <w:contextualSpacing/>
              <w:jc w:val="center"/>
              <w:rPr>
                <w:color w:val="auto"/>
                <w:szCs w:val="21"/>
                <w:highlight w:val="none"/>
              </w:rPr>
            </w:pPr>
          </w:p>
        </w:tc>
      </w:tr>
      <w:tr w14:paraId="580ED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698" w:type="dxa"/>
            <w:gridSpan w:val="2"/>
            <w:vAlign w:val="center"/>
          </w:tcPr>
          <w:p w14:paraId="531A7DA8">
            <w:pPr>
              <w:widowControl/>
              <w:spacing w:line="320" w:lineRule="exact"/>
              <w:jc w:val="center"/>
              <w:rPr>
                <w:color w:val="auto"/>
                <w:szCs w:val="21"/>
                <w:highlight w:val="none"/>
              </w:rPr>
            </w:pPr>
            <w:r>
              <w:rPr>
                <w:color w:val="auto"/>
                <w:szCs w:val="21"/>
                <w:highlight w:val="none"/>
              </w:rPr>
              <w:t>综合评分得分（满分100分）</w:t>
            </w:r>
          </w:p>
        </w:tc>
        <w:tc>
          <w:tcPr>
            <w:tcW w:w="502" w:type="dxa"/>
            <w:vAlign w:val="center"/>
          </w:tcPr>
          <w:p w14:paraId="555CCBB2">
            <w:pPr>
              <w:widowControl/>
              <w:spacing w:line="320" w:lineRule="exact"/>
              <w:contextualSpacing/>
              <w:jc w:val="center"/>
              <w:rPr>
                <w:color w:val="auto"/>
                <w:szCs w:val="21"/>
                <w:highlight w:val="none"/>
              </w:rPr>
            </w:pPr>
          </w:p>
        </w:tc>
      </w:tr>
    </w:tbl>
    <w:p w14:paraId="6ECA1152">
      <w:pPr>
        <w:rPr>
          <w:color w:val="auto"/>
          <w:highlight w:val="none"/>
        </w:rPr>
      </w:pPr>
      <w:r>
        <w:rPr>
          <w:color w:val="auto"/>
          <w:highlight w:val="none"/>
        </w:rPr>
        <w:t>评委签字：                                                          日期： 年  月   日</w:t>
      </w:r>
    </w:p>
    <w:p w14:paraId="194E4496">
      <w:pPr>
        <w:jc w:val="center"/>
        <w:rPr>
          <w:b/>
          <w:color w:val="auto"/>
          <w:sz w:val="24"/>
          <w:szCs w:val="21"/>
          <w:highlight w:val="none"/>
        </w:rPr>
      </w:pPr>
      <w:r>
        <w:rPr>
          <w:color w:val="auto"/>
          <w:highlight w:val="none"/>
        </w:rPr>
        <w:br w:type="page"/>
      </w:r>
    </w:p>
    <w:p w14:paraId="29CC8E5C">
      <w:pPr>
        <w:pStyle w:val="4"/>
        <w:spacing w:before="0" w:after="0" w:line="360" w:lineRule="auto"/>
        <w:jc w:val="center"/>
        <w:rPr>
          <w:color w:val="auto"/>
          <w:sz w:val="30"/>
          <w:highlight w:val="none"/>
        </w:rPr>
      </w:pPr>
      <w:bookmarkStart w:id="224" w:name="_Toc100932156"/>
      <w:bookmarkStart w:id="225" w:name="_Toc17707963"/>
      <w:bookmarkStart w:id="226" w:name="_Toc460857944"/>
      <w:r>
        <w:rPr>
          <w:color w:val="auto"/>
          <w:sz w:val="30"/>
          <w:highlight w:val="none"/>
        </w:rPr>
        <w:t>第五章  政府采购合同主要条款</w:t>
      </w:r>
      <w:bookmarkEnd w:id="224"/>
      <w:bookmarkEnd w:id="225"/>
      <w:bookmarkEnd w:id="226"/>
    </w:p>
    <w:p w14:paraId="4AB15B76">
      <w:pPr>
        <w:jc w:val="center"/>
        <w:rPr>
          <w:b/>
          <w:color w:val="auto"/>
          <w:sz w:val="24"/>
          <w:highlight w:val="none"/>
        </w:rPr>
      </w:pPr>
      <w:bookmarkStart w:id="227" w:name="_Toc460857947"/>
      <w:bookmarkStart w:id="228" w:name="_Toc460857945"/>
      <w:r>
        <w:rPr>
          <w:b/>
          <w:color w:val="auto"/>
          <w:sz w:val="24"/>
          <w:highlight w:val="none"/>
        </w:rPr>
        <w:t>政府采购合同（货物）</w:t>
      </w:r>
    </w:p>
    <w:p w14:paraId="27BEE9C3">
      <w:pPr>
        <w:rPr>
          <w:color w:val="auto"/>
          <w:highlight w:val="none"/>
        </w:rPr>
      </w:pPr>
    </w:p>
    <w:p w14:paraId="4817478C">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甲方：（买方）</w:t>
      </w:r>
    </w:p>
    <w:p w14:paraId="0934798B">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乙方：（卖方）</w:t>
      </w:r>
    </w:p>
    <w:p w14:paraId="4F7F117D">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 xml:space="preserve">   </w:t>
      </w:r>
      <w:r>
        <w:rPr>
          <w:rFonts w:ascii="Times New Roman"/>
          <w:color w:val="auto"/>
          <w:sz w:val="21"/>
          <w:szCs w:val="21"/>
          <w:highlight w:val="none"/>
        </w:rPr>
        <w:t>甲、乙双方根据</w:t>
      </w:r>
      <w:r>
        <w:rPr>
          <w:rFonts w:ascii="Times New Roman"/>
          <w:color w:val="auto"/>
          <w:sz w:val="21"/>
          <w:szCs w:val="21"/>
          <w:highlight w:val="none"/>
          <w:u w:val="single"/>
        </w:rPr>
        <w:t xml:space="preserve">                   </w:t>
      </w:r>
      <w:r>
        <w:rPr>
          <w:rFonts w:ascii="Times New Roman"/>
          <w:color w:val="auto"/>
          <w:sz w:val="21"/>
          <w:szCs w:val="21"/>
          <w:highlight w:val="none"/>
        </w:rPr>
        <w:t>项目</w:t>
      </w:r>
      <w:r>
        <w:rPr>
          <w:rFonts w:ascii="Times New Roman"/>
          <w:color w:val="auto"/>
          <w:sz w:val="21"/>
          <w:szCs w:val="21"/>
          <w:highlight w:val="none"/>
          <w:u w:val="single"/>
        </w:rPr>
        <w:t>（采购编号：              ）的</w:t>
      </w:r>
      <w:r>
        <w:rPr>
          <w:rFonts w:ascii="Times New Roman"/>
          <w:color w:val="auto"/>
          <w:sz w:val="21"/>
          <w:szCs w:val="21"/>
          <w:highlight w:val="none"/>
        </w:rPr>
        <w:t>磋商结果，签署本合同。</w:t>
      </w:r>
    </w:p>
    <w:p w14:paraId="7512ED35">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一、货物内容</w:t>
      </w:r>
    </w:p>
    <w:p w14:paraId="44E3A8B5">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1.1 货物名称：</w:t>
      </w:r>
    </w:p>
    <w:p w14:paraId="1CB4924D">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1.2 型号规格：</w:t>
      </w:r>
    </w:p>
    <w:p w14:paraId="5242473D">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1.3 技术参数：</w:t>
      </w:r>
    </w:p>
    <w:p w14:paraId="4D80A224">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1.4 数量（单位）：</w:t>
      </w:r>
    </w:p>
    <w:p w14:paraId="23A688BD">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二、合同金额</w:t>
      </w:r>
    </w:p>
    <w:p w14:paraId="66D0E699">
      <w:pPr>
        <w:pStyle w:val="19"/>
        <w:spacing w:beforeLines="0" w:after="120" w:afterLines="0" w:line="360" w:lineRule="auto"/>
        <w:ind w:left="359" w:hanging="359" w:hangingChars="171"/>
        <w:rPr>
          <w:rFonts w:ascii="Times New Roman"/>
          <w:color w:val="auto"/>
          <w:sz w:val="21"/>
          <w:szCs w:val="21"/>
          <w:highlight w:val="none"/>
        </w:rPr>
      </w:pPr>
      <w:r>
        <w:rPr>
          <w:rFonts w:ascii="Times New Roman"/>
          <w:color w:val="auto"/>
          <w:sz w:val="21"/>
          <w:szCs w:val="21"/>
          <w:highlight w:val="none"/>
        </w:rPr>
        <w:t>2.1 本合同金额为（大写）：____________________________________元（￥_______________元）人民币。</w:t>
      </w:r>
    </w:p>
    <w:p w14:paraId="2034CD99">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三、技术资料</w:t>
      </w:r>
    </w:p>
    <w:p w14:paraId="6EF56A65">
      <w:pPr>
        <w:spacing w:line="360" w:lineRule="auto"/>
        <w:ind w:left="420" w:hanging="420" w:hangingChars="200"/>
        <w:rPr>
          <w:color w:val="auto"/>
          <w:kern w:val="0"/>
          <w:szCs w:val="21"/>
          <w:highlight w:val="none"/>
        </w:rPr>
      </w:pPr>
      <w:r>
        <w:rPr>
          <w:color w:val="auto"/>
          <w:szCs w:val="21"/>
          <w:highlight w:val="none"/>
        </w:rPr>
        <w:t>3.1</w:t>
      </w:r>
      <w:r>
        <w:rPr>
          <w:color w:val="auto"/>
          <w:kern w:val="0"/>
          <w:szCs w:val="21"/>
          <w:highlight w:val="none"/>
        </w:rPr>
        <w:t>乙方应按要求在规定的时间组织安装，向甲方提供使用货物的有关技术资料，做好各项质量检查及记录，通过竣工验收，移交竣工图纸。</w:t>
      </w:r>
    </w:p>
    <w:p w14:paraId="2874C8FE">
      <w:pPr>
        <w:pStyle w:val="19"/>
        <w:spacing w:beforeLines="0" w:after="120" w:afterLines="0" w:line="360" w:lineRule="auto"/>
        <w:ind w:left="359" w:hanging="359" w:hangingChars="171"/>
        <w:rPr>
          <w:rFonts w:ascii="Times New Roman"/>
          <w:color w:val="auto"/>
          <w:sz w:val="21"/>
          <w:szCs w:val="21"/>
          <w:highlight w:val="none"/>
        </w:rPr>
      </w:pPr>
      <w:r>
        <w:rPr>
          <w:rFonts w:ascii="Times New Roman"/>
          <w:color w:val="auto"/>
          <w:sz w:val="21"/>
          <w:szCs w:val="21"/>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155CB19">
      <w:pPr>
        <w:pStyle w:val="19"/>
        <w:spacing w:beforeLines="0" w:after="120" w:afterLines="0" w:line="360" w:lineRule="auto"/>
        <w:ind w:left="360" w:hanging="361" w:hangingChars="171"/>
        <w:rPr>
          <w:rFonts w:ascii="Times New Roman"/>
          <w:b/>
          <w:color w:val="auto"/>
          <w:sz w:val="21"/>
          <w:szCs w:val="21"/>
          <w:highlight w:val="none"/>
        </w:rPr>
      </w:pPr>
      <w:r>
        <w:rPr>
          <w:rFonts w:ascii="Times New Roman"/>
          <w:b/>
          <w:color w:val="auto"/>
          <w:sz w:val="21"/>
          <w:szCs w:val="21"/>
          <w:highlight w:val="none"/>
        </w:rPr>
        <w:t>四、安全生产</w:t>
      </w:r>
    </w:p>
    <w:p w14:paraId="70BBDD93">
      <w:pPr>
        <w:spacing w:line="360" w:lineRule="auto"/>
        <w:ind w:left="315" w:hanging="315" w:hangingChars="150"/>
        <w:rPr>
          <w:color w:val="auto"/>
          <w:szCs w:val="21"/>
          <w:highlight w:val="none"/>
        </w:rPr>
      </w:pPr>
      <w:r>
        <w:rPr>
          <w:color w:val="auto"/>
          <w:szCs w:val="21"/>
          <w:highlight w:val="none"/>
        </w:rPr>
        <w:t xml:space="preserve">4.1 </w:t>
      </w:r>
      <w:r>
        <w:rPr>
          <w:color w:val="auto"/>
          <w:kern w:val="0"/>
          <w:szCs w:val="21"/>
          <w:highlight w:val="none"/>
        </w:rPr>
        <w:t>乙方必须落实安装中的安全、文明施工和消防、治安等事宜，若发生以上责任事件，一切责任和后果由乙方负责。</w:t>
      </w:r>
    </w:p>
    <w:p w14:paraId="50BEA963">
      <w:pPr>
        <w:pStyle w:val="19"/>
        <w:spacing w:beforeLines="0" w:after="120" w:afterLines="0" w:line="360" w:lineRule="auto"/>
        <w:ind w:left="360" w:hanging="361" w:hangingChars="171"/>
        <w:rPr>
          <w:rFonts w:ascii="Times New Roman"/>
          <w:b/>
          <w:color w:val="auto"/>
          <w:sz w:val="21"/>
          <w:szCs w:val="21"/>
          <w:highlight w:val="none"/>
        </w:rPr>
      </w:pPr>
      <w:r>
        <w:rPr>
          <w:rFonts w:ascii="Times New Roman"/>
          <w:b/>
          <w:color w:val="auto"/>
          <w:sz w:val="21"/>
          <w:szCs w:val="21"/>
          <w:highlight w:val="none"/>
        </w:rPr>
        <w:t>五、知识产权及产权担保</w:t>
      </w:r>
    </w:p>
    <w:p w14:paraId="519852F3">
      <w:pPr>
        <w:pStyle w:val="19"/>
        <w:spacing w:beforeLines="0" w:after="120" w:afterLines="0" w:line="360" w:lineRule="auto"/>
        <w:ind w:left="359" w:hanging="359" w:hangingChars="171"/>
        <w:rPr>
          <w:rFonts w:ascii="Times New Roman"/>
          <w:bCs/>
          <w:color w:val="auto"/>
          <w:sz w:val="21"/>
          <w:szCs w:val="21"/>
          <w:highlight w:val="none"/>
        </w:rPr>
      </w:pPr>
      <w:r>
        <w:rPr>
          <w:rFonts w:ascii="Times New Roman"/>
          <w:color w:val="auto"/>
          <w:sz w:val="21"/>
          <w:szCs w:val="21"/>
          <w:highlight w:val="none"/>
        </w:rPr>
        <w:t>5.1 乙方应保证所提供的货物或其任何一部分均不会侵犯任何第三方的知识产权</w:t>
      </w:r>
      <w:r>
        <w:rPr>
          <w:rFonts w:ascii="Times New Roman"/>
          <w:bCs/>
          <w:color w:val="auto"/>
          <w:sz w:val="21"/>
          <w:szCs w:val="21"/>
          <w:highlight w:val="none"/>
        </w:rPr>
        <w:t>。</w:t>
      </w:r>
    </w:p>
    <w:p w14:paraId="66287B36">
      <w:pPr>
        <w:pStyle w:val="19"/>
        <w:spacing w:beforeLines="0" w:after="120" w:afterLines="0" w:line="360" w:lineRule="auto"/>
        <w:ind w:left="357" w:hanging="357" w:hangingChars="170"/>
        <w:rPr>
          <w:rFonts w:ascii="Times New Roman"/>
          <w:color w:val="auto"/>
          <w:sz w:val="21"/>
          <w:szCs w:val="21"/>
          <w:highlight w:val="none"/>
          <w:u w:val="single"/>
        </w:rPr>
      </w:pPr>
      <w:r>
        <w:rPr>
          <w:rFonts w:ascii="Times New Roman"/>
          <w:color w:val="auto"/>
          <w:sz w:val="21"/>
          <w:szCs w:val="21"/>
          <w:highlight w:val="none"/>
        </w:rPr>
        <w:t>5.2乙方保证所交付的货物的所有权完全属于乙方且无任何抵押、查封等产权瑕疵。</w:t>
      </w:r>
    </w:p>
    <w:p w14:paraId="5DA9756C">
      <w:pPr>
        <w:pStyle w:val="19"/>
        <w:spacing w:beforeLines="0" w:after="120" w:afterLines="0" w:line="360" w:lineRule="auto"/>
        <w:ind w:left="358" w:hanging="358" w:hangingChars="170"/>
        <w:rPr>
          <w:rFonts w:ascii="Times New Roman"/>
          <w:b/>
          <w:color w:val="auto"/>
          <w:sz w:val="21"/>
          <w:szCs w:val="21"/>
          <w:highlight w:val="none"/>
        </w:rPr>
      </w:pPr>
      <w:r>
        <w:rPr>
          <w:rFonts w:ascii="Times New Roman"/>
          <w:b/>
          <w:color w:val="auto"/>
          <w:sz w:val="21"/>
          <w:szCs w:val="21"/>
          <w:highlight w:val="none"/>
        </w:rPr>
        <w:t>六、履约保证金</w:t>
      </w:r>
    </w:p>
    <w:p w14:paraId="4645E089">
      <w:pPr>
        <w:pStyle w:val="19"/>
        <w:spacing w:beforeLines="0" w:after="120" w:afterLines="0" w:line="360" w:lineRule="auto"/>
        <w:ind w:left="357" w:hanging="357" w:hangingChars="170"/>
        <w:rPr>
          <w:rFonts w:ascii="Times New Roman"/>
          <w:color w:val="auto"/>
          <w:sz w:val="21"/>
          <w:szCs w:val="21"/>
          <w:highlight w:val="none"/>
        </w:rPr>
      </w:pPr>
      <w:r>
        <w:rPr>
          <w:rFonts w:ascii="Times New Roman"/>
          <w:color w:val="auto"/>
          <w:sz w:val="21"/>
          <w:szCs w:val="21"/>
          <w:highlight w:val="none"/>
        </w:rPr>
        <w:t>6.1 乙方交纳人民币</w:t>
      </w:r>
      <w:r>
        <w:rPr>
          <w:rFonts w:ascii="Times New Roman"/>
          <w:b/>
          <w:color w:val="auto"/>
          <w:sz w:val="21"/>
          <w:szCs w:val="21"/>
          <w:highlight w:val="none"/>
          <w:u w:val="single"/>
        </w:rPr>
        <w:t xml:space="preserve">    </w:t>
      </w:r>
      <w:r>
        <w:rPr>
          <w:rFonts w:ascii="Times New Roman"/>
          <w:color w:val="auto"/>
          <w:sz w:val="21"/>
          <w:szCs w:val="21"/>
          <w:highlight w:val="none"/>
        </w:rPr>
        <w:t>元作为本合同的履约保证金。</w:t>
      </w:r>
    </w:p>
    <w:p w14:paraId="67FAB4F0">
      <w:pPr>
        <w:spacing w:line="360" w:lineRule="auto"/>
        <w:rPr>
          <w:b/>
          <w:bCs/>
          <w:color w:val="auto"/>
          <w:szCs w:val="21"/>
          <w:highlight w:val="none"/>
        </w:rPr>
      </w:pPr>
      <w:r>
        <w:rPr>
          <w:b/>
          <w:bCs/>
          <w:color w:val="auto"/>
          <w:szCs w:val="21"/>
          <w:highlight w:val="none"/>
        </w:rPr>
        <w:t>七、转包或分包</w:t>
      </w:r>
    </w:p>
    <w:p w14:paraId="75C04057">
      <w:pPr>
        <w:pStyle w:val="19"/>
        <w:spacing w:beforeLines="0" w:after="120" w:afterLines="0" w:line="360" w:lineRule="auto"/>
        <w:ind w:left="357" w:hanging="357" w:hangingChars="170"/>
        <w:rPr>
          <w:rFonts w:ascii="Times New Roman"/>
          <w:color w:val="auto"/>
          <w:sz w:val="21"/>
          <w:szCs w:val="21"/>
          <w:highlight w:val="none"/>
        </w:rPr>
      </w:pPr>
      <w:r>
        <w:rPr>
          <w:rFonts w:ascii="Times New Roman"/>
          <w:color w:val="auto"/>
          <w:sz w:val="21"/>
          <w:szCs w:val="21"/>
          <w:highlight w:val="none"/>
        </w:rPr>
        <w:t>7.1本合同范围的货物，应由供方直接供应，不得转让他人供应；</w:t>
      </w:r>
    </w:p>
    <w:p w14:paraId="3BD5CF91">
      <w:pPr>
        <w:pStyle w:val="19"/>
        <w:spacing w:beforeLines="0" w:after="120" w:afterLines="0" w:line="360" w:lineRule="auto"/>
        <w:ind w:left="357" w:hanging="357" w:hangingChars="170"/>
        <w:rPr>
          <w:rFonts w:ascii="Times New Roman"/>
          <w:color w:val="auto"/>
          <w:sz w:val="21"/>
          <w:szCs w:val="21"/>
          <w:highlight w:val="none"/>
        </w:rPr>
      </w:pPr>
      <w:r>
        <w:rPr>
          <w:rFonts w:ascii="Times New Roman"/>
          <w:color w:val="auto"/>
          <w:sz w:val="21"/>
          <w:szCs w:val="21"/>
          <w:highlight w:val="none"/>
        </w:rPr>
        <w:t>7.2 除非得到需方的书面同意，供方不得部分分包给他人供应。</w:t>
      </w:r>
    </w:p>
    <w:p w14:paraId="2FE599EF">
      <w:pPr>
        <w:pStyle w:val="19"/>
        <w:spacing w:beforeLines="0" w:after="120" w:afterLines="0" w:line="360" w:lineRule="auto"/>
        <w:ind w:left="357" w:hanging="357" w:hangingChars="170"/>
        <w:rPr>
          <w:rFonts w:ascii="Times New Roman"/>
          <w:color w:val="auto"/>
          <w:sz w:val="21"/>
          <w:szCs w:val="21"/>
          <w:highlight w:val="none"/>
        </w:rPr>
      </w:pPr>
      <w:r>
        <w:rPr>
          <w:rFonts w:ascii="Times New Roman"/>
          <w:color w:val="auto"/>
          <w:sz w:val="21"/>
          <w:szCs w:val="21"/>
          <w:highlight w:val="none"/>
        </w:rPr>
        <w:t>7.3如有转让和未经需方同意的分包行为，需方有权给予终止合同。</w:t>
      </w:r>
    </w:p>
    <w:p w14:paraId="1231CC75">
      <w:pPr>
        <w:pStyle w:val="19"/>
        <w:spacing w:beforeLines="0" w:after="120" w:afterLines="0" w:line="360" w:lineRule="auto"/>
        <w:rPr>
          <w:rFonts w:ascii="Times New Roman"/>
          <w:color w:val="auto"/>
          <w:sz w:val="21"/>
          <w:szCs w:val="21"/>
          <w:highlight w:val="none"/>
        </w:rPr>
      </w:pPr>
      <w:r>
        <w:rPr>
          <w:rFonts w:ascii="Times New Roman"/>
          <w:b/>
          <w:color w:val="auto"/>
          <w:sz w:val="21"/>
          <w:szCs w:val="21"/>
          <w:highlight w:val="none"/>
        </w:rPr>
        <w:t>八、质保期</w:t>
      </w:r>
    </w:p>
    <w:p w14:paraId="5F91F145">
      <w:pPr>
        <w:pStyle w:val="19"/>
        <w:spacing w:beforeLines="0" w:after="120" w:afterLines="0" w:line="360" w:lineRule="auto"/>
        <w:ind w:left="359" w:hanging="359" w:hangingChars="171"/>
        <w:rPr>
          <w:rFonts w:ascii="Times New Roman"/>
          <w:color w:val="auto"/>
          <w:sz w:val="21"/>
          <w:szCs w:val="21"/>
          <w:highlight w:val="none"/>
        </w:rPr>
      </w:pPr>
      <w:r>
        <w:rPr>
          <w:rFonts w:ascii="Times New Roman"/>
          <w:color w:val="auto"/>
          <w:sz w:val="21"/>
          <w:szCs w:val="21"/>
          <w:highlight w:val="none"/>
        </w:rPr>
        <w:t>8.1 质保期</w:t>
      </w:r>
      <w:r>
        <w:rPr>
          <w:rFonts w:ascii="Times New Roman"/>
          <w:color w:val="auto"/>
          <w:sz w:val="21"/>
          <w:szCs w:val="21"/>
          <w:highlight w:val="none"/>
          <w:u w:val="single"/>
        </w:rPr>
        <w:t xml:space="preserve">   </w:t>
      </w:r>
      <w:r>
        <w:rPr>
          <w:rFonts w:ascii="Times New Roman"/>
          <w:color w:val="auto"/>
          <w:sz w:val="21"/>
          <w:szCs w:val="21"/>
          <w:highlight w:val="none"/>
        </w:rPr>
        <w:t>年。（自交货验收合格之日起计）</w:t>
      </w:r>
    </w:p>
    <w:p w14:paraId="7266F04E">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九、交货期、交货方式及交货地点</w:t>
      </w:r>
    </w:p>
    <w:p w14:paraId="4A80ADF2">
      <w:pPr>
        <w:pStyle w:val="19"/>
        <w:spacing w:beforeLines="0" w:after="120" w:afterLines="0" w:line="360" w:lineRule="auto"/>
        <w:rPr>
          <w:rFonts w:ascii="Times New Roman"/>
          <w:bCs/>
          <w:color w:val="auto"/>
          <w:sz w:val="21"/>
          <w:szCs w:val="21"/>
          <w:highlight w:val="none"/>
        </w:rPr>
      </w:pPr>
      <w:r>
        <w:rPr>
          <w:rFonts w:ascii="Times New Roman"/>
          <w:bCs/>
          <w:color w:val="auto"/>
          <w:sz w:val="21"/>
          <w:szCs w:val="21"/>
          <w:highlight w:val="none"/>
        </w:rPr>
        <w:t xml:space="preserve">9.1 交货期： </w:t>
      </w:r>
    </w:p>
    <w:p w14:paraId="2C2625A0">
      <w:pPr>
        <w:pStyle w:val="19"/>
        <w:spacing w:beforeLines="0" w:after="120" w:afterLines="0" w:line="360" w:lineRule="auto"/>
        <w:rPr>
          <w:rFonts w:ascii="Times New Roman"/>
          <w:bCs/>
          <w:color w:val="auto"/>
          <w:sz w:val="21"/>
          <w:szCs w:val="21"/>
          <w:highlight w:val="none"/>
        </w:rPr>
      </w:pPr>
      <w:r>
        <w:rPr>
          <w:rFonts w:ascii="Times New Roman"/>
          <w:bCs/>
          <w:color w:val="auto"/>
          <w:sz w:val="21"/>
          <w:szCs w:val="21"/>
          <w:highlight w:val="none"/>
        </w:rPr>
        <w:t>9.2 交货方式：</w:t>
      </w:r>
    </w:p>
    <w:p w14:paraId="6B0CEA91">
      <w:pPr>
        <w:pStyle w:val="19"/>
        <w:spacing w:beforeLines="0" w:after="120" w:afterLines="0" w:line="360" w:lineRule="auto"/>
        <w:rPr>
          <w:rFonts w:ascii="Times New Roman"/>
          <w:b/>
          <w:color w:val="auto"/>
          <w:sz w:val="21"/>
          <w:szCs w:val="21"/>
          <w:highlight w:val="none"/>
        </w:rPr>
      </w:pPr>
      <w:r>
        <w:rPr>
          <w:rFonts w:ascii="Times New Roman"/>
          <w:bCs/>
          <w:color w:val="auto"/>
          <w:sz w:val="21"/>
          <w:szCs w:val="21"/>
          <w:highlight w:val="none"/>
        </w:rPr>
        <w:t>9.3 交货地点：</w:t>
      </w:r>
      <w:r>
        <w:rPr>
          <w:rFonts w:ascii="Times New Roman"/>
          <w:b/>
          <w:color w:val="auto"/>
          <w:sz w:val="21"/>
          <w:szCs w:val="21"/>
          <w:highlight w:val="none"/>
        </w:rPr>
        <w:t xml:space="preserve"> </w:t>
      </w:r>
    </w:p>
    <w:p w14:paraId="2608C959">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十、货款支付</w:t>
      </w:r>
    </w:p>
    <w:p w14:paraId="01DFE343">
      <w:pPr>
        <w:spacing w:line="360" w:lineRule="auto"/>
        <w:rPr>
          <w:color w:val="auto"/>
          <w:szCs w:val="21"/>
          <w:highlight w:val="none"/>
        </w:rPr>
      </w:pPr>
      <w:r>
        <w:rPr>
          <w:bCs/>
          <w:color w:val="auto"/>
          <w:szCs w:val="21"/>
          <w:highlight w:val="none"/>
        </w:rPr>
        <w:t xml:space="preserve">10.1 </w:t>
      </w:r>
    </w:p>
    <w:p w14:paraId="022AB7A2">
      <w:pPr>
        <w:spacing w:line="360" w:lineRule="auto"/>
        <w:rPr>
          <w:b/>
          <w:color w:val="auto"/>
          <w:szCs w:val="21"/>
          <w:highlight w:val="none"/>
        </w:rPr>
      </w:pPr>
      <w:r>
        <w:rPr>
          <w:b/>
          <w:color w:val="auto"/>
          <w:szCs w:val="21"/>
          <w:highlight w:val="none"/>
        </w:rPr>
        <w:t>十一.税</w:t>
      </w:r>
    </w:p>
    <w:p w14:paraId="0C38C7AA">
      <w:pPr>
        <w:pStyle w:val="19"/>
        <w:spacing w:beforeLines="0" w:after="120" w:afterLines="0" w:line="360" w:lineRule="auto"/>
        <w:ind w:left="359" w:hanging="359" w:hangingChars="171"/>
        <w:rPr>
          <w:rFonts w:ascii="Times New Roman"/>
          <w:color w:val="auto"/>
          <w:sz w:val="21"/>
          <w:szCs w:val="21"/>
          <w:highlight w:val="none"/>
        </w:rPr>
      </w:pPr>
      <w:r>
        <w:rPr>
          <w:rFonts w:ascii="Times New Roman"/>
          <w:color w:val="auto"/>
          <w:sz w:val="21"/>
          <w:szCs w:val="21"/>
          <w:highlight w:val="none"/>
        </w:rPr>
        <w:t>11.1本合同执行中相关的一切税费均由供方负担。</w:t>
      </w:r>
    </w:p>
    <w:p w14:paraId="347A347A">
      <w:pPr>
        <w:pStyle w:val="19"/>
        <w:spacing w:beforeLines="0" w:after="120" w:afterLines="0" w:line="360" w:lineRule="auto"/>
        <w:ind w:left="360" w:hanging="361" w:hangingChars="171"/>
        <w:rPr>
          <w:rFonts w:ascii="Times New Roman"/>
          <w:color w:val="auto"/>
          <w:sz w:val="21"/>
          <w:szCs w:val="21"/>
          <w:highlight w:val="none"/>
        </w:rPr>
      </w:pPr>
      <w:r>
        <w:rPr>
          <w:rFonts w:ascii="Times New Roman"/>
          <w:b/>
          <w:color w:val="auto"/>
          <w:sz w:val="21"/>
          <w:szCs w:val="21"/>
          <w:highlight w:val="none"/>
        </w:rPr>
        <w:t>十二、质量保证及售后服务</w:t>
      </w:r>
    </w:p>
    <w:p w14:paraId="1F6B8B8A">
      <w:pPr>
        <w:pStyle w:val="19"/>
        <w:spacing w:beforeLines="0" w:after="120" w:afterLines="0" w:line="360" w:lineRule="auto"/>
        <w:ind w:left="359" w:hanging="359" w:hangingChars="171"/>
        <w:rPr>
          <w:rFonts w:ascii="Times New Roman"/>
          <w:color w:val="auto"/>
          <w:sz w:val="21"/>
          <w:szCs w:val="21"/>
          <w:highlight w:val="none"/>
        </w:rPr>
      </w:pPr>
      <w:r>
        <w:rPr>
          <w:rFonts w:ascii="Times New Roman"/>
          <w:color w:val="auto"/>
          <w:sz w:val="21"/>
          <w:szCs w:val="21"/>
          <w:highlight w:val="none"/>
        </w:rPr>
        <w:t>12.1 乙方应按磋商文件规定的货物性能、技术要求、质量标准向甲方提供未经使用的全新产品。</w:t>
      </w:r>
    </w:p>
    <w:p w14:paraId="7ABBA5DE">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12.2 乙方提供的货物在质量保证期内因货物本身的质量问题发生故障，乙方应负责免费更换。对达不到技术要求者，根据实际情况，经双方协商，可按以下办法处理：</w:t>
      </w:r>
    </w:p>
    <w:p w14:paraId="76077C6A">
      <w:pPr>
        <w:pStyle w:val="19"/>
        <w:spacing w:beforeLines="0" w:after="120" w:afterLines="0" w:line="360" w:lineRule="auto"/>
        <w:ind w:firstLine="420"/>
        <w:rPr>
          <w:rFonts w:ascii="Times New Roman"/>
          <w:color w:val="auto"/>
          <w:sz w:val="21"/>
          <w:szCs w:val="21"/>
          <w:highlight w:val="none"/>
        </w:rPr>
      </w:pPr>
      <w:r>
        <w:rPr>
          <w:rFonts w:hint="eastAsia" w:hAnsi="宋体" w:cs="宋体"/>
          <w:color w:val="auto"/>
          <w:sz w:val="21"/>
          <w:szCs w:val="21"/>
          <w:highlight w:val="none"/>
        </w:rPr>
        <w:t>⑴</w:t>
      </w:r>
      <w:r>
        <w:rPr>
          <w:rFonts w:ascii="Times New Roman"/>
          <w:color w:val="auto"/>
          <w:sz w:val="21"/>
          <w:szCs w:val="21"/>
          <w:highlight w:val="none"/>
        </w:rPr>
        <w:t>更换：由乙方承担所发生的全部费用。</w:t>
      </w:r>
    </w:p>
    <w:p w14:paraId="0AB113D1">
      <w:pPr>
        <w:pStyle w:val="19"/>
        <w:spacing w:beforeLines="0" w:after="120" w:afterLines="0" w:line="360" w:lineRule="auto"/>
        <w:ind w:firstLine="420"/>
        <w:rPr>
          <w:rFonts w:ascii="Times New Roman"/>
          <w:color w:val="auto"/>
          <w:sz w:val="21"/>
          <w:szCs w:val="21"/>
          <w:highlight w:val="none"/>
        </w:rPr>
      </w:pPr>
      <w:r>
        <w:rPr>
          <w:rFonts w:hint="eastAsia" w:hAnsi="宋体" w:cs="宋体"/>
          <w:color w:val="auto"/>
          <w:sz w:val="21"/>
          <w:szCs w:val="21"/>
          <w:highlight w:val="none"/>
        </w:rPr>
        <w:t>⑵</w:t>
      </w:r>
      <w:r>
        <w:rPr>
          <w:rFonts w:ascii="Times New Roman"/>
          <w:color w:val="auto"/>
          <w:sz w:val="21"/>
          <w:szCs w:val="21"/>
          <w:highlight w:val="none"/>
        </w:rPr>
        <w:t>贬值处理：由甲乙双方合议定价。</w:t>
      </w:r>
    </w:p>
    <w:p w14:paraId="3DF8A679">
      <w:pPr>
        <w:pStyle w:val="19"/>
        <w:spacing w:beforeLines="0" w:after="120" w:afterLines="0" w:line="360" w:lineRule="auto"/>
        <w:ind w:left="420" w:leftChars="200"/>
        <w:rPr>
          <w:rFonts w:ascii="Times New Roman"/>
          <w:color w:val="auto"/>
          <w:sz w:val="21"/>
          <w:szCs w:val="21"/>
          <w:highlight w:val="none"/>
        </w:rPr>
      </w:pPr>
      <w:r>
        <w:rPr>
          <w:rFonts w:hint="eastAsia" w:hAnsi="宋体" w:cs="宋体"/>
          <w:color w:val="auto"/>
          <w:sz w:val="21"/>
          <w:szCs w:val="21"/>
          <w:highlight w:val="none"/>
        </w:rPr>
        <w:t>⑶</w:t>
      </w:r>
      <w:r>
        <w:rPr>
          <w:rFonts w:ascii="Times New Roman"/>
          <w:color w:val="auto"/>
          <w:sz w:val="21"/>
          <w:szCs w:val="21"/>
          <w:highlight w:val="none"/>
        </w:rPr>
        <w:t>退货处理：乙方应退还甲方支付的合同款，同时应承担该货物的直接费用（运输、保险、检验、货款利息及银行手续费等）。</w:t>
      </w:r>
    </w:p>
    <w:p w14:paraId="5A16939F">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12.3 如在使用过程中发生质量问题，乙方在接到甲方通知后在</w:t>
      </w:r>
      <w:r>
        <w:rPr>
          <w:rFonts w:ascii="Times New Roman"/>
          <w:color w:val="auto"/>
          <w:sz w:val="21"/>
          <w:szCs w:val="21"/>
          <w:highlight w:val="none"/>
          <w:u w:val="single"/>
        </w:rPr>
        <w:t xml:space="preserve">  </w:t>
      </w:r>
      <w:r>
        <w:rPr>
          <w:rFonts w:ascii="Times New Roman"/>
          <w:color w:val="auto"/>
          <w:sz w:val="21"/>
          <w:szCs w:val="21"/>
          <w:highlight w:val="none"/>
        </w:rPr>
        <w:t>小时内到达甲方现场。</w:t>
      </w:r>
    </w:p>
    <w:p w14:paraId="3ADE155E">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12.4 在质保期内，乙方应对货物出现的质量及安全问题负责处理解决并承担一切费用。</w:t>
      </w:r>
    </w:p>
    <w:p w14:paraId="3E1D0EF6">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12.5上述的货物免费保修期为</w:t>
      </w:r>
      <w:r>
        <w:rPr>
          <w:rFonts w:ascii="Times New Roman"/>
          <w:color w:val="auto"/>
          <w:sz w:val="21"/>
          <w:szCs w:val="21"/>
          <w:highlight w:val="none"/>
          <w:u w:val="single"/>
        </w:rPr>
        <w:t xml:space="preserve">   </w:t>
      </w:r>
      <w:r>
        <w:rPr>
          <w:rFonts w:ascii="Times New Roman"/>
          <w:color w:val="auto"/>
          <w:sz w:val="21"/>
          <w:szCs w:val="21"/>
          <w:highlight w:val="none"/>
        </w:rPr>
        <w:t>年，因人为因素出现的故障不在免费保修范围内。超过保修期的机器设备，终生维修，维修时只收部件成本费。</w:t>
      </w:r>
    </w:p>
    <w:p w14:paraId="4FFB0524">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十三、调试和验收</w:t>
      </w:r>
    </w:p>
    <w:p w14:paraId="22962E4C">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13.1 甲方对乙方提交的货物依据磋商文件上的技术规格要求和国家有关质量标准进行现场初步验收，外观、说明书符合磋商文件技术要求的，给予签收，初步验收不合格的不予签收。货到后，甲方需在五个工作日内验收。</w:t>
      </w:r>
    </w:p>
    <w:p w14:paraId="7E6F8E74">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13.2 乙方交货前应对产品作出全面检查和对验收文件进行整理，并列出清单，作为甲方收货验收和使用的技术条件依据，检验的结果应随货物交甲方。</w:t>
      </w:r>
    </w:p>
    <w:p w14:paraId="3E891B8D">
      <w:pPr>
        <w:pStyle w:val="19"/>
        <w:spacing w:beforeLines="0" w:after="120" w:afterLines="0" w:line="360" w:lineRule="auto"/>
        <w:ind w:left="420" w:hanging="420" w:hangingChars="200"/>
        <w:rPr>
          <w:rFonts w:ascii="Times New Roman"/>
          <w:color w:val="auto"/>
          <w:sz w:val="21"/>
          <w:szCs w:val="21"/>
          <w:highlight w:val="none"/>
          <w:u w:val="single"/>
        </w:rPr>
      </w:pPr>
      <w:r>
        <w:rPr>
          <w:rFonts w:ascii="Times New Roman"/>
          <w:color w:val="auto"/>
          <w:sz w:val="21"/>
          <w:szCs w:val="21"/>
          <w:highlight w:val="none"/>
        </w:rPr>
        <w:t>13.3 甲方对乙方提供的货物在使用前进行调试时，乙方需负责安装并培训甲方的使用操作人员，并协助甲方一起调试，直到符合技术要求，甲方才做最终验收。</w:t>
      </w:r>
    </w:p>
    <w:p w14:paraId="037C7748">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13.4 对技术复杂的货物，甲方应请国家认可的专业检测机构参与初步验收及最终验收，并由其出具质量检测报告。</w:t>
      </w:r>
    </w:p>
    <w:p w14:paraId="5582BE5A">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13.5 验收时乙方必须在现场，验收完毕后作出验收结果报告；验收费用由乙方负责。</w:t>
      </w:r>
    </w:p>
    <w:p w14:paraId="30037578">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十四、货物包装、发运及运输</w:t>
      </w:r>
    </w:p>
    <w:p w14:paraId="599A1219">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14.1 乙方应在货物发运前对其进行满足运输距离、防潮、防震、防锈和防破损装卸等要求包装，以保证货物安全运达甲方指定地点。</w:t>
      </w:r>
    </w:p>
    <w:p w14:paraId="497F8FE8">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14.2 使用说明书、质量检验证明书、随配附件和工具以及清单一并附于货物内。</w:t>
      </w:r>
    </w:p>
    <w:p w14:paraId="25917B0B">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14.3 乙方在货物发运手续办理完毕后24小时内或货到甲方48小时前通知甲方，以准备接货。</w:t>
      </w:r>
    </w:p>
    <w:p w14:paraId="58555AD6">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14.4 货物在交付甲方前发生的风险均由乙方负责。</w:t>
      </w:r>
    </w:p>
    <w:p w14:paraId="210899EF">
      <w:pPr>
        <w:pStyle w:val="19"/>
        <w:spacing w:beforeLines="0" w:after="120" w:afterLines="0" w:line="360" w:lineRule="auto"/>
        <w:ind w:left="420" w:right="26" w:hanging="420" w:hangingChars="200"/>
        <w:rPr>
          <w:rFonts w:ascii="Times New Roman"/>
          <w:color w:val="auto"/>
          <w:sz w:val="21"/>
          <w:szCs w:val="21"/>
          <w:highlight w:val="none"/>
        </w:rPr>
      </w:pPr>
      <w:r>
        <w:rPr>
          <w:rFonts w:ascii="Times New Roman"/>
          <w:color w:val="auto"/>
          <w:sz w:val="21"/>
          <w:szCs w:val="21"/>
          <w:highlight w:val="none"/>
        </w:rPr>
        <w:t>14.5 货物在规定的交付期限内由乙方送达甲方指定的地点视为交付，乙方同时需通知甲方货物已送达。</w:t>
      </w:r>
    </w:p>
    <w:p w14:paraId="077F9B05">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十五、违约责任</w:t>
      </w:r>
    </w:p>
    <w:p w14:paraId="48964B07">
      <w:pPr>
        <w:pStyle w:val="19"/>
        <w:spacing w:beforeLines="0" w:after="120" w:afterLines="0" w:line="360" w:lineRule="auto"/>
        <w:ind w:left="359" w:hanging="359" w:hangingChars="171"/>
        <w:rPr>
          <w:rFonts w:ascii="Times New Roman"/>
          <w:color w:val="auto"/>
          <w:sz w:val="21"/>
          <w:szCs w:val="21"/>
          <w:highlight w:val="none"/>
        </w:rPr>
      </w:pPr>
      <w:r>
        <w:rPr>
          <w:rFonts w:ascii="Times New Roman"/>
          <w:color w:val="auto"/>
          <w:sz w:val="21"/>
          <w:szCs w:val="21"/>
          <w:highlight w:val="none"/>
        </w:rPr>
        <w:t>15.1 甲方无正当理由拒收货物的，甲方向乙方偿付拒收货款总值的百分之五违约金。</w:t>
      </w:r>
    </w:p>
    <w:p w14:paraId="07F82A41">
      <w:pPr>
        <w:pStyle w:val="19"/>
        <w:spacing w:beforeLines="0" w:after="120" w:afterLines="0" w:line="360" w:lineRule="auto"/>
        <w:ind w:left="359" w:hanging="359" w:hangingChars="171"/>
        <w:rPr>
          <w:rFonts w:ascii="Times New Roman"/>
          <w:color w:val="auto"/>
          <w:sz w:val="21"/>
          <w:szCs w:val="21"/>
          <w:highlight w:val="none"/>
        </w:rPr>
      </w:pPr>
      <w:r>
        <w:rPr>
          <w:rFonts w:ascii="Times New Roman"/>
          <w:color w:val="auto"/>
          <w:sz w:val="21"/>
          <w:szCs w:val="21"/>
          <w:highlight w:val="none"/>
        </w:rPr>
        <w:t>15.2 甲方无故逾期验收和办理货款支付手续的,甲方应按逾期付款总额每日万分之五向乙方支付违约金。</w:t>
      </w:r>
    </w:p>
    <w:p w14:paraId="76D280FB">
      <w:pPr>
        <w:pStyle w:val="19"/>
        <w:spacing w:beforeLines="0" w:after="120" w:afterLines="0" w:line="360" w:lineRule="auto"/>
        <w:ind w:left="359" w:hanging="359" w:hangingChars="171"/>
        <w:rPr>
          <w:rFonts w:ascii="Times New Roman"/>
          <w:color w:val="auto"/>
          <w:sz w:val="21"/>
          <w:szCs w:val="21"/>
          <w:highlight w:val="none"/>
        </w:rPr>
      </w:pPr>
      <w:r>
        <w:rPr>
          <w:rFonts w:ascii="Times New Roman"/>
          <w:color w:val="auto"/>
          <w:sz w:val="21"/>
          <w:szCs w:val="21"/>
          <w:highlight w:val="none"/>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7B65B77">
      <w:pPr>
        <w:pStyle w:val="19"/>
        <w:spacing w:beforeLines="0" w:after="120" w:afterLines="0" w:line="360" w:lineRule="auto"/>
        <w:ind w:left="359" w:hanging="359" w:hangingChars="171"/>
        <w:rPr>
          <w:rFonts w:ascii="Times New Roman"/>
          <w:color w:val="auto"/>
          <w:sz w:val="21"/>
          <w:szCs w:val="21"/>
          <w:highlight w:val="none"/>
        </w:rPr>
      </w:pPr>
      <w:r>
        <w:rPr>
          <w:rFonts w:ascii="Times New Roman"/>
          <w:color w:val="auto"/>
          <w:sz w:val="21"/>
          <w:szCs w:val="21"/>
          <w:highlight w:val="none"/>
        </w:rPr>
        <w:t>15.4 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512DE37F">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十六、不可抗力事件处理</w:t>
      </w:r>
    </w:p>
    <w:p w14:paraId="13FD9D25">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16.1 在合同有效期内，任何一方因不可抗力事件导致不能履行合同，则合同履行期可延长，其延长期与不可抗力影响期相同。</w:t>
      </w:r>
    </w:p>
    <w:p w14:paraId="3DCADF51">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16.2 不可抗力事件发生后，应立即通知对方，并寄送有关权威机构出具的证明。</w:t>
      </w:r>
    </w:p>
    <w:p w14:paraId="7BAE63BD">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16.3 不可抗力事件延续120天以上，双方应通过友好协商，确定是否继续履行合同。</w:t>
      </w:r>
    </w:p>
    <w:p w14:paraId="23CFCA14">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十七、诉讼</w:t>
      </w:r>
    </w:p>
    <w:p w14:paraId="0908A778">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17.1 双方在执行合同中所发生的一切争议，应通过协商解决。如协商不成，可向合同签订地法院起诉，合同签订地在此约定为宁波市。</w:t>
      </w:r>
    </w:p>
    <w:p w14:paraId="6536C816">
      <w:pPr>
        <w:pStyle w:val="19"/>
        <w:spacing w:beforeLines="0" w:after="120" w:afterLines="0" w:line="360" w:lineRule="auto"/>
        <w:rPr>
          <w:rFonts w:ascii="Times New Roman"/>
          <w:b/>
          <w:color w:val="auto"/>
          <w:sz w:val="21"/>
          <w:szCs w:val="21"/>
          <w:highlight w:val="none"/>
        </w:rPr>
      </w:pPr>
      <w:r>
        <w:rPr>
          <w:rFonts w:ascii="Times New Roman"/>
          <w:b/>
          <w:color w:val="auto"/>
          <w:sz w:val="21"/>
          <w:szCs w:val="21"/>
          <w:highlight w:val="none"/>
        </w:rPr>
        <w:t>十八、合同生效及其它</w:t>
      </w:r>
    </w:p>
    <w:p w14:paraId="74AEC5FF">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18.1 合同经双方法定代表人或授权委托代理人签字并加盖单位公章后生效。</w:t>
      </w:r>
    </w:p>
    <w:p w14:paraId="7A99DD4A">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18.2合同执行中涉及采购资金和采购内容修改或补充的，须经甲方审批，并签书面补充协议并报相关部门备案，方可作为主合同不可分割的一部分。</w:t>
      </w:r>
    </w:p>
    <w:p w14:paraId="2B84FA81">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18.3 磋商文件和乙方的响应文件、及应标承诺等作为本次合同不可分割的一部分，乙方必须严格遵守执行。</w:t>
      </w:r>
    </w:p>
    <w:p w14:paraId="23BFD7AD">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18.4本合同未尽事宜，遵照《民法典》有关条文执行。</w:t>
      </w:r>
    </w:p>
    <w:p w14:paraId="69FBADB9">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18.5 本合同正本一式两份，具有同等法律效力，甲乙双方各执一份；副本</w:t>
      </w:r>
      <w:r>
        <w:rPr>
          <w:rFonts w:ascii="Times New Roman"/>
          <w:b/>
          <w:color w:val="auto"/>
          <w:sz w:val="21"/>
          <w:szCs w:val="21"/>
          <w:highlight w:val="none"/>
        </w:rPr>
        <w:t xml:space="preserve"> </w:t>
      </w:r>
      <w:r>
        <w:rPr>
          <w:rFonts w:ascii="Times New Roman"/>
          <w:b/>
          <w:color w:val="auto"/>
          <w:sz w:val="21"/>
          <w:szCs w:val="21"/>
          <w:highlight w:val="none"/>
          <w:u w:val="single"/>
        </w:rPr>
        <w:t xml:space="preserve">    </w:t>
      </w:r>
      <w:r>
        <w:rPr>
          <w:rFonts w:ascii="Times New Roman"/>
          <w:color w:val="auto"/>
          <w:sz w:val="21"/>
          <w:szCs w:val="21"/>
          <w:highlight w:val="none"/>
        </w:rPr>
        <w:t>份，(用途)。</w:t>
      </w:r>
    </w:p>
    <w:p w14:paraId="60AE7A45">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 xml:space="preserve">  </w:t>
      </w:r>
    </w:p>
    <w:p w14:paraId="3212CEC8">
      <w:pPr>
        <w:pStyle w:val="19"/>
        <w:spacing w:beforeLines="0" w:after="120" w:afterLines="0" w:line="360" w:lineRule="auto"/>
        <w:ind w:left="420" w:hanging="420" w:hangingChars="200"/>
        <w:rPr>
          <w:rFonts w:ascii="Times New Roman"/>
          <w:color w:val="auto"/>
          <w:sz w:val="21"/>
          <w:szCs w:val="21"/>
          <w:highlight w:val="none"/>
        </w:rPr>
      </w:pPr>
      <w:r>
        <w:rPr>
          <w:rFonts w:ascii="Times New Roman"/>
          <w:color w:val="auto"/>
          <w:sz w:val="21"/>
          <w:szCs w:val="21"/>
          <w:highlight w:val="none"/>
        </w:rPr>
        <w:t xml:space="preserve">  甲方：                                   乙方： </w:t>
      </w:r>
    </w:p>
    <w:p w14:paraId="5A92E71A">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 xml:space="preserve">  地址：                                   地址： </w:t>
      </w:r>
    </w:p>
    <w:p w14:paraId="6627A80D">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 xml:space="preserve">  法定代表人：                             法定代表人：</w:t>
      </w:r>
    </w:p>
    <w:p w14:paraId="0DB174E1">
      <w:pPr>
        <w:pStyle w:val="19"/>
        <w:spacing w:beforeLines="0" w:after="120" w:afterLines="0" w:line="360" w:lineRule="auto"/>
        <w:rPr>
          <w:rFonts w:ascii="Times New Roman"/>
          <w:color w:val="auto"/>
          <w:sz w:val="21"/>
          <w:szCs w:val="21"/>
          <w:highlight w:val="none"/>
        </w:rPr>
      </w:pPr>
      <w:r>
        <w:rPr>
          <w:rFonts w:ascii="Times New Roman"/>
          <w:color w:val="auto"/>
          <w:sz w:val="21"/>
          <w:szCs w:val="21"/>
          <w:highlight w:val="none"/>
        </w:rPr>
        <w:t xml:space="preserve">  签订地点：                               签订日期：      年  月  日</w:t>
      </w:r>
    </w:p>
    <w:p w14:paraId="6D608EC5">
      <w:pPr>
        <w:spacing w:line="360" w:lineRule="auto"/>
        <w:rPr>
          <w:b/>
          <w:color w:val="auto"/>
          <w:szCs w:val="21"/>
          <w:highlight w:val="none"/>
        </w:rPr>
      </w:pPr>
      <w:r>
        <w:rPr>
          <w:b/>
          <w:color w:val="auto"/>
          <w:szCs w:val="21"/>
          <w:highlight w:val="none"/>
        </w:rPr>
        <w:t>本合同未尽事宜或合同内容需实质性调整，根据采购文件规定、成交供应商要约情况及采购人实际承诺结果据实增补或调整。</w:t>
      </w:r>
    </w:p>
    <w:p w14:paraId="1FB88D68">
      <w:pPr>
        <w:spacing w:line="360" w:lineRule="auto"/>
        <w:rPr>
          <w:b/>
          <w:color w:val="auto"/>
          <w:szCs w:val="21"/>
          <w:highlight w:val="none"/>
        </w:rPr>
      </w:pPr>
    </w:p>
    <w:p w14:paraId="49030290">
      <w:pPr>
        <w:rPr>
          <w:color w:val="auto"/>
          <w:spacing w:val="-4"/>
          <w:szCs w:val="21"/>
          <w:highlight w:val="none"/>
        </w:rPr>
      </w:pPr>
    </w:p>
    <w:p w14:paraId="019919A8">
      <w:pPr>
        <w:widowControl/>
        <w:jc w:val="left"/>
        <w:rPr>
          <w:color w:val="auto"/>
          <w:spacing w:val="-4"/>
          <w:szCs w:val="21"/>
          <w:highlight w:val="none"/>
        </w:rPr>
      </w:pPr>
      <w:r>
        <w:rPr>
          <w:color w:val="auto"/>
          <w:spacing w:val="-4"/>
          <w:szCs w:val="21"/>
          <w:highlight w:val="none"/>
        </w:rPr>
        <w:br w:type="page"/>
      </w:r>
    </w:p>
    <w:bookmarkEnd w:id="227"/>
    <w:bookmarkEnd w:id="228"/>
    <w:p w14:paraId="188D2114">
      <w:pPr>
        <w:pStyle w:val="4"/>
        <w:spacing w:before="0" w:after="0" w:line="360" w:lineRule="auto"/>
        <w:jc w:val="center"/>
        <w:rPr>
          <w:b w:val="0"/>
          <w:bCs w:val="0"/>
          <w:color w:val="auto"/>
          <w:sz w:val="28"/>
          <w:szCs w:val="28"/>
          <w:highlight w:val="none"/>
        </w:rPr>
      </w:pPr>
      <w:bookmarkStart w:id="229" w:name="_Toc100932157"/>
      <w:bookmarkStart w:id="230" w:name="_Toc76771840"/>
      <w:r>
        <w:rPr>
          <w:color w:val="auto"/>
          <w:sz w:val="30"/>
          <w:highlight w:val="none"/>
        </w:rPr>
        <w:t>第六章投标文件格式</w:t>
      </w:r>
      <w:bookmarkEnd w:id="229"/>
      <w:bookmarkEnd w:id="230"/>
    </w:p>
    <w:p w14:paraId="26E6B86F">
      <w:pPr>
        <w:rPr>
          <w:b/>
          <w:color w:val="auto"/>
          <w:highlight w:val="none"/>
        </w:rPr>
      </w:pPr>
      <w:bookmarkStart w:id="231" w:name="_Toc460857946"/>
      <w:r>
        <w:rPr>
          <w:b/>
          <w:color w:val="auto"/>
          <w:highlight w:val="none"/>
        </w:rPr>
        <w:t>格式一：</w:t>
      </w:r>
      <w:r>
        <w:rPr>
          <w:color w:val="auto"/>
          <w:szCs w:val="21"/>
          <w:highlight w:val="none"/>
        </w:rPr>
        <w:t>投标人资格声明</w:t>
      </w:r>
    </w:p>
    <w:p w14:paraId="57D1C229">
      <w:pPr>
        <w:spacing w:line="320" w:lineRule="exact"/>
        <w:jc w:val="center"/>
        <w:rPr>
          <w:b/>
          <w:color w:val="auto"/>
          <w:sz w:val="32"/>
          <w:szCs w:val="32"/>
          <w:highlight w:val="none"/>
        </w:rPr>
      </w:pPr>
      <w:bookmarkStart w:id="232" w:name="_Toc275865606"/>
      <w:r>
        <w:rPr>
          <w:b/>
          <w:color w:val="auto"/>
          <w:sz w:val="32"/>
          <w:szCs w:val="32"/>
          <w:highlight w:val="none"/>
        </w:rPr>
        <w:t>投标人资格声明函</w:t>
      </w:r>
      <w:bookmarkEnd w:id="232"/>
    </w:p>
    <w:p w14:paraId="02AA622B">
      <w:pPr>
        <w:rPr>
          <w:b/>
          <w:color w:val="auto"/>
          <w:highlight w:val="none"/>
        </w:rPr>
      </w:pPr>
    </w:p>
    <w:p w14:paraId="51A59DE1">
      <w:pPr>
        <w:rPr>
          <w:b/>
          <w:color w:val="auto"/>
          <w:highlight w:val="none"/>
        </w:rPr>
      </w:pPr>
      <w:r>
        <w:rPr>
          <w:b/>
          <w:color w:val="auto"/>
          <w:highlight w:val="none"/>
        </w:rPr>
        <w:t>浙江中创招投标有限公司：</w:t>
      </w:r>
    </w:p>
    <w:p w14:paraId="006DDFDC">
      <w:pPr>
        <w:snapToGrid w:val="0"/>
        <w:spacing w:before="120" w:beforeLines="50" w:line="360" w:lineRule="auto"/>
        <w:ind w:firstLine="424" w:firstLineChars="202"/>
        <w:rPr>
          <w:color w:val="auto"/>
          <w:highlight w:val="none"/>
        </w:rPr>
      </w:pPr>
    </w:p>
    <w:p w14:paraId="2B66DE42">
      <w:pPr>
        <w:snapToGrid w:val="0"/>
        <w:spacing w:before="120" w:beforeLines="50" w:line="360" w:lineRule="auto"/>
        <w:ind w:firstLine="424" w:firstLineChars="202"/>
        <w:rPr>
          <w:color w:val="auto"/>
          <w:highlight w:val="none"/>
        </w:rPr>
      </w:pPr>
      <w:r>
        <w:rPr>
          <w:color w:val="auto"/>
          <w:highlight w:val="none"/>
        </w:rPr>
        <w:t xml:space="preserve">关于你贵司 </w:t>
      </w:r>
      <w:r>
        <w:rPr>
          <w:color w:val="auto"/>
          <w:highlight w:val="none"/>
          <w:u w:val="single"/>
        </w:rPr>
        <w:t xml:space="preserve">                </w:t>
      </w:r>
      <w:r>
        <w:rPr>
          <w:color w:val="auto"/>
          <w:highlight w:val="none"/>
        </w:rPr>
        <w:t>项目（项目编号：</w:t>
      </w:r>
      <w:r>
        <w:rPr>
          <w:color w:val="auto"/>
          <w:highlight w:val="none"/>
          <w:u w:val="single"/>
        </w:rPr>
        <w:t>　　　</w:t>
      </w:r>
      <w:r>
        <w:rPr>
          <w:color w:val="auto"/>
          <w:highlight w:val="none"/>
        </w:rPr>
        <w:t>）的采购公告，本公司（企业）愿意参加投标，并声明：</w:t>
      </w:r>
    </w:p>
    <w:p w14:paraId="74340028">
      <w:pPr>
        <w:snapToGrid w:val="0"/>
        <w:spacing w:line="360" w:lineRule="auto"/>
        <w:ind w:firstLine="424" w:firstLineChars="202"/>
        <w:rPr>
          <w:color w:val="auto"/>
          <w:highlight w:val="none"/>
        </w:rPr>
      </w:pPr>
      <w:r>
        <w:rPr>
          <w:color w:val="auto"/>
          <w:highlight w:val="none"/>
        </w:rPr>
        <w:t>本公司（企业）具备</w:t>
      </w:r>
      <w:r>
        <w:rPr>
          <w:bCs/>
          <w:color w:val="auto"/>
          <w:szCs w:val="21"/>
          <w:highlight w:val="none"/>
        </w:rPr>
        <w:t>《中华人民共和国政府采购法》第二十二条资格条件，</w:t>
      </w:r>
      <w:r>
        <w:rPr>
          <w:color w:val="auto"/>
          <w:highlight w:val="none"/>
        </w:rPr>
        <w:t>并已清楚采购文件的要求及有关文件规定。</w:t>
      </w:r>
    </w:p>
    <w:p w14:paraId="74033FCA">
      <w:pPr>
        <w:snapToGrid w:val="0"/>
        <w:spacing w:line="360" w:lineRule="auto"/>
        <w:ind w:firstLine="424" w:firstLineChars="202"/>
        <w:rPr>
          <w:color w:val="auto"/>
          <w:highlight w:val="none"/>
        </w:rPr>
      </w:pPr>
      <w:r>
        <w:rPr>
          <w:color w:val="auto"/>
          <w:highlight w:val="none"/>
        </w:rPr>
        <w:t>本公司（企业）的法定代表人或单位负责人与所参投的本采购项目的其他投标人的法定代表人或单位负责人不为同一人且与其他投标人之间不存在直接控股、管理关系。</w:t>
      </w:r>
    </w:p>
    <w:p w14:paraId="03DA3194">
      <w:pPr>
        <w:snapToGrid w:val="0"/>
        <w:spacing w:line="360" w:lineRule="auto"/>
        <w:ind w:firstLine="424" w:firstLineChars="202"/>
        <w:rPr>
          <w:color w:val="auto"/>
          <w:highlight w:val="none"/>
        </w:rPr>
      </w:pPr>
      <w:r>
        <w:rPr>
          <w:color w:val="auto"/>
          <w:highlight w:val="none"/>
        </w:rPr>
        <w:t>根据《中华人民共和国政府采购法实施条例》的规定，本公司（企业）如为采购项目提供整体设计、规范编制或者项目管理、监理、检测等服务的供应商，不得再参加该采购项目的其他采购活动。否则，由此所造成的损失、不良后果及法律责任，一律由我公司（企业）承担。</w:t>
      </w:r>
    </w:p>
    <w:p w14:paraId="66FC6D60">
      <w:pPr>
        <w:snapToGrid w:val="0"/>
        <w:spacing w:line="360" w:lineRule="auto"/>
        <w:ind w:firstLine="426" w:firstLineChars="202"/>
        <w:rPr>
          <w:color w:val="auto"/>
          <w:highlight w:val="none"/>
        </w:rPr>
      </w:pPr>
      <w:r>
        <w:rPr>
          <w:b/>
          <w:color w:val="auto"/>
          <w:highlight w:val="none"/>
        </w:rPr>
        <w:t>本公司（企业）具有履行合同所必需的设备和专业技术能力，且本公司（企业）参加政府采购活动前3年内在经营活动中没有重大违法记录。</w:t>
      </w:r>
      <w:r>
        <w:rPr>
          <w:color w:val="auto"/>
          <w:highlight w:val="none"/>
        </w:rPr>
        <w:t>否则，由此所造成的损失、不良后果及法律责任，一律由我公司（企业）承担。</w:t>
      </w:r>
    </w:p>
    <w:p w14:paraId="59752A8A">
      <w:pPr>
        <w:snapToGrid w:val="0"/>
        <w:spacing w:line="360" w:lineRule="auto"/>
        <w:ind w:firstLine="424" w:firstLineChars="202"/>
        <w:rPr>
          <w:color w:val="auto"/>
          <w:highlight w:val="none"/>
        </w:rPr>
      </w:pPr>
      <w:r>
        <w:rPr>
          <w:color w:val="auto"/>
          <w:highlight w:val="none"/>
        </w:rPr>
        <w:t>本次招标采购活动中，如有违法、违规、弄虚作假行为，所造成的损失、不良后果及法律责任，一律由我公司（企业）承担。</w:t>
      </w:r>
    </w:p>
    <w:p w14:paraId="283AE885">
      <w:pPr>
        <w:spacing w:line="360" w:lineRule="auto"/>
        <w:ind w:firstLine="420"/>
        <w:rPr>
          <w:b/>
          <w:color w:val="auto"/>
          <w:highlight w:val="none"/>
        </w:rPr>
      </w:pPr>
    </w:p>
    <w:p w14:paraId="28F32A17">
      <w:pPr>
        <w:spacing w:line="360" w:lineRule="auto"/>
        <w:ind w:firstLine="420"/>
        <w:rPr>
          <w:b/>
          <w:color w:val="auto"/>
          <w:highlight w:val="none"/>
        </w:rPr>
      </w:pPr>
    </w:p>
    <w:p w14:paraId="395EC469">
      <w:pPr>
        <w:spacing w:line="360" w:lineRule="auto"/>
        <w:ind w:firstLine="420"/>
        <w:rPr>
          <w:b/>
          <w:color w:val="auto"/>
          <w:highlight w:val="none"/>
        </w:rPr>
      </w:pPr>
      <w:r>
        <w:rPr>
          <w:b/>
          <w:color w:val="auto"/>
          <w:highlight w:val="none"/>
        </w:rPr>
        <w:t>特此声明！</w:t>
      </w:r>
    </w:p>
    <w:p w14:paraId="710BC9C4">
      <w:pPr>
        <w:adjustRightInd w:val="0"/>
        <w:snapToGrid w:val="0"/>
        <w:spacing w:line="360" w:lineRule="auto"/>
        <w:ind w:left="425"/>
        <w:rPr>
          <w:color w:val="auto"/>
          <w:spacing w:val="4"/>
          <w:highlight w:val="none"/>
        </w:rPr>
      </w:pPr>
    </w:p>
    <w:p w14:paraId="5DD2721A">
      <w:pPr>
        <w:adjustRightInd w:val="0"/>
        <w:snapToGrid w:val="0"/>
        <w:spacing w:line="360" w:lineRule="auto"/>
        <w:ind w:left="425"/>
        <w:rPr>
          <w:color w:val="auto"/>
          <w:spacing w:val="4"/>
          <w:highlight w:val="none"/>
        </w:rPr>
      </w:pPr>
    </w:p>
    <w:p w14:paraId="6592946D">
      <w:pPr>
        <w:adjustRightInd w:val="0"/>
        <w:snapToGrid w:val="0"/>
        <w:spacing w:line="360" w:lineRule="auto"/>
        <w:ind w:left="425"/>
        <w:rPr>
          <w:color w:val="auto"/>
          <w:spacing w:val="4"/>
          <w:highlight w:val="none"/>
        </w:rPr>
      </w:pPr>
    </w:p>
    <w:p w14:paraId="0088AD7E">
      <w:pPr>
        <w:adjustRightInd w:val="0"/>
        <w:snapToGrid w:val="0"/>
        <w:spacing w:line="360" w:lineRule="auto"/>
        <w:ind w:left="425"/>
        <w:rPr>
          <w:color w:val="auto"/>
          <w:spacing w:val="4"/>
          <w:highlight w:val="none"/>
        </w:rPr>
      </w:pPr>
    </w:p>
    <w:p w14:paraId="0F0CE692">
      <w:pPr>
        <w:adjustRightInd w:val="0"/>
        <w:snapToGrid w:val="0"/>
        <w:spacing w:line="360" w:lineRule="auto"/>
        <w:ind w:left="425"/>
        <w:rPr>
          <w:color w:val="auto"/>
          <w:spacing w:val="4"/>
          <w:highlight w:val="none"/>
        </w:rPr>
      </w:pPr>
    </w:p>
    <w:p w14:paraId="7A229507">
      <w:pPr>
        <w:adjustRightInd w:val="0"/>
        <w:snapToGrid w:val="0"/>
        <w:spacing w:line="360" w:lineRule="auto"/>
        <w:ind w:left="425"/>
        <w:rPr>
          <w:color w:val="auto"/>
          <w:spacing w:val="4"/>
          <w:highlight w:val="none"/>
        </w:rPr>
      </w:pPr>
    </w:p>
    <w:p w14:paraId="5617CC91">
      <w:pPr>
        <w:widowControl/>
        <w:spacing w:line="360" w:lineRule="auto"/>
        <w:jc w:val="left"/>
        <w:rPr>
          <w:color w:val="auto"/>
          <w:sz w:val="24"/>
          <w:highlight w:val="none"/>
        </w:rPr>
      </w:pPr>
      <w:r>
        <w:rPr>
          <w:color w:val="auto"/>
          <w:sz w:val="24"/>
          <w:highlight w:val="none"/>
        </w:rPr>
        <w:t>投标人（盖章）：</w:t>
      </w:r>
    </w:p>
    <w:p w14:paraId="0C4AAE23">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0D34AFCC">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1C33960E">
      <w:pPr>
        <w:spacing w:line="360" w:lineRule="auto"/>
        <w:rPr>
          <w:color w:val="auto"/>
          <w:highlight w:val="none"/>
        </w:rPr>
      </w:pPr>
    </w:p>
    <w:p w14:paraId="55C01084">
      <w:pPr>
        <w:rPr>
          <w:b/>
          <w:color w:val="auto"/>
          <w:highlight w:val="none"/>
        </w:rPr>
      </w:pPr>
      <w:r>
        <w:rPr>
          <w:color w:val="auto"/>
          <w:highlight w:val="none"/>
        </w:rPr>
        <w:br w:type="page"/>
      </w:r>
      <w:r>
        <w:rPr>
          <w:b/>
          <w:color w:val="auto"/>
          <w:highlight w:val="none"/>
        </w:rPr>
        <w:t>格式二：</w:t>
      </w:r>
      <w:r>
        <w:rPr>
          <w:color w:val="auto"/>
          <w:szCs w:val="21"/>
          <w:highlight w:val="none"/>
        </w:rPr>
        <w:t>符合性自查表</w:t>
      </w:r>
    </w:p>
    <w:p w14:paraId="662A395D">
      <w:pPr>
        <w:jc w:val="center"/>
        <w:rPr>
          <w:color w:val="auto"/>
          <w:highlight w:val="none"/>
        </w:rPr>
      </w:pPr>
    </w:p>
    <w:p w14:paraId="212FB09B">
      <w:pPr>
        <w:jc w:val="center"/>
        <w:rPr>
          <w:b/>
          <w:color w:val="auto"/>
          <w:highlight w:val="none"/>
        </w:rPr>
      </w:pPr>
      <w:r>
        <w:rPr>
          <w:b/>
          <w:color w:val="auto"/>
          <w:highlight w:val="none"/>
        </w:rPr>
        <w:t>符合性自查表</w:t>
      </w:r>
    </w:p>
    <w:p w14:paraId="3E41D7E6">
      <w:pPr>
        <w:jc w:val="center"/>
        <w:rPr>
          <w:b/>
          <w:color w:val="auto"/>
          <w:highlight w:val="none"/>
        </w:rPr>
      </w:pPr>
    </w:p>
    <w:tbl>
      <w:tblPr>
        <w:tblStyle w:val="3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
      <w:tblGrid>
        <w:gridCol w:w="831"/>
        <w:gridCol w:w="4221"/>
        <w:gridCol w:w="1456"/>
        <w:gridCol w:w="1984"/>
      </w:tblGrid>
      <w:tr w14:paraId="05B68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547" w:hRule="atLeast"/>
          <w:jc w:val="center"/>
        </w:trPr>
        <w:tc>
          <w:tcPr>
            <w:tcW w:w="831" w:type="dxa"/>
            <w:vAlign w:val="center"/>
          </w:tcPr>
          <w:p w14:paraId="66134C16">
            <w:pPr>
              <w:spacing w:line="240" w:lineRule="exact"/>
              <w:jc w:val="center"/>
              <w:rPr>
                <w:color w:val="auto"/>
                <w:highlight w:val="none"/>
              </w:rPr>
            </w:pPr>
            <w:r>
              <w:rPr>
                <w:color w:val="auto"/>
                <w:highlight w:val="none"/>
              </w:rPr>
              <w:t>评审内容</w:t>
            </w:r>
          </w:p>
        </w:tc>
        <w:tc>
          <w:tcPr>
            <w:tcW w:w="4221" w:type="dxa"/>
            <w:vAlign w:val="center"/>
          </w:tcPr>
          <w:p w14:paraId="452FF3FC">
            <w:pPr>
              <w:spacing w:line="240" w:lineRule="exact"/>
              <w:jc w:val="center"/>
              <w:rPr>
                <w:color w:val="auto"/>
                <w:highlight w:val="none"/>
              </w:rPr>
            </w:pPr>
            <w:r>
              <w:rPr>
                <w:color w:val="auto"/>
                <w:highlight w:val="none"/>
              </w:rPr>
              <w:t>采购文件要求</w:t>
            </w:r>
          </w:p>
        </w:tc>
        <w:tc>
          <w:tcPr>
            <w:tcW w:w="1456" w:type="dxa"/>
            <w:vAlign w:val="center"/>
          </w:tcPr>
          <w:p w14:paraId="740C3DA0">
            <w:pPr>
              <w:spacing w:line="240" w:lineRule="exact"/>
              <w:jc w:val="center"/>
              <w:rPr>
                <w:color w:val="auto"/>
                <w:highlight w:val="none"/>
              </w:rPr>
            </w:pPr>
            <w:r>
              <w:rPr>
                <w:color w:val="auto"/>
                <w:highlight w:val="none"/>
              </w:rPr>
              <w:t>自查结论</w:t>
            </w:r>
          </w:p>
        </w:tc>
        <w:tc>
          <w:tcPr>
            <w:tcW w:w="1984" w:type="dxa"/>
            <w:vAlign w:val="center"/>
          </w:tcPr>
          <w:p w14:paraId="69C8AEBD">
            <w:pPr>
              <w:spacing w:line="240" w:lineRule="exact"/>
              <w:jc w:val="center"/>
              <w:rPr>
                <w:color w:val="auto"/>
                <w:highlight w:val="none"/>
              </w:rPr>
            </w:pPr>
            <w:r>
              <w:rPr>
                <w:color w:val="auto"/>
                <w:highlight w:val="none"/>
              </w:rPr>
              <w:t>证明资料</w:t>
            </w:r>
          </w:p>
        </w:tc>
      </w:tr>
      <w:tr w14:paraId="3AF1E0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6ABD48A9">
            <w:pPr>
              <w:spacing w:line="240" w:lineRule="exact"/>
              <w:rPr>
                <w:color w:val="auto"/>
                <w:highlight w:val="none"/>
              </w:rPr>
            </w:pPr>
            <w:r>
              <w:rPr>
                <w:color w:val="auto"/>
                <w:highlight w:val="none"/>
              </w:rPr>
              <w:t>符</w:t>
            </w:r>
          </w:p>
          <w:p w14:paraId="49DA08A9">
            <w:pPr>
              <w:spacing w:line="240" w:lineRule="exact"/>
              <w:rPr>
                <w:color w:val="auto"/>
                <w:highlight w:val="none"/>
              </w:rPr>
            </w:pPr>
            <w:r>
              <w:rPr>
                <w:color w:val="auto"/>
                <w:highlight w:val="none"/>
              </w:rPr>
              <w:t>合</w:t>
            </w:r>
          </w:p>
          <w:p w14:paraId="2C1C6004">
            <w:pPr>
              <w:spacing w:line="240" w:lineRule="exact"/>
              <w:rPr>
                <w:color w:val="auto"/>
                <w:highlight w:val="none"/>
              </w:rPr>
            </w:pPr>
            <w:r>
              <w:rPr>
                <w:color w:val="auto"/>
                <w:highlight w:val="none"/>
              </w:rPr>
              <w:t>性</w:t>
            </w:r>
          </w:p>
          <w:p w14:paraId="012AB00D">
            <w:pPr>
              <w:spacing w:line="240" w:lineRule="exact"/>
              <w:rPr>
                <w:color w:val="auto"/>
                <w:highlight w:val="none"/>
              </w:rPr>
            </w:pPr>
            <w:r>
              <w:rPr>
                <w:color w:val="auto"/>
                <w:highlight w:val="none"/>
              </w:rPr>
              <w:t>审</w:t>
            </w:r>
          </w:p>
          <w:p w14:paraId="1BE6F740">
            <w:pPr>
              <w:spacing w:line="240" w:lineRule="exact"/>
              <w:rPr>
                <w:color w:val="auto"/>
                <w:highlight w:val="none"/>
              </w:rPr>
            </w:pPr>
            <w:r>
              <w:rPr>
                <w:color w:val="auto"/>
                <w:highlight w:val="none"/>
              </w:rPr>
              <w:t>查</w:t>
            </w:r>
          </w:p>
        </w:tc>
        <w:tc>
          <w:tcPr>
            <w:tcW w:w="4221" w:type="dxa"/>
          </w:tcPr>
          <w:p w14:paraId="4B36D652">
            <w:pPr>
              <w:spacing w:line="400" w:lineRule="exact"/>
              <w:rPr>
                <w:color w:val="auto"/>
                <w:szCs w:val="21"/>
                <w:highlight w:val="none"/>
              </w:rPr>
            </w:pPr>
            <w:r>
              <w:rPr>
                <w:color w:val="auto"/>
                <w:szCs w:val="21"/>
                <w:highlight w:val="none"/>
              </w:rPr>
              <w:t>1.按招标文件要求签署、签章。</w:t>
            </w:r>
          </w:p>
        </w:tc>
        <w:tc>
          <w:tcPr>
            <w:tcW w:w="1456" w:type="dxa"/>
            <w:vAlign w:val="center"/>
          </w:tcPr>
          <w:p w14:paraId="42F1B0BD">
            <w:pPr>
              <w:spacing w:line="240" w:lineRule="exact"/>
              <w:rPr>
                <w:color w:val="auto"/>
                <w:highlight w:val="none"/>
              </w:rPr>
            </w:pPr>
            <w:r>
              <w:rPr>
                <w:color w:val="auto"/>
                <w:highlight w:val="none"/>
              </w:rPr>
              <w:t>□通过</w:t>
            </w:r>
          </w:p>
          <w:p w14:paraId="35DEAAFC">
            <w:pPr>
              <w:spacing w:line="240" w:lineRule="exact"/>
              <w:rPr>
                <w:color w:val="auto"/>
                <w:highlight w:val="none"/>
              </w:rPr>
            </w:pPr>
            <w:r>
              <w:rPr>
                <w:color w:val="auto"/>
                <w:highlight w:val="none"/>
              </w:rPr>
              <w:t>□不通过</w:t>
            </w:r>
          </w:p>
        </w:tc>
        <w:tc>
          <w:tcPr>
            <w:tcW w:w="1984" w:type="dxa"/>
            <w:vAlign w:val="center"/>
          </w:tcPr>
          <w:p w14:paraId="2BEDDFBB">
            <w:pPr>
              <w:spacing w:line="240" w:lineRule="exact"/>
              <w:rPr>
                <w:color w:val="auto"/>
                <w:highlight w:val="none"/>
              </w:rPr>
            </w:pPr>
            <w:r>
              <w:rPr>
                <w:color w:val="auto"/>
                <w:highlight w:val="none"/>
              </w:rPr>
              <w:t>第（）页</w:t>
            </w:r>
          </w:p>
        </w:tc>
      </w:tr>
      <w:tr w14:paraId="3EC46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61524AD6">
            <w:pPr>
              <w:spacing w:line="240" w:lineRule="exact"/>
              <w:rPr>
                <w:color w:val="auto"/>
                <w:highlight w:val="none"/>
              </w:rPr>
            </w:pPr>
          </w:p>
        </w:tc>
        <w:tc>
          <w:tcPr>
            <w:tcW w:w="4221" w:type="dxa"/>
          </w:tcPr>
          <w:p w14:paraId="487DC525">
            <w:pPr>
              <w:spacing w:line="400" w:lineRule="exact"/>
              <w:rPr>
                <w:color w:val="auto"/>
                <w:szCs w:val="21"/>
                <w:highlight w:val="none"/>
              </w:rPr>
            </w:pPr>
            <w:r>
              <w:rPr>
                <w:color w:val="auto"/>
                <w:szCs w:val="21"/>
                <w:highlight w:val="none"/>
              </w:rPr>
              <w:t>2.投标有效期满足招标文件要求。</w:t>
            </w:r>
          </w:p>
        </w:tc>
        <w:tc>
          <w:tcPr>
            <w:tcW w:w="1456" w:type="dxa"/>
            <w:vAlign w:val="center"/>
          </w:tcPr>
          <w:p w14:paraId="64DBCF01">
            <w:pPr>
              <w:spacing w:line="240" w:lineRule="exact"/>
              <w:rPr>
                <w:color w:val="auto"/>
                <w:highlight w:val="none"/>
              </w:rPr>
            </w:pPr>
            <w:r>
              <w:rPr>
                <w:color w:val="auto"/>
                <w:highlight w:val="none"/>
              </w:rPr>
              <w:t>□通过</w:t>
            </w:r>
          </w:p>
          <w:p w14:paraId="2C5E5139">
            <w:pPr>
              <w:spacing w:line="240" w:lineRule="exact"/>
              <w:rPr>
                <w:color w:val="auto"/>
                <w:highlight w:val="none"/>
              </w:rPr>
            </w:pPr>
            <w:r>
              <w:rPr>
                <w:color w:val="auto"/>
                <w:highlight w:val="none"/>
              </w:rPr>
              <w:t>□不通过</w:t>
            </w:r>
          </w:p>
        </w:tc>
        <w:tc>
          <w:tcPr>
            <w:tcW w:w="1984" w:type="dxa"/>
            <w:vAlign w:val="center"/>
          </w:tcPr>
          <w:p w14:paraId="736CC999">
            <w:pPr>
              <w:spacing w:line="240" w:lineRule="exact"/>
              <w:rPr>
                <w:color w:val="auto"/>
                <w:highlight w:val="none"/>
              </w:rPr>
            </w:pPr>
            <w:r>
              <w:rPr>
                <w:color w:val="auto"/>
                <w:highlight w:val="none"/>
              </w:rPr>
              <w:t>第（）页</w:t>
            </w:r>
          </w:p>
        </w:tc>
      </w:tr>
      <w:tr w14:paraId="0E526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59" w:hRule="atLeast"/>
          <w:jc w:val="center"/>
        </w:trPr>
        <w:tc>
          <w:tcPr>
            <w:tcW w:w="831" w:type="dxa"/>
            <w:vMerge w:val="continue"/>
            <w:vAlign w:val="center"/>
          </w:tcPr>
          <w:p w14:paraId="5BF10098">
            <w:pPr>
              <w:spacing w:line="240" w:lineRule="exact"/>
              <w:rPr>
                <w:color w:val="auto"/>
                <w:highlight w:val="none"/>
              </w:rPr>
            </w:pPr>
          </w:p>
        </w:tc>
        <w:tc>
          <w:tcPr>
            <w:tcW w:w="4221" w:type="dxa"/>
          </w:tcPr>
          <w:p w14:paraId="543B08B6">
            <w:pPr>
              <w:spacing w:line="400" w:lineRule="exact"/>
              <w:rPr>
                <w:color w:val="auto"/>
                <w:szCs w:val="21"/>
                <w:highlight w:val="none"/>
              </w:rPr>
            </w:pPr>
            <w:r>
              <w:rPr>
                <w:color w:val="auto"/>
                <w:szCs w:val="21"/>
                <w:highlight w:val="none"/>
              </w:rPr>
              <w:t>3.符合招标文件要求的，未发生与招标文件中标注“*”的条款实质性偏离的。</w:t>
            </w:r>
          </w:p>
        </w:tc>
        <w:tc>
          <w:tcPr>
            <w:tcW w:w="1456" w:type="dxa"/>
            <w:vAlign w:val="center"/>
          </w:tcPr>
          <w:p w14:paraId="2BAC0EA6">
            <w:pPr>
              <w:spacing w:line="240" w:lineRule="exact"/>
              <w:rPr>
                <w:color w:val="auto"/>
                <w:highlight w:val="none"/>
              </w:rPr>
            </w:pPr>
            <w:r>
              <w:rPr>
                <w:color w:val="auto"/>
                <w:highlight w:val="none"/>
              </w:rPr>
              <w:t>□通过</w:t>
            </w:r>
          </w:p>
          <w:p w14:paraId="58C6835C">
            <w:pPr>
              <w:spacing w:line="240" w:lineRule="exact"/>
              <w:rPr>
                <w:color w:val="auto"/>
                <w:highlight w:val="none"/>
              </w:rPr>
            </w:pPr>
            <w:r>
              <w:rPr>
                <w:color w:val="auto"/>
                <w:highlight w:val="none"/>
              </w:rPr>
              <w:t>□不通过</w:t>
            </w:r>
          </w:p>
        </w:tc>
        <w:tc>
          <w:tcPr>
            <w:tcW w:w="1984" w:type="dxa"/>
            <w:vAlign w:val="center"/>
          </w:tcPr>
          <w:p w14:paraId="1B4696CD">
            <w:pPr>
              <w:spacing w:line="240" w:lineRule="exact"/>
              <w:rPr>
                <w:color w:val="auto"/>
                <w:highlight w:val="none"/>
              </w:rPr>
            </w:pPr>
            <w:r>
              <w:rPr>
                <w:color w:val="auto"/>
                <w:highlight w:val="none"/>
              </w:rPr>
              <w:t>第（）页</w:t>
            </w:r>
          </w:p>
        </w:tc>
      </w:tr>
      <w:tr w14:paraId="4FA38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1D7BADF">
            <w:pPr>
              <w:spacing w:line="240" w:lineRule="exact"/>
              <w:rPr>
                <w:color w:val="auto"/>
                <w:highlight w:val="none"/>
              </w:rPr>
            </w:pPr>
          </w:p>
        </w:tc>
        <w:tc>
          <w:tcPr>
            <w:tcW w:w="4221" w:type="dxa"/>
          </w:tcPr>
          <w:p w14:paraId="235C2CDB">
            <w:pPr>
              <w:spacing w:line="400" w:lineRule="exact"/>
              <w:rPr>
                <w:color w:val="auto"/>
                <w:szCs w:val="21"/>
                <w:highlight w:val="none"/>
              </w:rPr>
            </w:pPr>
            <w:r>
              <w:rPr>
                <w:color w:val="auto"/>
                <w:szCs w:val="21"/>
                <w:highlight w:val="none"/>
              </w:rPr>
              <w:t>4.不含有采购人不能接受的附加条件。</w:t>
            </w:r>
          </w:p>
        </w:tc>
        <w:tc>
          <w:tcPr>
            <w:tcW w:w="1456" w:type="dxa"/>
            <w:vAlign w:val="center"/>
          </w:tcPr>
          <w:p w14:paraId="3A9596B2">
            <w:pPr>
              <w:spacing w:line="240" w:lineRule="exact"/>
              <w:rPr>
                <w:color w:val="auto"/>
                <w:highlight w:val="none"/>
              </w:rPr>
            </w:pPr>
            <w:r>
              <w:rPr>
                <w:color w:val="auto"/>
                <w:highlight w:val="none"/>
              </w:rPr>
              <w:t>□通过</w:t>
            </w:r>
          </w:p>
          <w:p w14:paraId="3E34EBD2">
            <w:pPr>
              <w:spacing w:line="240" w:lineRule="exact"/>
              <w:rPr>
                <w:color w:val="auto"/>
                <w:highlight w:val="none"/>
              </w:rPr>
            </w:pPr>
            <w:r>
              <w:rPr>
                <w:color w:val="auto"/>
                <w:highlight w:val="none"/>
              </w:rPr>
              <w:t>□不通过</w:t>
            </w:r>
          </w:p>
        </w:tc>
        <w:tc>
          <w:tcPr>
            <w:tcW w:w="1984" w:type="dxa"/>
            <w:vAlign w:val="center"/>
          </w:tcPr>
          <w:p w14:paraId="6A887240">
            <w:pPr>
              <w:spacing w:line="240" w:lineRule="exact"/>
              <w:rPr>
                <w:color w:val="auto"/>
                <w:highlight w:val="none"/>
              </w:rPr>
            </w:pPr>
            <w:r>
              <w:rPr>
                <w:color w:val="auto"/>
                <w:highlight w:val="none"/>
              </w:rPr>
              <w:t>第（）页</w:t>
            </w:r>
          </w:p>
        </w:tc>
      </w:tr>
      <w:tr w14:paraId="601CA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7AD6305">
            <w:pPr>
              <w:spacing w:line="240" w:lineRule="exact"/>
              <w:rPr>
                <w:color w:val="auto"/>
                <w:highlight w:val="none"/>
              </w:rPr>
            </w:pPr>
          </w:p>
        </w:tc>
        <w:tc>
          <w:tcPr>
            <w:tcW w:w="4221" w:type="dxa"/>
          </w:tcPr>
          <w:p w14:paraId="34331F02">
            <w:pPr>
              <w:spacing w:line="400" w:lineRule="exact"/>
              <w:rPr>
                <w:color w:val="auto"/>
                <w:szCs w:val="21"/>
                <w:highlight w:val="none"/>
              </w:rPr>
            </w:pPr>
            <w:r>
              <w:rPr>
                <w:color w:val="auto"/>
                <w:szCs w:val="21"/>
                <w:highlight w:val="none"/>
              </w:rPr>
              <w:t>5.委托人提供法定代表人授权委托书、填写项目齐全。</w:t>
            </w:r>
          </w:p>
        </w:tc>
        <w:tc>
          <w:tcPr>
            <w:tcW w:w="1456" w:type="dxa"/>
            <w:vAlign w:val="center"/>
          </w:tcPr>
          <w:p w14:paraId="00D29835">
            <w:pPr>
              <w:spacing w:line="240" w:lineRule="exact"/>
              <w:rPr>
                <w:color w:val="auto"/>
                <w:highlight w:val="none"/>
              </w:rPr>
            </w:pPr>
            <w:r>
              <w:rPr>
                <w:color w:val="auto"/>
                <w:highlight w:val="none"/>
              </w:rPr>
              <w:t>□通过</w:t>
            </w:r>
          </w:p>
          <w:p w14:paraId="2A58DB9C">
            <w:pPr>
              <w:spacing w:line="240" w:lineRule="exact"/>
              <w:rPr>
                <w:color w:val="auto"/>
                <w:highlight w:val="none"/>
              </w:rPr>
            </w:pPr>
            <w:r>
              <w:rPr>
                <w:color w:val="auto"/>
                <w:highlight w:val="none"/>
              </w:rPr>
              <w:t>□不通过</w:t>
            </w:r>
          </w:p>
        </w:tc>
        <w:tc>
          <w:tcPr>
            <w:tcW w:w="1984" w:type="dxa"/>
            <w:vAlign w:val="center"/>
          </w:tcPr>
          <w:p w14:paraId="21EA8F8F">
            <w:pPr>
              <w:spacing w:line="240" w:lineRule="exact"/>
              <w:rPr>
                <w:color w:val="auto"/>
                <w:highlight w:val="none"/>
              </w:rPr>
            </w:pPr>
            <w:r>
              <w:rPr>
                <w:color w:val="auto"/>
                <w:highlight w:val="none"/>
              </w:rPr>
              <w:t>第（）页</w:t>
            </w:r>
          </w:p>
        </w:tc>
      </w:tr>
      <w:tr w14:paraId="4B360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58507AC">
            <w:pPr>
              <w:spacing w:line="240" w:lineRule="exact"/>
              <w:rPr>
                <w:color w:val="auto"/>
                <w:highlight w:val="none"/>
              </w:rPr>
            </w:pPr>
          </w:p>
        </w:tc>
        <w:tc>
          <w:tcPr>
            <w:tcW w:w="4221" w:type="dxa"/>
          </w:tcPr>
          <w:p w14:paraId="224BCCB8">
            <w:pPr>
              <w:spacing w:line="400" w:lineRule="exact"/>
              <w:rPr>
                <w:color w:val="auto"/>
                <w:highlight w:val="none"/>
              </w:rPr>
            </w:pPr>
            <w:r>
              <w:rPr>
                <w:color w:val="auto"/>
                <w:szCs w:val="21"/>
                <w:highlight w:val="none"/>
              </w:rPr>
              <w:t>6.投标文件格式规范、提供资料齐全或者未提供虚假内容。</w:t>
            </w:r>
          </w:p>
        </w:tc>
        <w:tc>
          <w:tcPr>
            <w:tcW w:w="1456" w:type="dxa"/>
            <w:vAlign w:val="center"/>
          </w:tcPr>
          <w:p w14:paraId="6FF10AD8">
            <w:pPr>
              <w:spacing w:line="240" w:lineRule="exact"/>
              <w:rPr>
                <w:color w:val="auto"/>
                <w:highlight w:val="none"/>
              </w:rPr>
            </w:pPr>
            <w:r>
              <w:rPr>
                <w:color w:val="auto"/>
                <w:highlight w:val="none"/>
              </w:rPr>
              <w:t>□通过</w:t>
            </w:r>
          </w:p>
          <w:p w14:paraId="6A071EE1">
            <w:pPr>
              <w:spacing w:line="240" w:lineRule="exact"/>
              <w:rPr>
                <w:color w:val="auto"/>
                <w:highlight w:val="none"/>
              </w:rPr>
            </w:pPr>
            <w:r>
              <w:rPr>
                <w:color w:val="auto"/>
                <w:highlight w:val="none"/>
              </w:rPr>
              <w:t>□不通过</w:t>
            </w:r>
          </w:p>
        </w:tc>
        <w:tc>
          <w:tcPr>
            <w:tcW w:w="1984" w:type="dxa"/>
            <w:vAlign w:val="center"/>
          </w:tcPr>
          <w:p w14:paraId="5A5C05E6">
            <w:pPr>
              <w:spacing w:line="240" w:lineRule="exact"/>
              <w:rPr>
                <w:color w:val="auto"/>
                <w:highlight w:val="none"/>
              </w:rPr>
            </w:pPr>
            <w:r>
              <w:rPr>
                <w:color w:val="auto"/>
                <w:highlight w:val="none"/>
              </w:rPr>
              <w:t>第（）页</w:t>
            </w:r>
          </w:p>
        </w:tc>
      </w:tr>
      <w:tr w14:paraId="42D01B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45E6602">
            <w:pPr>
              <w:spacing w:line="240" w:lineRule="exact"/>
              <w:rPr>
                <w:color w:val="auto"/>
                <w:highlight w:val="none"/>
              </w:rPr>
            </w:pPr>
          </w:p>
        </w:tc>
        <w:tc>
          <w:tcPr>
            <w:tcW w:w="4221" w:type="dxa"/>
          </w:tcPr>
          <w:p w14:paraId="7A0FAD5D">
            <w:pPr>
              <w:spacing w:line="400" w:lineRule="exact"/>
              <w:rPr>
                <w:color w:val="auto"/>
                <w:highlight w:val="none"/>
              </w:rPr>
            </w:pPr>
            <w:r>
              <w:rPr>
                <w:color w:val="auto"/>
                <w:szCs w:val="21"/>
                <w:highlight w:val="none"/>
              </w:rPr>
              <w:t>7.投标文件的实质性内容使用中文表述、表述明确、前后不矛盾或者使用计量单位符合招标文件要求的（经评标委员会认定并允许其当场更正的笔误除外）。</w:t>
            </w:r>
          </w:p>
        </w:tc>
        <w:tc>
          <w:tcPr>
            <w:tcW w:w="1456" w:type="dxa"/>
            <w:vAlign w:val="center"/>
          </w:tcPr>
          <w:p w14:paraId="5859D761">
            <w:pPr>
              <w:spacing w:line="240" w:lineRule="exact"/>
              <w:rPr>
                <w:color w:val="auto"/>
                <w:highlight w:val="none"/>
              </w:rPr>
            </w:pPr>
            <w:r>
              <w:rPr>
                <w:color w:val="auto"/>
                <w:highlight w:val="none"/>
              </w:rPr>
              <w:t>□通过</w:t>
            </w:r>
          </w:p>
          <w:p w14:paraId="67EBE136">
            <w:pPr>
              <w:spacing w:line="240" w:lineRule="exact"/>
              <w:rPr>
                <w:color w:val="auto"/>
                <w:highlight w:val="none"/>
              </w:rPr>
            </w:pPr>
            <w:r>
              <w:rPr>
                <w:color w:val="auto"/>
                <w:highlight w:val="none"/>
              </w:rPr>
              <w:t>□不通过</w:t>
            </w:r>
          </w:p>
        </w:tc>
        <w:tc>
          <w:tcPr>
            <w:tcW w:w="1984" w:type="dxa"/>
            <w:vAlign w:val="center"/>
          </w:tcPr>
          <w:p w14:paraId="3F4E5A8D">
            <w:pPr>
              <w:spacing w:line="240" w:lineRule="exact"/>
              <w:rPr>
                <w:color w:val="auto"/>
                <w:highlight w:val="none"/>
              </w:rPr>
            </w:pPr>
            <w:r>
              <w:rPr>
                <w:color w:val="auto"/>
                <w:highlight w:val="none"/>
              </w:rPr>
              <w:t>第（）页</w:t>
            </w:r>
          </w:p>
        </w:tc>
      </w:tr>
      <w:tr w14:paraId="526E1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BA0E750">
            <w:pPr>
              <w:spacing w:line="240" w:lineRule="exact"/>
              <w:rPr>
                <w:color w:val="auto"/>
                <w:highlight w:val="none"/>
              </w:rPr>
            </w:pPr>
          </w:p>
        </w:tc>
        <w:tc>
          <w:tcPr>
            <w:tcW w:w="4221" w:type="dxa"/>
          </w:tcPr>
          <w:p w14:paraId="27E28888">
            <w:pPr>
              <w:spacing w:line="400" w:lineRule="exact"/>
              <w:rPr>
                <w:color w:val="auto"/>
                <w:highlight w:val="none"/>
              </w:rPr>
            </w:pPr>
            <w:r>
              <w:rPr>
                <w:color w:val="auto"/>
                <w:szCs w:val="21"/>
                <w:highlight w:val="none"/>
              </w:rPr>
              <w:t>8.投标文件的关键内容字迹清晰、易辨认的，或者投标文件中经修正的内容字迹易辩认或者修改处按规定签署、盖章。</w:t>
            </w:r>
          </w:p>
        </w:tc>
        <w:tc>
          <w:tcPr>
            <w:tcW w:w="1456" w:type="dxa"/>
            <w:vAlign w:val="center"/>
          </w:tcPr>
          <w:p w14:paraId="20C9A015">
            <w:pPr>
              <w:spacing w:line="240" w:lineRule="exact"/>
              <w:rPr>
                <w:color w:val="auto"/>
                <w:highlight w:val="none"/>
              </w:rPr>
            </w:pPr>
            <w:r>
              <w:rPr>
                <w:color w:val="auto"/>
                <w:highlight w:val="none"/>
              </w:rPr>
              <w:t>□通过</w:t>
            </w:r>
          </w:p>
          <w:p w14:paraId="7DE4B45F">
            <w:pPr>
              <w:spacing w:line="240" w:lineRule="exact"/>
              <w:rPr>
                <w:color w:val="auto"/>
                <w:highlight w:val="none"/>
              </w:rPr>
            </w:pPr>
            <w:r>
              <w:rPr>
                <w:color w:val="auto"/>
                <w:highlight w:val="none"/>
              </w:rPr>
              <w:t>□不通过</w:t>
            </w:r>
          </w:p>
        </w:tc>
        <w:tc>
          <w:tcPr>
            <w:tcW w:w="1984" w:type="dxa"/>
            <w:vAlign w:val="center"/>
          </w:tcPr>
          <w:p w14:paraId="2D8B2804">
            <w:pPr>
              <w:spacing w:line="240" w:lineRule="exact"/>
              <w:rPr>
                <w:color w:val="auto"/>
                <w:highlight w:val="none"/>
              </w:rPr>
            </w:pPr>
            <w:r>
              <w:rPr>
                <w:color w:val="auto"/>
                <w:highlight w:val="none"/>
              </w:rPr>
              <w:t>第（）页</w:t>
            </w:r>
          </w:p>
        </w:tc>
      </w:tr>
      <w:tr w14:paraId="01763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6FBB9B8">
            <w:pPr>
              <w:spacing w:line="240" w:lineRule="exact"/>
              <w:rPr>
                <w:color w:val="auto"/>
                <w:highlight w:val="none"/>
              </w:rPr>
            </w:pPr>
          </w:p>
        </w:tc>
        <w:tc>
          <w:tcPr>
            <w:tcW w:w="4221" w:type="dxa"/>
          </w:tcPr>
          <w:p w14:paraId="1F2B616E">
            <w:pPr>
              <w:spacing w:line="400" w:lineRule="exact"/>
              <w:rPr>
                <w:color w:val="auto"/>
                <w:szCs w:val="21"/>
                <w:highlight w:val="none"/>
              </w:rPr>
            </w:pPr>
            <w:r>
              <w:rPr>
                <w:color w:val="auto"/>
                <w:szCs w:val="21"/>
                <w:highlight w:val="none"/>
              </w:rPr>
              <w:t>9.未发现法律、法规和招标文件规定的其他无效情形。</w:t>
            </w:r>
          </w:p>
        </w:tc>
        <w:tc>
          <w:tcPr>
            <w:tcW w:w="1456" w:type="dxa"/>
            <w:vAlign w:val="center"/>
          </w:tcPr>
          <w:p w14:paraId="218B9ACF">
            <w:pPr>
              <w:spacing w:line="240" w:lineRule="exact"/>
              <w:rPr>
                <w:color w:val="auto"/>
                <w:highlight w:val="none"/>
              </w:rPr>
            </w:pPr>
            <w:r>
              <w:rPr>
                <w:color w:val="auto"/>
                <w:highlight w:val="none"/>
              </w:rPr>
              <w:t>□通过</w:t>
            </w:r>
          </w:p>
          <w:p w14:paraId="676EC190">
            <w:pPr>
              <w:spacing w:line="240" w:lineRule="exact"/>
              <w:rPr>
                <w:color w:val="auto"/>
                <w:highlight w:val="none"/>
              </w:rPr>
            </w:pPr>
            <w:r>
              <w:rPr>
                <w:color w:val="auto"/>
                <w:highlight w:val="none"/>
              </w:rPr>
              <w:t>□不通过</w:t>
            </w:r>
          </w:p>
        </w:tc>
        <w:tc>
          <w:tcPr>
            <w:tcW w:w="1984" w:type="dxa"/>
            <w:vAlign w:val="center"/>
          </w:tcPr>
          <w:p w14:paraId="14CE700D">
            <w:pPr>
              <w:spacing w:line="240" w:lineRule="exact"/>
              <w:rPr>
                <w:color w:val="auto"/>
                <w:highlight w:val="none"/>
              </w:rPr>
            </w:pPr>
            <w:r>
              <w:rPr>
                <w:color w:val="auto"/>
                <w:highlight w:val="none"/>
              </w:rPr>
              <w:t>第（）页</w:t>
            </w:r>
          </w:p>
        </w:tc>
      </w:tr>
    </w:tbl>
    <w:p w14:paraId="567E3C22">
      <w:pPr>
        <w:adjustRightInd w:val="0"/>
        <w:snapToGrid w:val="0"/>
        <w:spacing w:line="440" w:lineRule="exact"/>
        <w:rPr>
          <w:b/>
          <w:color w:val="auto"/>
          <w:szCs w:val="21"/>
          <w:highlight w:val="none"/>
        </w:rPr>
      </w:pPr>
      <w:r>
        <w:rPr>
          <w:b/>
          <w:color w:val="auto"/>
          <w:szCs w:val="21"/>
          <w:highlight w:val="none"/>
        </w:rPr>
        <w:t>备注：投标人自查表将作为投标投标人有效性审查的重要内容之一，投标投标人必须严格按照其内容及序列要求在投标文件中对应如实提供。</w:t>
      </w:r>
    </w:p>
    <w:p w14:paraId="2D474361">
      <w:pPr>
        <w:widowControl/>
        <w:jc w:val="left"/>
        <w:rPr>
          <w:color w:val="auto"/>
          <w:szCs w:val="21"/>
          <w:highlight w:val="none"/>
        </w:rPr>
      </w:pPr>
      <w:r>
        <w:rPr>
          <w:color w:val="auto"/>
          <w:highlight w:val="none"/>
        </w:rPr>
        <w:br w:type="page"/>
      </w:r>
      <w:bookmarkEnd w:id="231"/>
      <w:r>
        <w:rPr>
          <w:b/>
          <w:color w:val="auto"/>
          <w:highlight w:val="none"/>
        </w:rPr>
        <w:t>格式三：</w:t>
      </w:r>
      <w:r>
        <w:rPr>
          <w:color w:val="auto"/>
          <w:szCs w:val="21"/>
          <w:highlight w:val="none"/>
        </w:rPr>
        <w:t>法定代表人的身份证明</w:t>
      </w:r>
    </w:p>
    <w:p w14:paraId="4D63D29C">
      <w:pPr>
        <w:jc w:val="center"/>
        <w:rPr>
          <w:b/>
          <w:color w:val="auto"/>
          <w:sz w:val="32"/>
          <w:szCs w:val="32"/>
          <w:highlight w:val="none"/>
        </w:rPr>
      </w:pPr>
    </w:p>
    <w:p w14:paraId="044CB079">
      <w:pPr>
        <w:spacing w:line="320" w:lineRule="exact"/>
        <w:jc w:val="center"/>
        <w:rPr>
          <w:b/>
          <w:color w:val="auto"/>
          <w:sz w:val="32"/>
          <w:szCs w:val="32"/>
          <w:highlight w:val="none"/>
        </w:rPr>
      </w:pPr>
      <w:r>
        <w:rPr>
          <w:b/>
          <w:color w:val="auto"/>
          <w:sz w:val="32"/>
          <w:szCs w:val="32"/>
          <w:highlight w:val="none"/>
        </w:rPr>
        <w:t>法定代表人身份证明</w:t>
      </w:r>
    </w:p>
    <w:p w14:paraId="5E4C945C">
      <w:pPr>
        <w:spacing w:line="480" w:lineRule="auto"/>
        <w:jc w:val="center"/>
        <w:rPr>
          <w:bCs/>
          <w:color w:val="auto"/>
          <w:sz w:val="24"/>
          <w:highlight w:val="none"/>
        </w:rPr>
      </w:pPr>
    </w:p>
    <w:p w14:paraId="443B6431">
      <w:pPr>
        <w:spacing w:line="480" w:lineRule="auto"/>
        <w:jc w:val="center"/>
        <w:rPr>
          <w:b/>
          <w:color w:val="auto"/>
          <w:sz w:val="24"/>
          <w:highlight w:val="none"/>
        </w:rPr>
      </w:pPr>
      <w:r>
        <w:rPr>
          <w:bCs/>
          <w:color w:val="auto"/>
          <w:sz w:val="24"/>
          <w:highlight w:val="none"/>
        </w:rPr>
        <w:t>（法定代表人不来投标的，此表不用）</w:t>
      </w:r>
    </w:p>
    <w:p w14:paraId="64C464AD">
      <w:pPr>
        <w:spacing w:line="480" w:lineRule="auto"/>
        <w:ind w:firstLine="420" w:firstLineChars="200"/>
        <w:rPr>
          <w:color w:val="auto"/>
          <w:szCs w:val="21"/>
          <w:highlight w:val="none"/>
        </w:rPr>
      </w:pPr>
    </w:p>
    <w:p w14:paraId="5BAE0B4B">
      <w:pPr>
        <w:spacing w:line="480" w:lineRule="auto"/>
        <w:ind w:firstLine="420" w:firstLineChars="200"/>
        <w:rPr>
          <w:color w:val="auto"/>
          <w:szCs w:val="21"/>
          <w:highlight w:val="none"/>
        </w:rPr>
      </w:pPr>
      <w:r>
        <w:rPr>
          <w:color w:val="auto"/>
          <w:szCs w:val="21"/>
          <w:highlight w:val="none"/>
        </w:rPr>
        <w:t xml:space="preserve">供应商名称： </w:t>
      </w:r>
      <w:r>
        <w:rPr>
          <w:color w:val="auto"/>
          <w:szCs w:val="21"/>
          <w:highlight w:val="none"/>
          <w:u w:val="single"/>
        </w:rPr>
        <w:t xml:space="preserve">                      </w:t>
      </w:r>
    </w:p>
    <w:p w14:paraId="7310A053">
      <w:pPr>
        <w:spacing w:line="480" w:lineRule="auto"/>
        <w:ind w:firstLine="420" w:firstLineChars="200"/>
        <w:rPr>
          <w:color w:val="auto"/>
          <w:szCs w:val="21"/>
          <w:highlight w:val="none"/>
        </w:rPr>
      </w:pPr>
      <w:r>
        <w:rPr>
          <w:color w:val="auto"/>
          <w:szCs w:val="21"/>
          <w:highlight w:val="none"/>
        </w:rPr>
        <w:t>单位性质：</w:t>
      </w:r>
      <w:r>
        <w:rPr>
          <w:color w:val="auto"/>
          <w:szCs w:val="21"/>
          <w:highlight w:val="none"/>
          <w:u w:val="single"/>
        </w:rPr>
        <w:t xml:space="preserve">                      </w:t>
      </w:r>
    </w:p>
    <w:p w14:paraId="2AA40F42">
      <w:pPr>
        <w:spacing w:line="480" w:lineRule="auto"/>
        <w:ind w:firstLine="420" w:firstLineChars="200"/>
        <w:rPr>
          <w:color w:val="auto"/>
          <w:szCs w:val="21"/>
          <w:highlight w:val="none"/>
        </w:rPr>
      </w:pPr>
      <w:r>
        <w:rPr>
          <w:color w:val="auto"/>
          <w:szCs w:val="21"/>
          <w:highlight w:val="none"/>
        </w:rPr>
        <w:t>地址：</w:t>
      </w:r>
      <w:r>
        <w:rPr>
          <w:color w:val="auto"/>
          <w:szCs w:val="21"/>
          <w:highlight w:val="none"/>
          <w:u w:val="single"/>
        </w:rPr>
        <w:t xml:space="preserve">                      </w:t>
      </w:r>
    </w:p>
    <w:p w14:paraId="1ACD5583">
      <w:pPr>
        <w:spacing w:line="480" w:lineRule="auto"/>
        <w:ind w:firstLine="420" w:firstLineChars="200"/>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月＿日</w:t>
      </w:r>
    </w:p>
    <w:p w14:paraId="65A4A843">
      <w:pPr>
        <w:spacing w:line="480" w:lineRule="auto"/>
        <w:ind w:firstLine="420" w:firstLineChars="200"/>
        <w:rPr>
          <w:color w:val="auto"/>
          <w:szCs w:val="21"/>
          <w:highlight w:val="none"/>
        </w:rPr>
      </w:pPr>
      <w:r>
        <w:rPr>
          <w:color w:val="auto"/>
          <w:szCs w:val="21"/>
          <w:highlight w:val="none"/>
        </w:rPr>
        <w:t>经营期限：</w:t>
      </w:r>
      <w:r>
        <w:rPr>
          <w:color w:val="auto"/>
          <w:szCs w:val="21"/>
          <w:highlight w:val="none"/>
          <w:u w:val="single"/>
        </w:rPr>
        <w:t xml:space="preserve">                      </w:t>
      </w:r>
    </w:p>
    <w:p w14:paraId="1F601919">
      <w:pPr>
        <w:spacing w:line="480" w:lineRule="auto"/>
        <w:ind w:firstLine="420" w:firstLineChars="200"/>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color w:val="auto"/>
          <w:szCs w:val="21"/>
          <w:highlight w:val="none"/>
        </w:rPr>
        <w:t xml:space="preserve"> 年龄：</w:t>
      </w:r>
      <w:r>
        <w:rPr>
          <w:color w:val="auto"/>
          <w:szCs w:val="21"/>
          <w:highlight w:val="none"/>
          <w:u w:val="single"/>
        </w:rPr>
        <w:t xml:space="preserve">   周岁 </w:t>
      </w:r>
      <w:r>
        <w:rPr>
          <w:color w:val="auto"/>
          <w:szCs w:val="21"/>
          <w:highlight w:val="none"/>
        </w:rPr>
        <w:t xml:space="preserve"> 职务：</w:t>
      </w:r>
      <w:r>
        <w:rPr>
          <w:color w:val="auto"/>
          <w:szCs w:val="21"/>
          <w:highlight w:val="none"/>
          <w:u w:val="single"/>
        </w:rPr>
        <w:t xml:space="preserve">    </w:t>
      </w:r>
    </w:p>
    <w:p w14:paraId="5AF6AC90">
      <w:pPr>
        <w:spacing w:line="480" w:lineRule="auto"/>
        <w:ind w:firstLine="420" w:firstLineChars="200"/>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0EF60158">
      <w:pPr>
        <w:spacing w:line="480" w:lineRule="auto"/>
        <w:ind w:firstLine="420" w:firstLineChars="200"/>
        <w:rPr>
          <w:color w:val="auto"/>
          <w:szCs w:val="21"/>
          <w:highlight w:val="none"/>
        </w:rPr>
      </w:pPr>
      <w:r>
        <w:rPr>
          <w:color w:val="auto"/>
          <w:szCs w:val="21"/>
          <w:highlight w:val="none"/>
        </w:rPr>
        <w:t>系</w:t>
      </w:r>
      <w:r>
        <w:rPr>
          <w:color w:val="auto"/>
          <w:szCs w:val="21"/>
          <w:highlight w:val="none"/>
          <w:u w:val="single"/>
        </w:rPr>
        <w:t xml:space="preserve">   （供应商名称）   </w:t>
      </w:r>
      <w:r>
        <w:rPr>
          <w:color w:val="auto"/>
          <w:szCs w:val="21"/>
          <w:highlight w:val="none"/>
        </w:rPr>
        <w:t>的法定代表人。</w:t>
      </w:r>
    </w:p>
    <w:p w14:paraId="52F4B909">
      <w:pPr>
        <w:spacing w:line="480" w:lineRule="auto"/>
        <w:ind w:firstLine="840" w:firstLineChars="400"/>
        <w:rPr>
          <w:color w:val="auto"/>
          <w:szCs w:val="21"/>
          <w:highlight w:val="none"/>
        </w:rPr>
      </w:pPr>
      <w:r>
        <w:rPr>
          <w:color w:val="auto"/>
          <w:szCs w:val="21"/>
          <w:highlight w:val="none"/>
        </w:rPr>
        <w:t>特此证明。</w:t>
      </w:r>
    </w:p>
    <w:p w14:paraId="40F16478">
      <w:pPr>
        <w:spacing w:line="360" w:lineRule="auto"/>
        <w:ind w:firstLine="420" w:firstLineChars="200"/>
        <w:rPr>
          <w:color w:val="auto"/>
          <w:szCs w:val="21"/>
          <w:highlight w:val="none"/>
        </w:rPr>
      </w:pPr>
    </w:p>
    <w:p w14:paraId="739E7225">
      <w:pPr>
        <w:spacing w:line="360" w:lineRule="auto"/>
        <w:ind w:firstLine="420" w:firstLineChars="200"/>
        <w:rPr>
          <w:color w:val="auto"/>
          <w:szCs w:val="21"/>
          <w:highlight w:val="none"/>
        </w:rPr>
      </w:pPr>
    </w:p>
    <w:p w14:paraId="6EE75370">
      <w:pPr>
        <w:wordWrap w:val="0"/>
        <w:spacing w:line="360" w:lineRule="auto"/>
        <w:ind w:right="420" w:firstLine="3045" w:firstLineChars="1450"/>
        <w:rPr>
          <w:color w:val="auto"/>
          <w:szCs w:val="21"/>
          <w:highlight w:val="none"/>
        </w:rPr>
      </w:pPr>
      <w:r>
        <w:rPr>
          <w:color w:val="auto"/>
          <w:szCs w:val="21"/>
          <w:highlight w:val="none"/>
        </w:rPr>
        <w:t>供应商：（盖单位公章）</w:t>
      </w:r>
    </w:p>
    <w:p w14:paraId="5E0BBA33">
      <w:pPr>
        <w:spacing w:line="360" w:lineRule="auto"/>
        <w:ind w:firstLine="4515" w:firstLineChars="2150"/>
        <w:rPr>
          <w:color w:val="auto"/>
          <w:szCs w:val="21"/>
          <w:highlight w:val="none"/>
          <w:u w:val="single"/>
        </w:rPr>
      </w:pPr>
    </w:p>
    <w:p w14:paraId="29CE92E5">
      <w:pPr>
        <w:spacing w:line="360" w:lineRule="auto"/>
        <w:ind w:firstLine="3675" w:firstLineChars="1750"/>
        <w:rPr>
          <w:color w:val="auto"/>
          <w:szCs w:val="21"/>
          <w:highlight w:val="none"/>
        </w:rPr>
      </w:pPr>
      <w:r>
        <w:rPr>
          <w:color w:val="auto"/>
          <w:szCs w:val="21"/>
          <w:highlight w:val="none"/>
        </w:rPr>
        <w:t>年 月 日</w:t>
      </w:r>
    </w:p>
    <w:p w14:paraId="5430C6AE">
      <w:pPr>
        <w:spacing w:line="360" w:lineRule="auto"/>
        <w:rPr>
          <w:color w:val="auto"/>
          <w:sz w:val="24"/>
          <w:highlight w:val="none"/>
        </w:rPr>
      </w:pPr>
    </w:p>
    <w:p w14:paraId="7C4E4977">
      <w:pPr>
        <w:spacing w:line="360" w:lineRule="auto"/>
        <w:rPr>
          <w:b/>
          <w:color w:val="auto"/>
          <w:szCs w:val="21"/>
          <w:highlight w:val="none"/>
        </w:rPr>
      </w:pPr>
    </w:p>
    <w:p w14:paraId="4215470A">
      <w:pPr>
        <w:spacing w:line="360" w:lineRule="auto"/>
        <w:rPr>
          <w:b/>
          <w:color w:val="auto"/>
          <w:szCs w:val="21"/>
          <w:highlight w:val="none"/>
        </w:rPr>
      </w:pPr>
    </w:p>
    <w:p w14:paraId="1F077711">
      <w:pPr>
        <w:spacing w:line="360" w:lineRule="auto"/>
        <w:ind w:firstLine="413" w:firstLineChars="196"/>
        <w:rPr>
          <w:b/>
          <w:color w:val="auto"/>
          <w:szCs w:val="21"/>
          <w:highlight w:val="none"/>
        </w:rPr>
      </w:pPr>
      <w:r>
        <w:rPr>
          <w:b/>
          <w:color w:val="auto"/>
          <w:szCs w:val="21"/>
          <w:highlight w:val="none"/>
        </w:rPr>
        <w:t>附法定代表人身份证复印件（正反面）：</w:t>
      </w:r>
    </w:p>
    <w:p w14:paraId="0262E39D">
      <w:pPr>
        <w:rPr>
          <w:color w:val="auto"/>
          <w:highlight w:val="none"/>
        </w:rPr>
      </w:pPr>
    </w:p>
    <w:p w14:paraId="23615B18">
      <w:pPr>
        <w:jc w:val="left"/>
        <w:rPr>
          <w:b/>
          <w:color w:val="auto"/>
          <w:sz w:val="32"/>
          <w:szCs w:val="32"/>
          <w:highlight w:val="none"/>
        </w:rPr>
      </w:pPr>
    </w:p>
    <w:p w14:paraId="66F0BD2F">
      <w:pPr>
        <w:jc w:val="left"/>
        <w:rPr>
          <w:b/>
          <w:color w:val="auto"/>
          <w:szCs w:val="21"/>
          <w:highlight w:val="none"/>
        </w:rPr>
      </w:pPr>
      <w:r>
        <w:rPr>
          <w:color w:val="auto"/>
          <w:szCs w:val="21"/>
          <w:highlight w:val="none"/>
        </w:rPr>
        <w:br w:type="page"/>
      </w:r>
      <w:r>
        <w:rPr>
          <w:b/>
          <w:color w:val="auto"/>
          <w:szCs w:val="21"/>
          <w:highlight w:val="none"/>
        </w:rPr>
        <w:t>格式四：</w:t>
      </w:r>
      <w:r>
        <w:rPr>
          <w:color w:val="auto"/>
          <w:szCs w:val="21"/>
          <w:highlight w:val="none"/>
        </w:rPr>
        <w:t>法定代表人授权书</w:t>
      </w:r>
    </w:p>
    <w:p w14:paraId="20AE830E">
      <w:pPr>
        <w:spacing w:line="340" w:lineRule="exact"/>
        <w:jc w:val="center"/>
        <w:rPr>
          <w:b/>
          <w:color w:val="auto"/>
          <w:sz w:val="32"/>
          <w:szCs w:val="32"/>
          <w:highlight w:val="none"/>
        </w:rPr>
      </w:pPr>
      <w:r>
        <w:rPr>
          <w:b/>
          <w:color w:val="auto"/>
          <w:sz w:val="32"/>
          <w:szCs w:val="32"/>
          <w:highlight w:val="none"/>
        </w:rPr>
        <w:t>法定代表人授权委托书</w:t>
      </w:r>
    </w:p>
    <w:p w14:paraId="7CEF5D49">
      <w:pPr>
        <w:jc w:val="center"/>
        <w:rPr>
          <w:bCs/>
          <w:color w:val="auto"/>
          <w:sz w:val="24"/>
          <w:highlight w:val="none"/>
        </w:rPr>
      </w:pPr>
    </w:p>
    <w:p w14:paraId="35A7F19D">
      <w:pPr>
        <w:jc w:val="center"/>
        <w:rPr>
          <w:b/>
          <w:color w:val="auto"/>
          <w:sz w:val="32"/>
          <w:szCs w:val="32"/>
          <w:highlight w:val="none"/>
        </w:rPr>
      </w:pPr>
      <w:r>
        <w:rPr>
          <w:bCs/>
          <w:color w:val="auto"/>
          <w:sz w:val="24"/>
          <w:highlight w:val="none"/>
        </w:rPr>
        <w:t>（法定代表人来投标的，此表不用）</w:t>
      </w:r>
    </w:p>
    <w:p w14:paraId="289FB745">
      <w:pPr>
        <w:snapToGrid w:val="0"/>
        <w:spacing w:line="360" w:lineRule="auto"/>
        <w:rPr>
          <w:bCs/>
          <w:color w:val="auto"/>
          <w:sz w:val="24"/>
          <w:highlight w:val="none"/>
        </w:rPr>
      </w:pPr>
    </w:p>
    <w:p w14:paraId="04AEB903">
      <w:pPr>
        <w:snapToGrid w:val="0"/>
        <w:spacing w:line="360" w:lineRule="auto"/>
        <w:rPr>
          <w:bCs/>
          <w:color w:val="auto"/>
          <w:szCs w:val="21"/>
          <w:highlight w:val="none"/>
        </w:rPr>
      </w:pPr>
    </w:p>
    <w:p w14:paraId="1A568A35">
      <w:pPr>
        <w:snapToGrid w:val="0"/>
        <w:spacing w:line="360" w:lineRule="auto"/>
        <w:rPr>
          <w:color w:val="auto"/>
          <w:szCs w:val="21"/>
          <w:highlight w:val="none"/>
        </w:rPr>
      </w:pPr>
      <w:r>
        <w:rPr>
          <w:bCs/>
          <w:color w:val="auto"/>
          <w:szCs w:val="21"/>
          <w:highlight w:val="none"/>
        </w:rPr>
        <w:t>致：</w:t>
      </w:r>
      <w:r>
        <w:rPr>
          <w:color w:val="auto"/>
          <w:szCs w:val="21"/>
          <w:highlight w:val="none"/>
          <w:u w:val="single"/>
        </w:rPr>
        <w:t>（采购单位名称）：</w:t>
      </w:r>
    </w:p>
    <w:p w14:paraId="57166276">
      <w:pPr>
        <w:snapToGrid w:val="0"/>
        <w:spacing w:line="360" w:lineRule="auto"/>
        <w:ind w:firstLine="525" w:firstLineChars="250"/>
        <w:rPr>
          <w:color w:val="auto"/>
          <w:szCs w:val="21"/>
          <w:highlight w:val="none"/>
          <w:u w:val="single"/>
        </w:rPr>
      </w:pPr>
      <w:r>
        <w:rPr>
          <w:color w:val="auto"/>
          <w:szCs w:val="21"/>
          <w:highlight w:val="none"/>
        </w:rPr>
        <w:t>我</w:t>
      </w:r>
      <w:r>
        <w:rPr>
          <w:color w:val="auto"/>
          <w:szCs w:val="21"/>
          <w:highlight w:val="none"/>
          <w:u w:val="single"/>
        </w:rPr>
        <w:t xml:space="preserve"> （姓名） </w:t>
      </w:r>
      <w:r>
        <w:rPr>
          <w:color w:val="auto"/>
          <w:szCs w:val="21"/>
          <w:highlight w:val="none"/>
        </w:rPr>
        <w:t>系</w:t>
      </w:r>
      <w:r>
        <w:rPr>
          <w:color w:val="auto"/>
          <w:szCs w:val="21"/>
          <w:highlight w:val="none"/>
          <w:u w:val="single"/>
        </w:rPr>
        <w:t xml:space="preserve">  （供应商名称）  </w:t>
      </w:r>
      <w:r>
        <w:rPr>
          <w:color w:val="auto"/>
          <w:szCs w:val="21"/>
          <w:highlight w:val="none"/>
        </w:rPr>
        <w:t>的法定代表人，现授权委托本单位在职职工</w:t>
      </w:r>
      <w:r>
        <w:rPr>
          <w:color w:val="auto"/>
          <w:szCs w:val="21"/>
          <w:highlight w:val="none"/>
          <w:u w:val="single"/>
        </w:rPr>
        <w:t xml:space="preserve">  （姓名）  </w:t>
      </w:r>
      <w:r>
        <w:rPr>
          <w:color w:val="auto"/>
          <w:szCs w:val="21"/>
          <w:highlight w:val="none"/>
        </w:rPr>
        <w:t>以我方的名义参加</w:t>
      </w:r>
      <w:r>
        <w:rPr>
          <w:color w:val="auto"/>
          <w:szCs w:val="21"/>
          <w:highlight w:val="none"/>
          <w:u w:val="single"/>
        </w:rPr>
        <w:t xml:space="preserve">                        政府采购</w:t>
      </w:r>
      <w:r>
        <w:rPr>
          <w:color w:val="auto"/>
          <w:szCs w:val="21"/>
          <w:highlight w:val="none"/>
        </w:rPr>
        <w:t>项目的投标活动，并代表我方全权办理针对上述项目的投标、开标、评标、签约等具体事务和签署相关文件。</w:t>
      </w:r>
    </w:p>
    <w:p w14:paraId="71E0E674">
      <w:pPr>
        <w:snapToGrid w:val="0"/>
        <w:spacing w:line="360" w:lineRule="auto"/>
        <w:ind w:firstLine="420" w:firstLineChars="200"/>
        <w:rPr>
          <w:color w:val="auto"/>
          <w:szCs w:val="21"/>
          <w:highlight w:val="none"/>
          <w:u w:val="single"/>
        </w:rPr>
      </w:pPr>
      <w:r>
        <w:rPr>
          <w:color w:val="auto"/>
          <w:szCs w:val="21"/>
          <w:highlight w:val="none"/>
        </w:rPr>
        <w:t>我方对被授权人的签名事项负全部责任。</w:t>
      </w:r>
    </w:p>
    <w:p w14:paraId="21662529">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7FAFDDA0">
      <w:pPr>
        <w:snapToGrid w:val="0"/>
        <w:spacing w:line="360" w:lineRule="auto"/>
        <w:ind w:firstLine="480"/>
        <w:rPr>
          <w:color w:val="auto"/>
          <w:szCs w:val="21"/>
          <w:highlight w:val="none"/>
        </w:rPr>
      </w:pPr>
      <w:r>
        <w:rPr>
          <w:color w:val="auto"/>
          <w:szCs w:val="21"/>
          <w:highlight w:val="none"/>
        </w:rPr>
        <w:t>被授权人无转委托权，特此委托。</w:t>
      </w:r>
    </w:p>
    <w:p w14:paraId="733D52EF">
      <w:pPr>
        <w:snapToGrid w:val="0"/>
        <w:spacing w:line="360" w:lineRule="auto"/>
        <w:rPr>
          <w:color w:val="auto"/>
          <w:szCs w:val="21"/>
          <w:highlight w:val="none"/>
        </w:rPr>
      </w:pPr>
    </w:p>
    <w:p w14:paraId="1A97441D">
      <w:pPr>
        <w:snapToGrid w:val="0"/>
        <w:spacing w:line="360" w:lineRule="auto"/>
        <w:rPr>
          <w:color w:val="auto"/>
          <w:szCs w:val="21"/>
          <w:highlight w:val="none"/>
        </w:rPr>
      </w:pPr>
    </w:p>
    <w:p w14:paraId="75D6B0A0">
      <w:pPr>
        <w:snapToGrid w:val="0"/>
        <w:spacing w:line="360" w:lineRule="auto"/>
        <w:rPr>
          <w:color w:val="auto"/>
          <w:szCs w:val="21"/>
          <w:highlight w:val="none"/>
          <w:u w:val="single"/>
        </w:rPr>
      </w:pPr>
      <w:r>
        <w:rPr>
          <w:color w:val="auto"/>
          <w:szCs w:val="21"/>
          <w:highlight w:val="none"/>
        </w:rPr>
        <w:t>被授权人签名：</w:t>
      </w:r>
      <w:r>
        <w:rPr>
          <w:color w:val="auto"/>
          <w:szCs w:val="21"/>
          <w:highlight w:val="none"/>
          <w:u w:val="single"/>
        </w:rPr>
        <w:t xml:space="preserve">             </w:t>
      </w:r>
      <w:r>
        <w:rPr>
          <w:color w:val="auto"/>
          <w:szCs w:val="21"/>
          <w:highlight w:val="none"/>
        </w:rPr>
        <w:t xml:space="preserve">                  法定代表人签名：</w:t>
      </w:r>
      <w:r>
        <w:rPr>
          <w:color w:val="auto"/>
          <w:szCs w:val="21"/>
          <w:highlight w:val="none"/>
          <w:u w:val="single"/>
        </w:rPr>
        <w:t xml:space="preserve">             </w:t>
      </w:r>
    </w:p>
    <w:p w14:paraId="7BB7AB61">
      <w:pPr>
        <w:snapToGrid w:val="0"/>
        <w:spacing w:line="360" w:lineRule="auto"/>
        <w:ind w:firstLine="840" w:firstLineChars="400"/>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594707EF">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57B7954D">
      <w:pPr>
        <w:snapToGrid w:val="0"/>
        <w:spacing w:line="360" w:lineRule="auto"/>
        <w:rPr>
          <w:color w:val="auto"/>
          <w:szCs w:val="21"/>
          <w:highlight w:val="none"/>
        </w:rPr>
      </w:pPr>
    </w:p>
    <w:p w14:paraId="323B6D00">
      <w:pPr>
        <w:snapToGrid w:val="0"/>
        <w:spacing w:line="360" w:lineRule="auto"/>
        <w:rPr>
          <w:color w:val="auto"/>
          <w:szCs w:val="21"/>
          <w:highlight w:val="none"/>
        </w:rPr>
      </w:pPr>
    </w:p>
    <w:p w14:paraId="4D28F7C1">
      <w:pPr>
        <w:snapToGrid w:val="0"/>
        <w:spacing w:line="360" w:lineRule="auto"/>
        <w:ind w:firstLine="4830" w:firstLineChars="2300"/>
        <w:rPr>
          <w:color w:val="auto"/>
          <w:szCs w:val="21"/>
          <w:highlight w:val="none"/>
        </w:rPr>
      </w:pPr>
      <w:r>
        <w:rPr>
          <w:color w:val="auto"/>
          <w:szCs w:val="21"/>
          <w:highlight w:val="none"/>
        </w:rPr>
        <w:t>供应商公章：</w:t>
      </w:r>
    </w:p>
    <w:p w14:paraId="49998D79">
      <w:pPr>
        <w:snapToGrid w:val="0"/>
        <w:spacing w:line="360" w:lineRule="auto"/>
        <w:ind w:firstLine="4830" w:firstLineChars="2300"/>
        <w:rPr>
          <w:color w:val="auto"/>
          <w:szCs w:val="21"/>
          <w:highlight w:val="none"/>
        </w:rPr>
      </w:pPr>
    </w:p>
    <w:p w14:paraId="51BFFB98">
      <w:pPr>
        <w:snapToGrid w:val="0"/>
        <w:spacing w:line="360" w:lineRule="auto"/>
        <w:jc w:val="center"/>
        <w:rPr>
          <w:color w:val="auto"/>
          <w:szCs w:val="21"/>
          <w:highlight w:val="none"/>
        </w:rPr>
      </w:pPr>
      <w:r>
        <w:rPr>
          <w:color w:val="auto"/>
          <w:szCs w:val="21"/>
          <w:highlight w:val="none"/>
        </w:rPr>
        <w:t xml:space="preserve">         年 月 日</w:t>
      </w:r>
    </w:p>
    <w:p w14:paraId="05D39293">
      <w:pPr>
        <w:spacing w:line="360" w:lineRule="auto"/>
        <w:rPr>
          <w:b/>
          <w:color w:val="auto"/>
          <w:szCs w:val="21"/>
          <w:highlight w:val="none"/>
        </w:rPr>
      </w:pPr>
    </w:p>
    <w:p w14:paraId="6520AA6E">
      <w:pPr>
        <w:spacing w:line="360" w:lineRule="auto"/>
        <w:rPr>
          <w:b/>
          <w:color w:val="auto"/>
          <w:szCs w:val="21"/>
          <w:highlight w:val="none"/>
        </w:rPr>
      </w:pPr>
    </w:p>
    <w:p w14:paraId="0B3119FB">
      <w:pPr>
        <w:spacing w:line="360" w:lineRule="auto"/>
        <w:ind w:firstLine="103" w:firstLineChars="49"/>
        <w:rPr>
          <w:b/>
          <w:color w:val="auto"/>
          <w:szCs w:val="21"/>
          <w:highlight w:val="none"/>
        </w:rPr>
      </w:pPr>
      <w:r>
        <w:rPr>
          <w:b/>
          <w:color w:val="auto"/>
          <w:szCs w:val="21"/>
          <w:highlight w:val="none"/>
        </w:rPr>
        <w:t>附：法定代表人身份证复印件（正反面）、授权代表身份证复印件（正反面）、授权代表开标之日前近一个月内缴纳社保的证明材料，以上三项内容均须加盖公章。</w:t>
      </w:r>
    </w:p>
    <w:p w14:paraId="793ABD87">
      <w:pPr>
        <w:widowControl/>
        <w:jc w:val="left"/>
        <w:rPr>
          <w:color w:val="auto"/>
          <w:highlight w:val="none"/>
        </w:rPr>
      </w:pPr>
      <w:r>
        <w:rPr>
          <w:b/>
          <w:color w:val="auto"/>
          <w:szCs w:val="21"/>
          <w:highlight w:val="none"/>
        </w:rPr>
        <w:br w:type="page"/>
      </w:r>
      <w:r>
        <w:rPr>
          <w:b/>
          <w:color w:val="auto"/>
          <w:szCs w:val="21"/>
          <w:highlight w:val="none"/>
        </w:rPr>
        <w:t>格式五：</w:t>
      </w:r>
      <w:r>
        <w:rPr>
          <w:color w:val="auto"/>
          <w:szCs w:val="21"/>
          <w:highlight w:val="none"/>
        </w:rPr>
        <w:t>投标人基本情况说明</w:t>
      </w:r>
    </w:p>
    <w:p w14:paraId="576CB459">
      <w:pPr>
        <w:spacing w:line="360" w:lineRule="auto"/>
        <w:jc w:val="center"/>
        <w:rPr>
          <w:b/>
          <w:color w:val="auto"/>
          <w:szCs w:val="21"/>
          <w:highlight w:val="none"/>
        </w:rPr>
      </w:pPr>
      <w:bookmarkStart w:id="233" w:name="_Toc110393361"/>
      <w:bookmarkStart w:id="234" w:name="_Toc488936100"/>
      <w:bookmarkStart w:id="235" w:name="_Toc14746861"/>
      <w:bookmarkStart w:id="236" w:name="_Toc225223761"/>
      <w:bookmarkStart w:id="237" w:name="_Toc479927873"/>
      <w:bookmarkStart w:id="238" w:name="_Toc483379796"/>
    </w:p>
    <w:p w14:paraId="60ED283F">
      <w:pPr>
        <w:spacing w:line="360" w:lineRule="auto"/>
        <w:jc w:val="center"/>
        <w:rPr>
          <w:b/>
          <w:color w:val="auto"/>
          <w:szCs w:val="21"/>
          <w:highlight w:val="none"/>
        </w:rPr>
      </w:pPr>
      <w:r>
        <w:rPr>
          <w:b/>
          <w:color w:val="auto"/>
          <w:szCs w:val="21"/>
          <w:highlight w:val="none"/>
        </w:rPr>
        <w:t>投标人基本情况说明</w:t>
      </w:r>
      <w:bookmarkEnd w:id="233"/>
      <w:bookmarkEnd w:id="234"/>
      <w:bookmarkEnd w:id="235"/>
      <w:bookmarkEnd w:id="236"/>
      <w:bookmarkEnd w:id="237"/>
      <w:bookmarkEnd w:id="238"/>
    </w:p>
    <w:tbl>
      <w:tblPr>
        <w:tblStyle w:val="3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6653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379F850">
            <w:pPr>
              <w:spacing w:line="360" w:lineRule="auto"/>
              <w:jc w:val="center"/>
              <w:rPr>
                <w:color w:val="auto"/>
                <w:szCs w:val="21"/>
                <w:highlight w:val="none"/>
              </w:rPr>
            </w:pPr>
            <w:r>
              <w:rPr>
                <w:color w:val="auto"/>
                <w:szCs w:val="21"/>
                <w:highlight w:val="none"/>
              </w:rPr>
              <w:t>单位名称</w:t>
            </w:r>
          </w:p>
        </w:tc>
        <w:tc>
          <w:tcPr>
            <w:tcW w:w="3675" w:type="dxa"/>
            <w:gridSpan w:val="3"/>
            <w:vAlign w:val="center"/>
          </w:tcPr>
          <w:p w14:paraId="3AF873FA">
            <w:pPr>
              <w:spacing w:line="360" w:lineRule="auto"/>
              <w:jc w:val="center"/>
              <w:rPr>
                <w:color w:val="auto"/>
                <w:szCs w:val="21"/>
                <w:highlight w:val="none"/>
              </w:rPr>
            </w:pPr>
          </w:p>
        </w:tc>
        <w:tc>
          <w:tcPr>
            <w:tcW w:w="1785" w:type="dxa"/>
            <w:vAlign w:val="center"/>
          </w:tcPr>
          <w:p w14:paraId="6EF20922">
            <w:pPr>
              <w:spacing w:line="360" w:lineRule="auto"/>
              <w:jc w:val="center"/>
              <w:rPr>
                <w:color w:val="auto"/>
                <w:szCs w:val="21"/>
                <w:highlight w:val="none"/>
              </w:rPr>
            </w:pPr>
            <w:r>
              <w:rPr>
                <w:color w:val="auto"/>
                <w:szCs w:val="21"/>
                <w:highlight w:val="none"/>
              </w:rPr>
              <w:t>组织机构代码</w:t>
            </w:r>
          </w:p>
        </w:tc>
        <w:tc>
          <w:tcPr>
            <w:tcW w:w="2234" w:type="dxa"/>
            <w:vAlign w:val="center"/>
          </w:tcPr>
          <w:p w14:paraId="468DDCE3">
            <w:pPr>
              <w:spacing w:line="360" w:lineRule="auto"/>
              <w:jc w:val="center"/>
              <w:rPr>
                <w:color w:val="auto"/>
                <w:szCs w:val="21"/>
                <w:highlight w:val="none"/>
              </w:rPr>
            </w:pPr>
          </w:p>
        </w:tc>
      </w:tr>
      <w:tr w14:paraId="2BC1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7F4DFB55">
            <w:pPr>
              <w:spacing w:line="360" w:lineRule="auto"/>
              <w:jc w:val="center"/>
              <w:rPr>
                <w:color w:val="auto"/>
                <w:szCs w:val="21"/>
                <w:highlight w:val="none"/>
              </w:rPr>
            </w:pPr>
            <w:r>
              <w:rPr>
                <w:color w:val="auto"/>
                <w:szCs w:val="21"/>
                <w:highlight w:val="none"/>
              </w:rPr>
              <w:t>注册地址</w:t>
            </w:r>
          </w:p>
        </w:tc>
        <w:tc>
          <w:tcPr>
            <w:tcW w:w="3675" w:type="dxa"/>
            <w:gridSpan w:val="3"/>
            <w:vAlign w:val="center"/>
          </w:tcPr>
          <w:p w14:paraId="12AB0D26">
            <w:pPr>
              <w:spacing w:line="360" w:lineRule="auto"/>
              <w:jc w:val="center"/>
              <w:rPr>
                <w:color w:val="auto"/>
                <w:szCs w:val="21"/>
                <w:highlight w:val="none"/>
              </w:rPr>
            </w:pPr>
          </w:p>
        </w:tc>
        <w:tc>
          <w:tcPr>
            <w:tcW w:w="1785" w:type="dxa"/>
            <w:vAlign w:val="center"/>
          </w:tcPr>
          <w:p w14:paraId="23193A93">
            <w:pPr>
              <w:spacing w:line="360" w:lineRule="auto"/>
              <w:jc w:val="center"/>
              <w:rPr>
                <w:color w:val="auto"/>
                <w:szCs w:val="21"/>
                <w:highlight w:val="none"/>
              </w:rPr>
            </w:pPr>
            <w:r>
              <w:rPr>
                <w:color w:val="auto"/>
                <w:szCs w:val="21"/>
                <w:highlight w:val="none"/>
              </w:rPr>
              <w:t>注册登记号</w:t>
            </w:r>
          </w:p>
        </w:tc>
        <w:tc>
          <w:tcPr>
            <w:tcW w:w="2234" w:type="dxa"/>
            <w:vAlign w:val="center"/>
          </w:tcPr>
          <w:p w14:paraId="2810E121">
            <w:pPr>
              <w:spacing w:line="360" w:lineRule="auto"/>
              <w:jc w:val="center"/>
              <w:rPr>
                <w:color w:val="auto"/>
                <w:szCs w:val="21"/>
                <w:highlight w:val="none"/>
              </w:rPr>
            </w:pPr>
          </w:p>
        </w:tc>
      </w:tr>
      <w:tr w14:paraId="6F6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76362E92">
            <w:pPr>
              <w:spacing w:line="360" w:lineRule="auto"/>
              <w:jc w:val="center"/>
              <w:rPr>
                <w:color w:val="auto"/>
                <w:szCs w:val="21"/>
                <w:highlight w:val="none"/>
              </w:rPr>
            </w:pPr>
            <w:r>
              <w:rPr>
                <w:color w:val="auto"/>
                <w:szCs w:val="21"/>
                <w:highlight w:val="none"/>
              </w:rPr>
              <w:t>经营地址</w:t>
            </w:r>
          </w:p>
        </w:tc>
        <w:tc>
          <w:tcPr>
            <w:tcW w:w="3675" w:type="dxa"/>
            <w:gridSpan w:val="3"/>
            <w:vAlign w:val="center"/>
          </w:tcPr>
          <w:p w14:paraId="63C6E0D4">
            <w:pPr>
              <w:spacing w:line="360" w:lineRule="auto"/>
              <w:jc w:val="center"/>
              <w:rPr>
                <w:color w:val="auto"/>
                <w:szCs w:val="21"/>
                <w:highlight w:val="none"/>
              </w:rPr>
            </w:pPr>
          </w:p>
        </w:tc>
        <w:tc>
          <w:tcPr>
            <w:tcW w:w="1785" w:type="dxa"/>
            <w:vAlign w:val="center"/>
          </w:tcPr>
          <w:p w14:paraId="57EA8786">
            <w:pPr>
              <w:spacing w:line="360" w:lineRule="auto"/>
              <w:jc w:val="center"/>
              <w:rPr>
                <w:color w:val="auto"/>
                <w:spacing w:val="30"/>
                <w:szCs w:val="21"/>
                <w:highlight w:val="none"/>
              </w:rPr>
            </w:pPr>
            <w:r>
              <w:rPr>
                <w:color w:val="auto"/>
                <w:szCs w:val="21"/>
                <w:highlight w:val="none"/>
              </w:rPr>
              <w:t>税务登记证号</w:t>
            </w:r>
          </w:p>
        </w:tc>
        <w:tc>
          <w:tcPr>
            <w:tcW w:w="2234" w:type="dxa"/>
            <w:vAlign w:val="center"/>
          </w:tcPr>
          <w:p w14:paraId="14787CFE">
            <w:pPr>
              <w:spacing w:line="360" w:lineRule="auto"/>
              <w:jc w:val="center"/>
              <w:rPr>
                <w:color w:val="auto"/>
                <w:szCs w:val="21"/>
                <w:highlight w:val="none"/>
              </w:rPr>
            </w:pPr>
          </w:p>
        </w:tc>
      </w:tr>
      <w:tr w14:paraId="514E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9FFB29D">
            <w:pPr>
              <w:spacing w:line="360" w:lineRule="auto"/>
              <w:jc w:val="center"/>
              <w:rPr>
                <w:color w:val="auto"/>
                <w:szCs w:val="21"/>
                <w:highlight w:val="none"/>
              </w:rPr>
            </w:pPr>
            <w:r>
              <w:rPr>
                <w:color w:val="auto"/>
                <w:szCs w:val="21"/>
                <w:highlight w:val="none"/>
              </w:rPr>
              <w:t>单位性质</w:t>
            </w:r>
          </w:p>
        </w:tc>
        <w:tc>
          <w:tcPr>
            <w:tcW w:w="3675" w:type="dxa"/>
            <w:gridSpan w:val="3"/>
            <w:vAlign w:val="center"/>
          </w:tcPr>
          <w:p w14:paraId="6294A332">
            <w:pPr>
              <w:pStyle w:val="121"/>
              <w:widowControl w:val="0"/>
              <w:spacing w:before="0" w:beforeAutospacing="0" w:after="0" w:afterAutospacing="0" w:line="360" w:lineRule="auto"/>
              <w:ind w:left="1320" w:firstLine="420"/>
              <w:rPr>
                <w:rFonts w:ascii="Times New Roman" w:hAnsi="Times New Roman" w:eastAsia="宋体"/>
                <w:color w:val="auto"/>
                <w:kern w:val="2"/>
                <w:sz w:val="21"/>
                <w:szCs w:val="21"/>
                <w:highlight w:val="none"/>
              </w:rPr>
            </w:pPr>
          </w:p>
        </w:tc>
        <w:tc>
          <w:tcPr>
            <w:tcW w:w="1785" w:type="dxa"/>
            <w:vAlign w:val="center"/>
          </w:tcPr>
          <w:p w14:paraId="2F390812">
            <w:pPr>
              <w:spacing w:line="360" w:lineRule="auto"/>
              <w:jc w:val="center"/>
              <w:rPr>
                <w:color w:val="auto"/>
                <w:spacing w:val="34"/>
                <w:szCs w:val="21"/>
                <w:highlight w:val="none"/>
              </w:rPr>
            </w:pPr>
            <w:r>
              <w:rPr>
                <w:color w:val="auto"/>
                <w:spacing w:val="34"/>
                <w:szCs w:val="21"/>
                <w:highlight w:val="none"/>
              </w:rPr>
              <w:t>注册资本</w:t>
            </w:r>
          </w:p>
        </w:tc>
        <w:tc>
          <w:tcPr>
            <w:tcW w:w="2234" w:type="dxa"/>
            <w:vAlign w:val="center"/>
          </w:tcPr>
          <w:p w14:paraId="13661C5E">
            <w:pPr>
              <w:spacing w:line="360" w:lineRule="auto"/>
              <w:jc w:val="center"/>
              <w:rPr>
                <w:color w:val="auto"/>
                <w:szCs w:val="21"/>
                <w:highlight w:val="none"/>
              </w:rPr>
            </w:pPr>
          </w:p>
        </w:tc>
      </w:tr>
      <w:tr w14:paraId="32C3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35C75BD">
            <w:pPr>
              <w:spacing w:line="360" w:lineRule="auto"/>
              <w:jc w:val="center"/>
              <w:rPr>
                <w:color w:val="auto"/>
                <w:szCs w:val="21"/>
                <w:highlight w:val="none"/>
              </w:rPr>
            </w:pPr>
            <w:r>
              <w:rPr>
                <w:color w:val="auto"/>
                <w:szCs w:val="21"/>
                <w:highlight w:val="none"/>
              </w:rPr>
              <w:t>经营范围</w:t>
            </w:r>
          </w:p>
        </w:tc>
        <w:tc>
          <w:tcPr>
            <w:tcW w:w="3675" w:type="dxa"/>
            <w:gridSpan w:val="3"/>
            <w:vAlign w:val="center"/>
          </w:tcPr>
          <w:p w14:paraId="7D7EC66A">
            <w:pPr>
              <w:spacing w:line="360" w:lineRule="auto"/>
              <w:jc w:val="center"/>
              <w:rPr>
                <w:color w:val="auto"/>
                <w:szCs w:val="21"/>
                <w:highlight w:val="none"/>
              </w:rPr>
            </w:pPr>
          </w:p>
        </w:tc>
        <w:tc>
          <w:tcPr>
            <w:tcW w:w="1785" w:type="dxa"/>
            <w:vAlign w:val="center"/>
          </w:tcPr>
          <w:p w14:paraId="1A2D720C">
            <w:pPr>
              <w:spacing w:line="360" w:lineRule="auto"/>
              <w:jc w:val="center"/>
              <w:rPr>
                <w:color w:val="auto"/>
                <w:szCs w:val="21"/>
                <w:highlight w:val="none"/>
              </w:rPr>
            </w:pPr>
            <w:r>
              <w:rPr>
                <w:color w:val="auto"/>
                <w:szCs w:val="21"/>
                <w:highlight w:val="none"/>
              </w:rPr>
              <w:t>营业期限</w:t>
            </w:r>
          </w:p>
        </w:tc>
        <w:tc>
          <w:tcPr>
            <w:tcW w:w="2234" w:type="dxa"/>
            <w:vAlign w:val="center"/>
          </w:tcPr>
          <w:p w14:paraId="1D7CD5BC">
            <w:pPr>
              <w:spacing w:line="360" w:lineRule="auto"/>
              <w:jc w:val="center"/>
              <w:rPr>
                <w:color w:val="auto"/>
                <w:szCs w:val="21"/>
                <w:highlight w:val="none"/>
              </w:rPr>
            </w:pPr>
            <w:r>
              <w:rPr>
                <w:color w:val="auto"/>
                <w:szCs w:val="21"/>
                <w:highlight w:val="none"/>
              </w:rPr>
              <w:t>年月-  年月</w:t>
            </w:r>
          </w:p>
        </w:tc>
      </w:tr>
      <w:tr w14:paraId="57F8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DC5997C">
            <w:pPr>
              <w:spacing w:line="360" w:lineRule="auto"/>
              <w:jc w:val="center"/>
              <w:rPr>
                <w:color w:val="auto"/>
                <w:szCs w:val="21"/>
                <w:highlight w:val="none"/>
              </w:rPr>
            </w:pPr>
            <w:r>
              <w:rPr>
                <w:color w:val="auto"/>
                <w:szCs w:val="21"/>
                <w:highlight w:val="none"/>
              </w:rPr>
              <w:t>资质情况</w:t>
            </w:r>
          </w:p>
        </w:tc>
        <w:tc>
          <w:tcPr>
            <w:tcW w:w="7694" w:type="dxa"/>
            <w:gridSpan w:val="5"/>
            <w:vAlign w:val="center"/>
          </w:tcPr>
          <w:p w14:paraId="7E985FB5">
            <w:pPr>
              <w:spacing w:line="360" w:lineRule="auto"/>
              <w:jc w:val="center"/>
              <w:rPr>
                <w:color w:val="auto"/>
                <w:szCs w:val="21"/>
                <w:highlight w:val="none"/>
              </w:rPr>
            </w:pPr>
          </w:p>
        </w:tc>
      </w:tr>
      <w:tr w14:paraId="053A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2D8453F">
            <w:pPr>
              <w:spacing w:line="360" w:lineRule="auto"/>
              <w:jc w:val="center"/>
              <w:rPr>
                <w:color w:val="auto"/>
                <w:szCs w:val="21"/>
                <w:highlight w:val="none"/>
              </w:rPr>
            </w:pPr>
            <w:r>
              <w:rPr>
                <w:color w:val="auto"/>
                <w:szCs w:val="21"/>
                <w:highlight w:val="none"/>
              </w:rPr>
              <w:t>员工数量</w:t>
            </w:r>
          </w:p>
        </w:tc>
        <w:tc>
          <w:tcPr>
            <w:tcW w:w="7694" w:type="dxa"/>
            <w:gridSpan w:val="5"/>
            <w:vAlign w:val="center"/>
          </w:tcPr>
          <w:p w14:paraId="52DFFF4A">
            <w:pPr>
              <w:spacing w:line="360" w:lineRule="auto"/>
              <w:rPr>
                <w:color w:val="auto"/>
                <w:szCs w:val="21"/>
                <w:highlight w:val="none"/>
              </w:rPr>
            </w:pPr>
            <w:r>
              <w:rPr>
                <w:color w:val="auto"/>
                <w:szCs w:val="21"/>
                <w:highlight w:val="none"/>
              </w:rPr>
              <w:t>共人，其中，高级职称人，中级职称人</w:t>
            </w:r>
          </w:p>
        </w:tc>
      </w:tr>
      <w:tr w14:paraId="30C3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16D8DD6">
            <w:pPr>
              <w:spacing w:line="360" w:lineRule="auto"/>
              <w:jc w:val="center"/>
              <w:rPr>
                <w:color w:val="auto"/>
                <w:szCs w:val="21"/>
                <w:highlight w:val="none"/>
              </w:rPr>
            </w:pPr>
            <w:r>
              <w:rPr>
                <w:color w:val="auto"/>
                <w:szCs w:val="21"/>
                <w:highlight w:val="none"/>
              </w:rPr>
              <w:t>联系电话</w:t>
            </w:r>
          </w:p>
        </w:tc>
        <w:tc>
          <w:tcPr>
            <w:tcW w:w="3675" w:type="dxa"/>
            <w:gridSpan w:val="3"/>
            <w:vAlign w:val="center"/>
          </w:tcPr>
          <w:p w14:paraId="2A057E65">
            <w:pPr>
              <w:spacing w:line="360" w:lineRule="auto"/>
              <w:jc w:val="center"/>
              <w:rPr>
                <w:color w:val="auto"/>
                <w:szCs w:val="21"/>
                <w:highlight w:val="none"/>
              </w:rPr>
            </w:pPr>
          </w:p>
        </w:tc>
        <w:tc>
          <w:tcPr>
            <w:tcW w:w="1785" w:type="dxa"/>
            <w:vAlign w:val="center"/>
          </w:tcPr>
          <w:p w14:paraId="6DC42D03">
            <w:pPr>
              <w:spacing w:line="360" w:lineRule="auto"/>
              <w:jc w:val="center"/>
              <w:rPr>
                <w:color w:val="auto"/>
                <w:szCs w:val="21"/>
                <w:highlight w:val="none"/>
              </w:rPr>
            </w:pPr>
            <w:r>
              <w:rPr>
                <w:color w:val="auto"/>
                <w:szCs w:val="21"/>
                <w:highlight w:val="none"/>
              </w:rPr>
              <w:t>传真</w:t>
            </w:r>
          </w:p>
        </w:tc>
        <w:tc>
          <w:tcPr>
            <w:tcW w:w="2234" w:type="dxa"/>
            <w:vAlign w:val="center"/>
          </w:tcPr>
          <w:p w14:paraId="42450510">
            <w:pPr>
              <w:spacing w:line="360" w:lineRule="auto"/>
              <w:jc w:val="center"/>
              <w:rPr>
                <w:color w:val="auto"/>
                <w:szCs w:val="21"/>
                <w:highlight w:val="none"/>
              </w:rPr>
            </w:pPr>
          </w:p>
        </w:tc>
      </w:tr>
      <w:tr w14:paraId="3AD2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075C1451">
            <w:pPr>
              <w:spacing w:line="360" w:lineRule="auto"/>
              <w:jc w:val="center"/>
              <w:rPr>
                <w:color w:val="auto"/>
                <w:szCs w:val="21"/>
                <w:highlight w:val="none"/>
              </w:rPr>
            </w:pPr>
            <w:r>
              <w:rPr>
                <w:color w:val="auto"/>
                <w:szCs w:val="21"/>
                <w:highlight w:val="none"/>
              </w:rPr>
              <w:t>主要业绩</w:t>
            </w:r>
          </w:p>
        </w:tc>
        <w:tc>
          <w:tcPr>
            <w:tcW w:w="7694" w:type="dxa"/>
            <w:gridSpan w:val="5"/>
            <w:vAlign w:val="center"/>
          </w:tcPr>
          <w:p w14:paraId="1FCECEAC">
            <w:pPr>
              <w:spacing w:line="360" w:lineRule="auto"/>
              <w:rPr>
                <w:color w:val="auto"/>
                <w:szCs w:val="21"/>
                <w:highlight w:val="none"/>
              </w:rPr>
            </w:pPr>
          </w:p>
        </w:tc>
      </w:tr>
      <w:tr w14:paraId="2CFB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14:paraId="6443E644">
            <w:pPr>
              <w:spacing w:line="360" w:lineRule="auto"/>
              <w:jc w:val="center"/>
              <w:rPr>
                <w:color w:val="auto"/>
                <w:szCs w:val="21"/>
                <w:highlight w:val="none"/>
              </w:rPr>
            </w:pPr>
            <w:r>
              <w:rPr>
                <w:color w:val="auto"/>
                <w:szCs w:val="21"/>
                <w:highlight w:val="none"/>
              </w:rPr>
              <w:t>法定代表人基本情况</w:t>
            </w:r>
          </w:p>
        </w:tc>
      </w:tr>
      <w:tr w14:paraId="13A7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4A99378">
            <w:pPr>
              <w:spacing w:line="360" w:lineRule="auto"/>
              <w:jc w:val="center"/>
              <w:rPr>
                <w:color w:val="auto"/>
                <w:szCs w:val="21"/>
                <w:highlight w:val="none"/>
              </w:rPr>
            </w:pPr>
            <w:r>
              <w:rPr>
                <w:color w:val="auto"/>
                <w:szCs w:val="21"/>
                <w:highlight w:val="none"/>
              </w:rPr>
              <w:t>姓名</w:t>
            </w:r>
          </w:p>
        </w:tc>
        <w:tc>
          <w:tcPr>
            <w:tcW w:w="3675" w:type="dxa"/>
            <w:gridSpan w:val="3"/>
            <w:vAlign w:val="center"/>
          </w:tcPr>
          <w:p w14:paraId="067B773E">
            <w:pPr>
              <w:spacing w:line="360" w:lineRule="auto"/>
              <w:jc w:val="center"/>
              <w:rPr>
                <w:color w:val="auto"/>
                <w:szCs w:val="21"/>
                <w:highlight w:val="none"/>
              </w:rPr>
            </w:pPr>
          </w:p>
        </w:tc>
        <w:tc>
          <w:tcPr>
            <w:tcW w:w="1785" w:type="dxa"/>
            <w:vAlign w:val="center"/>
          </w:tcPr>
          <w:p w14:paraId="045D641E">
            <w:pPr>
              <w:spacing w:line="360" w:lineRule="auto"/>
              <w:jc w:val="center"/>
              <w:rPr>
                <w:color w:val="auto"/>
                <w:szCs w:val="21"/>
                <w:highlight w:val="none"/>
              </w:rPr>
            </w:pPr>
            <w:r>
              <w:rPr>
                <w:color w:val="auto"/>
                <w:szCs w:val="21"/>
                <w:highlight w:val="none"/>
              </w:rPr>
              <w:t>身份证号码</w:t>
            </w:r>
          </w:p>
        </w:tc>
        <w:tc>
          <w:tcPr>
            <w:tcW w:w="2234" w:type="dxa"/>
            <w:vAlign w:val="center"/>
          </w:tcPr>
          <w:p w14:paraId="1611ED14">
            <w:pPr>
              <w:spacing w:line="360" w:lineRule="auto"/>
              <w:jc w:val="center"/>
              <w:rPr>
                <w:color w:val="auto"/>
                <w:szCs w:val="21"/>
                <w:highlight w:val="none"/>
              </w:rPr>
            </w:pPr>
          </w:p>
        </w:tc>
      </w:tr>
      <w:tr w14:paraId="5A88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AF320BB">
            <w:pPr>
              <w:spacing w:line="360" w:lineRule="auto"/>
              <w:jc w:val="center"/>
              <w:rPr>
                <w:color w:val="auto"/>
                <w:szCs w:val="21"/>
                <w:highlight w:val="none"/>
              </w:rPr>
            </w:pPr>
            <w:r>
              <w:rPr>
                <w:color w:val="auto"/>
                <w:szCs w:val="21"/>
                <w:highlight w:val="none"/>
              </w:rPr>
              <w:t>职务</w:t>
            </w:r>
          </w:p>
        </w:tc>
        <w:tc>
          <w:tcPr>
            <w:tcW w:w="1680" w:type="dxa"/>
            <w:vAlign w:val="center"/>
          </w:tcPr>
          <w:p w14:paraId="1166E7DD">
            <w:pPr>
              <w:spacing w:line="360" w:lineRule="auto"/>
              <w:jc w:val="center"/>
              <w:rPr>
                <w:color w:val="auto"/>
                <w:szCs w:val="21"/>
                <w:highlight w:val="none"/>
              </w:rPr>
            </w:pPr>
          </w:p>
        </w:tc>
        <w:tc>
          <w:tcPr>
            <w:tcW w:w="1050" w:type="dxa"/>
            <w:vAlign w:val="center"/>
          </w:tcPr>
          <w:p w14:paraId="7F218CDC">
            <w:pPr>
              <w:spacing w:line="360" w:lineRule="auto"/>
              <w:jc w:val="center"/>
              <w:rPr>
                <w:color w:val="auto"/>
                <w:szCs w:val="21"/>
                <w:highlight w:val="none"/>
              </w:rPr>
            </w:pPr>
            <w:r>
              <w:rPr>
                <w:color w:val="auto"/>
                <w:szCs w:val="21"/>
                <w:highlight w:val="none"/>
              </w:rPr>
              <w:t>职称</w:t>
            </w:r>
          </w:p>
        </w:tc>
        <w:tc>
          <w:tcPr>
            <w:tcW w:w="945" w:type="dxa"/>
            <w:vAlign w:val="center"/>
          </w:tcPr>
          <w:p w14:paraId="1790385F">
            <w:pPr>
              <w:spacing w:line="360" w:lineRule="auto"/>
              <w:jc w:val="center"/>
              <w:rPr>
                <w:color w:val="auto"/>
                <w:szCs w:val="21"/>
                <w:highlight w:val="none"/>
              </w:rPr>
            </w:pPr>
          </w:p>
        </w:tc>
        <w:tc>
          <w:tcPr>
            <w:tcW w:w="1785" w:type="dxa"/>
            <w:vAlign w:val="center"/>
          </w:tcPr>
          <w:p w14:paraId="52450C82">
            <w:pPr>
              <w:spacing w:line="360" w:lineRule="auto"/>
              <w:jc w:val="center"/>
              <w:rPr>
                <w:color w:val="auto"/>
                <w:szCs w:val="21"/>
                <w:highlight w:val="none"/>
              </w:rPr>
            </w:pPr>
            <w:r>
              <w:rPr>
                <w:color w:val="auto"/>
                <w:szCs w:val="21"/>
                <w:highlight w:val="none"/>
              </w:rPr>
              <w:t>学历</w:t>
            </w:r>
          </w:p>
        </w:tc>
        <w:tc>
          <w:tcPr>
            <w:tcW w:w="2234" w:type="dxa"/>
            <w:vAlign w:val="center"/>
          </w:tcPr>
          <w:p w14:paraId="1470CA0B">
            <w:pPr>
              <w:spacing w:line="360" w:lineRule="auto"/>
              <w:jc w:val="center"/>
              <w:rPr>
                <w:color w:val="auto"/>
                <w:szCs w:val="21"/>
                <w:highlight w:val="none"/>
              </w:rPr>
            </w:pPr>
          </w:p>
        </w:tc>
      </w:tr>
      <w:tr w14:paraId="1CCC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14:paraId="080524C8">
            <w:pPr>
              <w:spacing w:line="360" w:lineRule="auto"/>
              <w:rPr>
                <w:color w:val="auto"/>
                <w:szCs w:val="21"/>
                <w:highlight w:val="none"/>
              </w:rPr>
            </w:pPr>
            <w:r>
              <w:rPr>
                <w:color w:val="auto"/>
                <w:szCs w:val="21"/>
                <w:highlight w:val="none"/>
              </w:rPr>
              <w:t>备注:</w:t>
            </w:r>
          </w:p>
        </w:tc>
      </w:tr>
    </w:tbl>
    <w:p w14:paraId="7B3704B6">
      <w:pPr>
        <w:spacing w:line="360" w:lineRule="auto"/>
        <w:rPr>
          <w:b/>
          <w:color w:val="auto"/>
          <w:szCs w:val="21"/>
          <w:highlight w:val="none"/>
        </w:rPr>
      </w:pPr>
      <w:r>
        <w:rPr>
          <w:b/>
          <w:color w:val="auto"/>
          <w:szCs w:val="21"/>
          <w:highlight w:val="none"/>
        </w:rPr>
        <w:t>兹证明上述声明是真实、正确的，并提供了全部能提供的资料和数据，我们同意遵照贵方要求出示有关证明文件。</w:t>
      </w:r>
    </w:p>
    <w:p w14:paraId="4AC2ECE2">
      <w:pPr>
        <w:spacing w:line="360" w:lineRule="auto"/>
        <w:rPr>
          <w:b/>
          <w:color w:val="auto"/>
          <w:highlight w:val="none"/>
        </w:rPr>
      </w:pPr>
    </w:p>
    <w:p w14:paraId="39AD988A">
      <w:pPr>
        <w:spacing w:line="360" w:lineRule="auto"/>
        <w:rPr>
          <w:b/>
          <w:color w:val="auto"/>
          <w:highlight w:val="none"/>
        </w:rPr>
      </w:pPr>
    </w:p>
    <w:p w14:paraId="1F2CCD7B">
      <w:pPr>
        <w:rPr>
          <w:color w:val="auto"/>
          <w:highlight w:val="none"/>
        </w:rPr>
      </w:pPr>
    </w:p>
    <w:p w14:paraId="6898ACE1">
      <w:pPr>
        <w:widowControl/>
        <w:spacing w:line="360" w:lineRule="auto"/>
        <w:jc w:val="left"/>
        <w:rPr>
          <w:color w:val="auto"/>
          <w:sz w:val="24"/>
          <w:highlight w:val="none"/>
        </w:rPr>
      </w:pPr>
      <w:r>
        <w:rPr>
          <w:color w:val="auto"/>
          <w:sz w:val="24"/>
          <w:highlight w:val="none"/>
        </w:rPr>
        <w:t>投标人（盖章）：</w:t>
      </w:r>
    </w:p>
    <w:p w14:paraId="2107E4FB">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45DA6F99">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2F4316B3">
      <w:pPr>
        <w:rPr>
          <w:color w:val="auto"/>
          <w:highlight w:val="none"/>
        </w:rPr>
      </w:pPr>
    </w:p>
    <w:p w14:paraId="26E52042">
      <w:pPr>
        <w:spacing w:line="360" w:lineRule="auto"/>
        <w:ind w:firstLine="103" w:firstLineChars="49"/>
        <w:rPr>
          <w:b/>
          <w:color w:val="auto"/>
          <w:szCs w:val="21"/>
          <w:highlight w:val="none"/>
        </w:rPr>
      </w:pPr>
    </w:p>
    <w:p w14:paraId="600C2DB7">
      <w:pPr>
        <w:snapToGrid w:val="0"/>
        <w:spacing w:line="360" w:lineRule="auto"/>
        <w:rPr>
          <w:color w:val="auto"/>
          <w:szCs w:val="21"/>
          <w:highlight w:val="none"/>
        </w:rPr>
      </w:pPr>
    </w:p>
    <w:p w14:paraId="65D2C357">
      <w:pPr>
        <w:spacing w:line="360" w:lineRule="auto"/>
        <w:rPr>
          <w:color w:val="auto"/>
          <w:sz w:val="24"/>
          <w:szCs w:val="21"/>
          <w:highlight w:val="none"/>
        </w:rPr>
        <w:sectPr>
          <w:footerReference r:id="rId6" w:type="default"/>
          <w:pgSz w:w="11907" w:h="16840"/>
          <w:pgMar w:top="1276" w:right="1242" w:bottom="1474" w:left="1276" w:header="720" w:footer="720" w:gutter="0"/>
          <w:cols w:space="720" w:num="1"/>
          <w:docGrid w:linePitch="285" w:charSpace="0"/>
        </w:sectPr>
      </w:pPr>
    </w:p>
    <w:p w14:paraId="3A2B8AFF">
      <w:pPr>
        <w:pStyle w:val="15"/>
        <w:spacing w:line="360" w:lineRule="auto"/>
        <w:jc w:val="left"/>
        <w:rPr>
          <w:rFonts w:ascii="Times New Roman"/>
          <w:b/>
          <w:color w:val="auto"/>
          <w:highlight w:val="none"/>
        </w:rPr>
      </w:pPr>
      <w:bookmarkStart w:id="239" w:name="_Toc97372570"/>
      <w:bookmarkStart w:id="240" w:name="_Toc434566544"/>
      <w:bookmarkStart w:id="241" w:name="_Toc460857951"/>
      <w:bookmarkStart w:id="242" w:name="_Toc303892571"/>
      <w:r>
        <w:rPr>
          <w:rFonts w:ascii="Times New Roman"/>
          <w:b/>
          <w:color w:val="auto"/>
          <w:sz w:val="21"/>
          <w:szCs w:val="21"/>
          <w:highlight w:val="none"/>
        </w:rPr>
        <w:t>格式六：</w:t>
      </w:r>
      <w:bookmarkEnd w:id="239"/>
      <w:bookmarkEnd w:id="240"/>
      <w:bookmarkEnd w:id="241"/>
      <w:bookmarkEnd w:id="242"/>
      <w:r>
        <w:rPr>
          <w:rFonts w:ascii="Times New Roman"/>
          <w:color w:val="auto"/>
          <w:sz w:val="21"/>
          <w:szCs w:val="21"/>
          <w:highlight w:val="none"/>
        </w:rPr>
        <w:t>同类项目业绩表</w:t>
      </w:r>
    </w:p>
    <w:p w14:paraId="18823501">
      <w:pPr>
        <w:spacing w:line="360" w:lineRule="auto"/>
        <w:rPr>
          <w:color w:val="auto"/>
          <w:highlight w:val="none"/>
          <w:u w:val="single"/>
        </w:rPr>
      </w:pPr>
    </w:p>
    <w:p w14:paraId="38A78D3A">
      <w:pPr>
        <w:spacing w:before="120" w:after="120"/>
        <w:jc w:val="center"/>
        <w:rPr>
          <w:b/>
          <w:bCs/>
          <w:color w:val="auto"/>
          <w:spacing w:val="20"/>
          <w:sz w:val="24"/>
          <w:highlight w:val="none"/>
        </w:rPr>
      </w:pPr>
      <w:r>
        <w:rPr>
          <w:b/>
          <w:bCs/>
          <w:color w:val="auto"/>
          <w:spacing w:val="20"/>
          <w:sz w:val="24"/>
          <w:highlight w:val="none"/>
        </w:rPr>
        <w:t>同类项目业绩表</w:t>
      </w:r>
    </w:p>
    <w:p w14:paraId="17D0CDD7">
      <w:pPr>
        <w:rPr>
          <w:color w:val="auto"/>
          <w:sz w:val="28"/>
          <w:highlight w:val="none"/>
        </w:rPr>
      </w:pPr>
    </w:p>
    <w:p w14:paraId="08690BF1">
      <w:pPr>
        <w:spacing w:line="360" w:lineRule="auto"/>
        <w:rPr>
          <w:color w:val="auto"/>
          <w:szCs w:val="21"/>
          <w:highlight w:val="none"/>
        </w:rPr>
      </w:pPr>
      <w:r>
        <w:rPr>
          <w:color w:val="auto"/>
          <w:sz w:val="22"/>
          <w:szCs w:val="21"/>
          <w:highlight w:val="none"/>
        </w:rPr>
        <w:t>项目名称：</w:t>
      </w:r>
      <w:r>
        <w:rPr>
          <w:color w:val="auto"/>
          <w:sz w:val="22"/>
          <w:szCs w:val="21"/>
          <w:highlight w:val="none"/>
          <w:u w:val="single"/>
        </w:rPr>
        <w:t xml:space="preserve">              </w:t>
      </w:r>
      <w:r>
        <w:rPr>
          <w:color w:val="auto"/>
          <w:sz w:val="22"/>
          <w:szCs w:val="21"/>
          <w:highlight w:val="none"/>
        </w:rPr>
        <w:t xml:space="preserve"> 招标编号：</w:t>
      </w:r>
      <w:r>
        <w:rPr>
          <w:color w:val="auto"/>
          <w:sz w:val="22"/>
          <w:szCs w:val="21"/>
          <w:highlight w:val="none"/>
          <w:u w:val="single"/>
        </w:rPr>
        <w:t xml:space="preserve">           </w:t>
      </w:r>
      <w:r>
        <w:rPr>
          <w:color w:val="auto"/>
          <w:sz w:val="22"/>
          <w:szCs w:val="21"/>
          <w:highlight w:val="none"/>
        </w:rPr>
        <w:t xml:space="preserve">  标项：</w:t>
      </w:r>
      <w:r>
        <w:rPr>
          <w:color w:val="auto"/>
          <w:sz w:val="22"/>
          <w:szCs w:val="21"/>
          <w:highlight w:val="none"/>
          <w:u w:val="single"/>
        </w:rPr>
        <w:t xml:space="preserve">            </w:t>
      </w:r>
    </w:p>
    <w:tbl>
      <w:tblPr>
        <w:tblStyle w:val="36"/>
        <w:tblW w:w="0" w:type="auto"/>
        <w:tblInd w:w="-1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7"/>
        <w:gridCol w:w="1786"/>
        <w:gridCol w:w="2028"/>
        <w:gridCol w:w="1143"/>
        <w:gridCol w:w="1260"/>
        <w:gridCol w:w="2052"/>
      </w:tblGrid>
      <w:tr w14:paraId="5563C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577" w:type="dxa"/>
            <w:tcBorders>
              <w:top w:val="single" w:color="auto" w:sz="4" w:space="0"/>
              <w:bottom w:val="single" w:color="auto" w:sz="4" w:space="0"/>
            </w:tcBorders>
            <w:tcMar>
              <w:left w:w="0" w:type="dxa"/>
              <w:right w:w="0" w:type="dxa"/>
            </w:tcMar>
            <w:vAlign w:val="center"/>
          </w:tcPr>
          <w:p w14:paraId="302EC3A5">
            <w:pPr>
              <w:spacing w:line="0" w:lineRule="atLeast"/>
              <w:ind w:left="-115" w:right="-107"/>
              <w:jc w:val="center"/>
              <w:rPr>
                <w:b/>
                <w:color w:val="auto"/>
                <w:szCs w:val="21"/>
                <w:highlight w:val="none"/>
              </w:rPr>
            </w:pPr>
            <w:r>
              <w:rPr>
                <w:b/>
                <w:color w:val="auto"/>
                <w:szCs w:val="21"/>
                <w:highlight w:val="none"/>
              </w:rPr>
              <w:t>序号</w:t>
            </w:r>
          </w:p>
        </w:tc>
        <w:tc>
          <w:tcPr>
            <w:tcW w:w="1786" w:type="dxa"/>
            <w:tcBorders>
              <w:top w:val="single" w:color="auto" w:sz="4" w:space="0"/>
              <w:bottom w:val="single" w:color="auto" w:sz="4" w:space="0"/>
            </w:tcBorders>
            <w:tcMar>
              <w:left w:w="0" w:type="dxa"/>
              <w:right w:w="0" w:type="dxa"/>
            </w:tcMar>
            <w:vAlign w:val="center"/>
          </w:tcPr>
          <w:p w14:paraId="1BCAEBE2">
            <w:pPr>
              <w:spacing w:line="0" w:lineRule="atLeast"/>
              <w:jc w:val="center"/>
              <w:rPr>
                <w:b/>
                <w:color w:val="auto"/>
                <w:szCs w:val="21"/>
                <w:highlight w:val="none"/>
              </w:rPr>
            </w:pPr>
            <w:r>
              <w:rPr>
                <w:b/>
                <w:color w:val="auto"/>
                <w:szCs w:val="21"/>
                <w:highlight w:val="none"/>
              </w:rPr>
              <w:t>项目名称</w:t>
            </w:r>
          </w:p>
        </w:tc>
        <w:tc>
          <w:tcPr>
            <w:tcW w:w="2028" w:type="dxa"/>
            <w:tcBorders>
              <w:top w:val="single" w:color="auto" w:sz="4" w:space="0"/>
              <w:bottom w:val="single" w:color="auto" w:sz="4" w:space="0"/>
            </w:tcBorders>
            <w:tcMar>
              <w:left w:w="0" w:type="dxa"/>
              <w:right w:w="0" w:type="dxa"/>
            </w:tcMar>
            <w:vAlign w:val="center"/>
          </w:tcPr>
          <w:p w14:paraId="6F310BAA">
            <w:pPr>
              <w:spacing w:line="0" w:lineRule="atLeast"/>
              <w:ind w:left="-115" w:right="-107"/>
              <w:jc w:val="center"/>
              <w:rPr>
                <w:b/>
                <w:color w:val="auto"/>
                <w:szCs w:val="21"/>
                <w:highlight w:val="none"/>
              </w:rPr>
            </w:pPr>
            <w:r>
              <w:rPr>
                <w:b/>
                <w:color w:val="auto"/>
                <w:szCs w:val="21"/>
                <w:highlight w:val="none"/>
              </w:rPr>
              <w:t>用户名称</w:t>
            </w:r>
          </w:p>
        </w:tc>
        <w:tc>
          <w:tcPr>
            <w:tcW w:w="1143" w:type="dxa"/>
            <w:tcBorders>
              <w:top w:val="single" w:color="auto" w:sz="4" w:space="0"/>
              <w:bottom w:val="single" w:color="auto" w:sz="4" w:space="0"/>
            </w:tcBorders>
            <w:tcMar>
              <w:left w:w="0" w:type="dxa"/>
              <w:right w:w="0" w:type="dxa"/>
            </w:tcMar>
            <w:vAlign w:val="center"/>
          </w:tcPr>
          <w:p w14:paraId="2534955A">
            <w:pPr>
              <w:spacing w:line="0" w:lineRule="atLeast"/>
              <w:ind w:left="-115" w:right="-107"/>
              <w:jc w:val="center"/>
              <w:rPr>
                <w:b/>
                <w:color w:val="auto"/>
                <w:szCs w:val="21"/>
                <w:highlight w:val="none"/>
              </w:rPr>
            </w:pPr>
            <w:r>
              <w:rPr>
                <w:b/>
                <w:color w:val="auto"/>
                <w:szCs w:val="21"/>
                <w:highlight w:val="none"/>
              </w:rPr>
              <w:t>合同金额</w:t>
            </w:r>
          </w:p>
        </w:tc>
        <w:tc>
          <w:tcPr>
            <w:tcW w:w="1260" w:type="dxa"/>
            <w:tcBorders>
              <w:top w:val="single" w:color="auto" w:sz="4" w:space="0"/>
              <w:bottom w:val="single" w:color="auto" w:sz="4" w:space="0"/>
            </w:tcBorders>
            <w:tcMar>
              <w:left w:w="0" w:type="dxa"/>
              <w:right w:w="0" w:type="dxa"/>
            </w:tcMar>
            <w:vAlign w:val="center"/>
          </w:tcPr>
          <w:p w14:paraId="1DCDFC9E">
            <w:pPr>
              <w:spacing w:line="0" w:lineRule="atLeast"/>
              <w:ind w:left="-115" w:right="-107"/>
              <w:jc w:val="center"/>
              <w:rPr>
                <w:b/>
                <w:color w:val="auto"/>
                <w:szCs w:val="21"/>
                <w:highlight w:val="none"/>
              </w:rPr>
            </w:pPr>
            <w:r>
              <w:rPr>
                <w:b/>
                <w:color w:val="auto"/>
                <w:szCs w:val="21"/>
                <w:highlight w:val="none"/>
              </w:rPr>
              <w:t>合同签订时间</w:t>
            </w:r>
          </w:p>
        </w:tc>
        <w:tc>
          <w:tcPr>
            <w:tcW w:w="2052" w:type="dxa"/>
            <w:tcBorders>
              <w:top w:val="single" w:color="auto" w:sz="4" w:space="0"/>
              <w:bottom w:val="single" w:color="auto" w:sz="4" w:space="0"/>
            </w:tcBorders>
            <w:tcMar>
              <w:left w:w="0" w:type="dxa"/>
              <w:right w:w="0" w:type="dxa"/>
            </w:tcMar>
            <w:vAlign w:val="center"/>
          </w:tcPr>
          <w:p w14:paraId="146EA485">
            <w:pPr>
              <w:spacing w:line="0" w:lineRule="atLeast"/>
              <w:ind w:left="-115" w:right="-107"/>
              <w:jc w:val="center"/>
              <w:rPr>
                <w:b/>
                <w:color w:val="auto"/>
                <w:szCs w:val="21"/>
                <w:highlight w:val="none"/>
              </w:rPr>
            </w:pPr>
            <w:r>
              <w:rPr>
                <w:b/>
                <w:color w:val="auto"/>
                <w:szCs w:val="21"/>
                <w:highlight w:val="none"/>
              </w:rPr>
              <w:t>联系人/电话</w:t>
            </w:r>
          </w:p>
        </w:tc>
      </w:tr>
      <w:tr w14:paraId="663F92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Borders>
              <w:top w:val="single" w:color="auto" w:sz="4" w:space="0"/>
            </w:tcBorders>
            <w:tcMar>
              <w:left w:w="0" w:type="dxa"/>
              <w:right w:w="0" w:type="dxa"/>
            </w:tcMar>
            <w:vAlign w:val="center"/>
          </w:tcPr>
          <w:p w14:paraId="205F51C2">
            <w:pPr>
              <w:spacing w:line="0" w:lineRule="atLeast"/>
              <w:jc w:val="center"/>
              <w:rPr>
                <w:color w:val="auto"/>
                <w:szCs w:val="21"/>
                <w:highlight w:val="none"/>
              </w:rPr>
            </w:pPr>
          </w:p>
        </w:tc>
        <w:tc>
          <w:tcPr>
            <w:tcW w:w="1786" w:type="dxa"/>
            <w:tcBorders>
              <w:top w:val="single" w:color="auto" w:sz="4" w:space="0"/>
            </w:tcBorders>
            <w:tcMar>
              <w:left w:w="0" w:type="dxa"/>
              <w:right w:w="0" w:type="dxa"/>
            </w:tcMar>
            <w:vAlign w:val="center"/>
          </w:tcPr>
          <w:p w14:paraId="1455B36F">
            <w:pPr>
              <w:spacing w:line="0" w:lineRule="atLeast"/>
              <w:jc w:val="center"/>
              <w:rPr>
                <w:color w:val="auto"/>
                <w:szCs w:val="21"/>
                <w:highlight w:val="none"/>
              </w:rPr>
            </w:pPr>
          </w:p>
        </w:tc>
        <w:tc>
          <w:tcPr>
            <w:tcW w:w="2028" w:type="dxa"/>
            <w:tcBorders>
              <w:top w:val="single" w:color="auto" w:sz="4" w:space="0"/>
            </w:tcBorders>
            <w:tcMar>
              <w:left w:w="0" w:type="dxa"/>
              <w:right w:w="0" w:type="dxa"/>
            </w:tcMar>
            <w:vAlign w:val="center"/>
          </w:tcPr>
          <w:p w14:paraId="0AAC13DB">
            <w:pPr>
              <w:spacing w:line="0" w:lineRule="atLeast"/>
              <w:jc w:val="center"/>
              <w:rPr>
                <w:color w:val="auto"/>
                <w:szCs w:val="21"/>
                <w:highlight w:val="none"/>
              </w:rPr>
            </w:pPr>
          </w:p>
        </w:tc>
        <w:tc>
          <w:tcPr>
            <w:tcW w:w="1143" w:type="dxa"/>
            <w:tcBorders>
              <w:top w:val="single" w:color="auto" w:sz="4" w:space="0"/>
            </w:tcBorders>
            <w:tcMar>
              <w:left w:w="0" w:type="dxa"/>
              <w:right w:w="0" w:type="dxa"/>
            </w:tcMar>
            <w:vAlign w:val="center"/>
          </w:tcPr>
          <w:p w14:paraId="2D8C5A7E">
            <w:pPr>
              <w:spacing w:line="0" w:lineRule="atLeast"/>
              <w:jc w:val="center"/>
              <w:rPr>
                <w:color w:val="auto"/>
                <w:szCs w:val="21"/>
                <w:highlight w:val="none"/>
              </w:rPr>
            </w:pPr>
          </w:p>
        </w:tc>
        <w:tc>
          <w:tcPr>
            <w:tcW w:w="1260" w:type="dxa"/>
            <w:tcBorders>
              <w:top w:val="single" w:color="auto" w:sz="4" w:space="0"/>
            </w:tcBorders>
            <w:tcMar>
              <w:left w:w="0" w:type="dxa"/>
              <w:right w:w="0" w:type="dxa"/>
            </w:tcMar>
            <w:vAlign w:val="center"/>
          </w:tcPr>
          <w:p w14:paraId="05B1FC51">
            <w:pPr>
              <w:spacing w:line="0" w:lineRule="atLeast"/>
              <w:jc w:val="center"/>
              <w:rPr>
                <w:color w:val="auto"/>
                <w:szCs w:val="21"/>
                <w:highlight w:val="none"/>
              </w:rPr>
            </w:pPr>
          </w:p>
        </w:tc>
        <w:tc>
          <w:tcPr>
            <w:tcW w:w="2052" w:type="dxa"/>
            <w:tcBorders>
              <w:top w:val="single" w:color="auto" w:sz="4" w:space="0"/>
            </w:tcBorders>
            <w:tcMar>
              <w:left w:w="0" w:type="dxa"/>
              <w:right w:w="0" w:type="dxa"/>
            </w:tcMar>
            <w:vAlign w:val="center"/>
          </w:tcPr>
          <w:p w14:paraId="73F1F288">
            <w:pPr>
              <w:spacing w:line="0" w:lineRule="atLeast"/>
              <w:jc w:val="center"/>
              <w:rPr>
                <w:color w:val="auto"/>
                <w:szCs w:val="21"/>
                <w:highlight w:val="none"/>
              </w:rPr>
            </w:pPr>
          </w:p>
        </w:tc>
      </w:tr>
      <w:tr w14:paraId="2E4B9B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3C9BF817">
            <w:pPr>
              <w:spacing w:line="0" w:lineRule="atLeast"/>
              <w:jc w:val="center"/>
              <w:rPr>
                <w:color w:val="auto"/>
                <w:szCs w:val="21"/>
                <w:highlight w:val="none"/>
              </w:rPr>
            </w:pPr>
          </w:p>
        </w:tc>
        <w:tc>
          <w:tcPr>
            <w:tcW w:w="1786" w:type="dxa"/>
            <w:tcMar>
              <w:left w:w="0" w:type="dxa"/>
              <w:right w:w="0" w:type="dxa"/>
            </w:tcMar>
            <w:vAlign w:val="center"/>
          </w:tcPr>
          <w:p w14:paraId="0FF941C6">
            <w:pPr>
              <w:spacing w:line="0" w:lineRule="atLeast"/>
              <w:jc w:val="center"/>
              <w:rPr>
                <w:color w:val="auto"/>
                <w:szCs w:val="21"/>
                <w:highlight w:val="none"/>
              </w:rPr>
            </w:pPr>
          </w:p>
        </w:tc>
        <w:tc>
          <w:tcPr>
            <w:tcW w:w="2028" w:type="dxa"/>
            <w:tcMar>
              <w:left w:w="0" w:type="dxa"/>
              <w:right w:w="0" w:type="dxa"/>
            </w:tcMar>
            <w:vAlign w:val="center"/>
          </w:tcPr>
          <w:p w14:paraId="14DD89FA">
            <w:pPr>
              <w:spacing w:line="0" w:lineRule="atLeast"/>
              <w:jc w:val="center"/>
              <w:rPr>
                <w:color w:val="auto"/>
                <w:szCs w:val="21"/>
                <w:highlight w:val="none"/>
              </w:rPr>
            </w:pPr>
          </w:p>
        </w:tc>
        <w:tc>
          <w:tcPr>
            <w:tcW w:w="1143" w:type="dxa"/>
            <w:tcMar>
              <w:left w:w="0" w:type="dxa"/>
              <w:right w:w="0" w:type="dxa"/>
            </w:tcMar>
            <w:vAlign w:val="center"/>
          </w:tcPr>
          <w:p w14:paraId="7FBC137D">
            <w:pPr>
              <w:spacing w:line="0" w:lineRule="atLeast"/>
              <w:jc w:val="center"/>
              <w:rPr>
                <w:color w:val="auto"/>
                <w:szCs w:val="21"/>
                <w:highlight w:val="none"/>
              </w:rPr>
            </w:pPr>
          </w:p>
        </w:tc>
        <w:tc>
          <w:tcPr>
            <w:tcW w:w="1260" w:type="dxa"/>
            <w:tcMar>
              <w:left w:w="0" w:type="dxa"/>
              <w:right w:w="0" w:type="dxa"/>
            </w:tcMar>
            <w:vAlign w:val="center"/>
          </w:tcPr>
          <w:p w14:paraId="56E938B9">
            <w:pPr>
              <w:spacing w:line="0" w:lineRule="atLeast"/>
              <w:jc w:val="center"/>
              <w:rPr>
                <w:color w:val="auto"/>
                <w:szCs w:val="21"/>
                <w:highlight w:val="none"/>
              </w:rPr>
            </w:pPr>
          </w:p>
        </w:tc>
        <w:tc>
          <w:tcPr>
            <w:tcW w:w="2052" w:type="dxa"/>
            <w:tcMar>
              <w:left w:w="0" w:type="dxa"/>
              <w:right w:w="0" w:type="dxa"/>
            </w:tcMar>
            <w:vAlign w:val="center"/>
          </w:tcPr>
          <w:p w14:paraId="772BE479">
            <w:pPr>
              <w:spacing w:line="0" w:lineRule="atLeast"/>
              <w:jc w:val="center"/>
              <w:rPr>
                <w:color w:val="auto"/>
                <w:szCs w:val="21"/>
                <w:highlight w:val="none"/>
              </w:rPr>
            </w:pPr>
          </w:p>
        </w:tc>
      </w:tr>
      <w:tr w14:paraId="71D73D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6650768F">
            <w:pPr>
              <w:spacing w:line="0" w:lineRule="atLeast"/>
              <w:jc w:val="center"/>
              <w:rPr>
                <w:color w:val="auto"/>
                <w:szCs w:val="21"/>
                <w:highlight w:val="none"/>
              </w:rPr>
            </w:pPr>
          </w:p>
        </w:tc>
        <w:tc>
          <w:tcPr>
            <w:tcW w:w="1786" w:type="dxa"/>
            <w:tcMar>
              <w:left w:w="0" w:type="dxa"/>
              <w:right w:w="0" w:type="dxa"/>
            </w:tcMar>
            <w:vAlign w:val="center"/>
          </w:tcPr>
          <w:p w14:paraId="093CF2CE">
            <w:pPr>
              <w:spacing w:line="0" w:lineRule="atLeast"/>
              <w:jc w:val="center"/>
              <w:rPr>
                <w:color w:val="auto"/>
                <w:szCs w:val="21"/>
                <w:highlight w:val="none"/>
              </w:rPr>
            </w:pPr>
          </w:p>
        </w:tc>
        <w:tc>
          <w:tcPr>
            <w:tcW w:w="2028" w:type="dxa"/>
            <w:tcMar>
              <w:left w:w="0" w:type="dxa"/>
              <w:right w:w="0" w:type="dxa"/>
            </w:tcMar>
            <w:vAlign w:val="center"/>
          </w:tcPr>
          <w:p w14:paraId="75FCCC68">
            <w:pPr>
              <w:spacing w:line="0" w:lineRule="atLeast"/>
              <w:jc w:val="center"/>
              <w:rPr>
                <w:color w:val="auto"/>
                <w:szCs w:val="21"/>
                <w:highlight w:val="none"/>
              </w:rPr>
            </w:pPr>
          </w:p>
        </w:tc>
        <w:tc>
          <w:tcPr>
            <w:tcW w:w="1143" w:type="dxa"/>
            <w:tcMar>
              <w:left w:w="0" w:type="dxa"/>
              <w:right w:w="0" w:type="dxa"/>
            </w:tcMar>
            <w:vAlign w:val="center"/>
          </w:tcPr>
          <w:p w14:paraId="145A8C3B">
            <w:pPr>
              <w:spacing w:line="0" w:lineRule="atLeast"/>
              <w:jc w:val="center"/>
              <w:rPr>
                <w:color w:val="auto"/>
                <w:szCs w:val="21"/>
                <w:highlight w:val="none"/>
              </w:rPr>
            </w:pPr>
          </w:p>
        </w:tc>
        <w:tc>
          <w:tcPr>
            <w:tcW w:w="1260" w:type="dxa"/>
            <w:tcMar>
              <w:left w:w="0" w:type="dxa"/>
              <w:right w:w="0" w:type="dxa"/>
            </w:tcMar>
            <w:vAlign w:val="center"/>
          </w:tcPr>
          <w:p w14:paraId="19071AB3">
            <w:pPr>
              <w:spacing w:line="0" w:lineRule="atLeast"/>
              <w:jc w:val="center"/>
              <w:rPr>
                <w:color w:val="auto"/>
                <w:szCs w:val="21"/>
                <w:highlight w:val="none"/>
              </w:rPr>
            </w:pPr>
          </w:p>
        </w:tc>
        <w:tc>
          <w:tcPr>
            <w:tcW w:w="2052" w:type="dxa"/>
            <w:tcMar>
              <w:left w:w="0" w:type="dxa"/>
              <w:right w:w="0" w:type="dxa"/>
            </w:tcMar>
            <w:vAlign w:val="center"/>
          </w:tcPr>
          <w:p w14:paraId="50C03B67">
            <w:pPr>
              <w:spacing w:line="0" w:lineRule="atLeast"/>
              <w:jc w:val="center"/>
              <w:rPr>
                <w:color w:val="auto"/>
                <w:szCs w:val="21"/>
                <w:highlight w:val="none"/>
              </w:rPr>
            </w:pPr>
          </w:p>
        </w:tc>
      </w:tr>
      <w:tr w14:paraId="5401AF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00DDB740">
            <w:pPr>
              <w:spacing w:line="0" w:lineRule="atLeast"/>
              <w:jc w:val="center"/>
              <w:rPr>
                <w:color w:val="auto"/>
                <w:szCs w:val="21"/>
                <w:highlight w:val="none"/>
              </w:rPr>
            </w:pPr>
          </w:p>
        </w:tc>
        <w:tc>
          <w:tcPr>
            <w:tcW w:w="1786" w:type="dxa"/>
            <w:tcMar>
              <w:left w:w="0" w:type="dxa"/>
              <w:right w:w="0" w:type="dxa"/>
            </w:tcMar>
            <w:vAlign w:val="center"/>
          </w:tcPr>
          <w:p w14:paraId="6AAEE01C">
            <w:pPr>
              <w:spacing w:line="0" w:lineRule="atLeast"/>
              <w:jc w:val="center"/>
              <w:rPr>
                <w:color w:val="auto"/>
                <w:szCs w:val="21"/>
                <w:highlight w:val="none"/>
              </w:rPr>
            </w:pPr>
          </w:p>
        </w:tc>
        <w:tc>
          <w:tcPr>
            <w:tcW w:w="2028" w:type="dxa"/>
            <w:tcMar>
              <w:left w:w="0" w:type="dxa"/>
              <w:right w:w="0" w:type="dxa"/>
            </w:tcMar>
            <w:vAlign w:val="center"/>
          </w:tcPr>
          <w:p w14:paraId="0413944E">
            <w:pPr>
              <w:spacing w:line="0" w:lineRule="atLeast"/>
              <w:jc w:val="center"/>
              <w:rPr>
                <w:color w:val="auto"/>
                <w:szCs w:val="21"/>
                <w:highlight w:val="none"/>
              </w:rPr>
            </w:pPr>
          </w:p>
        </w:tc>
        <w:tc>
          <w:tcPr>
            <w:tcW w:w="1143" w:type="dxa"/>
            <w:tcMar>
              <w:left w:w="0" w:type="dxa"/>
              <w:right w:w="0" w:type="dxa"/>
            </w:tcMar>
            <w:vAlign w:val="center"/>
          </w:tcPr>
          <w:p w14:paraId="12F70474">
            <w:pPr>
              <w:spacing w:line="0" w:lineRule="atLeast"/>
              <w:jc w:val="center"/>
              <w:rPr>
                <w:color w:val="auto"/>
                <w:szCs w:val="21"/>
                <w:highlight w:val="none"/>
              </w:rPr>
            </w:pPr>
          </w:p>
        </w:tc>
        <w:tc>
          <w:tcPr>
            <w:tcW w:w="1260" w:type="dxa"/>
            <w:tcMar>
              <w:left w:w="0" w:type="dxa"/>
              <w:right w:w="0" w:type="dxa"/>
            </w:tcMar>
            <w:vAlign w:val="center"/>
          </w:tcPr>
          <w:p w14:paraId="4CCDA2C4">
            <w:pPr>
              <w:spacing w:line="0" w:lineRule="atLeast"/>
              <w:jc w:val="center"/>
              <w:rPr>
                <w:color w:val="auto"/>
                <w:szCs w:val="21"/>
                <w:highlight w:val="none"/>
              </w:rPr>
            </w:pPr>
          </w:p>
        </w:tc>
        <w:tc>
          <w:tcPr>
            <w:tcW w:w="2052" w:type="dxa"/>
            <w:tcMar>
              <w:left w:w="0" w:type="dxa"/>
              <w:right w:w="0" w:type="dxa"/>
            </w:tcMar>
            <w:vAlign w:val="center"/>
          </w:tcPr>
          <w:p w14:paraId="4712CF3D">
            <w:pPr>
              <w:spacing w:line="0" w:lineRule="atLeast"/>
              <w:jc w:val="center"/>
              <w:rPr>
                <w:color w:val="auto"/>
                <w:szCs w:val="21"/>
                <w:highlight w:val="none"/>
              </w:rPr>
            </w:pPr>
          </w:p>
        </w:tc>
      </w:tr>
      <w:tr w14:paraId="25FFD1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20BEDAE1">
            <w:pPr>
              <w:spacing w:line="0" w:lineRule="atLeast"/>
              <w:jc w:val="center"/>
              <w:rPr>
                <w:color w:val="auto"/>
                <w:szCs w:val="21"/>
                <w:highlight w:val="none"/>
              </w:rPr>
            </w:pPr>
          </w:p>
        </w:tc>
        <w:tc>
          <w:tcPr>
            <w:tcW w:w="1786" w:type="dxa"/>
            <w:tcMar>
              <w:left w:w="0" w:type="dxa"/>
              <w:right w:w="0" w:type="dxa"/>
            </w:tcMar>
            <w:vAlign w:val="center"/>
          </w:tcPr>
          <w:p w14:paraId="4906F899">
            <w:pPr>
              <w:spacing w:line="0" w:lineRule="atLeast"/>
              <w:jc w:val="center"/>
              <w:rPr>
                <w:color w:val="auto"/>
                <w:szCs w:val="21"/>
                <w:highlight w:val="none"/>
              </w:rPr>
            </w:pPr>
          </w:p>
        </w:tc>
        <w:tc>
          <w:tcPr>
            <w:tcW w:w="2028" w:type="dxa"/>
            <w:tcMar>
              <w:left w:w="0" w:type="dxa"/>
              <w:right w:w="0" w:type="dxa"/>
            </w:tcMar>
            <w:vAlign w:val="center"/>
          </w:tcPr>
          <w:p w14:paraId="313CF2E1">
            <w:pPr>
              <w:spacing w:line="0" w:lineRule="atLeast"/>
              <w:jc w:val="center"/>
              <w:rPr>
                <w:color w:val="auto"/>
                <w:szCs w:val="21"/>
                <w:highlight w:val="none"/>
              </w:rPr>
            </w:pPr>
          </w:p>
        </w:tc>
        <w:tc>
          <w:tcPr>
            <w:tcW w:w="1143" w:type="dxa"/>
            <w:tcMar>
              <w:left w:w="0" w:type="dxa"/>
              <w:right w:w="0" w:type="dxa"/>
            </w:tcMar>
            <w:vAlign w:val="center"/>
          </w:tcPr>
          <w:p w14:paraId="19349754">
            <w:pPr>
              <w:spacing w:line="0" w:lineRule="atLeast"/>
              <w:jc w:val="center"/>
              <w:rPr>
                <w:color w:val="auto"/>
                <w:szCs w:val="21"/>
                <w:highlight w:val="none"/>
              </w:rPr>
            </w:pPr>
          </w:p>
        </w:tc>
        <w:tc>
          <w:tcPr>
            <w:tcW w:w="1260" w:type="dxa"/>
            <w:tcMar>
              <w:left w:w="0" w:type="dxa"/>
              <w:right w:w="0" w:type="dxa"/>
            </w:tcMar>
            <w:vAlign w:val="center"/>
          </w:tcPr>
          <w:p w14:paraId="216F1CF0">
            <w:pPr>
              <w:spacing w:line="0" w:lineRule="atLeast"/>
              <w:jc w:val="center"/>
              <w:rPr>
                <w:color w:val="auto"/>
                <w:szCs w:val="21"/>
                <w:highlight w:val="none"/>
              </w:rPr>
            </w:pPr>
          </w:p>
        </w:tc>
        <w:tc>
          <w:tcPr>
            <w:tcW w:w="2052" w:type="dxa"/>
            <w:tcMar>
              <w:left w:w="0" w:type="dxa"/>
              <w:right w:w="0" w:type="dxa"/>
            </w:tcMar>
            <w:vAlign w:val="center"/>
          </w:tcPr>
          <w:p w14:paraId="5D4689AF">
            <w:pPr>
              <w:spacing w:line="0" w:lineRule="atLeast"/>
              <w:jc w:val="center"/>
              <w:rPr>
                <w:color w:val="auto"/>
                <w:szCs w:val="21"/>
                <w:highlight w:val="none"/>
              </w:rPr>
            </w:pPr>
          </w:p>
        </w:tc>
      </w:tr>
      <w:tr w14:paraId="3C3792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4B9B02C5">
            <w:pPr>
              <w:spacing w:line="0" w:lineRule="atLeast"/>
              <w:jc w:val="center"/>
              <w:rPr>
                <w:color w:val="auto"/>
                <w:szCs w:val="21"/>
                <w:highlight w:val="none"/>
              </w:rPr>
            </w:pPr>
          </w:p>
        </w:tc>
        <w:tc>
          <w:tcPr>
            <w:tcW w:w="1786" w:type="dxa"/>
            <w:tcMar>
              <w:left w:w="0" w:type="dxa"/>
              <w:right w:w="0" w:type="dxa"/>
            </w:tcMar>
            <w:vAlign w:val="center"/>
          </w:tcPr>
          <w:p w14:paraId="2C988304">
            <w:pPr>
              <w:spacing w:line="0" w:lineRule="atLeast"/>
              <w:jc w:val="center"/>
              <w:rPr>
                <w:color w:val="auto"/>
                <w:szCs w:val="21"/>
                <w:highlight w:val="none"/>
              </w:rPr>
            </w:pPr>
          </w:p>
        </w:tc>
        <w:tc>
          <w:tcPr>
            <w:tcW w:w="2028" w:type="dxa"/>
            <w:tcMar>
              <w:left w:w="0" w:type="dxa"/>
              <w:right w:w="0" w:type="dxa"/>
            </w:tcMar>
            <w:vAlign w:val="center"/>
          </w:tcPr>
          <w:p w14:paraId="3338E4B5">
            <w:pPr>
              <w:spacing w:line="0" w:lineRule="atLeast"/>
              <w:jc w:val="center"/>
              <w:rPr>
                <w:color w:val="auto"/>
                <w:szCs w:val="21"/>
                <w:highlight w:val="none"/>
              </w:rPr>
            </w:pPr>
          </w:p>
        </w:tc>
        <w:tc>
          <w:tcPr>
            <w:tcW w:w="1143" w:type="dxa"/>
            <w:tcMar>
              <w:left w:w="0" w:type="dxa"/>
              <w:right w:w="0" w:type="dxa"/>
            </w:tcMar>
            <w:vAlign w:val="center"/>
          </w:tcPr>
          <w:p w14:paraId="27FEB1FB">
            <w:pPr>
              <w:spacing w:line="0" w:lineRule="atLeast"/>
              <w:jc w:val="center"/>
              <w:rPr>
                <w:color w:val="auto"/>
                <w:szCs w:val="21"/>
                <w:highlight w:val="none"/>
              </w:rPr>
            </w:pPr>
          </w:p>
        </w:tc>
        <w:tc>
          <w:tcPr>
            <w:tcW w:w="1260" w:type="dxa"/>
            <w:tcMar>
              <w:left w:w="0" w:type="dxa"/>
              <w:right w:w="0" w:type="dxa"/>
            </w:tcMar>
            <w:vAlign w:val="center"/>
          </w:tcPr>
          <w:p w14:paraId="544327BA">
            <w:pPr>
              <w:spacing w:line="0" w:lineRule="atLeast"/>
              <w:jc w:val="center"/>
              <w:rPr>
                <w:color w:val="auto"/>
                <w:szCs w:val="21"/>
                <w:highlight w:val="none"/>
              </w:rPr>
            </w:pPr>
          </w:p>
        </w:tc>
        <w:tc>
          <w:tcPr>
            <w:tcW w:w="2052" w:type="dxa"/>
            <w:tcMar>
              <w:left w:w="0" w:type="dxa"/>
              <w:right w:w="0" w:type="dxa"/>
            </w:tcMar>
            <w:vAlign w:val="center"/>
          </w:tcPr>
          <w:p w14:paraId="60CD8CE2">
            <w:pPr>
              <w:spacing w:line="0" w:lineRule="atLeast"/>
              <w:jc w:val="center"/>
              <w:rPr>
                <w:color w:val="auto"/>
                <w:szCs w:val="21"/>
                <w:highlight w:val="none"/>
              </w:rPr>
            </w:pPr>
          </w:p>
        </w:tc>
      </w:tr>
      <w:tr w14:paraId="02AF1B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730AE826">
            <w:pPr>
              <w:spacing w:line="0" w:lineRule="atLeast"/>
              <w:jc w:val="center"/>
              <w:rPr>
                <w:color w:val="auto"/>
                <w:szCs w:val="21"/>
                <w:highlight w:val="none"/>
              </w:rPr>
            </w:pPr>
          </w:p>
        </w:tc>
        <w:tc>
          <w:tcPr>
            <w:tcW w:w="1786" w:type="dxa"/>
            <w:tcMar>
              <w:left w:w="0" w:type="dxa"/>
              <w:right w:w="0" w:type="dxa"/>
            </w:tcMar>
            <w:vAlign w:val="center"/>
          </w:tcPr>
          <w:p w14:paraId="2FBB0BCB">
            <w:pPr>
              <w:spacing w:line="0" w:lineRule="atLeast"/>
              <w:jc w:val="center"/>
              <w:rPr>
                <w:color w:val="auto"/>
                <w:szCs w:val="21"/>
                <w:highlight w:val="none"/>
              </w:rPr>
            </w:pPr>
          </w:p>
        </w:tc>
        <w:tc>
          <w:tcPr>
            <w:tcW w:w="2028" w:type="dxa"/>
            <w:tcMar>
              <w:left w:w="0" w:type="dxa"/>
              <w:right w:w="0" w:type="dxa"/>
            </w:tcMar>
            <w:vAlign w:val="center"/>
          </w:tcPr>
          <w:p w14:paraId="54DE4F48">
            <w:pPr>
              <w:spacing w:line="0" w:lineRule="atLeast"/>
              <w:jc w:val="center"/>
              <w:rPr>
                <w:color w:val="auto"/>
                <w:szCs w:val="21"/>
                <w:highlight w:val="none"/>
              </w:rPr>
            </w:pPr>
          </w:p>
        </w:tc>
        <w:tc>
          <w:tcPr>
            <w:tcW w:w="1143" w:type="dxa"/>
            <w:tcMar>
              <w:left w:w="0" w:type="dxa"/>
              <w:right w:w="0" w:type="dxa"/>
            </w:tcMar>
            <w:vAlign w:val="center"/>
          </w:tcPr>
          <w:p w14:paraId="35178083">
            <w:pPr>
              <w:spacing w:line="0" w:lineRule="atLeast"/>
              <w:jc w:val="center"/>
              <w:rPr>
                <w:color w:val="auto"/>
                <w:szCs w:val="21"/>
                <w:highlight w:val="none"/>
              </w:rPr>
            </w:pPr>
          </w:p>
        </w:tc>
        <w:tc>
          <w:tcPr>
            <w:tcW w:w="1260" w:type="dxa"/>
            <w:tcMar>
              <w:left w:w="0" w:type="dxa"/>
              <w:right w:w="0" w:type="dxa"/>
            </w:tcMar>
            <w:vAlign w:val="center"/>
          </w:tcPr>
          <w:p w14:paraId="6A5478D1">
            <w:pPr>
              <w:spacing w:line="0" w:lineRule="atLeast"/>
              <w:jc w:val="center"/>
              <w:rPr>
                <w:color w:val="auto"/>
                <w:szCs w:val="21"/>
                <w:highlight w:val="none"/>
              </w:rPr>
            </w:pPr>
          </w:p>
        </w:tc>
        <w:tc>
          <w:tcPr>
            <w:tcW w:w="2052" w:type="dxa"/>
            <w:tcMar>
              <w:left w:w="0" w:type="dxa"/>
              <w:right w:w="0" w:type="dxa"/>
            </w:tcMar>
            <w:vAlign w:val="center"/>
          </w:tcPr>
          <w:p w14:paraId="483BF263">
            <w:pPr>
              <w:spacing w:line="0" w:lineRule="atLeast"/>
              <w:jc w:val="center"/>
              <w:rPr>
                <w:color w:val="auto"/>
                <w:szCs w:val="21"/>
                <w:highlight w:val="none"/>
              </w:rPr>
            </w:pPr>
          </w:p>
        </w:tc>
      </w:tr>
      <w:tr w14:paraId="7E43C7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29988F7B">
            <w:pPr>
              <w:spacing w:line="0" w:lineRule="atLeast"/>
              <w:jc w:val="center"/>
              <w:rPr>
                <w:color w:val="auto"/>
                <w:szCs w:val="21"/>
                <w:highlight w:val="none"/>
              </w:rPr>
            </w:pPr>
          </w:p>
        </w:tc>
        <w:tc>
          <w:tcPr>
            <w:tcW w:w="1786" w:type="dxa"/>
            <w:tcMar>
              <w:left w:w="0" w:type="dxa"/>
              <w:right w:w="0" w:type="dxa"/>
            </w:tcMar>
            <w:vAlign w:val="center"/>
          </w:tcPr>
          <w:p w14:paraId="7673C9E9">
            <w:pPr>
              <w:spacing w:line="0" w:lineRule="atLeast"/>
              <w:jc w:val="center"/>
              <w:rPr>
                <w:color w:val="auto"/>
                <w:szCs w:val="21"/>
                <w:highlight w:val="none"/>
              </w:rPr>
            </w:pPr>
          </w:p>
        </w:tc>
        <w:tc>
          <w:tcPr>
            <w:tcW w:w="2028" w:type="dxa"/>
            <w:tcMar>
              <w:left w:w="0" w:type="dxa"/>
              <w:right w:w="0" w:type="dxa"/>
            </w:tcMar>
            <w:vAlign w:val="center"/>
          </w:tcPr>
          <w:p w14:paraId="1F7FA227">
            <w:pPr>
              <w:spacing w:line="0" w:lineRule="atLeast"/>
              <w:jc w:val="center"/>
              <w:rPr>
                <w:color w:val="auto"/>
                <w:szCs w:val="21"/>
                <w:highlight w:val="none"/>
              </w:rPr>
            </w:pPr>
          </w:p>
        </w:tc>
        <w:tc>
          <w:tcPr>
            <w:tcW w:w="1143" w:type="dxa"/>
            <w:tcMar>
              <w:left w:w="0" w:type="dxa"/>
              <w:right w:w="0" w:type="dxa"/>
            </w:tcMar>
            <w:vAlign w:val="center"/>
          </w:tcPr>
          <w:p w14:paraId="163567EC">
            <w:pPr>
              <w:spacing w:line="0" w:lineRule="atLeast"/>
              <w:jc w:val="center"/>
              <w:rPr>
                <w:color w:val="auto"/>
                <w:szCs w:val="21"/>
                <w:highlight w:val="none"/>
              </w:rPr>
            </w:pPr>
          </w:p>
        </w:tc>
        <w:tc>
          <w:tcPr>
            <w:tcW w:w="1260" w:type="dxa"/>
            <w:tcMar>
              <w:left w:w="0" w:type="dxa"/>
              <w:right w:w="0" w:type="dxa"/>
            </w:tcMar>
            <w:vAlign w:val="center"/>
          </w:tcPr>
          <w:p w14:paraId="148EADC6">
            <w:pPr>
              <w:spacing w:line="0" w:lineRule="atLeast"/>
              <w:jc w:val="center"/>
              <w:rPr>
                <w:color w:val="auto"/>
                <w:szCs w:val="21"/>
                <w:highlight w:val="none"/>
              </w:rPr>
            </w:pPr>
          </w:p>
        </w:tc>
        <w:tc>
          <w:tcPr>
            <w:tcW w:w="2052" w:type="dxa"/>
            <w:tcMar>
              <w:left w:w="0" w:type="dxa"/>
              <w:right w:w="0" w:type="dxa"/>
            </w:tcMar>
            <w:vAlign w:val="center"/>
          </w:tcPr>
          <w:p w14:paraId="7418A0F5">
            <w:pPr>
              <w:spacing w:line="0" w:lineRule="atLeast"/>
              <w:jc w:val="center"/>
              <w:rPr>
                <w:color w:val="auto"/>
                <w:szCs w:val="21"/>
                <w:highlight w:val="none"/>
              </w:rPr>
            </w:pPr>
          </w:p>
        </w:tc>
      </w:tr>
      <w:tr w14:paraId="390E17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5E97C134">
            <w:pPr>
              <w:spacing w:line="0" w:lineRule="atLeast"/>
              <w:jc w:val="center"/>
              <w:rPr>
                <w:color w:val="auto"/>
                <w:szCs w:val="21"/>
                <w:highlight w:val="none"/>
              </w:rPr>
            </w:pPr>
          </w:p>
        </w:tc>
        <w:tc>
          <w:tcPr>
            <w:tcW w:w="1786" w:type="dxa"/>
            <w:tcMar>
              <w:left w:w="0" w:type="dxa"/>
              <w:right w:w="0" w:type="dxa"/>
            </w:tcMar>
            <w:vAlign w:val="center"/>
          </w:tcPr>
          <w:p w14:paraId="76CB6619">
            <w:pPr>
              <w:spacing w:line="0" w:lineRule="atLeast"/>
              <w:jc w:val="center"/>
              <w:rPr>
                <w:color w:val="auto"/>
                <w:szCs w:val="21"/>
                <w:highlight w:val="none"/>
              </w:rPr>
            </w:pPr>
          </w:p>
        </w:tc>
        <w:tc>
          <w:tcPr>
            <w:tcW w:w="2028" w:type="dxa"/>
            <w:tcMar>
              <w:left w:w="0" w:type="dxa"/>
              <w:right w:w="0" w:type="dxa"/>
            </w:tcMar>
            <w:vAlign w:val="center"/>
          </w:tcPr>
          <w:p w14:paraId="24B08309">
            <w:pPr>
              <w:spacing w:line="0" w:lineRule="atLeast"/>
              <w:jc w:val="center"/>
              <w:rPr>
                <w:color w:val="auto"/>
                <w:szCs w:val="21"/>
                <w:highlight w:val="none"/>
              </w:rPr>
            </w:pPr>
          </w:p>
        </w:tc>
        <w:tc>
          <w:tcPr>
            <w:tcW w:w="1143" w:type="dxa"/>
            <w:tcMar>
              <w:left w:w="0" w:type="dxa"/>
              <w:right w:w="0" w:type="dxa"/>
            </w:tcMar>
            <w:vAlign w:val="center"/>
          </w:tcPr>
          <w:p w14:paraId="13AF5145">
            <w:pPr>
              <w:spacing w:line="0" w:lineRule="atLeast"/>
              <w:jc w:val="center"/>
              <w:rPr>
                <w:color w:val="auto"/>
                <w:szCs w:val="21"/>
                <w:highlight w:val="none"/>
              </w:rPr>
            </w:pPr>
          </w:p>
        </w:tc>
        <w:tc>
          <w:tcPr>
            <w:tcW w:w="1260" w:type="dxa"/>
            <w:tcMar>
              <w:left w:w="0" w:type="dxa"/>
              <w:right w:w="0" w:type="dxa"/>
            </w:tcMar>
            <w:vAlign w:val="center"/>
          </w:tcPr>
          <w:p w14:paraId="37EEA1CA">
            <w:pPr>
              <w:spacing w:line="0" w:lineRule="atLeast"/>
              <w:jc w:val="center"/>
              <w:rPr>
                <w:color w:val="auto"/>
                <w:szCs w:val="21"/>
                <w:highlight w:val="none"/>
              </w:rPr>
            </w:pPr>
          </w:p>
        </w:tc>
        <w:tc>
          <w:tcPr>
            <w:tcW w:w="2052" w:type="dxa"/>
            <w:tcMar>
              <w:left w:w="0" w:type="dxa"/>
              <w:right w:w="0" w:type="dxa"/>
            </w:tcMar>
            <w:vAlign w:val="center"/>
          </w:tcPr>
          <w:p w14:paraId="3D6DD901">
            <w:pPr>
              <w:spacing w:line="0" w:lineRule="atLeast"/>
              <w:jc w:val="center"/>
              <w:rPr>
                <w:color w:val="auto"/>
                <w:szCs w:val="21"/>
                <w:highlight w:val="none"/>
              </w:rPr>
            </w:pPr>
          </w:p>
        </w:tc>
      </w:tr>
      <w:tr w14:paraId="2C7CE7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2EA40133">
            <w:pPr>
              <w:spacing w:line="0" w:lineRule="atLeast"/>
              <w:jc w:val="center"/>
              <w:rPr>
                <w:color w:val="auto"/>
                <w:szCs w:val="21"/>
                <w:highlight w:val="none"/>
              </w:rPr>
            </w:pPr>
          </w:p>
        </w:tc>
        <w:tc>
          <w:tcPr>
            <w:tcW w:w="1786" w:type="dxa"/>
            <w:tcMar>
              <w:left w:w="0" w:type="dxa"/>
              <w:right w:w="0" w:type="dxa"/>
            </w:tcMar>
            <w:vAlign w:val="center"/>
          </w:tcPr>
          <w:p w14:paraId="6B51828B">
            <w:pPr>
              <w:spacing w:line="0" w:lineRule="atLeast"/>
              <w:jc w:val="center"/>
              <w:rPr>
                <w:color w:val="auto"/>
                <w:szCs w:val="21"/>
                <w:highlight w:val="none"/>
              </w:rPr>
            </w:pPr>
          </w:p>
        </w:tc>
        <w:tc>
          <w:tcPr>
            <w:tcW w:w="2028" w:type="dxa"/>
            <w:tcMar>
              <w:left w:w="0" w:type="dxa"/>
              <w:right w:w="0" w:type="dxa"/>
            </w:tcMar>
            <w:vAlign w:val="center"/>
          </w:tcPr>
          <w:p w14:paraId="6454350E">
            <w:pPr>
              <w:spacing w:line="0" w:lineRule="atLeast"/>
              <w:jc w:val="center"/>
              <w:rPr>
                <w:color w:val="auto"/>
                <w:szCs w:val="21"/>
                <w:highlight w:val="none"/>
              </w:rPr>
            </w:pPr>
          </w:p>
        </w:tc>
        <w:tc>
          <w:tcPr>
            <w:tcW w:w="1143" w:type="dxa"/>
            <w:tcMar>
              <w:left w:w="0" w:type="dxa"/>
              <w:right w:w="0" w:type="dxa"/>
            </w:tcMar>
            <w:vAlign w:val="center"/>
          </w:tcPr>
          <w:p w14:paraId="4148F664">
            <w:pPr>
              <w:spacing w:line="0" w:lineRule="atLeast"/>
              <w:jc w:val="center"/>
              <w:rPr>
                <w:color w:val="auto"/>
                <w:szCs w:val="21"/>
                <w:highlight w:val="none"/>
              </w:rPr>
            </w:pPr>
          </w:p>
        </w:tc>
        <w:tc>
          <w:tcPr>
            <w:tcW w:w="1260" w:type="dxa"/>
            <w:tcMar>
              <w:left w:w="0" w:type="dxa"/>
              <w:right w:w="0" w:type="dxa"/>
            </w:tcMar>
            <w:vAlign w:val="center"/>
          </w:tcPr>
          <w:p w14:paraId="2165E1E5">
            <w:pPr>
              <w:spacing w:line="0" w:lineRule="atLeast"/>
              <w:jc w:val="center"/>
              <w:rPr>
                <w:color w:val="auto"/>
                <w:szCs w:val="21"/>
                <w:highlight w:val="none"/>
              </w:rPr>
            </w:pPr>
          </w:p>
        </w:tc>
        <w:tc>
          <w:tcPr>
            <w:tcW w:w="2052" w:type="dxa"/>
            <w:tcMar>
              <w:left w:w="0" w:type="dxa"/>
              <w:right w:w="0" w:type="dxa"/>
            </w:tcMar>
            <w:vAlign w:val="center"/>
          </w:tcPr>
          <w:p w14:paraId="51CA4276">
            <w:pPr>
              <w:spacing w:line="0" w:lineRule="atLeast"/>
              <w:jc w:val="center"/>
              <w:rPr>
                <w:color w:val="auto"/>
                <w:szCs w:val="21"/>
                <w:highlight w:val="none"/>
              </w:rPr>
            </w:pPr>
          </w:p>
        </w:tc>
      </w:tr>
      <w:tr w14:paraId="1DAFB7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28DBF13F">
            <w:pPr>
              <w:spacing w:line="0" w:lineRule="atLeast"/>
              <w:jc w:val="center"/>
              <w:rPr>
                <w:color w:val="auto"/>
                <w:szCs w:val="21"/>
                <w:highlight w:val="none"/>
              </w:rPr>
            </w:pPr>
          </w:p>
        </w:tc>
        <w:tc>
          <w:tcPr>
            <w:tcW w:w="1786" w:type="dxa"/>
            <w:tcMar>
              <w:left w:w="0" w:type="dxa"/>
              <w:right w:w="0" w:type="dxa"/>
            </w:tcMar>
            <w:vAlign w:val="center"/>
          </w:tcPr>
          <w:p w14:paraId="766A24C8">
            <w:pPr>
              <w:spacing w:line="0" w:lineRule="atLeast"/>
              <w:jc w:val="center"/>
              <w:rPr>
                <w:color w:val="auto"/>
                <w:szCs w:val="21"/>
                <w:highlight w:val="none"/>
              </w:rPr>
            </w:pPr>
          </w:p>
        </w:tc>
        <w:tc>
          <w:tcPr>
            <w:tcW w:w="2028" w:type="dxa"/>
            <w:tcMar>
              <w:left w:w="0" w:type="dxa"/>
              <w:right w:w="0" w:type="dxa"/>
            </w:tcMar>
            <w:vAlign w:val="center"/>
          </w:tcPr>
          <w:p w14:paraId="754B5AA6">
            <w:pPr>
              <w:spacing w:line="0" w:lineRule="atLeast"/>
              <w:jc w:val="center"/>
              <w:rPr>
                <w:color w:val="auto"/>
                <w:szCs w:val="21"/>
                <w:highlight w:val="none"/>
              </w:rPr>
            </w:pPr>
          </w:p>
        </w:tc>
        <w:tc>
          <w:tcPr>
            <w:tcW w:w="1143" w:type="dxa"/>
            <w:tcMar>
              <w:left w:w="0" w:type="dxa"/>
              <w:right w:w="0" w:type="dxa"/>
            </w:tcMar>
            <w:vAlign w:val="center"/>
          </w:tcPr>
          <w:p w14:paraId="7E82CAC4">
            <w:pPr>
              <w:spacing w:line="0" w:lineRule="atLeast"/>
              <w:jc w:val="center"/>
              <w:rPr>
                <w:color w:val="auto"/>
                <w:szCs w:val="21"/>
                <w:highlight w:val="none"/>
              </w:rPr>
            </w:pPr>
          </w:p>
        </w:tc>
        <w:tc>
          <w:tcPr>
            <w:tcW w:w="1260" w:type="dxa"/>
            <w:tcMar>
              <w:left w:w="0" w:type="dxa"/>
              <w:right w:w="0" w:type="dxa"/>
            </w:tcMar>
            <w:vAlign w:val="center"/>
          </w:tcPr>
          <w:p w14:paraId="55BCBDE9">
            <w:pPr>
              <w:spacing w:line="0" w:lineRule="atLeast"/>
              <w:jc w:val="center"/>
              <w:rPr>
                <w:color w:val="auto"/>
                <w:szCs w:val="21"/>
                <w:highlight w:val="none"/>
              </w:rPr>
            </w:pPr>
          </w:p>
        </w:tc>
        <w:tc>
          <w:tcPr>
            <w:tcW w:w="2052" w:type="dxa"/>
            <w:tcMar>
              <w:left w:w="0" w:type="dxa"/>
              <w:right w:w="0" w:type="dxa"/>
            </w:tcMar>
            <w:vAlign w:val="center"/>
          </w:tcPr>
          <w:p w14:paraId="337171D2">
            <w:pPr>
              <w:spacing w:line="0" w:lineRule="atLeast"/>
              <w:jc w:val="center"/>
              <w:rPr>
                <w:color w:val="auto"/>
                <w:szCs w:val="21"/>
                <w:highlight w:val="none"/>
              </w:rPr>
            </w:pPr>
          </w:p>
        </w:tc>
      </w:tr>
    </w:tbl>
    <w:p w14:paraId="1077BED7">
      <w:pPr>
        <w:spacing w:line="0" w:lineRule="atLeast"/>
        <w:rPr>
          <w:color w:val="auto"/>
          <w:sz w:val="24"/>
          <w:highlight w:val="none"/>
        </w:rPr>
      </w:pPr>
    </w:p>
    <w:p w14:paraId="6348B2E0">
      <w:pPr>
        <w:spacing w:line="0" w:lineRule="atLeast"/>
        <w:rPr>
          <w:color w:val="auto"/>
          <w:sz w:val="24"/>
          <w:highlight w:val="none"/>
        </w:rPr>
      </w:pPr>
    </w:p>
    <w:p w14:paraId="5EE346E2">
      <w:pPr>
        <w:widowControl/>
        <w:spacing w:line="360" w:lineRule="auto"/>
        <w:jc w:val="left"/>
        <w:rPr>
          <w:color w:val="auto"/>
          <w:sz w:val="24"/>
          <w:highlight w:val="none"/>
        </w:rPr>
      </w:pPr>
      <w:r>
        <w:rPr>
          <w:color w:val="auto"/>
          <w:sz w:val="24"/>
          <w:highlight w:val="none"/>
        </w:rPr>
        <w:t>投标人（盖章）：</w:t>
      </w:r>
    </w:p>
    <w:p w14:paraId="71688A67">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174F9797">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200BC396">
      <w:pPr>
        <w:pStyle w:val="15"/>
        <w:spacing w:line="360" w:lineRule="auto"/>
        <w:jc w:val="left"/>
        <w:rPr>
          <w:rFonts w:ascii="Times New Roman"/>
          <w:b/>
          <w:color w:val="auto"/>
          <w:highlight w:val="none"/>
        </w:rPr>
      </w:pPr>
      <w:r>
        <w:rPr>
          <w:rFonts w:ascii="Times New Roman"/>
          <w:b/>
          <w:color w:val="auto"/>
          <w:sz w:val="28"/>
          <w:szCs w:val="28"/>
          <w:highlight w:val="none"/>
        </w:rPr>
        <w:br w:type="page"/>
      </w:r>
      <w:bookmarkStart w:id="243" w:name="_Toc460857952"/>
      <w:r>
        <w:rPr>
          <w:rFonts w:ascii="Times New Roman"/>
          <w:b/>
          <w:color w:val="auto"/>
          <w:sz w:val="21"/>
          <w:szCs w:val="21"/>
          <w:highlight w:val="none"/>
        </w:rPr>
        <w:t>格式七：</w:t>
      </w:r>
      <w:r>
        <w:rPr>
          <w:rFonts w:ascii="Times New Roman"/>
          <w:color w:val="auto"/>
          <w:sz w:val="21"/>
          <w:szCs w:val="21"/>
          <w:highlight w:val="none"/>
        </w:rPr>
        <w:t>项目负责人简历表</w:t>
      </w:r>
    </w:p>
    <w:p w14:paraId="36BF5188">
      <w:pPr>
        <w:spacing w:before="120" w:after="120"/>
        <w:jc w:val="center"/>
        <w:rPr>
          <w:color w:val="auto"/>
          <w:sz w:val="24"/>
          <w:highlight w:val="none"/>
        </w:rPr>
      </w:pPr>
    </w:p>
    <w:p w14:paraId="07727C7A">
      <w:pPr>
        <w:spacing w:before="120" w:after="120"/>
        <w:jc w:val="center"/>
        <w:rPr>
          <w:b/>
          <w:color w:val="auto"/>
          <w:sz w:val="24"/>
          <w:szCs w:val="21"/>
          <w:highlight w:val="none"/>
        </w:rPr>
      </w:pPr>
      <w:r>
        <w:rPr>
          <w:b/>
          <w:color w:val="auto"/>
          <w:sz w:val="24"/>
          <w:szCs w:val="21"/>
          <w:highlight w:val="none"/>
        </w:rPr>
        <w:t>项目负责人简历表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797"/>
      </w:tblGrid>
      <w:tr w14:paraId="42EC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0D1917A2">
            <w:pPr>
              <w:spacing w:line="500" w:lineRule="exact"/>
              <w:ind w:right="25" w:rightChars="12"/>
              <w:jc w:val="center"/>
              <w:rPr>
                <w:color w:val="auto"/>
                <w:sz w:val="24"/>
                <w:highlight w:val="none"/>
              </w:rPr>
            </w:pPr>
            <w:r>
              <w:rPr>
                <w:color w:val="auto"/>
                <w:sz w:val="24"/>
                <w:highlight w:val="none"/>
              </w:rPr>
              <w:t>姓    名</w:t>
            </w:r>
          </w:p>
        </w:tc>
        <w:tc>
          <w:tcPr>
            <w:tcW w:w="1420" w:type="dxa"/>
          </w:tcPr>
          <w:p w14:paraId="2E35DBA3">
            <w:pPr>
              <w:spacing w:line="500" w:lineRule="exact"/>
              <w:ind w:right="25" w:rightChars="12"/>
              <w:jc w:val="center"/>
              <w:rPr>
                <w:color w:val="auto"/>
                <w:sz w:val="24"/>
                <w:highlight w:val="none"/>
              </w:rPr>
            </w:pPr>
          </w:p>
        </w:tc>
        <w:tc>
          <w:tcPr>
            <w:tcW w:w="1421" w:type="dxa"/>
            <w:gridSpan w:val="3"/>
          </w:tcPr>
          <w:p w14:paraId="3D66196B">
            <w:pPr>
              <w:spacing w:line="500" w:lineRule="exact"/>
              <w:ind w:right="25" w:rightChars="12"/>
              <w:jc w:val="center"/>
              <w:rPr>
                <w:color w:val="auto"/>
                <w:sz w:val="24"/>
                <w:highlight w:val="none"/>
              </w:rPr>
            </w:pPr>
            <w:r>
              <w:rPr>
                <w:color w:val="auto"/>
                <w:sz w:val="24"/>
                <w:highlight w:val="none"/>
              </w:rPr>
              <w:t>性   别</w:t>
            </w:r>
          </w:p>
        </w:tc>
        <w:tc>
          <w:tcPr>
            <w:tcW w:w="1420" w:type="dxa"/>
          </w:tcPr>
          <w:p w14:paraId="2523851A">
            <w:pPr>
              <w:spacing w:line="500" w:lineRule="exact"/>
              <w:ind w:right="25" w:rightChars="12"/>
              <w:jc w:val="center"/>
              <w:rPr>
                <w:color w:val="auto"/>
                <w:sz w:val="24"/>
                <w:highlight w:val="none"/>
              </w:rPr>
            </w:pPr>
          </w:p>
        </w:tc>
        <w:tc>
          <w:tcPr>
            <w:tcW w:w="1420" w:type="dxa"/>
          </w:tcPr>
          <w:p w14:paraId="7C754741">
            <w:pPr>
              <w:spacing w:line="500" w:lineRule="exact"/>
              <w:ind w:right="25" w:rightChars="12"/>
              <w:jc w:val="center"/>
              <w:rPr>
                <w:color w:val="auto"/>
                <w:sz w:val="24"/>
                <w:highlight w:val="none"/>
              </w:rPr>
            </w:pPr>
            <w:r>
              <w:rPr>
                <w:color w:val="auto"/>
                <w:sz w:val="24"/>
                <w:highlight w:val="none"/>
              </w:rPr>
              <w:t>出生年月</w:t>
            </w:r>
          </w:p>
        </w:tc>
        <w:tc>
          <w:tcPr>
            <w:tcW w:w="1797" w:type="dxa"/>
          </w:tcPr>
          <w:p w14:paraId="7E33651F">
            <w:pPr>
              <w:spacing w:line="500" w:lineRule="exact"/>
              <w:ind w:right="25" w:rightChars="12"/>
              <w:jc w:val="center"/>
              <w:rPr>
                <w:color w:val="auto"/>
                <w:sz w:val="24"/>
                <w:highlight w:val="none"/>
              </w:rPr>
            </w:pPr>
          </w:p>
        </w:tc>
      </w:tr>
      <w:tr w14:paraId="35E0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31A4B62">
            <w:pPr>
              <w:spacing w:line="500" w:lineRule="exact"/>
              <w:ind w:right="25" w:rightChars="12"/>
              <w:jc w:val="center"/>
              <w:rPr>
                <w:color w:val="auto"/>
                <w:sz w:val="24"/>
                <w:highlight w:val="none"/>
              </w:rPr>
            </w:pPr>
            <w:r>
              <w:rPr>
                <w:color w:val="auto"/>
                <w:sz w:val="24"/>
                <w:highlight w:val="none"/>
              </w:rPr>
              <w:t>专    业</w:t>
            </w:r>
          </w:p>
        </w:tc>
        <w:tc>
          <w:tcPr>
            <w:tcW w:w="1420" w:type="dxa"/>
          </w:tcPr>
          <w:p w14:paraId="7796B5D8">
            <w:pPr>
              <w:spacing w:line="500" w:lineRule="exact"/>
              <w:ind w:right="25" w:rightChars="12"/>
              <w:jc w:val="center"/>
              <w:rPr>
                <w:color w:val="auto"/>
                <w:sz w:val="24"/>
                <w:highlight w:val="none"/>
              </w:rPr>
            </w:pPr>
          </w:p>
        </w:tc>
        <w:tc>
          <w:tcPr>
            <w:tcW w:w="1421" w:type="dxa"/>
            <w:gridSpan w:val="3"/>
          </w:tcPr>
          <w:p w14:paraId="7D459AF4">
            <w:pPr>
              <w:spacing w:line="500" w:lineRule="exact"/>
              <w:ind w:right="25" w:rightChars="12"/>
              <w:jc w:val="center"/>
              <w:rPr>
                <w:color w:val="auto"/>
                <w:sz w:val="24"/>
                <w:highlight w:val="none"/>
              </w:rPr>
            </w:pPr>
            <w:r>
              <w:rPr>
                <w:color w:val="auto"/>
                <w:sz w:val="24"/>
                <w:highlight w:val="none"/>
              </w:rPr>
              <w:t>学   历</w:t>
            </w:r>
          </w:p>
        </w:tc>
        <w:tc>
          <w:tcPr>
            <w:tcW w:w="1420" w:type="dxa"/>
          </w:tcPr>
          <w:p w14:paraId="74503F5B">
            <w:pPr>
              <w:spacing w:line="500" w:lineRule="exact"/>
              <w:ind w:right="25" w:rightChars="12"/>
              <w:jc w:val="center"/>
              <w:rPr>
                <w:color w:val="auto"/>
                <w:sz w:val="24"/>
                <w:highlight w:val="none"/>
              </w:rPr>
            </w:pPr>
          </w:p>
        </w:tc>
        <w:tc>
          <w:tcPr>
            <w:tcW w:w="1420" w:type="dxa"/>
          </w:tcPr>
          <w:p w14:paraId="729DE2A1">
            <w:pPr>
              <w:spacing w:line="500" w:lineRule="exact"/>
              <w:ind w:right="25" w:rightChars="12"/>
              <w:jc w:val="center"/>
              <w:rPr>
                <w:color w:val="auto"/>
                <w:sz w:val="24"/>
                <w:highlight w:val="none"/>
              </w:rPr>
            </w:pPr>
            <w:r>
              <w:rPr>
                <w:color w:val="auto"/>
                <w:sz w:val="24"/>
                <w:highlight w:val="none"/>
              </w:rPr>
              <w:t>职     称</w:t>
            </w:r>
          </w:p>
        </w:tc>
        <w:tc>
          <w:tcPr>
            <w:tcW w:w="1797" w:type="dxa"/>
          </w:tcPr>
          <w:p w14:paraId="2FA5F103">
            <w:pPr>
              <w:spacing w:line="500" w:lineRule="exact"/>
              <w:ind w:right="25" w:rightChars="12"/>
              <w:jc w:val="center"/>
              <w:rPr>
                <w:color w:val="auto"/>
                <w:sz w:val="24"/>
                <w:highlight w:val="none"/>
              </w:rPr>
            </w:pPr>
          </w:p>
        </w:tc>
      </w:tr>
      <w:tr w14:paraId="7F14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69EB61D5">
            <w:pPr>
              <w:spacing w:line="500" w:lineRule="exact"/>
              <w:ind w:right="25" w:rightChars="12"/>
              <w:jc w:val="center"/>
              <w:rPr>
                <w:color w:val="auto"/>
                <w:sz w:val="24"/>
                <w:highlight w:val="none"/>
              </w:rPr>
            </w:pPr>
            <w:r>
              <w:rPr>
                <w:color w:val="auto"/>
                <w:sz w:val="24"/>
                <w:highlight w:val="none"/>
              </w:rPr>
              <w:t>何时参加工作</w:t>
            </w:r>
          </w:p>
        </w:tc>
        <w:tc>
          <w:tcPr>
            <w:tcW w:w="7478" w:type="dxa"/>
            <w:gridSpan w:val="7"/>
          </w:tcPr>
          <w:p w14:paraId="0493F93A">
            <w:pPr>
              <w:spacing w:line="500" w:lineRule="exact"/>
              <w:ind w:right="25" w:rightChars="12"/>
              <w:jc w:val="center"/>
              <w:rPr>
                <w:color w:val="auto"/>
                <w:sz w:val="24"/>
                <w:highlight w:val="none"/>
              </w:rPr>
            </w:pPr>
          </w:p>
        </w:tc>
      </w:tr>
      <w:tr w14:paraId="452B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F127143">
            <w:pPr>
              <w:spacing w:line="500" w:lineRule="exact"/>
              <w:ind w:right="25" w:rightChars="12"/>
              <w:jc w:val="center"/>
              <w:rPr>
                <w:color w:val="auto"/>
                <w:sz w:val="24"/>
                <w:highlight w:val="none"/>
              </w:rPr>
            </w:pPr>
            <w:r>
              <w:rPr>
                <w:color w:val="auto"/>
                <w:sz w:val="24"/>
                <w:highlight w:val="none"/>
              </w:rPr>
              <w:t>何时进入公司</w:t>
            </w:r>
          </w:p>
        </w:tc>
        <w:tc>
          <w:tcPr>
            <w:tcW w:w="7478" w:type="dxa"/>
            <w:gridSpan w:val="7"/>
          </w:tcPr>
          <w:p w14:paraId="06C59BB1">
            <w:pPr>
              <w:spacing w:line="500" w:lineRule="exact"/>
              <w:ind w:right="25" w:rightChars="12"/>
              <w:jc w:val="center"/>
              <w:rPr>
                <w:color w:val="auto"/>
                <w:sz w:val="24"/>
                <w:highlight w:val="none"/>
              </w:rPr>
            </w:pPr>
          </w:p>
        </w:tc>
      </w:tr>
      <w:tr w14:paraId="150F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006EDAEB">
            <w:pPr>
              <w:spacing w:line="500" w:lineRule="exact"/>
              <w:ind w:right="25" w:rightChars="12"/>
              <w:jc w:val="center"/>
              <w:rPr>
                <w:color w:val="auto"/>
                <w:sz w:val="24"/>
                <w:highlight w:val="none"/>
              </w:rPr>
            </w:pPr>
            <w:r>
              <w:rPr>
                <w:color w:val="auto"/>
                <w:sz w:val="24"/>
                <w:highlight w:val="none"/>
              </w:rPr>
              <w:t>从事项目年限</w:t>
            </w:r>
          </w:p>
        </w:tc>
        <w:tc>
          <w:tcPr>
            <w:tcW w:w="7478" w:type="dxa"/>
            <w:gridSpan w:val="7"/>
          </w:tcPr>
          <w:p w14:paraId="512D8AC0">
            <w:pPr>
              <w:spacing w:line="500" w:lineRule="exact"/>
              <w:ind w:right="25" w:rightChars="12"/>
              <w:jc w:val="center"/>
              <w:rPr>
                <w:color w:val="auto"/>
                <w:sz w:val="24"/>
                <w:highlight w:val="none"/>
              </w:rPr>
            </w:pPr>
          </w:p>
        </w:tc>
      </w:tr>
      <w:tr w14:paraId="7EAC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98" w:type="dxa"/>
            <w:gridSpan w:val="8"/>
          </w:tcPr>
          <w:p w14:paraId="39D6E468">
            <w:pPr>
              <w:spacing w:line="500" w:lineRule="exact"/>
              <w:ind w:right="25" w:rightChars="12"/>
              <w:jc w:val="center"/>
              <w:rPr>
                <w:b/>
                <w:color w:val="auto"/>
                <w:sz w:val="24"/>
                <w:highlight w:val="none"/>
              </w:rPr>
            </w:pPr>
            <w:r>
              <w:rPr>
                <w:color w:val="auto"/>
                <w:sz w:val="24"/>
                <w:highlight w:val="none"/>
              </w:rPr>
              <w:t>工作简历</w:t>
            </w:r>
          </w:p>
        </w:tc>
      </w:tr>
      <w:tr w14:paraId="5B9E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669153C2">
            <w:pPr>
              <w:spacing w:line="500" w:lineRule="exact"/>
              <w:ind w:right="25" w:rightChars="12"/>
              <w:jc w:val="center"/>
              <w:rPr>
                <w:color w:val="auto"/>
                <w:sz w:val="24"/>
                <w:highlight w:val="none"/>
              </w:rPr>
            </w:pPr>
            <w:r>
              <w:rPr>
                <w:color w:val="auto"/>
                <w:sz w:val="24"/>
                <w:highlight w:val="none"/>
              </w:rPr>
              <w:t>业主单位</w:t>
            </w:r>
          </w:p>
        </w:tc>
        <w:tc>
          <w:tcPr>
            <w:tcW w:w="1928" w:type="dxa"/>
            <w:gridSpan w:val="2"/>
          </w:tcPr>
          <w:p w14:paraId="727E6037">
            <w:pPr>
              <w:spacing w:line="500" w:lineRule="exact"/>
              <w:ind w:right="25" w:rightChars="12"/>
              <w:jc w:val="center"/>
              <w:rPr>
                <w:color w:val="auto"/>
                <w:sz w:val="24"/>
                <w:highlight w:val="none"/>
              </w:rPr>
            </w:pPr>
            <w:r>
              <w:rPr>
                <w:color w:val="auto"/>
                <w:sz w:val="24"/>
                <w:highlight w:val="none"/>
              </w:rPr>
              <w:t>项目名称</w:t>
            </w:r>
          </w:p>
        </w:tc>
        <w:tc>
          <w:tcPr>
            <w:tcW w:w="720" w:type="dxa"/>
          </w:tcPr>
          <w:p w14:paraId="4D407279">
            <w:pPr>
              <w:spacing w:line="500" w:lineRule="exact"/>
              <w:ind w:right="25" w:rightChars="12"/>
              <w:jc w:val="center"/>
              <w:rPr>
                <w:color w:val="auto"/>
                <w:sz w:val="24"/>
                <w:highlight w:val="none"/>
              </w:rPr>
            </w:pPr>
            <w:r>
              <w:rPr>
                <w:color w:val="auto"/>
                <w:sz w:val="24"/>
                <w:highlight w:val="none"/>
              </w:rPr>
              <w:t>规模</w:t>
            </w:r>
          </w:p>
        </w:tc>
        <w:tc>
          <w:tcPr>
            <w:tcW w:w="1613" w:type="dxa"/>
            <w:gridSpan w:val="2"/>
          </w:tcPr>
          <w:p w14:paraId="002F62C0">
            <w:pPr>
              <w:spacing w:line="500" w:lineRule="exact"/>
              <w:ind w:right="25" w:rightChars="12"/>
              <w:jc w:val="center"/>
              <w:rPr>
                <w:color w:val="auto"/>
                <w:sz w:val="24"/>
                <w:highlight w:val="none"/>
              </w:rPr>
            </w:pPr>
            <w:r>
              <w:rPr>
                <w:color w:val="auto"/>
                <w:sz w:val="24"/>
                <w:highlight w:val="none"/>
              </w:rPr>
              <w:t>合同时间</w:t>
            </w:r>
          </w:p>
        </w:tc>
        <w:tc>
          <w:tcPr>
            <w:tcW w:w="3217" w:type="dxa"/>
            <w:gridSpan w:val="2"/>
          </w:tcPr>
          <w:p w14:paraId="0CC8B89E">
            <w:pPr>
              <w:spacing w:line="500" w:lineRule="exact"/>
              <w:ind w:right="25" w:rightChars="12"/>
              <w:jc w:val="center"/>
              <w:rPr>
                <w:color w:val="auto"/>
                <w:sz w:val="24"/>
                <w:highlight w:val="none"/>
              </w:rPr>
            </w:pPr>
            <w:r>
              <w:rPr>
                <w:color w:val="auto"/>
                <w:sz w:val="24"/>
                <w:highlight w:val="none"/>
              </w:rPr>
              <w:t>管理业绩</w:t>
            </w:r>
          </w:p>
        </w:tc>
      </w:tr>
      <w:tr w14:paraId="445D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A5D52BF">
            <w:pPr>
              <w:spacing w:line="360" w:lineRule="auto"/>
              <w:ind w:right="25" w:rightChars="12"/>
              <w:jc w:val="center"/>
              <w:rPr>
                <w:b/>
                <w:color w:val="auto"/>
                <w:sz w:val="24"/>
                <w:highlight w:val="none"/>
              </w:rPr>
            </w:pPr>
          </w:p>
        </w:tc>
        <w:tc>
          <w:tcPr>
            <w:tcW w:w="1928" w:type="dxa"/>
            <w:gridSpan w:val="2"/>
          </w:tcPr>
          <w:p w14:paraId="73602D97">
            <w:pPr>
              <w:spacing w:line="360" w:lineRule="auto"/>
              <w:ind w:right="25" w:rightChars="12"/>
              <w:jc w:val="center"/>
              <w:rPr>
                <w:b/>
                <w:color w:val="auto"/>
                <w:sz w:val="24"/>
                <w:highlight w:val="none"/>
              </w:rPr>
            </w:pPr>
          </w:p>
        </w:tc>
        <w:tc>
          <w:tcPr>
            <w:tcW w:w="720" w:type="dxa"/>
          </w:tcPr>
          <w:p w14:paraId="04C716DD">
            <w:pPr>
              <w:spacing w:line="360" w:lineRule="auto"/>
              <w:ind w:right="25" w:rightChars="12"/>
              <w:jc w:val="center"/>
              <w:rPr>
                <w:b/>
                <w:color w:val="auto"/>
                <w:sz w:val="24"/>
                <w:highlight w:val="none"/>
              </w:rPr>
            </w:pPr>
          </w:p>
        </w:tc>
        <w:tc>
          <w:tcPr>
            <w:tcW w:w="1613" w:type="dxa"/>
            <w:gridSpan w:val="2"/>
          </w:tcPr>
          <w:p w14:paraId="375FFE01">
            <w:pPr>
              <w:spacing w:line="360" w:lineRule="auto"/>
              <w:ind w:right="25" w:rightChars="12"/>
              <w:jc w:val="center"/>
              <w:rPr>
                <w:b/>
                <w:color w:val="auto"/>
                <w:sz w:val="24"/>
                <w:highlight w:val="none"/>
              </w:rPr>
            </w:pPr>
          </w:p>
        </w:tc>
        <w:tc>
          <w:tcPr>
            <w:tcW w:w="3217" w:type="dxa"/>
            <w:gridSpan w:val="2"/>
          </w:tcPr>
          <w:p w14:paraId="50845770">
            <w:pPr>
              <w:spacing w:line="360" w:lineRule="auto"/>
              <w:ind w:right="25" w:rightChars="12"/>
              <w:jc w:val="center"/>
              <w:rPr>
                <w:b/>
                <w:color w:val="auto"/>
                <w:sz w:val="24"/>
                <w:highlight w:val="none"/>
              </w:rPr>
            </w:pPr>
          </w:p>
        </w:tc>
      </w:tr>
      <w:tr w14:paraId="60DA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7D5C4D8">
            <w:pPr>
              <w:spacing w:line="580" w:lineRule="exact"/>
              <w:ind w:right="25" w:rightChars="12"/>
              <w:jc w:val="center"/>
              <w:rPr>
                <w:b/>
                <w:color w:val="auto"/>
                <w:sz w:val="24"/>
                <w:highlight w:val="none"/>
              </w:rPr>
            </w:pPr>
          </w:p>
        </w:tc>
        <w:tc>
          <w:tcPr>
            <w:tcW w:w="1928" w:type="dxa"/>
            <w:gridSpan w:val="2"/>
          </w:tcPr>
          <w:p w14:paraId="07BE8CE2">
            <w:pPr>
              <w:spacing w:line="580" w:lineRule="exact"/>
              <w:ind w:right="25" w:rightChars="12"/>
              <w:jc w:val="center"/>
              <w:rPr>
                <w:b/>
                <w:color w:val="auto"/>
                <w:sz w:val="24"/>
                <w:highlight w:val="none"/>
              </w:rPr>
            </w:pPr>
          </w:p>
        </w:tc>
        <w:tc>
          <w:tcPr>
            <w:tcW w:w="720" w:type="dxa"/>
          </w:tcPr>
          <w:p w14:paraId="3F00E702">
            <w:pPr>
              <w:spacing w:line="580" w:lineRule="exact"/>
              <w:ind w:right="25" w:rightChars="12"/>
              <w:jc w:val="center"/>
              <w:rPr>
                <w:b/>
                <w:color w:val="auto"/>
                <w:sz w:val="24"/>
                <w:highlight w:val="none"/>
              </w:rPr>
            </w:pPr>
          </w:p>
        </w:tc>
        <w:tc>
          <w:tcPr>
            <w:tcW w:w="1613" w:type="dxa"/>
            <w:gridSpan w:val="2"/>
          </w:tcPr>
          <w:p w14:paraId="5F7BCFFC">
            <w:pPr>
              <w:spacing w:line="580" w:lineRule="exact"/>
              <w:ind w:right="25" w:rightChars="12"/>
              <w:jc w:val="center"/>
              <w:rPr>
                <w:b/>
                <w:color w:val="auto"/>
                <w:sz w:val="24"/>
                <w:highlight w:val="none"/>
              </w:rPr>
            </w:pPr>
          </w:p>
        </w:tc>
        <w:tc>
          <w:tcPr>
            <w:tcW w:w="3217" w:type="dxa"/>
            <w:gridSpan w:val="2"/>
          </w:tcPr>
          <w:p w14:paraId="0D6B1E12">
            <w:pPr>
              <w:spacing w:line="580" w:lineRule="exact"/>
              <w:ind w:right="25" w:rightChars="12"/>
              <w:jc w:val="center"/>
              <w:rPr>
                <w:b/>
                <w:color w:val="auto"/>
                <w:sz w:val="24"/>
                <w:highlight w:val="none"/>
              </w:rPr>
            </w:pPr>
          </w:p>
        </w:tc>
      </w:tr>
      <w:tr w14:paraId="4D64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24B0D24A">
            <w:pPr>
              <w:spacing w:line="580" w:lineRule="exact"/>
              <w:ind w:right="25" w:rightChars="12"/>
              <w:jc w:val="center"/>
              <w:rPr>
                <w:b/>
                <w:color w:val="auto"/>
                <w:sz w:val="24"/>
                <w:highlight w:val="none"/>
              </w:rPr>
            </w:pPr>
          </w:p>
        </w:tc>
        <w:tc>
          <w:tcPr>
            <w:tcW w:w="1928" w:type="dxa"/>
            <w:gridSpan w:val="2"/>
          </w:tcPr>
          <w:p w14:paraId="63E37D72">
            <w:pPr>
              <w:spacing w:line="580" w:lineRule="exact"/>
              <w:ind w:right="25" w:rightChars="12"/>
              <w:jc w:val="center"/>
              <w:rPr>
                <w:b/>
                <w:color w:val="auto"/>
                <w:sz w:val="24"/>
                <w:highlight w:val="none"/>
              </w:rPr>
            </w:pPr>
          </w:p>
        </w:tc>
        <w:tc>
          <w:tcPr>
            <w:tcW w:w="720" w:type="dxa"/>
          </w:tcPr>
          <w:p w14:paraId="60E4AC9F">
            <w:pPr>
              <w:spacing w:line="580" w:lineRule="exact"/>
              <w:ind w:right="25" w:rightChars="12"/>
              <w:jc w:val="center"/>
              <w:rPr>
                <w:b/>
                <w:color w:val="auto"/>
                <w:sz w:val="24"/>
                <w:highlight w:val="none"/>
              </w:rPr>
            </w:pPr>
          </w:p>
        </w:tc>
        <w:tc>
          <w:tcPr>
            <w:tcW w:w="1613" w:type="dxa"/>
            <w:gridSpan w:val="2"/>
          </w:tcPr>
          <w:p w14:paraId="3B29A2AD">
            <w:pPr>
              <w:spacing w:line="580" w:lineRule="exact"/>
              <w:ind w:right="25" w:rightChars="12"/>
              <w:jc w:val="center"/>
              <w:rPr>
                <w:b/>
                <w:color w:val="auto"/>
                <w:sz w:val="24"/>
                <w:highlight w:val="none"/>
              </w:rPr>
            </w:pPr>
          </w:p>
        </w:tc>
        <w:tc>
          <w:tcPr>
            <w:tcW w:w="3217" w:type="dxa"/>
            <w:gridSpan w:val="2"/>
          </w:tcPr>
          <w:p w14:paraId="320CDEF0">
            <w:pPr>
              <w:spacing w:line="580" w:lineRule="exact"/>
              <w:ind w:right="25" w:rightChars="12"/>
              <w:jc w:val="center"/>
              <w:rPr>
                <w:b/>
                <w:color w:val="auto"/>
                <w:sz w:val="24"/>
                <w:highlight w:val="none"/>
              </w:rPr>
            </w:pPr>
          </w:p>
        </w:tc>
      </w:tr>
      <w:tr w14:paraId="4F65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27BC97C">
            <w:pPr>
              <w:spacing w:line="580" w:lineRule="exact"/>
              <w:ind w:right="25" w:rightChars="12"/>
              <w:jc w:val="center"/>
              <w:rPr>
                <w:b/>
                <w:color w:val="auto"/>
                <w:sz w:val="24"/>
                <w:highlight w:val="none"/>
              </w:rPr>
            </w:pPr>
          </w:p>
        </w:tc>
        <w:tc>
          <w:tcPr>
            <w:tcW w:w="1928" w:type="dxa"/>
            <w:gridSpan w:val="2"/>
          </w:tcPr>
          <w:p w14:paraId="13C112AD">
            <w:pPr>
              <w:spacing w:line="580" w:lineRule="exact"/>
              <w:ind w:right="25" w:rightChars="12"/>
              <w:jc w:val="center"/>
              <w:rPr>
                <w:b/>
                <w:color w:val="auto"/>
                <w:sz w:val="24"/>
                <w:highlight w:val="none"/>
              </w:rPr>
            </w:pPr>
          </w:p>
        </w:tc>
        <w:tc>
          <w:tcPr>
            <w:tcW w:w="720" w:type="dxa"/>
          </w:tcPr>
          <w:p w14:paraId="50F6DFF0">
            <w:pPr>
              <w:spacing w:line="580" w:lineRule="exact"/>
              <w:ind w:right="25" w:rightChars="12"/>
              <w:jc w:val="center"/>
              <w:rPr>
                <w:b/>
                <w:color w:val="auto"/>
                <w:sz w:val="24"/>
                <w:highlight w:val="none"/>
              </w:rPr>
            </w:pPr>
          </w:p>
        </w:tc>
        <w:tc>
          <w:tcPr>
            <w:tcW w:w="1613" w:type="dxa"/>
            <w:gridSpan w:val="2"/>
          </w:tcPr>
          <w:p w14:paraId="5D40B2DE">
            <w:pPr>
              <w:spacing w:line="580" w:lineRule="exact"/>
              <w:ind w:right="25" w:rightChars="12"/>
              <w:jc w:val="center"/>
              <w:rPr>
                <w:b/>
                <w:color w:val="auto"/>
                <w:sz w:val="24"/>
                <w:highlight w:val="none"/>
              </w:rPr>
            </w:pPr>
          </w:p>
        </w:tc>
        <w:tc>
          <w:tcPr>
            <w:tcW w:w="3217" w:type="dxa"/>
            <w:gridSpan w:val="2"/>
          </w:tcPr>
          <w:p w14:paraId="5DD0DFCB">
            <w:pPr>
              <w:spacing w:line="580" w:lineRule="exact"/>
              <w:ind w:right="25" w:rightChars="12"/>
              <w:jc w:val="center"/>
              <w:rPr>
                <w:b/>
                <w:color w:val="auto"/>
                <w:sz w:val="24"/>
                <w:highlight w:val="none"/>
              </w:rPr>
            </w:pPr>
          </w:p>
        </w:tc>
      </w:tr>
      <w:tr w14:paraId="5A83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20FCA93">
            <w:pPr>
              <w:spacing w:line="580" w:lineRule="exact"/>
              <w:ind w:right="25" w:rightChars="12"/>
              <w:jc w:val="center"/>
              <w:rPr>
                <w:b/>
                <w:color w:val="auto"/>
                <w:sz w:val="24"/>
                <w:highlight w:val="none"/>
              </w:rPr>
            </w:pPr>
          </w:p>
        </w:tc>
        <w:tc>
          <w:tcPr>
            <w:tcW w:w="1928" w:type="dxa"/>
            <w:gridSpan w:val="2"/>
          </w:tcPr>
          <w:p w14:paraId="0EC2E1D0">
            <w:pPr>
              <w:spacing w:line="580" w:lineRule="exact"/>
              <w:ind w:right="25" w:rightChars="12"/>
              <w:jc w:val="center"/>
              <w:rPr>
                <w:b/>
                <w:color w:val="auto"/>
                <w:sz w:val="24"/>
                <w:highlight w:val="none"/>
              </w:rPr>
            </w:pPr>
          </w:p>
        </w:tc>
        <w:tc>
          <w:tcPr>
            <w:tcW w:w="720" w:type="dxa"/>
          </w:tcPr>
          <w:p w14:paraId="145F8027">
            <w:pPr>
              <w:spacing w:line="580" w:lineRule="exact"/>
              <w:ind w:right="25" w:rightChars="12"/>
              <w:jc w:val="center"/>
              <w:rPr>
                <w:b/>
                <w:color w:val="auto"/>
                <w:sz w:val="24"/>
                <w:highlight w:val="none"/>
              </w:rPr>
            </w:pPr>
          </w:p>
        </w:tc>
        <w:tc>
          <w:tcPr>
            <w:tcW w:w="1613" w:type="dxa"/>
            <w:gridSpan w:val="2"/>
          </w:tcPr>
          <w:p w14:paraId="6D17CB89">
            <w:pPr>
              <w:spacing w:line="580" w:lineRule="exact"/>
              <w:ind w:right="25" w:rightChars="12"/>
              <w:jc w:val="center"/>
              <w:rPr>
                <w:b/>
                <w:color w:val="auto"/>
                <w:sz w:val="24"/>
                <w:highlight w:val="none"/>
              </w:rPr>
            </w:pPr>
          </w:p>
        </w:tc>
        <w:tc>
          <w:tcPr>
            <w:tcW w:w="3217" w:type="dxa"/>
            <w:gridSpan w:val="2"/>
          </w:tcPr>
          <w:p w14:paraId="14E03CE2">
            <w:pPr>
              <w:spacing w:line="580" w:lineRule="exact"/>
              <w:ind w:right="25" w:rightChars="12"/>
              <w:jc w:val="center"/>
              <w:rPr>
                <w:b/>
                <w:color w:val="auto"/>
                <w:sz w:val="24"/>
                <w:highlight w:val="none"/>
              </w:rPr>
            </w:pPr>
          </w:p>
        </w:tc>
      </w:tr>
      <w:tr w14:paraId="6AA3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A27F813">
            <w:pPr>
              <w:spacing w:line="580" w:lineRule="exact"/>
              <w:ind w:right="25" w:rightChars="12"/>
              <w:jc w:val="center"/>
              <w:rPr>
                <w:b/>
                <w:color w:val="auto"/>
                <w:sz w:val="24"/>
                <w:highlight w:val="none"/>
              </w:rPr>
            </w:pPr>
          </w:p>
        </w:tc>
        <w:tc>
          <w:tcPr>
            <w:tcW w:w="1928" w:type="dxa"/>
            <w:gridSpan w:val="2"/>
          </w:tcPr>
          <w:p w14:paraId="70CED4D0">
            <w:pPr>
              <w:spacing w:line="580" w:lineRule="exact"/>
              <w:ind w:right="25" w:rightChars="12"/>
              <w:jc w:val="center"/>
              <w:rPr>
                <w:b/>
                <w:color w:val="auto"/>
                <w:sz w:val="24"/>
                <w:highlight w:val="none"/>
              </w:rPr>
            </w:pPr>
          </w:p>
        </w:tc>
        <w:tc>
          <w:tcPr>
            <w:tcW w:w="720" w:type="dxa"/>
          </w:tcPr>
          <w:p w14:paraId="37B6182B">
            <w:pPr>
              <w:spacing w:line="580" w:lineRule="exact"/>
              <w:ind w:right="25" w:rightChars="12"/>
              <w:jc w:val="center"/>
              <w:rPr>
                <w:b/>
                <w:color w:val="auto"/>
                <w:sz w:val="24"/>
                <w:highlight w:val="none"/>
              </w:rPr>
            </w:pPr>
          </w:p>
        </w:tc>
        <w:tc>
          <w:tcPr>
            <w:tcW w:w="1613" w:type="dxa"/>
            <w:gridSpan w:val="2"/>
          </w:tcPr>
          <w:p w14:paraId="1EAC3581">
            <w:pPr>
              <w:spacing w:line="580" w:lineRule="exact"/>
              <w:ind w:right="25" w:rightChars="12"/>
              <w:jc w:val="center"/>
              <w:rPr>
                <w:b/>
                <w:color w:val="auto"/>
                <w:sz w:val="24"/>
                <w:highlight w:val="none"/>
              </w:rPr>
            </w:pPr>
          </w:p>
        </w:tc>
        <w:tc>
          <w:tcPr>
            <w:tcW w:w="3217" w:type="dxa"/>
            <w:gridSpan w:val="2"/>
          </w:tcPr>
          <w:p w14:paraId="26B92568">
            <w:pPr>
              <w:spacing w:line="580" w:lineRule="exact"/>
              <w:ind w:right="25" w:rightChars="12"/>
              <w:jc w:val="center"/>
              <w:rPr>
                <w:b/>
                <w:color w:val="auto"/>
                <w:sz w:val="24"/>
                <w:highlight w:val="none"/>
              </w:rPr>
            </w:pPr>
          </w:p>
        </w:tc>
      </w:tr>
      <w:tr w14:paraId="3C35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2AE22139">
            <w:pPr>
              <w:spacing w:line="580" w:lineRule="exact"/>
              <w:ind w:right="25" w:rightChars="12"/>
              <w:jc w:val="center"/>
              <w:rPr>
                <w:b/>
                <w:color w:val="auto"/>
                <w:sz w:val="24"/>
                <w:highlight w:val="none"/>
              </w:rPr>
            </w:pPr>
          </w:p>
        </w:tc>
        <w:tc>
          <w:tcPr>
            <w:tcW w:w="1928" w:type="dxa"/>
            <w:gridSpan w:val="2"/>
          </w:tcPr>
          <w:p w14:paraId="47972E3B">
            <w:pPr>
              <w:spacing w:line="580" w:lineRule="exact"/>
              <w:ind w:right="25" w:rightChars="12"/>
              <w:jc w:val="center"/>
              <w:rPr>
                <w:b/>
                <w:color w:val="auto"/>
                <w:sz w:val="24"/>
                <w:highlight w:val="none"/>
              </w:rPr>
            </w:pPr>
          </w:p>
        </w:tc>
        <w:tc>
          <w:tcPr>
            <w:tcW w:w="720" w:type="dxa"/>
          </w:tcPr>
          <w:p w14:paraId="7D587540">
            <w:pPr>
              <w:spacing w:line="580" w:lineRule="exact"/>
              <w:ind w:right="25" w:rightChars="12"/>
              <w:jc w:val="center"/>
              <w:rPr>
                <w:b/>
                <w:color w:val="auto"/>
                <w:sz w:val="24"/>
                <w:highlight w:val="none"/>
              </w:rPr>
            </w:pPr>
          </w:p>
        </w:tc>
        <w:tc>
          <w:tcPr>
            <w:tcW w:w="1613" w:type="dxa"/>
            <w:gridSpan w:val="2"/>
          </w:tcPr>
          <w:p w14:paraId="23E0415E">
            <w:pPr>
              <w:spacing w:line="580" w:lineRule="exact"/>
              <w:ind w:right="25" w:rightChars="12"/>
              <w:jc w:val="center"/>
              <w:rPr>
                <w:b/>
                <w:color w:val="auto"/>
                <w:sz w:val="24"/>
                <w:highlight w:val="none"/>
              </w:rPr>
            </w:pPr>
          </w:p>
        </w:tc>
        <w:tc>
          <w:tcPr>
            <w:tcW w:w="3217" w:type="dxa"/>
            <w:gridSpan w:val="2"/>
          </w:tcPr>
          <w:p w14:paraId="6ECB2088">
            <w:pPr>
              <w:spacing w:line="580" w:lineRule="exact"/>
              <w:ind w:right="25" w:rightChars="12"/>
              <w:jc w:val="center"/>
              <w:rPr>
                <w:b/>
                <w:color w:val="auto"/>
                <w:sz w:val="24"/>
                <w:highlight w:val="none"/>
              </w:rPr>
            </w:pPr>
          </w:p>
        </w:tc>
      </w:tr>
    </w:tbl>
    <w:p w14:paraId="52AF5DB5">
      <w:pPr>
        <w:rPr>
          <w:rFonts w:eastAsia="仿宋"/>
          <w:color w:val="auto"/>
          <w:sz w:val="24"/>
          <w:highlight w:val="none"/>
        </w:rPr>
      </w:pPr>
    </w:p>
    <w:p w14:paraId="37B8BF53">
      <w:pPr>
        <w:spacing w:line="0" w:lineRule="atLeast"/>
        <w:rPr>
          <w:rFonts w:eastAsia="仿宋"/>
          <w:color w:val="auto"/>
          <w:sz w:val="24"/>
          <w:highlight w:val="none"/>
        </w:rPr>
      </w:pPr>
    </w:p>
    <w:p w14:paraId="70953E78">
      <w:pPr>
        <w:spacing w:line="0" w:lineRule="atLeast"/>
        <w:rPr>
          <w:color w:val="auto"/>
          <w:sz w:val="24"/>
          <w:highlight w:val="none"/>
        </w:rPr>
      </w:pPr>
    </w:p>
    <w:p w14:paraId="502EEC75">
      <w:pPr>
        <w:widowControl/>
        <w:spacing w:line="360" w:lineRule="auto"/>
        <w:jc w:val="left"/>
        <w:rPr>
          <w:color w:val="auto"/>
          <w:sz w:val="24"/>
          <w:highlight w:val="none"/>
        </w:rPr>
      </w:pPr>
      <w:r>
        <w:rPr>
          <w:color w:val="auto"/>
          <w:sz w:val="24"/>
          <w:highlight w:val="none"/>
        </w:rPr>
        <w:t>投标人（盖章）：</w:t>
      </w:r>
    </w:p>
    <w:p w14:paraId="40AB23D9">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5BB61393">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43111E9A">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br w:type="page"/>
      </w:r>
    </w:p>
    <w:bookmarkEnd w:id="243"/>
    <w:p w14:paraId="26218F90">
      <w:pPr>
        <w:rPr>
          <w:b/>
          <w:color w:val="auto"/>
          <w:sz w:val="24"/>
          <w:szCs w:val="21"/>
          <w:highlight w:val="none"/>
        </w:rPr>
      </w:pPr>
    </w:p>
    <w:p w14:paraId="6E8F10F2">
      <w:pPr>
        <w:spacing w:before="120" w:after="120"/>
        <w:jc w:val="left"/>
        <w:rPr>
          <w:rFonts w:eastAsia="仿宋"/>
          <w:b/>
          <w:bCs/>
          <w:color w:val="auto"/>
          <w:spacing w:val="20"/>
          <w:sz w:val="24"/>
          <w:highlight w:val="none"/>
        </w:rPr>
      </w:pPr>
      <w:r>
        <w:rPr>
          <w:b/>
          <w:color w:val="auto"/>
          <w:szCs w:val="21"/>
          <w:highlight w:val="none"/>
        </w:rPr>
        <w:t>格式八：</w:t>
      </w:r>
      <w:r>
        <w:rPr>
          <w:color w:val="auto"/>
          <w:szCs w:val="21"/>
          <w:highlight w:val="none"/>
        </w:rPr>
        <w:t>项目人员配置表</w:t>
      </w:r>
    </w:p>
    <w:p w14:paraId="59DAB32D">
      <w:pPr>
        <w:pStyle w:val="15"/>
        <w:widowControl/>
        <w:spacing w:line="360" w:lineRule="auto"/>
        <w:ind w:left="840" w:hanging="420"/>
        <w:jc w:val="center"/>
        <w:rPr>
          <w:rStyle w:val="116"/>
          <w:rFonts w:eastAsia="仿宋"/>
          <w:color w:val="auto"/>
          <w:sz w:val="21"/>
          <w:szCs w:val="21"/>
          <w:highlight w:val="none"/>
        </w:rPr>
      </w:pPr>
    </w:p>
    <w:p w14:paraId="13E9215A">
      <w:pPr>
        <w:pStyle w:val="15"/>
        <w:widowControl/>
        <w:spacing w:line="360" w:lineRule="auto"/>
        <w:ind w:firstLine="0"/>
        <w:jc w:val="center"/>
        <w:rPr>
          <w:rFonts w:ascii="Times New Roman"/>
          <w:b/>
          <w:color w:val="auto"/>
          <w:spacing w:val="0"/>
          <w:kern w:val="2"/>
          <w:sz w:val="24"/>
          <w:szCs w:val="21"/>
          <w:highlight w:val="none"/>
        </w:rPr>
      </w:pPr>
      <w:r>
        <w:rPr>
          <w:rFonts w:ascii="Times New Roman"/>
          <w:b/>
          <w:color w:val="auto"/>
          <w:spacing w:val="0"/>
          <w:kern w:val="2"/>
          <w:sz w:val="24"/>
          <w:szCs w:val="21"/>
          <w:highlight w:val="none"/>
        </w:rPr>
        <w:t>项目人员配置表</w:t>
      </w:r>
    </w:p>
    <w:p w14:paraId="706608B3">
      <w:pPr>
        <w:pStyle w:val="15"/>
        <w:widowControl/>
        <w:spacing w:line="360" w:lineRule="auto"/>
        <w:ind w:firstLine="212" w:firstLineChars="100"/>
        <w:rPr>
          <w:rFonts w:ascii="Times New Roman"/>
          <w:b/>
          <w:color w:val="auto"/>
          <w:spacing w:val="0"/>
          <w:kern w:val="2"/>
          <w:sz w:val="24"/>
          <w:szCs w:val="21"/>
          <w:highlight w:val="none"/>
        </w:rPr>
      </w:pPr>
      <w:r>
        <w:rPr>
          <w:rFonts w:ascii="Times New Roman"/>
          <w:color w:val="auto"/>
          <w:sz w:val="22"/>
          <w:szCs w:val="21"/>
          <w:highlight w:val="none"/>
        </w:rPr>
        <w:t>项目名称：</w:t>
      </w:r>
      <w:r>
        <w:rPr>
          <w:rFonts w:ascii="Times New Roman"/>
          <w:color w:val="auto"/>
          <w:sz w:val="22"/>
          <w:szCs w:val="21"/>
          <w:highlight w:val="none"/>
          <w:u w:val="single"/>
        </w:rPr>
        <w:t xml:space="preserve">              </w:t>
      </w:r>
      <w:r>
        <w:rPr>
          <w:rFonts w:ascii="Times New Roman"/>
          <w:color w:val="auto"/>
          <w:sz w:val="22"/>
          <w:szCs w:val="21"/>
          <w:highlight w:val="none"/>
        </w:rPr>
        <w:t xml:space="preserve"> 招标编号：</w:t>
      </w:r>
      <w:r>
        <w:rPr>
          <w:rFonts w:ascii="Times New Roman"/>
          <w:color w:val="auto"/>
          <w:sz w:val="22"/>
          <w:szCs w:val="21"/>
          <w:highlight w:val="none"/>
          <w:u w:val="single"/>
        </w:rPr>
        <w:t xml:space="preserve">           </w:t>
      </w:r>
      <w:r>
        <w:rPr>
          <w:rFonts w:ascii="Times New Roman"/>
          <w:color w:val="auto"/>
          <w:sz w:val="22"/>
          <w:szCs w:val="21"/>
          <w:highlight w:val="none"/>
        </w:rPr>
        <w:t xml:space="preserve">  标项：</w:t>
      </w:r>
      <w:r>
        <w:rPr>
          <w:rFonts w:ascii="Times New Roman"/>
          <w:color w:val="auto"/>
          <w:sz w:val="22"/>
          <w:szCs w:val="21"/>
          <w:highlight w:val="none"/>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14:paraId="4C1CA6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567" w:type="dxa"/>
            <w:tcBorders>
              <w:top w:val="single" w:color="auto" w:sz="4" w:space="0"/>
              <w:bottom w:val="single" w:color="auto" w:sz="4" w:space="0"/>
            </w:tcBorders>
            <w:tcMar>
              <w:left w:w="28" w:type="dxa"/>
              <w:right w:w="28" w:type="dxa"/>
            </w:tcMar>
            <w:vAlign w:val="center"/>
          </w:tcPr>
          <w:p w14:paraId="06688773">
            <w:pPr>
              <w:spacing w:line="500" w:lineRule="exact"/>
              <w:ind w:right="25" w:rightChars="12"/>
              <w:jc w:val="center"/>
              <w:rPr>
                <w:b/>
                <w:color w:val="auto"/>
                <w:sz w:val="24"/>
                <w:highlight w:val="none"/>
              </w:rPr>
            </w:pPr>
            <w:r>
              <w:rPr>
                <w:b/>
                <w:color w:val="auto"/>
                <w:sz w:val="24"/>
                <w:highlight w:val="none"/>
              </w:rPr>
              <w:t>序号</w:t>
            </w:r>
          </w:p>
        </w:tc>
        <w:tc>
          <w:tcPr>
            <w:tcW w:w="1134" w:type="dxa"/>
            <w:tcBorders>
              <w:top w:val="single" w:color="auto" w:sz="4" w:space="0"/>
              <w:bottom w:val="single" w:color="auto" w:sz="4" w:space="0"/>
            </w:tcBorders>
            <w:tcMar>
              <w:left w:w="28" w:type="dxa"/>
              <w:right w:w="28" w:type="dxa"/>
            </w:tcMar>
            <w:vAlign w:val="center"/>
          </w:tcPr>
          <w:p w14:paraId="319D0397">
            <w:pPr>
              <w:spacing w:line="500" w:lineRule="exact"/>
              <w:ind w:right="25" w:rightChars="12"/>
              <w:jc w:val="center"/>
              <w:rPr>
                <w:b/>
                <w:color w:val="auto"/>
                <w:sz w:val="24"/>
                <w:highlight w:val="none"/>
              </w:rPr>
            </w:pPr>
            <w:r>
              <w:rPr>
                <w:b/>
                <w:color w:val="auto"/>
                <w:sz w:val="24"/>
                <w:highlight w:val="none"/>
              </w:rPr>
              <w:t>姓名</w:t>
            </w:r>
          </w:p>
        </w:tc>
        <w:tc>
          <w:tcPr>
            <w:tcW w:w="709" w:type="dxa"/>
            <w:tcBorders>
              <w:top w:val="single" w:color="auto" w:sz="4" w:space="0"/>
              <w:bottom w:val="single" w:color="auto" w:sz="4" w:space="0"/>
            </w:tcBorders>
            <w:tcMar>
              <w:left w:w="28" w:type="dxa"/>
              <w:right w:w="28" w:type="dxa"/>
            </w:tcMar>
            <w:vAlign w:val="center"/>
          </w:tcPr>
          <w:p w14:paraId="3DF1D58A">
            <w:pPr>
              <w:spacing w:line="500" w:lineRule="exact"/>
              <w:ind w:right="25" w:rightChars="12"/>
              <w:jc w:val="center"/>
              <w:rPr>
                <w:b/>
                <w:color w:val="auto"/>
                <w:sz w:val="24"/>
                <w:highlight w:val="none"/>
              </w:rPr>
            </w:pPr>
            <w:r>
              <w:rPr>
                <w:b/>
                <w:color w:val="auto"/>
                <w:sz w:val="24"/>
                <w:highlight w:val="none"/>
              </w:rPr>
              <w:t>性别</w:t>
            </w:r>
          </w:p>
        </w:tc>
        <w:tc>
          <w:tcPr>
            <w:tcW w:w="1418" w:type="dxa"/>
            <w:tcBorders>
              <w:top w:val="single" w:color="auto" w:sz="4" w:space="0"/>
              <w:bottom w:val="single" w:color="auto" w:sz="4" w:space="0"/>
            </w:tcBorders>
            <w:tcMar>
              <w:left w:w="28" w:type="dxa"/>
              <w:right w:w="28" w:type="dxa"/>
            </w:tcMar>
            <w:vAlign w:val="center"/>
          </w:tcPr>
          <w:p w14:paraId="65EF653E">
            <w:pPr>
              <w:spacing w:line="500" w:lineRule="exact"/>
              <w:ind w:right="25" w:rightChars="12"/>
              <w:jc w:val="center"/>
              <w:rPr>
                <w:b/>
                <w:color w:val="auto"/>
                <w:sz w:val="24"/>
                <w:highlight w:val="none"/>
              </w:rPr>
            </w:pPr>
            <w:r>
              <w:rPr>
                <w:b/>
                <w:color w:val="auto"/>
                <w:sz w:val="24"/>
                <w:highlight w:val="none"/>
              </w:rPr>
              <w:t>职称</w:t>
            </w:r>
          </w:p>
        </w:tc>
        <w:tc>
          <w:tcPr>
            <w:tcW w:w="1559" w:type="dxa"/>
            <w:tcBorders>
              <w:top w:val="single" w:color="auto" w:sz="4" w:space="0"/>
              <w:bottom w:val="single" w:color="auto" w:sz="4" w:space="0"/>
            </w:tcBorders>
            <w:tcMar>
              <w:left w:w="28" w:type="dxa"/>
              <w:right w:w="28" w:type="dxa"/>
            </w:tcMar>
            <w:vAlign w:val="center"/>
          </w:tcPr>
          <w:p w14:paraId="5672BC7D">
            <w:pPr>
              <w:spacing w:line="500" w:lineRule="exact"/>
              <w:ind w:right="25" w:rightChars="12"/>
              <w:jc w:val="center"/>
              <w:rPr>
                <w:b/>
                <w:color w:val="auto"/>
                <w:sz w:val="24"/>
                <w:highlight w:val="none"/>
              </w:rPr>
            </w:pPr>
            <w:r>
              <w:rPr>
                <w:b/>
                <w:color w:val="auto"/>
                <w:sz w:val="24"/>
                <w:highlight w:val="none"/>
              </w:rPr>
              <w:t>专业</w:t>
            </w:r>
          </w:p>
        </w:tc>
        <w:tc>
          <w:tcPr>
            <w:tcW w:w="1984" w:type="dxa"/>
            <w:tcBorders>
              <w:top w:val="single" w:color="auto" w:sz="4" w:space="0"/>
              <w:bottom w:val="single" w:color="auto" w:sz="4" w:space="0"/>
            </w:tcBorders>
            <w:tcMar>
              <w:left w:w="28" w:type="dxa"/>
              <w:right w:w="28" w:type="dxa"/>
            </w:tcMar>
            <w:vAlign w:val="center"/>
          </w:tcPr>
          <w:p w14:paraId="49281FBB">
            <w:pPr>
              <w:spacing w:line="500" w:lineRule="exact"/>
              <w:ind w:right="25" w:rightChars="12"/>
              <w:jc w:val="center"/>
              <w:rPr>
                <w:b/>
                <w:color w:val="auto"/>
                <w:sz w:val="24"/>
                <w:highlight w:val="none"/>
              </w:rPr>
            </w:pPr>
            <w:r>
              <w:rPr>
                <w:b/>
                <w:color w:val="auto"/>
                <w:sz w:val="24"/>
                <w:highlight w:val="none"/>
              </w:rPr>
              <w:t>联系电话</w:t>
            </w:r>
          </w:p>
        </w:tc>
        <w:tc>
          <w:tcPr>
            <w:tcW w:w="1560" w:type="dxa"/>
            <w:tcBorders>
              <w:top w:val="single" w:color="auto" w:sz="4" w:space="0"/>
              <w:bottom w:val="single" w:color="auto" w:sz="4" w:space="0"/>
            </w:tcBorders>
            <w:tcMar>
              <w:left w:w="28" w:type="dxa"/>
              <w:right w:w="28" w:type="dxa"/>
            </w:tcMar>
            <w:vAlign w:val="center"/>
          </w:tcPr>
          <w:p w14:paraId="75625325">
            <w:pPr>
              <w:spacing w:line="500" w:lineRule="exact"/>
              <w:ind w:right="25" w:rightChars="12"/>
              <w:jc w:val="center"/>
              <w:rPr>
                <w:b/>
                <w:color w:val="auto"/>
                <w:sz w:val="24"/>
                <w:highlight w:val="none"/>
              </w:rPr>
            </w:pPr>
            <w:r>
              <w:rPr>
                <w:b/>
                <w:color w:val="auto"/>
                <w:sz w:val="24"/>
                <w:highlight w:val="none"/>
              </w:rPr>
              <w:t>分工</w:t>
            </w:r>
          </w:p>
        </w:tc>
      </w:tr>
      <w:tr w14:paraId="246AD7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Borders>
              <w:top w:val="single" w:color="auto" w:sz="4" w:space="0"/>
            </w:tcBorders>
            <w:tcMar>
              <w:left w:w="28" w:type="dxa"/>
              <w:right w:w="28" w:type="dxa"/>
            </w:tcMar>
            <w:vAlign w:val="center"/>
          </w:tcPr>
          <w:p w14:paraId="182FF426">
            <w:pPr>
              <w:spacing w:line="500" w:lineRule="exact"/>
              <w:ind w:right="25" w:rightChars="12"/>
              <w:jc w:val="center"/>
              <w:rPr>
                <w:color w:val="auto"/>
                <w:sz w:val="24"/>
                <w:highlight w:val="none"/>
              </w:rPr>
            </w:pPr>
            <w:r>
              <w:rPr>
                <w:color w:val="auto"/>
                <w:sz w:val="24"/>
                <w:highlight w:val="none"/>
              </w:rPr>
              <w:t>1</w:t>
            </w:r>
          </w:p>
        </w:tc>
        <w:tc>
          <w:tcPr>
            <w:tcW w:w="1134" w:type="dxa"/>
            <w:tcBorders>
              <w:top w:val="single" w:color="auto" w:sz="4" w:space="0"/>
            </w:tcBorders>
            <w:tcMar>
              <w:left w:w="28" w:type="dxa"/>
              <w:right w:w="28" w:type="dxa"/>
            </w:tcMar>
            <w:vAlign w:val="center"/>
          </w:tcPr>
          <w:p w14:paraId="2877D2EE">
            <w:pPr>
              <w:spacing w:line="500" w:lineRule="exact"/>
              <w:ind w:right="25" w:rightChars="12"/>
              <w:jc w:val="center"/>
              <w:rPr>
                <w:color w:val="auto"/>
                <w:sz w:val="24"/>
                <w:highlight w:val="none"/>
              </w:rPr>
            </w:pPr>
          </w:p>
        </w:tc>
        <w:tc>
          <w:tcPr>
            <w:tcW w:w="709" w:type="dxa"/>
            <w:tcBorders>
              <w:top w:val="single" w:color="auto" w:sz="4" w:space="0"/>
            </w:tcBorders>
            <w:tcMar>
              <w:left w:w="28" w:type="dxa"/>
              <w:right w:w="28" w:type="dxa"/>
            </w:tcMar>
            <w:vAlign w:val="center"/>
          </w:tcPr>
          <w:p w14:paraId="2D8DB860">
            <w:pPr>
              <w:spacing w:line="500" w:lineRule="exact"/>
              <w:ind w:right="25" w:rightChars="12"/>
              <w:jc w:val="center"/>
              <w:rPr>
                <w:color w:val="auto"/>
                <w:sz w:val="24"/>
                <w:highlight w:val="none"/>
              </w:rPr>
            </w:pPr>
          </w:p>
        </w:tc>
        <w:tc>
          <w:tcPr>
            <w:tcW w:w="1418" w:type="dxa"/>
            <w:tcBorders>
              <w:top w:val="single" w:color="auto" w:sz="4" w:space="0"/>
            </w:tcBorders>
            <w:tcMar>
              <w:left w:w="28" w:type="dxa"/>
              <w:right w:w="28" w:type="dxa"/>
            </w:tcMar>
            <w:vAlign w:val="center"/>
          </w:tcPr>
          <w:p w14:paraId="7DA4B10B">
            <w:pPr>
              <w:spacing w:line="500" w:lineRule="exact"/>
              <w:ind w:right="25" w:rightChars="12"/>
              <w:jc w:val="center"/>
              <w:rPr>
                <w:color w:val="auto"/>
                <w:sz w:val="24"/>
                <w:highlight w:val="none"/>
              </w:rPr>
            </w:pPr>
          </w:p>
        </w:tc>
        <w:tc>
          <w:tcPr>
            <w:tcW w:w="1559" w:type="dxa"/>
            <w:tcBorders>
              <w:top w:val="single" w:color="auto" w:sz="4" w:space="0"/>
            </w:tcBorders>
            <w:tcMar>
              <w:left w:w="28" w:type="dxa"/>
              <w:right w:w="28" w:type="dxa"/>
            </w:tcMar>
            <w:vAlign w:val="center"/>
          </w:tcPr>
          <w:p w14:paraId="6C742DED">
            <w:pPr>
              <w:spacing w:line="500" w:lineRule="exact"/>
              <w:ind w:right="25" w:rightChars="12"/>
              <w:jc w:val="center"/>
              <w:rPr>
                <w:color w:val="auto"/>
                <w:sz w:val="24"/>
                <w:highlight w:val="none"/>
              </w:rPr>
            </w:pPr>
          </w:p>
        </w:tc>
        <w:tc>
          <w:tcPr>
            <w:tcW w:w="1984" w:type="dxa"/>
            <w:tcBorders>
              <w:top w:val="single" w:color="auto" w:sz="4" w:space="0"/>
            </w:tcBorders>
            <w:tcMar>
              <w:left w:w="28" w:type="dxa"/>
              <w:right w:w="28" w:type="dxa"/>
            </w:tcMar>
            <w:vAlign w:val="center"/>
          </w:tcPr>
          <w:p w14:paraId="67ABA888">
            <w:pPr>
              <w:spacing w:line="500" w:lineRule="exact"/>
              <w:ind w:right="25" w:rightChars="12"/>
              <w:jc w:val="center"/>
              <w:rPr>
                <w:color w:val="auto"/>
                <w:sz w:val="24"/>
                <w:highlight w:val="none"/>
              </w:rPr>
            </w:pPr>
          </w:p>
        </w:tc>
        <w:tc>
          <w:tcPr>
            <w:tcW w:w="1560" w:type="dxa"/>
            <w:tcBorders>
              <w:top w:val="single" w:color="auto" w:sz="4" w:space="0"/>
            </w:tcBorders>
            <w:tcMar>
              <w:left w:w="28" w:type="dxa"/>
              <w:right w:w="28" w:type="dxa"/>
            </w:tcMar>
            <w:vAlign w:val="center"/>
          </w:tcPr>
          <w:p w14:paraId="631A9BCD">
            <w:pPr>
              <w:spacing w:line="500" w:lineRule="exact"/>
              <w:ind w:right="25" w:rightChars="12"/>
              <w:jc w:val="center"/>
              <w:rPr>
                <w:color w:val="auto"/>
                <w:sz w:val="24"/>
                <w:highlight w:val="none"/>
              </w:rPr>
            </w:pPr>
          </w:p>
        </w:tc>
      </w:tr>
      <w:tr w14:paraId="0A4B00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079CB89B">
            <w:pPr>
              <w:spacing w:line="500" w:lineRule="exact"/>
              <w:ind w:right="25" w:rightChars="12"/>
              <w:jc w:val="center"/>
              <w:rPr>
                <w:color w:val="auto"/>
                <w:sz w:val="24"/>
                <w:highlight w:val="none"/>
              </w:rPr>
            </w:pPr>
            <w:r>
              <w:rPr>
                <w:color w:val="auto"/>
                <w:sz w:val="24"/>
                <w:highlight w:val="none"/>
              </w:rPr>
              <w:t>2</w:t>
            </w:r>
          </w:p>
        </w:tc>
        <w:tc>
          <w:tcPr>
            <w:tcW w:w="1134" w:type="dxa"/>
            <w:tcMar>
              <w:left w:w="28" w:type="dxa"/>
              <w:right w:w="28" w:type="dxa"/>
            </w:tcMar>
            <w:vAlign w:val="center"/>
          </w:tcPr>
          <w:p w14:paraId="6580195F">
            <w:pPr>
              <w:spacing w:line="500" w:lineRule="exact"/>
              <w:ind w:right="25" w:rightChars="12"/>
              <w:jc w:val="center"/>
              <w:rPr>
                <w:color w:val="auto"/>
                <w:sz w:val="24"/>
                <w:highlight w:val="none"/>
              </w:rPr>
            </w:pPr>
          </w:p>
        </w:tc>
        <w:tc>
          <w:tcPr>
            <w:tcW w:w="709" w:type="dxa"/>
            <w:tcMar>
              <w:left w:w="28" w:type="dxa"/>
              <w:right w:w="28" w:type="dxa"/>
            </w:tcMar>
            <w:vAlign w:val="center"/>
          </w:tcPr>
          <w:p w14:paraId="53D26040">
            <w:pPr>
              <w:spacing w:line="500" w:lineRule="exact"/>
              <w:ind w:right="25" w:rightChars="12"/>
              <w:jc w:val="center"/>
              <w:rPr>
                <w:color w:val="auto"/>
                <w:sz w:val="24"/>
                <w:highlight w:val="none"/>
              </w:rPr>
            </w:pPr>
          </w:p>
        </w:tc>
        <w:tc>
          <w:tcPr>
            <w:tcW w:w="1418" w:type="dxa"/>
            <w:tcMar>
              <w:left w:w="28" w:type="dxa"/>
              <w:right w:w="28" w:type="dxa"/>
            </w:tcMar>
            <w:vAlign w:val="center"/>
          </w:tcPr>
          <w:p w14:paraId="0B89B1DA">
            <w:pPr>
              <w:spacing w:line="500" w:lineRule="exact"/>
              <w:ind w:right="25" w:rightChars="12"/>
              <w:jc w:val="center"/>
              <w:rPr>
                <w:color w:val="auto"/>
                <w:sz w:val="24"/>
                <w:highlight w:val="none"/>
              </w:rPr>
            </w:pPr>
          </w:p>
        </w:tc>
        <w:tc>
          <w:tcPr>
            <w:tcW w:w="1559" w:type="dxa"/>
            <w:tcMar>
              <w:left w:w="28" w:type="dxa"/>
              <w:right w:w="28" w:type="dxa"/>
            </w:tcMar>
            <w:vAlign w:val="center"/>
          </w:tcPr>
          <w:p w14:paraId="0D0B5D9E">
            <w:pPr>
              <w:spacing w:line="500" w:lineRule="exact"/>
              <w:ind w:right="25" w:rightChars="12"/>
              <w:jc w:val="center"/>
              <w:rPr>
                <w:color w:val="auto"/>
                <w:sz w:val="24"/>
                <w:highlight w:val="none"/>
              </w:rPr>
            </w:pPr>
          </w:p>
        </w:tc>
        <w:tc>
          <w:tcPr>
            <w:tcW w:w="1984" w:type="dxa"/>
            <w:tcMar>
              <w:left w:w="28" w:type="dxa"/>
              <w:right w:w="28" w:type="dxa"/>
            </w:tcMar>
            <w:vAlign w:val="center"/>
          </w:tcPr>
          <w:p w14:paraId="206CCD2F">
            <w:pPr>
              <w:spacing w:line="500" w:lineRule="exact"/>
              <w:ind w:right="25" w:rightChars="12"/>
              <w:jc w:val="center"/>
              <w:rPr>
                <w:color w:val="auto"/>
                <w:sz w:val="24"/>
                <w:highlight w:val="none"/>
              </w:rPr>
            </w:pPr>
          </w:p>
        </w:tc>
        <w:tc>
          <w:tcPr>
            <w:tcW w:w="1560" w:type="dxa"/>
            <w:tcMar>
              <w:left w:w="28" w:type="dxa"/>
              <w:right w:w="28" w:type="dxa"/>
            </w:tcMar>
            <w:vAlign w:val="center"/>
          </w:tcPr>
          <w:p w14:paraId="30BA8730">
            <w:pPr>
              <w:spacing w:line="500" w:lineRule="exact"/>
              <w:ind w:right="25" w:rightChars="12"/>
              <w:jc w:val="center"/>
              <w:rPr>
                <w:color w:val="auto"/>
                <w:sz w:val="24"/>
                <w:highlight w:val="none"/>
              </w:rPr>
            </w:pPr>
          </w:p>
        </w:tc>
      </w:tr>
      <w:tr w14:paraId="7D94C0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1F8EEE65">
            <w:pPr>
              <w:spacing w:line="500" w:lineRule="exact"/>
              <w:ind w:right="25" w:rightChars="12"/>
              <w:jc w:val="center"/>
              <w:rPr>
                <w:color w:val="auto"/>
                <w:sz w:val="24"/>
                <w:highlight w:val="none"/>
              </w:rPr>
            </w:pPr>
            <w:r>
              <w:rPr>
                <w:color w:val="auto"/>
                <w:sz w:val="24"/>
                <w:highlight w:val="none"/>
              </w:rPr>
              <w:t>3</w:t>
            </w:r>
          </w:p>
        </w:tc>
        <w:tc>
          <w:tcPr>
            <w:tcW w:w="1134" w:type="dxa"/>
            <w:tcMar>
              <w:left w:w="28" w:type="dxa"/>
              <w:right w:w="28" w:type="dxa"/>
            </w:tcMar>
            <w:vAlign w:val="center"/>
          </w:tcPr>
          <w:p w14:paraId="567F5850">
            <w:pPr>
              <w:spacing w:line="500" w:lineRule="exact"/>
              <w:ind w:right="25" w:rightChars="12"/>
              <w:jc w:val="center"/>
              <w:rPr>
                <w:color w:val="auto"/>
                <w:sz w:val="24"/>
                <w:highlight w:val="none"/>
              </w:rPr>
            </w:pPr>
          </w:p>
        </w:tc>
        <w:tc>
          <w:tcPr>
            <w:tcW w:w="709" w:type="dxa"/>
            <w:tcMar>
              <w:left w:w="28" w:type="dxa"/>
              <w:right w:w="28" w:type="dxa"/>
            </w:tcMar>
            <w:vAlign w:val="center"/>
          </w:tcPr>
          <w:p w14:paraId="54E074D0">
            <w:pPr>
              <w:spacing w:line="500" w:lineRule="exact"/>
              <w:ind w:right="25" w:rightChars="12"/>
              <w:jc w:val="center"/>
              <w:rPr>
                <w:color w:val="auto"/>
                <w:sz w:val="24"/>
                <w:highlight w:val="none"/>
              </w:rPr>
            </w:pPr>
          </w:p>
        </w:tc>
        <w:tc>
          <w:tcPr>
            <w:tcW w:w="1418" w:type="dxa"/>
            <w:tcMar>
              <w:left w:w="28" w:type="dxa"/>
              <w:right w:w="28" w:type="dxa"/>
            </w:tcMar>
            <w:vAlign w:val="center"/>
          </w:tcPr>
          <w:p w14:paraId="67911DFB">
            <w:pPr>
              <w:spacing w:line="500" w:lineRule="exact"/>
              <w:ind w:right="25" w:rightChars="12"/>
              <w:jc w:val="center"/>
              <w:rPr>
                <w:color w:val="auto"/>
                <w:sz w:val="24"/>
                <w:highlight w:val="none"/>
              </w:rPr>
            </w:pPr>
          </w:p>
        </w:tc>
        <w:tc>
          <w:tcPr>
            <w:tcW w:w="1559" w:type="dxa"/>
            <w:tcMar>
              <w:left w:w="28" w:type="dxa"/>
              <w:right w:w="28" w:type="dxa"/>
            </w:tcMar>
            <w:vAlign w:val="center"/>
          </w:tcPr>
          <w:p w14:paraId="21A25561">
            <w:pPr>
              <w:spacing w:line="500" w:lineRule="exact"/>
              <w:ind w:right="25" w:rightChars="12"/>
              <w:jc w:val="center"/>
              <w:rPr>
                <w:color w:val="auto"/>
                <w:sz w:val="24"/>
                <w:highlight w:val="none"/>
              </w:rPr>
            </w:pPr>
          </w:p>
        </w:tc>
        <w:tc>
          <w:tcPr>
            <w:tcW w:w="1984" w:type="dxa"/>
            <w:tcMar>
              <w:left w:w="28" w:type="dxa"/>
              <w:right w:w="28" w:type="dxa"/>
            </w:tcMar>
            <w:vAlign w:val="center"/>
          </w:tcPr>
          <w:p w14:paraId="22C4A697">
            <w:pPr>
              <w:spacing w:line="500" w:lineRule="exact"/>
              <w:ind w:right="25" w:rightChars="12"/>
              <w:jc w:val="center"/>
              <w:rPr>
                <w:color w:val="auto"/>
                <w:sz w:val="24"/>
                <w:highlight w:val="none"/>
              </w:rPr>
            </w:pPr>
          </w:p>
        </w:tc>
        <w:tc>
          <w:tcPr>
            <w:tcW w:w="1560" w:type="dxa"/>
            <w:tcMar>
              <w:left w:w="28" w:type="dxa"/>
              <w:right w:w="28" w:type="dxa"/>
            </w:tcMar>
            <w:vAlign w:val="center"/>
          </w:tcPr>
          <w:p w14:paraId="443E62CF">
            <w:pPr>
              <w:spacing w:line="500" w:lineRule="exact"/>
              <w:ind w:right="25" w:rightChars="12"/>
              <w:jc w:val="center"/>
              <w:rPr>
                <w:color w:val="auto"/>
                <w:sz w:val="24"/>
                <w:highlight w:val="none"/>
              </w:rPr>
            </w:pPr>
          </w:p>
        </w:tc>
      </w:tr>
      <w:tr w14:paraId="7BCAB8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581D1B80">
            <w:pPr>
              <w:spacing w:line="500" w:lineRule="exact"/>
              <w:ind w:right="25" w:rightChars="12"/>
              <w:jc w:val="center"/>
              <w:rPr>
                <w:color w:val="auto"/>
                <w:sz w:val="24"/>
                <w:highlight w:val="none"/>
              </w:rPr>
            </w:pPr>
            <w:r>
              <w:rPr>
                <w:color w:val="auto"/>
                <w:sz w:val="24"/>
                <w:highlight w:val="none"/>
              </w:rPr>
              <w:t>4</w:t>
            </w:r>
          </w:p>
        </w:tc>
        <w:tc>
          <w:tcPr>
            <w:tcW w:w="1134" w:type="dxa"/>
            <w:tcMar>
              <w:left w:w="28" w:type="dxa"/>
              <w:right w:w="28" w:type="dxa"/>
            </w:tcMar>
            <w:vAlign w:val="center"/>
          </w:tcPr>
          <w:p w14:paraId="1A6EE531">
            <w:pPr>
              <w:spacing w:line="500" w:lineRule="exact"/>
              <w:ind w:right="25" w:rightChars="12"/>
              <w:jc w:val="center"/>
              <w:rPr>
                <w:color w:val="auto"/>
                <w:sz w:val="24"/>
                <w:highlight w:val="none"/>
              </w:rPr>
            </w:pPr>
          </w:p>
        </w:tc>
        <w:tc>
          <w:tcPr>
            <w:tcW w:w="709" w:type="dxa"/>
            <w:tcMar>
              <w:left w:w="28" w:type="dxa"/>
              <w:right w:w="28" w:type="dxa"/>
            </w:tcMar>
            <w:vAlign w:val="center"/>
          </w:tcPr>
          <w:p w14:paraId="6B182DC8">
            <w:pPr>
              <w:spacing w:line="500" w:lineRule="exact"/>
              <w:ind w:right="25" w:rightChars="12"/>
              <w:jc w:val="center"/>
              <w:rPr>
                <w:color w:val="auto"/>
                <w:sz w:val="24"/>
                <w:highlight w:val="none"/>
              </w:rPr>
            </w:pPr>
          </w:p>
        </w:tc>
        <w:tc>
          <w:tcPr>
            <w:tcW w:w="1418" w:type="dxa"/>
            <w:tcMar>
              <w:left w:w="28" w:type="dxa"/>
              <w:right w:w="28" w:type="dxa"/>
            </w:tcMar>
            <w:vAlign w:val="center"/>
          </w:tcPr>
          <w:p w14:paraId="69006024">
            <w:pPr>
              <w:spacing w:line="500" w:lineRule="exact"/>
              <w:ind w:right="25" w:rightChars="12"/>
              <w:jc w:val="center"/>
              <w:rPr>
                <w:color w:val="auto"/>
                <w:sz w:val="24"/>
                <w:highlight w:val="none"/>
              </w:rPr>
            </w:pPr>
          </w:p>
        </w:tc>
        <w:tc>
          <w:tcPr>
            <w:tcW w:w="1559" w:type="dxa"/>
            <w:tcMar>
              <w:left w:w="28" w:type="dxa"/>
              <w:right w:w="28" w:type="dxa"/>
            </w:tcMar>
            <w:vAlign w:val="center"/>
          </w:tcPr>
          <w:p w14:paraId="3578D1C4">
            <w:pPr>
              <w:spacing w:line="500" w:lineRule="exact"/>
              <w:ind w:right="25" w:rightChars="12"/>
              <w:jc w:val="center"/>
              <w:rPr>
                <w:color w:val="auto"/>
                <w:sz w:val="24"/>
                <w:highlight w:val="none"/>
              </w:rPr>
            </w:pPr>
          </w:p>
        </w:tc>
        <w:tc>
          <w:tcPr>
            <w:tcW w:w="1984" w:type="dxa"/>
            <w:tcMar>
              <w:left w:w="28" w:type="dxa"/>
              <w:right w:w="28" w:type="dxa"/>
            </w:tcMar>
            <w:vAlign w:val="center"/>
          </w:tcPr>
          <w:p w14:paraId="068A8BC6">
            <w:pPr>
              <w:spacing w:line="500" w:lineRule="exact"/>
              <w:ind w:right="25" w:rightChars="12"/>
              <w:jc w:val="center"/>
              <w:rPr>
                <w:color w:val="auto"/>
                <w:sz w:val="24"/>
                <w:highlight w:val="none"/>
              </w:rPr>
            </w:pPr>
          </w:p>
        </w:tc>
        <w:tc>
          <w:tcPr>
            <w:tcW w:w="1560" w:type="dxa"/>
            <w:tcMar>
              <w:left w:w="28" w:type="dxa"/>
              <w:right w:w="28" w:type="dxa"/>
            </w:tcMar>
            <w:vAlign w:val="center"/>
          </w:tcPr>
          <w:p w14:paraId="3450276E">
            <w:pPr>
              <w:spacing w:line="500" w:lineRule="exact"/>
              <w:ind w:right="25" w:rightChars="12"/>
              <w:jc w:val="center"/>
              <w:rPr>
                <w:color w:val="auto"/>
                <w:sz w:val="24"/>
                <w:highlight w:val="none"/>
              </w:rPr>
            </w:pPr>
          </w:p>
        </w:tc>
      </w:tr>
      <w:tr w14:paraId="3F5EEB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3DFE2B49">
            <w:pPr>
              <w:spacing w:line="500" w:lineRule="exact"/>
              <w:ind w:right="25" w:rightChars="12"/>
              <w:jc w:val="center"/>
              <w:rPr>
                <w:color w:val="auto"/>
                <w:sz w:val="24"/>
                <w:highlight w:val="none"/>
              </w:rPr>
            </w:pPr>
            <w:r>
              <w:rPr>
                <w:color w:val="auto"/>
                <w:sz w:val="24"/>
                <w:highlight w:val="none"/>
              </w:rPr>
              <w:t>5</w:t>
            </w:r>
          </w:p>
        </w:tc>
        <w:tc>
          <w:tcPr>
            <w:tcW w:w="1134" w:type="dxa"/>
            <w:tcMar>
              <w:left w:w="28" w:type="dxa"/>
              <w:right w:w="28" w:type="dxa"/>
            </w:tcMar>
            <w:vAlign w:val="center"/>
          </w:tcPr>
          <w:p w14:paraId="42857CF9">
            <w:pPr>
              <w:spacing w:line="500" w:lineRule="exact"/>
              <w:ind w:right="25" w:rightChars="12"/>
              <w:jc w:val="center"/>
              <w:rPr>
                <w:color w:val="auto"/>
                <w:sz w:val="24"/>
                <w:highlight w:val="none"/>
              </w:rPr>
            </w:pPr>
          </w:p>
        </w:tc>
        <w:tc>
          <w:tcPr>
            <w:tcW w:w="709" w:type="dxa"/>
            <w:tcMar>
              <w:left w:w="28" w:type="dxa"/>
              <w:right w:w="28" w:type="dxa"/>
            </w:tcMar>
            <w:vAlign w:val="center"/>
          </w:tcPr>
          <w:p w14:paraId="2503B348">
            <w:pPr>
              <w:spacing w:line="500" w:lineRule="exact"/>
              <w:ind w:right="25" w:rightChars="12"/>
              <w:jc w:val="center"/>
              <w:rPr>
                <w:color w:val="auto"/>
                <w:sz w:val="24"/>
                <w:highlight w:val="none"/>
              </w:rPr>
            </w:pPr>
          </w:p>
        </w:tc>
        <w:tc>
          <w:tcPr>
            <w:tcW w:w="1418" w:type="dxa"/>
            <w:tcMar>
              <w:left w:w="28" w:type="dxa"/>
              <w:right w:w="28" w:type="dxa"/>
            </w:tcMar>
            <w:vAlign w:val="center"/>
          </w:tcPr>
          <w:p w14:paraId="3E4C8F10">
            <w:pPr>
              <w:spacing w:line="500" w:lineRule="exact"/>
              <w:ind w:right="25" w:rightChars="12"/>
              <w:jc w:val="center"/>
              <w:rPr>
                <w:color w:val="auto"/>
                <w:sz w:val="24"/>
                <w:highlight w:val="none"/>
              </w:rPr>
            </w:pPr>
          </w:p>
        </w:tc>
        <w:tc>
          <w:tcPr>
            <w:tcW w:w="1559" w:type="dxa"/>
            <w:tcMar>
              <w:left w:w="28" w:type="dxa"/>
              <w:right w:w="28" w:type="dxa"/>
            </w:tcMar>
            <w:vAlign w:val="center"/>
          </w:tcPr>
          <w:p w14:paraId="08F54909">
            <w:pPr>
              <w:spacing w:line="500" w:lineRule="exact"/>
              <w:ind w:right="25" w:rightChars="12"/>
              <w:jc w:val="center"/>
              <w:rPr>
                <w:color w:val="auto"/>
                <w:sz w:val="24"/>
                <w:highlight w:val="none"/>
              </w:rPr>
            </w:pPr>
          </w:p>
        </w:tc>
        <w:tc>
          <w:tcPr>
            <w:tcW w:w="1984" w:type="dxa"/>
            <w:tcMar>
              <w:left w:w="28" w:type="dxa"/>
              <w:right w:w="28" w:type="dxa"/>
            </w:tcMar>
            <w:vAlign w:val="center"/>
          </w:tcPr>
          <w:p w14:paraId="3E6345E9">
            <w:pPr>
              <w:spacing w:line="500" w:lineRule="exact"/>
              <w:ind w:right="25" w:rightChars="12"/>
              <w:jc w:val="center"/>
              <w:rPr>
                <w:color w:val="auto"/>
                <w:sz w:val="24"/>
                <w:highlight w:val="none"/>
              </w:rPr>
            </w:pPr>
          </w:p>
        </w:tc>
        <w:tc>
          <w:tcPr>
            <w:tcW w:w="1560" w:type="dxa"/>
            <w:tcMar>
              <w:left w:w="28" w:type="dxa"/>
              <w:right w:w="28" w:type="dxa"/>
            </w:tcMar>
            <w:vAlign w:val="center"/>
          </w:tcPr>
          <w:p w14:paraId="64190B87">
            <w:pPr>
              <w:spacing w:line="500" w:lineRule="exact"/>
              <w:ind w:right="25" w:rightChars="12"/>
              <w:jc w:val="center"/>
              <w:rPr>
                <w:color w:val="auto"/>
                <w:sz w:val="24"/>
                <w:highlight w:val="none"/>
              </w:rPr>
            </w:pPr>
          </w:p>
        </w:tc>
      </w:tr>
      <w:tr w14:paraId="13C348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314E37C6">
            <w:pPr>
              <w:spacing w:line="500" w:lineRule="exact"/>
              <w:ind w:right="25" w:rightChars="12"/>
              <w:jc w:val="center"/>
              <w:rPr>
                <w:color w:val="auto"/>
                <w:sz w:val="24"/>
                <w:highlight w:val="none"/>
              </w:rPr>
            </w:pPr>
            <w:r>
              <w:rPr>
                <w:color w:val="auto"/>
                <w:sz w:val="24"/>
                <w:highlight w:val="none"/>
              </w:rPr>
              <w:t>6</w:t>
            </w:r>
          </w:p>
        </w:tc>
        <w:tc>
          <w:tcPr>
            <w:tcW w:w="1134" w:type="dxa"/>
            <w:tcMar>
              <w:left w:w="28" w:type="dxa"/>
              <w:right w:w="28" w:type="dxa"/>
            </w:tcMar>
            <w:vAlign w:val="center"/>
          </w:tcPr>
          <w:p w14:paraId="46BAEA6B">
            <w:pPr>
              <w:spacing w:line="500" w:lineRule="exact"/>
              <w:ind w:right="25" w:rightChars="12"/>
              <w:jc w:val="center"/>
              <w:rPr>
                <w:color w:val="auto"/>
                <w:sz w:val="24"/>
                <w:highlight w:val="none"/>
              </w:rPr>
            </w:pPr>
          </w:p>
        </w:tc>
        <w:tc>
          <w:tcPr>
            <w:tcW w:w="709" w:type="dxa"/>
            <w:tcMar>
              <w:left w:w="28" w:type="dxa"/>
              <w:right w:w="28" w:type="dxa"/>
            </w:tcMar>
            <w:vAlign w:val="center"/>
          </w:tcPr>
          <w:p w14:paraId="61D07214">
            <w:pPr>
              <w:spacing w:line="500" w:lineRule="exact"/>
              <w:ind w:right="25" w:rightChars="12"/>
              <w:jc w:val="center"/>
              <w:rPr>
                <w:color w:val="auto"/>
                <w:sz w:val="24"/>
                <w:highlight w:val="none"/>
              </w:rPr>
            </w:pPr>
          </w:p>
        </w:tc>
        <w:tc>
          <w:tcPr>
            <w:tcW w:w="1418" w:type="dxa"/>
            <w:tcMar>
              <w:left w:w="28" w:type="dxa"/>
              <w:right w:w="28" w:type="dxa"/>
            </w:tcMar>
            <w:vAlign w:val="center"/>
          </w:tcPr>
          <w:p w14:paraId="11887C8C">
            <w:pPr>
              <w:spacing w:line="500" w:lineRule="exact"/>
              <w:ind w:right="25" w:rightChars="12"/>
              <w:jc w:val="center"/>
              <w:rPr>
                <w:color w:val="auto"/>
                <w:sz w:val="24"/>
                <w:highlight w:val="none"/>
              </w:rPr>
            </w:pPr>
          </w:p>
        </w:tc>
        <w:tc>
          <w:tcPr>
            <w:tcW w:w="1559" w:type="dxa"/>
            <w:tcMar>
              <w:left w:w="28" w:type="dxa"/>
              <w:right w:w="28" w:type="dxa"/>
            </w:tcMar>
            <w:vAlign w:val="center"/>
          </w:tcPr>
          <w:p w14:paraId="510A5B6F">
            <w:pPr>
              <w:spacing w:line="500" w:lineRule="exact"/>
              <w:ind w:right="25" w:rightChars="12"/>
              <w:jc w:val="center"/>
              <w:rPr>
                <w:color w:val="auto"/>
                <w:sz w:val="24"/>
                <w:highlight w:val="none"/>
              </w:rPr>
            </w:pPr>
          </w:p>
        </w:tc>
        <w:tc>
          <w:tcPr>
            <w:tcW w:w="1984" w:type="dxa"/>
            <w:tcMar>
              <w:left w:w="28" w:type="dxa"/>
              <w:right w:w="28" w:type="dxa"/>
            </w:tcMar>
            <w:vAlign w:val="center"/>
          </w:tcPr>
          <w:p w14:paraId="11EDF994">
            <w:pPr>
              <w:spacing w:line="500" w:lineRule="exact"/>
              <w:ind w:right="25" w:rightChars="12"/>
              <w:jc w:val="center"/>
              <w:rPr>
                <w:color w:val="auto"/>
                <w:sz w:val="24"/>
                <w:highlight w:val="none"/>
              </w:rPr>
            </w:pPr>
          </w:p>
        </w:tc>
        <w:tc>
          <w:tcPr>
            <w:tcW w:w="1560" w:type="dxa"/>
            <w:tcMar>
              <w:left w:w="28" w:type="dxa"/>
              <w:right w:w="28" w:type="dxa"/>
            </w:tcMar>
            <w:vAlign w:val="center"/>
          </w:tcPr>
          <w:p w14:paraId="63027AFA">
            <w:pPr>
              <w:spacing w:line="500" w:lineRule="exact"/>
              <w:ind w:right="25" w:rightChars="12"/>
              <w:jc w:val="center"/>
              <w:rPr>
                <w:color w:val="auto"/>
                <w:sz w:val="24"/>
                <w:highlight w:val="none"/>
              </w:rPr>
            </w:pPr>
          </w:p>
        </w:tc>
      </w:tr>
      <w:tr w14:paraId="339E7C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591AD2A5">
            <w:pPr>
              <w:spacing w:line="500" w:lineRule="exact"/>
              <w:ind w:right="25" w:rightChars="12"/>
              <w:jc w:val="center"/>
              <w:rPr>
                <w:color w:val="auto"/>
                <w:sz w:val="24"/>
                <w:highlight w:val="none"/>
              </w:rPr>
            </w:pPr>
            <w:r>
              <w:rPr>
                <w:color w:val="auto"/>
                <w:sz w:val="24"/>
                <w:highlight w:val="none"/>
              </w:rPr>
              <w:t>7</w:t>
            </w:r>
          </w:p>
        </w:tc>
        <w:tc>
          <w:tcPr>
            <w:tcW w:w="1134" w:type="dxa"/>
            <w:tcMar>
              <w:left w:w="28" w:type="dxa"/>
              <w:right w:w="28" w:type="dxa"/>
            </w:tcMar>
            <w:vAlign w:val="center"/>
          </w:tcPr>
          <w:p w14:paraId="31A0F85E">
            <w:pPr>
              <w:spacing w:line="500" w:lineRule="exact"/>
              <w:ind w:right="25" w:rightChars="12"/>
              <w:jc w:val="center"/>
              <w:rPr>
                <w:color w:val="auto"/>
                <w:sz w:val="24"/>
                <w:highlight w:val="none"/>
              </w:rPr>
            </w:pPr>
          </w:p>
        </w:tc>
        <w:tc>
          <w:tcPr>
            <w:tcW w:w="709" w:type="dxa"/>
            <w:tcMar>
              <w:left w:w="28" w:type="dxa"/>
              <w:right w:w="28" w:type="dxa"/>
            </w:tcMar>
            <w:vAlign w:val="center"/>
          </w:tcPr>
          <w:p w14:paraId="65DDA261">
            <w:pPr>
              <w:spacing w:line="500" w:lineRule="exact"/>
              <w:ind w:right="25" w:rightChars="12"/>
              <w:jc w:val="center"/>
              <w:rPr>
                <w:color w:val="auto"/>
                <w:sz w:val="24"/>
                <w:highlight w:val="none"/>
              </w:rPr>
            </w:pPr>
          </w:p>
        </w:tc>
        <w:tc>
          <w:tcPr>
            <w:tcW w:w="1418" w:type="dxa"/>
            <w:tcMar>
              <w:left w:w="28" w:type="dxa"/>
              <w:right w:w="28" w:type="dxa"/>
            </w:tcMar>
            <w:vAlign w:val="center"/>
          </w:tcPr>
          <w:p w14:paraId="08D51C0A">
            <w:pPr>
              <w:spacing w:line="500" w:lineRule="exact"/>
              <w:ind w:right="25" w:rightChars="12"/>
              <w:jc w:val="center"/>
              <w:rPr>
                <w:color w:val="auto"/>
                <w:sz w:val="24"/>
                <w:highlight w:val="none"/>
              </w:rPr>
            </w:pPr>
          </w:p>
        </w:tc>
        <w:tc>
          <w:tcPr>
            <w:tcW w:w="1559" w:type="dxa"/>
            <w:tcMar>
              <w:left w:w="28" w:type="dxa"/>
              <w:right w:w="28" w:type="dxa"/>
            </w:tcMar>
            <w:vAlign w:val="center"/>
          </w:tcPr>
          <w:p w14:paraId="394E1042">
            <w:pPr>
              <w:spacing w:line="500" w:lineRule="exact"/>
              <w:ind w:right="25" w:rightChars="12"/>
              <w:jc w:val="center"/>
              <w:rPr>
                <w:color w:val="auto"/>
                <w:sz w:val="24"/>
                <w:highlight w:val="none"/>
              </w:rPr>
            </w:pPr>
          </w:p>
        </w:tc>
        <w:tc>
          <w:tcPr>
            <w:tcW w:w="1984" w:type="dxa"/>
            <w:tcMar>
              <w:left w:w="28" w:type="dxa"/>
              <w:right w:w="28" w:type="dxa"/>
            </w:tcMar>
            <w:vAlign w:val="center"/>
          </w:tcPr>
          <w:p w14:paraId="5559D343">
            <w:pPr>
              <w:spacing w:line="500" w:lineRule="exact"/>
              <w:ind w:right="25" w:rightChars="12"/>
              <w:jc w:val="center"/>
              <w:rPr>
                <w:color w:val="auto"/>
                <w:sz w:val="24"/>
                <w:highlight w:val="none"/>
              </w:rPr>
            </w:pPr>
          </w:p>
        </w:tc>
        <w:tc>
          <w:tcPr>
            <w:tcW w:w="1560" w:type="dxa"/>
            <w:tcMar>
              <w:left w:w="28" w:type="dxa"/>
              <w:right w:w="28" w:type="dxa"/>
            </w:tcMar>
            <w:vAlign w:val="center"/>
          </w:tcPr>
          <w:p w14:paraId="072F34D1">
            <w:pPr>
              <w:spacing w:line="500" w:lineRule="exact"/>
              <w:ind w:right="25" w:rightChars="12"/>
              <w:jc w:val="center"/>
              <w:rPr>
                <w:color w:val="auto"/>
                <w:sz w:val="24"/>
                <w:highlight w:val="none"/>
              </w:rPr>
            </w:pPr>
          </w:p>
        </w:tc>
      </w:tr>
      <w:tr w14:paraId="132B7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7090CC39">
            <w:pPr>
              <w:spacing w:line="500" w:lineRule="exact"/>
              <w:ind w:right="25" w:rightChars="12"/>
              <w:jc w:val="center"/>
              <w:rPr>
                <w:color w:val="auto"/>
                <w:sz w:val="24"/>
                <w:highlight w:val="none"/>
              </w:rPr>
            </w:pPr>
          </w:p>
        </w:tc>
        <w:tc>
          <w:tcPr>
            <w:tcW w:w="1134" w:type="dxa"/>
            <w:tcMar>
              <w:left w:w="28" w:type="dxa"/>
              <w:right w:w="28" w:type="dxa"/>
            </w:tcMar>
            <w:vAlign w:val="center"/>
          </w:tcPr>
          <w:p w14:paraId="7A80838C">
            <w:pPr>
              <w:spacing w:line="500" w:lineRule="exact"/>
              <w:ind w:right="25" w:rightChars="12"/>
              <w:jc w:val="center"/>
              <w:rPr>
                <w:color w:val="auto"/>
                <w:sz w:val="24"/>
                <w:highlight w:val="none"/>
              </w:rPr>
            </w:pPr>
          </w:p>
        </w:tc>
        <w:tc>
          <w:tcPr>
            <w:tcW w:w="709" w:type="dxa"/>
            <w:tcMar>
              <w:left w:w="28" w:type="dxa"/>
              <w:right w:w="28" w:type="dxa"/>
            </w:tcMar>
            <w:vAlign w:val="center"/>
          </w:tcPr>
          <w:p w14:paraId="55110970">
            <w:pPr>
              <w:spacing w:line="500" w:lineRule="exact"/>
              <w:ind w:right="25" w:rightChars="12"/>
              <w:jc w:val="center"/>
              <w:rPr>
                <w:color w:val="auto"/>
                <w:sz w:val="24"/>
                <w:highlight w:val="none"/>
              </w:rPr>
            </w:pPr>
          </w:p>
        </w:tc>
        <w:tc>
          <w:tcPr>
            <w:tcW w:w="1418" w:type="dxa"/>
            <w:tcMar>
              <w:left w:w="28" w:type="dxa"/>
              <w:right w:w="28" w:type="dxa"/>
            </w:tcMar>
            <w:vAlign w:val="center"/>
          </w:tcPr>
          <w:p w14:paraId="21379C64">
            <w:pPr>
              <w:spacing w:line="500" w:lineRule="exact"/>
              <w:ind w:right="25" w:rightChars="12"/>
              <w:jc w:val="center"/>
              <w:rPr>
                <w:color w:val="auto"/>
                <w:sz w:val="24"/>
                <w:highlight w:val="none"/>
              </w:rPr>
            </w:pPr>
          </w:p>
        </w:tc>
        <w:tc>
          <w:tcPr>
            <w:tcW w:w="1559" w:type="dxa"/>
            <w:tcMar>
              <w:left w:w="28" w:type="dxa"/>
              <w:right w:w="28" w:type="dxa"/>
            </w:tcMar>
            <w:vAlign w:val="center"/>
          </w:tcPr>
          <w:p w14:paraId="654310D3">
            <w:pPr>
              <w:spacing w:line="500" w:lineRule="exact"/>
              <w:ind w:right="25" w:rightChars="12"/>
              <w:jc w:val="center"/>
              <w:rPr>
                <w:color w:val="auto"/>
                <w:sz w:val="24"/>
                <w:highlight w:val="none"/>
              </w:rPr>
            </w:pPr>
          </w:p>
        </w:tc>
        <w:tc>
          <w:tcPr>
            <w:tcW w:w="1984" w:type="dxa"/>
            <w:tcMar>
              <w:left w:w="28" w:type="dxa"/>
              <w:right w:w="28" w:type="dxa"/>
            </w:tcMar>
            <w:vAlign w:val="center"/>
          </w:tcPr>
          <w:p w14:paraId="6170D66D">
            <w:pPr>
              <w:spacing w:line="500" w:lineRule="exact"/>
              <w:ind w:right="25" w:rightChars="12"/>
              <w:jc w:val="center"/>
              <w:rPr>
                <w:color w:val="auto"/>
                <w:sz w:val="24"/>
                <w:highlight w:val="none"/>
              </w:rPr>
            </w:pPr>
          </w:p>
        </w:tc>
        <w:tc>
          <w:tcPr>
            <w:tcW w:w="1560" w:type="dxa"/>
            <w:tcMar>
              <w:left w:w="28" w:type="dxa"/>
              <w:right w:w="28" w:type="dxa"/>
            </w:tcMar>
            <w:vAlign w:val="center"/>
          </w:tcPr>
          <w:p w14:paraId="4B28B481">
            <w:pPr>
              <w:spacing w:line="500" w:lineRule="exact"/>
              <w:ind w:right="25" w:rightChars="12"/>
              <w:jc w:val="center"/>
              <w:rPr>
                <w:color w:val="auto"/>
                <w:sz w:val="24"/>
                <w:highlight w:val="none"/>
              </w:rPr>
            </w:pPr>
          </w:p>
        </w:tc>
      </w:tr>
      <w:tr w14:paraId="303724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5A76545A">
            <w:pPr>
              <w:spacing w:line="500" w:lineRule="exact"/>
              <w:ind w:right="25" w:rightChars="12"/>
              <w:jc w:val="center"/>
              <w:rPr>
                <w:color w:val="auto"/>
                <w:sz w:val="24"/>
                <w:highlight w:val="none"/>
              </w:rPr>
            </w:pPr>
          </w:p>
        </w:tc>
        <w:tc>
          <w:tcPr>
            <w:tcW w:w="1134" w:type="dxa"/>
            <w:tcMar>
              <w:left w:w="28" w:type="dxa"/>
              <w:right w:w="28" w:type="dxa"/>
            </w:tcMar>
            <w:vAlign w:val="center"/>
          </w:tcPr>
          <w:p w14:paraId="6DC067B0">
            <w:pPr>
              <w:spacing w:line="500" w:lineRule="exact"/>
              <w:ind w:right="25" w:rightChars="12"/>
              <w:jc w:val="center"/>
              <w:rPr>
                <w:color w:val="auto"/>
                <w:sz w:val="24"/>
                <w:highlight w:val="none"/>
              </w:rPr>
            </w:pPr>
          </w:p>
        </w:tc>
        <w:tc>
          <w:tcPr>
            <w:tcW w:w="709" w:type="dxa"/>
            <w:tcMar>
              <w:left w:w="28" w:type="dxa"/>
              <w:right w:w="28" w:type="dxa"/>
            </w:tcMar>
            <w:vAlign w:val="center"/>
          </w:tcPr>
          <w:p w14:paraId="51BB8F5D">
            <w:pPr>
              <w:spacing w:line="500" w:lineRule="exact"/>
              <w:ind w:right="25" w:rightChars="12"/>
              <w:jc w:val="center"/>
              <w:rPr>
                <w:color w:val="auto"/>
                <w:sz w:val="24"/>
                <w:highlight w:val="none"/>
              </w:rPr>
            </w:pPr>
          </w:p>
        </w:tc>
        <w:tc>
          <w:tcPr>
            <w:tcW w:w="1418" w:type="dxa"/>
            <w:tcMar>
              <w:left w:w="28" w:type="dxa"/>
              <w:right w:w="28" w:type="dxa"/>
            </w:tcMar>
            <w:vAlign w:val="center"/>
          </w:tcPr>
          <w:p w14:paraId="7B0B6ECE">
            <w:pPr>
              <w:spacing w:line="500" w:lineRule="exact"/>
              <w:ind w:right="25" w:rightChars="12"/>
              <w:jc w:val="center"/>
              <w:rPr>
                <w:color w:val="auto"/>
                <w:sz w:val="24"/>
                <w:highlight w:val="none"/>
              </w:rPr>
            </w:pPr>
          </w:p>
        </w:tc>
        <w:tc>
          <w:tcPr>
            <w:tcW w:w="1559" w:type="dxa"/>
            <w:tcMar>
              <w:left w:w="28" w:type="dxa"/>
              <w:right w:w="28" w:type="dxa"/>
            </w:tcMar>
            <w:vAlign w:val="center"/>
          </w:tcPr>
          <w:p w14:paraId="4BB82A50">
            <w:pPr>
              <w:spacing w:line="500" w:lineRule="exact"/>
              <w:ind w:right="25" w:rightChars="12"/>
              <w:jc w:val="center"/>
              <w:rPr>
                <w:color w:val="auto"/>
                <w:sz w:val="24"/>
                <w:highlight w:val="none"/>
              </w:rPr>
            </w:pPr>
          </w:p>
        </w:tc>
        <w:tc>
          <w:tcPr>
            <w:tcW w:w="1984" w:type="dxa"/>
            <w:tcMar>
              <w:left w:w="28" w:type="dxa"/>
              <w:right w:w="28" w:type="dxa"/>
            </w:tcMar>
            <w:vAlign w:val="center"/>
          </w:tcPr>
          <w:p w14:paraId="56957E00">
            <w:pPr>
              <w:spacing w:line="500" w:lineRule="exact"/>
              <w:ind w:right="25" w:rightChars="12"/>
              <w:jc w:val="center"/>
              <w:rPr>
                <w:color w:val="auto"/>
                <w:sz w:val="24"/>
                <w:highlight w:val="none"/>
              </w:rPr>
            </w:pPr>
          </w:p>
        </w:tc>
        <w:tc>
          <w:tcPr>
            <w:tcW w:w="1560" w:type="dxa"/>
            <w:tcMar>
              <w:left w:w="28" w:type="dxa"/>
              <w:right w:w="28" w:type="dxa"/>
            </w:tcMar>
            <w:vAlign w:val="center"/>
          </w:tcPr>
          <w:p w14:paraId="788F77D5">
            <w:pPr>
              <w:spacing w:line="500" w:lineRule="exact"/>
              <w:ind w:right="25" w:rightChars="12"/>
              <w:jc w:val="center"/>
              <w:rPr>
                <w:color w:val="auto"/>
                <w:sz w:val="24"/>
                <w:highlight w:val="none"/>
              </w:rPr>
            </w:pPr>
          </w:p>
        </w:tc>
      </w:tr>
      <w:tr w14:paraId="5887E5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01EE76F7">
            <w:pPr>
              <w:spacing w:line="500" w:lineRule="exact"/>
              <w:ind w:right="25" w:rightChars="12"/>
              <w:jc w:val="center"/>
              <w:rPr>
                <w:color w:val="auto"/>
                <w:sz w:val="24"/>
                <w:highlight w:val="none"/>
              </w:rPr>
            </w:pPr>
          </w:p>
        </w:tc>
        <w:tc>
          <w:tcPr>
            <w:tcW w:w="1134" w:type="dxa"/>
            <w:tcMar>
              <w:left w:w="28" w:type="dxa"/>
              <w:right w:w="28" w:type="dxa"/>
            </w:tcMar>
            <w:vAlign w:val="center"/>
          </w:tcPr>
          <w:p w14:paraId="52BD0301">
            <w:pPr>
              <w:spacing w:line="500" w:lineRule="exact"/>
              <w:ind w:right="25" w:rightChars="12"/>
              <w:jc w:val="center"/>
              <w:rPr>
                <w:color w:val="auto"/>
                <w:sz w:val="24"/>
                <w:highlight w:val="none"/>
              </w:rPr>
            </w:pPr>
          </w:p>
        </w:tc>
        <w:tc>
          <w:tcPr>
            <w:tcW w:w="709" w:type="dxa"/>
            <w:tcMar>
              <w:left w:w="28" w:type="dxa"/>
              <w:right w:w="28" w:type="dxa"/>
            </w:tcMar>
            <w:vAlign w:val="center"/>
          </w:tcPr>
          <w:p w14:paraId="1DF12050">
            <w:pPr>
              <w:spacing w:line="500" w:lineRule="exact"/>
              <w:ind w:right="25" w:rightChars="12"/>
              <w:jc w:val="center"/>
              <w:rPr>
                <w:color w:val="auto"/>
                <w:sz w:val="24"/>
                <w:highlight w:val="none"/>
              </w:rPr>
            </w:pPr>
          </w:p>
        </w:tc>
        <w:tc>
          <w:tcPr>
            <w:tcW w:w="1418" w:type="dxa"/>
            <w:tcMar>
              <w:left w:w="28" w:type="dxa"/>
              <w:right w:w="28" w:type="dxa"/>
            </w:tcMar>
            <w:vAlign w:val="center"/>
          </w:tcPr>
          <w:p w14:paraId="3BD86BFD">
            <w:pPr>
              <w:spacing w:line="500" w:lineRule="exact"/>
              <w:ind w:right="25" w:rightChars="12"/>
              <w:jc w:val="center"/>
              <w:rPr>
                <w:color w:val="auto"/>
                <w:sz w:val="24"/>
                <w:highlight w:val="none"/>
              </w:rPr>
            </w:pPr>
          </w:p>
        </w:tc>
        <w:tc>
          <w:tcPr>
            <w:tcW w:w="1559" w:type="dxa"/>
            <w:tcMar>
              <w:left w:w="28" w:type="dxa"/>
              <w:right w:w="28" w:type="dxa"/>
            </w:tcMar>
            <w:vAlign w:val="center"/>
          </w:tcPr>
          <w:p w14:paraId="2B8772A5">
            <w:pPr>
              <w:spacing w:line="500" w:lineRule="exact"/>
              <w:ind w:right="25" w:rightChars="12"/>
              <w:jc w:val="center"/>
              <w:rPr>
                <w:color w:val="auto"/>
                <w:sz w:val="24"/>
                <w:highlight w:val="none"/>
              </w:rPr>
            </w:pPr>
          </w:p>
        </w:tc>
        <w:tc>
          <w:tcPr>
            <w:tcW w:w="1984" w:type="dxa"/>
            <w:tcMar>
              <w:left w:w="28" w:type="dxa"/>
              <w:right w:w="28" w:type="dxa"/>
            </w:tcMar>
            <w:vAlign w:val="center"/>
          </w:tcPr>
          <w:p w14:paraId="0F818A0F">
            <w:pPr>
              <w:spacing w:line="500" w:lineRule="exact"/>
              <w:ind w:right="25" w:rightChars="12"/>
              <w:jc w:val="center"/>
              <w:rPr>
                <w:color w:val="auto"/>
                <w:sz w:val="24"/>
                <w:highlight w:val="none"/>
              </w:rPr>
            </w:pPr>
          </w:p>
        </w:tc>
        <w:tc>
          <w:tcPr>
            <w:tcW w:w="1560" w:type="dxa"/>
            <w:tcMar>
              <w:left w:w="28" w:type="dxa"/>
              <w:right w:w="28" w:type="dxa"/>
            </w:tcMar>
            <w:vAlign w:val="center"/>
          </w:tcPr>
          <w:p w14:paraId="0BF07674">
            <w:pPr>
              <w:spacing w:line="500" w:lineRule="exact"/>
              <w:ind w:right="25" w:rightChars="12"/>
              <w:jc w:val="center"/>
              <w:rPr>
                <w:color w:val="auto"/>
                <w:sz w:val="24"/>
                <w:highlight w:val="none"/>
              </w:rPr>
            </w:pPr>
          </w:p>
        </w:tc>
      </w:tr>
      <w:tr w14:paraId="6B9AE7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0999C975">
            <w:pPr>
              <w:jc w:val="center"/>
              <w:rPr>
                <w:color w:val="auto"/>
                <w:w w:val="80"/>
                <w:highlight w:val="none"/>
              </w:rPr>
            </w:pPr>
          </w:p>
        </w:tc>
        <w:tc>
          <w:tcPr>
            <w:tcW w:w="1134" w:type="dxa"/>
            <w:tcMar>
              <w:left w:w="28" w:type="dxa"/>
              <w:right w:w="28" w:type="dxa"/>
            </w:tcMar>
            <w:vAlign w:val="center"/>
          </w:tcPr>
          <w:p w14:paraId="41E5366C">
            <w:pPr>
              <w:jc w:val="center"/>
              <w:rPr>
                <w:color w:val="auto"/>
                <w:w w:val="80"/>
                <w:highlight w:val="none"/>
              </w:rPr>
            </w:pPr>
          </w:p>
        </w:tc>
        <w:tc>
          <w:tcPr>
            <w:tcW w:w="709" w:type="dxa"/>
            <w:tcMar>
              <w:left w:w="28" w:type="dxa"/>
              <w:right w:w="28" w:type="dxa"/>
            </w:tcMar>
            <w:vAlign w:val="center"/>
          </w:tcPr>
          <w:p w14:paraId="48E7DCF3">
            <w:pPr>
              <w:jc w:val="center"/>
              <w:rPr>
                <w:color w:val="auto"/>
                <w:w w:val="80"/>
                <w:highlight w:val="none"/>
              </w:rPr>
            </w:pPr>
          </w:p>
        </w:tc>
        <w:tc>
          <w:tcPr>
            <w:tcW w:w="1418" w:type="dxa"/>
            <w:tcMar>
              <w:left w:w="28" w:type="dxa"/>
              <w:right w:w="28" w:type="dxa"/>
            </w:tcMar>
            <w:vAlign w:val="center"/>
          </w:tcPr>
          <w:p w14:paraId="73AECF9C">
            <w:pPr>
              <w:jc w:val="center"/>
              <w:rPr>
                <w:color w:val="auto"/>
                <w:w w:val="80"/>
                <w:highlight w:val="none"/>
              </w:rPr>
            </w:pPr>
          </w:p>
        </w:tc>
        <w:tc>
          <w:tcPr>
            <w:tcW w:w="1559" w:type="dxa"/>
            <w:tcMar>
              <w:left w:w="28" w:type="dxa"/>
              <w:right w:w="28" w:type="dxa"/>
            </w:tcMar>
            <w:vAlign w:val="center"/>
          </w:tcPr>
          <w:p w14:paraId="1671DA46">
            <w:pPr>
              <w:jc w:val="center"/>
              <w:rPr>
                <w:color w:val="auto"/>
                <w:w w:val="80"/>
                <w:highlight w:val="none"/>
              </w:rPr>
            </w:pPr>
          </w:p>
        </w:tc>
        <w:tc>
          <w:tcPr>
            <w:tcW w:w="1984" w:type="dxa"/>
            <w:tcMar>
              <w:left w:w="28" w:type="dxa"/>
              <w:right w:w="28" w:type="dxa"/>
            </w:tcMar>
            <w:vAlign w:val="center"/>
          </w:tcPr>
          <w:p w14:paraId="04CB8B84">
            <w:pPr>
              <w:jc w:val="center"/>
              <w:rPr>
                <w:color w:val="auto"/>
                <w:w w:val="80"/>
                <w:highlight w:val="none"/>
              </w:rPr>
            </w:pPr>
          </w:p>
        </w:tc>
        <w:tc>
          <w:tcPr>
            <w:tcW w:w="1560" w:type="dxa"/>
            <w:tcMar>
              <w:left w:w="28" w:type="dxa"/>
              <w:right w:w="28" w:type="dxa"/>
            </w:tcMar>
            <w:vAlign w:val="center"/>
          </w:tcPr>
          <w:p w14:paraId="5EBBD3A2">
            <w:pPr>
              <w:jc w:val="center"/>
              <w:rPr>
                <w:color w:val="auto"/>
                <w:w w:val="80"/>
                <w:highlight w:val="none"/>
              </w:rPr>
            </w:pPr>
          </w:p>
        </w:tc>
      </w:tr>
      <w:tr w14:paraId="7237BE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6C4BE7E0">
            <w:pPr>
              <w:jc w:val="center"/>
              <w:rPr>
                <w:color w:val="auto"/>
                <w:w w:val="80"/>
                <w:highlight w:val="none"/>
              </w:rPr>
            </w:pPr>
          </w:p>
        </w:tc>
        <w:tc>
          <w:tcPr>
            <w:tcW w:w="1134" w:type="dxa"/>
            <w:tcMar>
              <w:left w:w="28" w:type="dxa"/>
              <w:right w:w="28" w:type="dxa"/>
            </w:tcMar>
            <w:vAlign w:val="center"/>
          </w:tcPr>
          <w:p w14:paraId="6D330BA3">
            <w:pPr>
              <w:jc w:val="center"/>
              <w:rPr>
                <w:color w:val="auto"/>
                <w:w w:val="80"/>
                <w:highlight w:val="none"/>
              </w:rPr>
            </w:pPr>
          </w:p>
        </w:tc>
        <w:tc>
          <w:tcPr>
            <w:tcW w:w="709" w:type="dxa"/>
            <w:tcMar>
              <w:left w:w="28" w:type="dxa"/>
              <w:right w:w="28" w:type="dxa"/>
            </w:tcMar>
            <w:vAlign w:val="center"/>
          </w:tcPr>
          <w:p w14:paraId="7EF53147">
            <w:pPr>
              <w:jc w:val="center"/>
              <w:rPr>
                <w:color w:val="auto"/>
                <w:w w:val="80"/>
                <w:highlight w:val="none"/>
              </w:rPr>
            </w:pPr>
          </w:p>
        </w:tc>
        <w:tc>
          <w:tcPr>
            <w:tcW w:w="1418" w:type="dxa"/>
            <w:tcMar>
              <w:left w:w="28" w:type="dxa"/>
              <w:right w:w="28" w:type="dxa"/>
            </w:tcMar>
            <w:vAlign w:val="center"/>
          </w:tcPr>
          <w:p w14:paraId="3C06C6D0">
            <w:pPr>
              <w:jc w:val="center"/>
              <w:rPr>
                <w:color w:val="auto"/>
                <w:w w:val="80"/>
                <w:highlight w:val="none"/>
              </w:rPr>
            </w:pPr>
          </w:p>
        </w:tc>
        <w:tc>
          <w:tcPr>
            <w:tcW w:w="1559" w:type="dxa"/>
            <w:tcMar>
              <w:left w:w="28" w:type="dxa"/>
              <w:right w:w="28" w:type="dxa"/>
            </w:tcMar>
            <w:vAlign w:val="center"/>
          </w:tcPr>
          <w:p w14:paraId="593F0CC9">
            <w:pPr>
              <w:jc w:val="center"/>
              <w:rPr>
                <w:color w:val="auto"/>
                <w:w w:val="80"/>
                <w:highlight w:val="none"/>
              </w:rPr>
            </w:pPr>
          </w:p>
        </w:tc>
        <w:tc>
          <w:tcPr>
            <w:tcW w:w="1984" w:type="dxa"/>
            <w:tcMar>
              <w:left w:w="28" w:type="dxa"/>
              <w:right w:w="28" w:type="dxa"/>
            </w:tcMar>
            <w:vAlign w:val="center"/>
          </w:tcPr>
          <w:p w14:paraId="71BB76B6">
            <w:pPr>
              <w:jc w:val="center"/>
              <w:rPr>
                <w:color w:val="auto"/>
                <w:w w:val="80"/>
                <w:highlight w:val="none"/>
              </w:rPr>
            </w:pPr>
          </w:p>
        </w:tc>
        <w:tc>
          <w:tcPr>
            <w:tcW w:w="1560" w:type="dxa"/>
            <w:tcMar>
              <w:left w:w="28" w:type="dxa"/>
              <w:right w:w="28" w:type="dxa"/>
            </w:tcMar>
            <w:vAlign w:val="center"/>
          </w:tcPr>
          <w:p w14:paraId="009E76A7">
            <w:pPr>
              <w:jc w:val="center"/>
              <w:rPr>
                <w:color w:val="auto"/>
                <w:w w:val="80"/>
                <w:highlight w:val="none"/>
              </w:rPr>
            </w:pPr>
          </w:p>
        </w:tc>
      </w:tr>
    </w:tbl>
    <w:p w14:paraId="7C6C83FD">
      <w:pPr>
        <w:pStyle w:val="15"/>
        <w:widowControl/>
        <w:spacing w:line="360" w:lineRule="auto"/>
        <w:ind w:left="982" w:hanging="562"/>
        <w:jc w:val="left"/>
        <w:rPr>
          <w:rFonts w:ascii="Times New Roman" w:eastAsia="仿宋"/>
          <w:b/>
          <w:color w:val="auto"/>
          <w:highlight w:val="none"/>
        </w:rPr>
      </w:pPr>
    </w:p>
    <w:p w14:paraId="6136965A">
      <w:pPr>
        <w:spacing w:line="0" w:lineRule="atLeast"/>
        <w:rPr>
          <w:color w:val="auto"/>
          <w:sz w:val="24"/>
          <w:highlight w:val="none"/>
        </w:rPr>
      </w:pPr>
    </w:p>
    <w:p w14:paraId="02B2DB77">
      <w:pPr>
        <w:widowControl/>
        <w:spacing w:line="360" w:lineRule="auto"/>
        <w:jc w:val="left"/>
        <w:rPr>
          <w:color w:val="auto"/>
          <w:sz w:val="24"/>
          <w:highlight w:val="none"/>
        </w:rPr>
      </w:pPr>
      <w:r>
        <w:rPr>
          <w:color w:val="auto"/>
          <w:sz w:val="24"/>
          <w:highlight w:val="none"/>
        </w:rPr>
        <w:t>投标人（盖章）：</w:t>
      </w:r>
    </w:p>
    <w:p w14:paraId="0E6D64C1">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120D4274">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703A63C6">
      <w:pPr>
        <w:pStyle w:val="15"/>
        <w:widowControl/>
        <w:spacing w:line="360" w:lineRule="auto"/>
        <w:ind w:left="862" w:hanging="442"/>
        <w:jc w:val="left"/>
        <w:rPr>
          <w:rStyle w:val="116"/>
          <w:rFonts w:eastAsia="仿宋"/>
          <w:b w:val="0"/>
          <w:bCs w:val="0"/>
          <w:color w:val="auto"/>
          <w:spacing w:val="0"/>
          <w:sz w:val="22"/>
          <w:szCs w:val="24"/>
          <w:highlight w:val="none"/>
        </w:rPr>
      </w:pPr>
    </w:p>
    <w:p w14:paraId="6B93C989">
      <w:pPr>
        <w:spacing w:before="120" w:after="120"/>
        <w:jc w:val="left"/>
        <w:rPr>
          <w:color w:val="auto"/>
          <w:szCs w:val="21"/>
          <w:highlight w:val="none"/>
        </w:rPr>
      </w:pPr>
      <w:r>
        <w:rPr>
          <w:b/>
          <w:color w:val="auto"/>
          <w:sz w:val="28"/>
          <w:szCs w:val="28"/>
          <w:highlight w:val="none"/>
        </w:rPr>
        <w:br w:type="page"/>
      </w:r>
      <w:r>
        <w:rPr>
          <w:b/>
          <w:bCs/>
          <w:color w:val="auto"/>
          <w:szCs w:val="21"/>
          <w:highlight w:val="none"/>
        </w:rPr>
        <w:t>格式九：</w:t>
      </w:r>
      <w:r>
        <w:rPr>
          <w:color w:val="auto"/>
          <w:szCs w:val="21"/>
          <w:highlight w:val="none"/>
        </w:rPr>
        <w:t>商务条款偏离表</w:t>
      </w:r>
    </w:p>
    <w:p w14:paraId="612D2C73">
      <w:pPr>
        <w:pStyle w:val="15"/>
        <w:spacing w:line="400" w:lineRule="exact"/>
        <w:ind w:left="711" w:leftChars="228" w:hanging="232" w:hangingChars="100"/>
        <w:rPr>
          <w:rFonts w:ascii="Times New Roman"/>
          <w:color w:val="auto"/>
          <w:sz w:val="24"/>
          <w:szCs w:val="21"/>
          <w:highlight w:val="none"/>
        </w:rPr>
      </w:pPr>
    </w:p>
    <w:p w14:paraId="2198170A">
      <w:pPr>
        <w:spacing w:before="120" w:after="120"/>
        <w:jc w:val="center"/>
        <w:rPr>
          <w:b/>
          <w:color w:val="auto"/>
          <w:sz w:val="24"/>
          <w:szCs w:val="21"/>
          <w:highlight w:val="none"/>
        </w:rPr>
      </w:pPr>
      <w:r>
        <w:rPr>
          <w:b/>
          <w:color w:val="auto"/>
          <w:sz w:val="24"/>
          <w:szCs w:val="21"/>
          <w:highlight w:val="none"/>
        </w:rPr>
        <w:t>商务条款偏离表</w:t>
      </w:r>
    </w:p>
    <w:p w14:paraId="0307489B">
      <w:pPr>
        <w:spacing w:line="360" w:lineRule="auto"/>
        <w:ind w:firstLine="3089"/>
        <w:rPr>
          <w:b/>
          <w:color w:val="auto"/>
          <w:sz w:val="24"/>
          <w:szCs w:val="21"/>
          <w:highlight w:val="none"/>
        </w:rPr>
      </w:pPr>
    </w:p>
    <w:p w14:paraId="3016ABD5">
      <w:pPr>
        <w:spacing w:line="360" w:lineRule="auto"/>
        <w:ind w:firstLine="440" w:firstLineChars="200"/>
        <w:rPr>
          <w:color w:val="auto"/>
          <w:sz w:val="24"/>
          <w:highlight w:val="none"/>
        </w:rPr>
      </w:pPr>
      <w:r>
        <w:rPr>
          <w:color w:val="auto"/>
          <w:sz w:val="22"/>
          <w:szCs w:val="21"/>
          <w:highlight w:val="none"/>
        </w:rPr>
        <w:t>项目名称：</w:t>
      </w:r>
      <w:r>
        <w:rPr>
          <w:color w:val="auto"/>
          <w:sz w:val="22"/>
          <w:szCs w:val="21"/>
          <w:highlight w:val="none"/>
          <w:u w:val="single"/>
        </w:rPr>
        <w:t xml:space="preserve">              </w:t>
      </w:r>
      <w:r>
        <w:rPr>
          <w:color w:val="auto"/>
          <w:sz w:val="22"/>
          <w:szCs w:val="21"/>
          <w:highlight w:val="none"/>
        </w:rPr>
        <w:t xml:space="preserve"> 招标编号：</w:t>
      </w:r>
      <w:r>
        <w:rPr>
          <w:color w:val="auto"/>
          <w:sz w:val="22"/>
          <w:szCs w:val="21"/>
          <w:highlight w:val="none"/>
          <w:u w:val="single"/>
        </w:rPr>
        <w:t xml:space="preserve">           </w:t>
      </w:r>
      <w:r>
        <w:rPr>
          <w:color w:val="auto"/>
          <w:sz w:val="22"/>
          <w:szCs w:val="21"/>
          <w:highlight w:val="none"/>
        </w:rPr>
        <w:t xml:space="preserve">  标项：</w:t>
      </w:r>
      <w:r>
        <w:rPr>
          <w:color w:val="auto"/>
          <w:sz w:val="22"/>
          <w:szCs w:val="21"/>
          <w:highlight w:val="none"/>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2"/>
        <w:gridCol w:w="2977"/>
        <w:gridCol w:w="1834"/>
        <w:gridCol w:w="2713"/>
      </w:tblGrid>
      <w:tr w14:paraId="2A185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822" w:type="dxa"/>
            <w:tcBorders>
              <w:top w:val="single" w:color="auto" w:sz="4" w:space="0"/>
              <w:left w:val="single" w:color="auto" w:sz="4" w:space="0"/>
              <w:bottom w:val="single" w:color="auto" w:sz="4" w:space="0"/>
              <w:right w:val="single" w:color="auto" w:sz="4" w:space="0"/>
            </w:tcBorders>
          </w:tcPr>
          <w:p w14:paraId="1AC07866">
            <w:pPr>
              <w:snapToGrid w:val="0"/>
              <w:spacing w:before="120" w:beforeLines="50" w:line="400" w:lineRule="exact"/>
              <w:jc w:val="center"/>
              <w:rPr>
                <w:b/>
                <w:color w:val="auto"/>
                <w:szCs w:val="21"/>
                <w:highlight w:val="none"/>
              </w:rPr>
            </w:pPr>
            <w:r>
              <w:rPr>
                <w:b/>
                <w:color w:val="auto"/>
                <w:szCs w:val="21"/>
                <w:highlight w:val="none"/>
              </w:rPr>
              <w:t>序号</w:t>
            </w:r>
          </w:p>
        </w:tc>
        <w:tc>
          <w:tcPr>
            <w:tcW w:w="2977" w:type="dxa"/>
            <w:tcBorders>
              <w:top w:val="single" w:color="auto" w:sz="4" w:space="0"/>
              <w:left w:val="single" w:color="auto" w:sz="4" w:space="0"/>
              <w:bottom w:val="single" w:color="auto" w:sz="4" w:space="0"/>
              <w:right w:val="single" w:color="auto" w:sz="4" w:space="0"/>
            </w:tcBorders>
          </w:tcPr>
          <w:p w14:paraId="3F307860">
            <w:pPr>
              <w:snapToGrid w:val="0"/>
              <w:spacing w:before="120" w:beforeLines="50" w:line="400" w:lineRule="exact"/>
              <w:jc w:val="center"/>
              <w:rPr>
                <w:b/>
                <w:color w:val="auto"/>
                <w:szCs w:val="21"/>
                <w:highlight w:val="none"/>
              </w:rPr>
            </w:pPr>
            <w:r>
              <w:rPr>
                <w:b/>
                <w:color w:val="auto"/>
                <w:szCs w:val="21"/>
                <w:highlight w:val="none"/>
              </w:rPr>
              <w:t>招标文件要求</w:t>
            </w:r>
          </w:p>
        </w:tc>
        <w:tc>
          <w:tcPr>
            <w:tcW w:w="1834" w:type="dxa"/>
            <w:tcBorders>
              <w:top w:val="single" w:color="auto" w:sz="4" w:space="0"/>
              <w:left w:val="single" w:color="auto" w:sz="4" w:space="0"/>
              <w:bottom w:val="single" w:color="auto" w:sz="4" w:space="0"/>
              <w:right w:val="single" w:color="auto" w:sz="4" w:space="0"/>
            </w:tcBorders>
          </w:tcPr>
          <w:p w14:paraId="143A3850">
            <w:pPr>
              <w:snapToGrid w:val="0"/>
              <w:spacing w:before="120" w:beforeLines="50" w:line="400" w:lineRule="exact"/>
              <w:jc w:val="center"/>
              <w:rPr>
                <w:b/>
                <w:color w:val="auto"/>
                <w:szCs w:val="21"/>
                <w:highlight w:val="none"/>
              </w:rPr>
            </w:pPr>
            <w:r>
              <w:rPr>
                <w:b/>
                <w:color w:val="auto"/>
                <w:szCs w:val="21"/>
                <w:highlight w:val="none"/>
              </w:rPr>
              <w:t>是否响应</w:t>
            </w:r>
          </w:p>
        </w:tc>
        <w:tc>
          <w:tcPr>
            <w:tcW w:w="2713" w:type="dxa"/>
            <w:tcBorders>
              <w:top w:val="single" w:color="auto" w:sz="4" w:space="0"/>
              <w:left w:val="single" w:color="auto" w:sz="4" w:space="0"/>
              <w:bottom w:val="single" w:color="auto" w:sz="4" w:space="0"/>
              <w:right w:val="single" w:color="auto" w:sz="4" w:space="0"/>
            </w:tcBorders>
          </w:tcPr>
          <w:p w14:paraId="55739D10">
            <w:pPr>
              <w:snapToGrid w:val="0"/>
              <w:spacing w:before="120" w:beforeLines="50" w:line="400" w:lineRule="exact"/>
              <w:jc w:val="center"/>
              <w:rPr>
                <w:b/>
                <w:color w:val="auto"/>
                <w:szCs w:val="21"/>
                <w:highlight w:val="none"/>
              </w:rPr>
            </w:pPr>
            <w:r>
              <w:rPr>
                <w:b/>
                <w:color w:val="auto"/>
                <w:szCs w:val="21"/>
                <w:highlight w:val="none"/>
              </w:rPr>
              <w:t>投标人的承诺或说明</w:t>
            </w:r>
          </w:p>
        </w:tc>
      </w:tr>
      <w:tr w14:paraId="5BC53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14:paraId="777F4044">
            <w:pPr>
              <w:spacing w:line="400" w:lineRule="exact"/>
              <w:jc w:val="center"/>
              <w:rPr>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tcPr>
          <w:p w14:paraId="58A8A330">
            <w:pPr>
              <w:snapToGrid w:val="0"/>
              <w:spacing w:before="120" w:beforeLines="50" w:line="400" w:lineRule="exact"/>
              <w:rPr>
                <w:color w:val="auto"/>
                <w:szCs w:val="21"/>
                <w:highlight w:val="none"/>
              </w:rPr>
            </w:pPr>
          </w:p>
        </w:tc>
        <w:tc>
          <w:tcPr>
            <w:tcW w:w="1834" w:type="dxa"/>
            <w:tcBorders>
              <w:top w:val="single" w:color="auto" w:sz="4" w:space="0"/>
              <w:left w:val="single" w:color="auto" w:sz="4" w:space="0"/>
              <w:bottom w:val="single" w:color="auto" w:sz="4" w:space="0"/>
              <w:right w:val="single" w:color="auto" w:sz="4" w:space="0"/>
            </w:tcBorders>
          </w:tcPr>
          <w:p w14:paraId="02AC46E6">
            <w:pPr>
              <w:snapToGrid w:val="0"/>
              <w:spacing w:before="120" w:beforeLines="50" w:line="400" w:lineRule="exact"/>
              <w:rPr>
                <w:color w:val="auto"/>
                <w:szCs w:val="21"/>
                <w:highlight w:val="none"/>
              </w:rPr>
            </w:pPr>
          </w:p>
        </w:tc>
        <w:tc>
          <w:tcPr>
            <w:tcW w:w="2713" w:type="dxa"/>
            <w:tcBorders>
              <w:top w:val="single" w:color="auto" w:sz="4" w:space="0"/>
              <w:left w:val="single" w:color="auto" w:sz="4" w:space="0"/>
              <w:bottom w:val="single" w:color="auto" w:sz="4" w:space="0"/>
              <w:right w:val="single" w:color="auto" w:sz="4" w:space="0"/>
            </w:tcBorders>
          </w:tcPr>
          <w:p w14:paraId="5BF29F0B">
            <w:pPr>
              <w:snapToGrid w:val="0"/>
              <w:spacing w:before="120" w:beforeLines="50" w:line="400" w:lineRule="exact"/>
              <w:rPr>
                <w:color w:val="auto"/>
                <w:szCs w:val="21"/>
                <w:highlight w:val="none"/>
              </w:rPr>
            </w:pPr>
          </w:p>
        </w:tc>
      </w:tr>
      <w:tr w14:paraId="41AC5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14:paraId="4997C48F">
            <w:pPr>
              <w:spacing w:line="400" w:lineRule="exact"/>
              <w:jc w:val="center"/>
              <w:rPr>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tcPr>
          <w:p w14:paraId="686A8410">
            <w:pPr>
              <w:snapToGrid w:val="0"/>
              <w:spacing w:before="120" w:beforeLines="50" w:line="400" w:lineRule="exact"/>
              <w:rPr>
                <w:color w:val="auto"/>
                <w:szCs w:val="21"/>
                <w:highlight w:val="none"/>
              </w:rPr>
            </w:pPr>
          </w:p>
        </w:tc>
        <w:tc>
          <w:tcPr>
            <w:tcW w:w="1834" w:type="dxa"/>
            <w:tcBorders>
              <w:top w:val="single" w:color="auto" w:sz="4" w:space="0"/>
              <w:left w:val="single" w:color="auto" w:sz="4" w:space="0"/>
              <w:bottom w:val="single" w:color="auto" w:sz="4" w:space="0"/>
              <w:right w:val="single" w:color="auto" w:sz="4" w:space="0"/>
            </w:tcBorders>
          </w:tcPr>
          <w:p w14:paraId="75A4CB22">
            <w:pPr>
              <w:snapToGrid w:val="0"/>
              <w:spacing w:before="120" w:beforeLines="50" w:line="400" w:lineRule="exact"/>
              <w:rPr>
                <w:color w:val="auto"/>
                <w:szCs w:val="21"/>
                <w:highlight w:val="none"/>
              </w:rPr>
            </w:pPr>
          </w:p>
        </w:tc>
        <w:tc>
          <w:tcPr>
            <w:tcW w:w="2713" w:type="dxa"/>
            <w:tcBorders>
              <w:top w:val="single" w:color="auto" w:sz="4" w:space="0"/>
              <w:left w:val="single" w:color="auto" w:sz="4" w:space="0"/>
              <w:bottom w:val="single" w:color="auto" w:sz="4" w:space="0"/>
              <w:right w:val="single" w:color="auto" w:sz="4" w:space="0"/>
            </w:tcBorders>
          </w:tcPr>
          <w:p w14:paraId="5F6F0842">
            <w:pPr>
              <w:snapToGrid w:val="0"/>
              <w:spacing w:before="120" w:beforeLines="50" w:line="400" w:lineRule="exact"/>
              <w:rPr>
                <w:color w:val="auto"/>
                <w:szCs w:val="21"/>
                <w:highlight w:val="none"/>
              </w:rPr>
            </w:pPr>
          </w:p>
        </w:tc>
      </w:tr>
      <w:tr w14:paraId="30DC4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14:paraId="147433B3">
            <w:pPr>
              <w:spacing w:line="400" w:lineRule="exact"/>
              <w:jc w:val="center"/>
              <w:rPr>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tcPr>
          <w:p w14:paraId="0963457C">
            <w:pPr>
              <w:snapToGrid w:val="0"/>
              <w:spacing w:before="120" w:beforeLines="50" w:line="400" w:lineRule="exact"/>
              <w:rPr>
                <w:color w:val="auto"/>
                <w:szCs w:val="21"/>
                <w:highlight w:val="none"/>
              </w:rPr>
            </w:pPr>
          </w:p>
        </w:tc>
        <w:tc>
          <w:tcPr>
            <w:tcW w:w="1834" w:type="dxa"/>
            <w:tcBorders>
              <w:top w:val="single" w:color="auto" w:sz="4" w:space="0"/>
              <w:left w:val="single" w:color="auto" w:sz="4" w:space="0"/>
              <w:bottom w:val="single" w:color="auto" w:sz="4" w:space="0"/>
              <w:right w:val="single" w:color="auto" w:sz="4" w:space="0"/>
            </w:tcBorders>
          </w:tcPr>
          <w:p w14:paraId="4720DC36">
            <w:pPr>
              <w:snapToGrid w:val="0"/>
              <w:spacing w:before="120" w:beforeLines="50" w:line="400" w:lineRule="exact"/>
              <w:rPr>
                <w:color w:val="auto"/>
                <w:szCs w:val="21"/>
                <w:highlight w:val="none"/>
              </w:rPr>
            </w:pPr>
          </w:p>
        </w:tc>
        <w:tc>
          <w:tcPr>
            <w:tcW w:w="2713" w:type="dxa"/>
            <w:tcBorders>
              <w:top w:val="single" w:color="auto" w:sz="4" w:space="0"/>
              <w:left w:val="single" w:color="auto" w:sz="4" w:space="0"/>
              <w:bottom w:val="single" w:color="auto" w:sz="4" w:space="0"/>
              <w:right w:val="single" w:color="auto" w:sz="4" w:space="0"/>
            </w:tcBorders>
          </w:tcPr>
          <w:p w14:paraId="246CAB5C">
            <w:pPr>
              <w:snapToGrid w:val="0"/>
              <w:spacing w:before="120" w:beforeLines="50" w:line="400" w:lineRule="exact"/>
              <w:rPr>
                <w:color w:val="auto"/>
                <w:szCs w:val="21"/>
                <w:highlight w:val="none"/>
              </w:rPr>
            </w:pPr>
          </w:p>
        </w:tc>
      </w:tr>
      <w:tr w14:paraId="2140B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14:paraId="58661CA3">
            <w:pPr>
              <w:spacing w:line="400" w:lineRule="exact"/>
              <w:jc w:val="center"/>
              <w:rPr>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tcPr>
          <w:p w14:paraId="5930C393">
            <w:pPr>
              <w:snapToGrid w:val="0"/>
              <w:spacing w:before="120" w:beforeLines="50" w:line="400" w:lineRule="exact"/>
              <w:rPr>
                <w:color w:val="auto"/>
                <w:szCs w:val="21"/>
                <w:highlight w:val="none"/>
              </w:rPr>
            </w:pPr>
          </w:p>
        </w:tc>
        <w:tc>
          <w:tcPr>
            <w:tcW w:w="1834" w:type="dxa"/>
            <w:tcBorders>
              <w:top w:val="single" w:color="auto" w:sz="4" w:space="0"/>
              <w:left w:val="single" w:color="auto" w:sz="4" w:space="0"/>
              <w:bottom w:val="single" w:color="auto" w:sz="4" w:space="0"/>
              <w:right w:val="single" w:color="auto" w:sz="4" w:space="0"/>
            </w:tcBorders>
          </w:tcPr>
          <w:p w14:paraId="603FA38F">
            <w:pPr>
              <w:snapToGrid w:val="0"/>
              <w:spacing w:before="120" w:beforeLines="50" w:line="400" w:lineRule="exact"/>
              <w:rPr>
                <w:color w:val="auto"/>
                <w:szCs w:val="21"/>
                <w:highlight w:val="none"/>
              </w:rPr>
            </w:pPr>
          </w:p>
        </w:tc>
        <w:tc>
          <w:tcPr>
            <w:tcW w:w="2713" w:type="dxa"/>
            <w:tcBorders>
              <w:top w:val="single" w:color="auto" w:sz="4" w:space="0"/>
              <w:left w:val="single" w:color="auto" w:sz="4" w:space="0"/>
              <w:bottom w:val="single" w:color="auto" w:sz="4" w:space="0"/>
              <w:right w:val="single" w:color="auto" w:sz="4" w:space="0"/>
            </w:tcBorders>
          </w:tcPr>
          <w:p w14:paraId="2997A06B">
            <w:pPr>
              <w:snapToGrid w:val="0"/>
              <w:spacing w:before="120" w:beforeLines="50" w:line="400" w:lineRule="exact"/>
              <w:rPr>
                <w:color w:val="auto"/>
                <w:szCs w:val="21"/>
                <w:highlight w:val="none"/>
              </w:rPr>
            </w:pPr>
          </w:p>
        </w:tc>
      </w:tr>
      <w:tr w14:paraId="5B81C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2" w:type="dxa"/>
            <w:tcBorders>
              <w:top w:val="single" w:color="auto" w:sz="4" w:space="0"/>
              <w:left w:val="single" w:color="auto" w:sz="4" w:space="0"/>
              <w:bottom w:val="single" w:color="auto" w:sz="4" w:space="0"/>
              <w:right w:val="single" w:color="auto" w:sz="4" w:space="0"/>
            </w:tcBorders>
            <w:vAlign w:val="center"/>
          </w:tcPr>
          <w:p w14:paraId="1763ED72">
            <w:pPr>
              <w:spacing w:line="400" w:lineRule="exact"/>
              <w:jc w:val="center"/>
              <w:rPr>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tcPr>
          <w:p w14:paraId="57BA41D4">
            <w:pPr>
              <w:snapToGrid w:val="0"/>
              <w:spacing w:before="120" w:beforeLines="50" w:line="400" w:lineRule="exact"/>
              <w:rPr>
                <w:color w:val="auto"/>
                <w:szCs w:val="21"/>
                <w:highlight w:val="none"/>
              </w:rPr>
            </w:pPr>
          </w:p>
        </w:tc>
        <w:tc>
          <w:tcPr>
            <w:tcW w:w="1834" w:type="dxa"/>
            <w:tcBorders>
              <w:top w:val="single" w:color="auto" w:sz="4" w:space="0"/>
              <w:left w:val="single" w:color="auto" w:sz="4" w:space="0"/>
              <w:bottom w:val="single" w:color="auto" w:sz="4" w:space="0"/>
              <w:right w:val="single" w:color="auto" w:sz="4" w:space="0"/>
            </w:tcBorders>
          </w:tcPr>
          <w:p w14:paraId="7C6E18D0">
            <w:pPr>
              <w:snapToGrid w:val="0"/>
              <w:spacing w:before="120" w:beforeLines="50" w:line="400" w:lineRule="exact"/>
              <w:rPr>
                <w:color w:val="auto"/>
                <w:szCs w:val="21"/>
                <w:highlight w:val="none"/>
              </w:rPr>
            </w:pPr>
          </w:p>
        </w:tc>
        <w:tc>
          <w:tcPr>
            <w:tcW w:w="2713" w:type="dxa"/>
            <w:tcBorders>
              <w:top w:val="single" w:color="auto" w:sz="4" w:space="0"/>
              <w:left w:val="single" w:color="auto" w:sz="4" w:space="0"/>
              <w:bottom w:val="single" w:color="auto" w:sz="4" w:space="0"/>
              <w:right w:val="single" w:color="auto" w:sz="4" w:space="0"/>
            </w:tcBorders>
          </w:tcPr>
          <w:p w14:paraId="18C2A4DE">
            <w:pPr>
              <w:snapToGrid w:val="0"/>
              <w:spacing w:before="120" w:beforeLines="50" w:line="400" w:lineRule="exact"/>
              <w:rPr>
                <w:color w:val="auto"/>
                <w:szCs w:val="21"/>
                <w:highlight w:val="none"/>
              </w:rPr>
            </w:pPr>
          </w:p>
        </w:tc>
      </w:tr>
      <w:tr w14:paraId="13910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2" w:type="dxa"/>
            <w:tcBorders>
              <w:top w:val="single" w:color="auto" w:sz="4" w:space="0"/>
              <w:left w:val="single" w:color="auto" w:sz="4" w:space="0"/>
              <w:bottom w:val="single" w:color="auto" w:sz="4" w:space="0"/>
              <w:right w:val="single" w:color="auto" w:sz="4" w:space="0"/>
            </w:tcBorders>
            <w:vAlign w:val="center"/>
          </w:tcPr>
          <w:p w14:paraId="689B8300">
            <w:pPr>
              <w:spacing w:line="400" w:lineRule="exact"/>
              <w:jc w:val="center"/>
              <w:rPr>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tcPr>
          <w:p w14:paraId="4F7213F5">
            <w:pPr>
              <w:snapToGrid w:val="0"/>
              <w:spacing w:before="120" w:beforeLines="50" w:line="400" w:lineRule="exact"/>
              <w:rPr>
                <w:color w:val="auto"/>
                <w:szCs w:val="21"/>
                <w:highlight w:val="none"/>
              </w:rPr>
            </w:pPr>
          </w:p>
        </w:tc>
        <w:tc>
          <w:tcPr>
            <w:tcW w:w="1834" w:type="dxa"/>
            <w:tcBorders>
              <w:top w:val="single" w:color="auto" w:sz="4" w:space="0"/>
              <w:left w:val="single" w:color="auto" w:sz="4" w:space="0"/>
              <w:bottom w:val="single" w:color="auto" w:sz="4" w:space="0"/>
              <w:right w:val="single" w:color="auto" w:sz="4" w:space="0"/>
            </w:tcBorders>
          </w:tcPr>
          <w:p w14:paraId="61857BD3">
            <w:pPr>
              <w:snapToGrid w:val="0"/>
              <w:spacing w:before="120" w:beforeLines="50" w:line="400" w:lineRule="exact"/>
              <w:rPr>
                <w:color w:val="auto"/>
                <w:szCs w:val="21"/>
                <w:highlight w:val="none"/>
              </w:rPr>
            </w:pPr>
          </w:p>
        </w:tc>
        <w:tc>
          <w:tcPr>
            <w:tcW w:w="2713" w:type="dxa"/>
            <w:tcBorders>
              <w:top w:val="single" w:color="auto" w:sz="4" w:space="0"/>
              <w:left w:val="single" w:color="auto" w:sz="4" w:space="0"/>
              <w:bottom w:val="single" w:color="auto" w:sz="4" w:space="0"/>
              <w:right w:val="single" w:color="auto" w:sz="4" w:space="0"/>
            </w:tcBorders>
          </w:tcPr>
          <w:p w14:paraId="286A0325">
            <w:pPr>
              <w:snapToGrid w:val="0"/>
              <w:spacing w:before="120" w:beforeLines="50" w:line="400" w:lineRule="exact"/>
              <w:rPr>
                <w:color w:val="auto"/>
                <w:szCs w:val="21"/>
                <w:highlight w:val="none"/>
              </w:rPr>
            </w:pPr>
          </w:p>
        </w:tc>
      </w:tr>
      <w:tr w14:paraId="6C5BC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2" w:type="dxa"/>
            <w:tcBorders>
              <w:top w:val="single" w:color="auto" w:sz="4" w:space="0"/>
              <w:left w:val="single" w:color="auto" w:sz="4" w:space="0"/>
              <w:bottom w:val="single" w:color="auto" w:sz="4" w:space="0"/>
              <w:right w:val="single" w:color="auto" w:sz="4" w:space="0"/>
            </w:tcBorders>
            <w:vAlign w:val="center"/>
          </w:tcPr>
          <w:p w14:paraId="288D9308">
            <w:pPr>
              <w:spacing w:line="400" w:lineRule="exact"/>
              <w:jc w:val="center"/>
              <w:rPr>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tcPr>
          <w:p w14:paraId="2DCEA711">
            <w:pPr>
              <w:snapToGrid w:val="0"/>
              <w:spacing w:before="120" w:beforeLines="50" w:line="400" w:lineRule="exact"/>
              <w:rPr>
                <w:color w:val="auto"/>
                <w:szCs w:val="21"/>
                <w:highlight w:val="none"/>
              </w:rPr>
            </w:pPr>
          </w:p>
        </w:tc>
        <w:tc>
          <w:tcPr>
            <w:tcW w:w="1834" w:type="dxa"/>
            <w:tcBorders>
              <w:top w:val="single" w:color="auto" w:sz="4" w:space="0"/>
              <w:left w:val="single" w:color="auto" w:sz="4" w:space="0"/>
              <w:bottom w:val="single" w:color="auto" w:sz="4" w:space="0"/>
              <w:right w:val="single" w:color="auto" w:sz="4" w:space="0"/>
            </w:tcBorders>
          </w:tcPr>
          <w:p w14:paraId="3DE1AC52">
            <w:pPr>
              <w:snapToGrid w:val="0"/>
              <w:spacing w:before="120" w:beforeLines="50" w:line="400" w:lineRule="exact"/>
              <w:rPr>
                <w:color w:val="auto"/>
                <w:szCs w:val="21"/>
                <w:highlight w:val="none"/>
              </w:rPr>
            </w:pPr>
          </w:p>
        </w:tc>
        <w:tc>
          <w:tcPr>
            <w:tcW w:w="2713" w:type="dxa"/>
            <w:tcBorders>
              <w:top w:val="single" w:color="auto" w:sz="4" w:space="0"/>
              <w:left w:val="single" w:color="auto" w:sz="4" w:space="0"/>
              <w:bottom w:val="single" w:color="auto" w:sz="4" w:space="0"/>
              <w:right w:val="single" w:color="auto" w:sz="4" w:space="0"/>
            </w:tcBorders>
          </w:tcPr>
          <w:p w14:paraId="406D2E16">
            <w:pPr>
              <w:snapToGrid w:val="0"/>
              <w:spacing w:before="120" w:beforeLines="50" w:line="400" w:lineRule="exact"/>
              <w:rPr>
                <w:color w:val="auto"/>
                <w:szCs w:val="21"/>
                <w:highlight w:val="none"/>
              </w:rPr>
            </w:pPr>
          </w:p>
        </w:tc>
      </w:tr>
      <w:tr w14:paraId="06736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2" w:type="dxa"/>
            <w:tcBorders>
              <w:top w:val="single" w:color="auto" w:sz="4" w:space="0"/>
              <w:left w:val="single" w:color="auto" w:sz="4" w:space="0"/>
              <w:bottom w:val="single" w:color="auto" w:sz="4" w:space="0"/>
              <w:right w:val="single" w:color="auto" w:sz="4" w:space="0"/>
            </w:tcBorders>
            <w:vAlign w:val="center"/>
          </w:tcPr>
          <w:p w14:paraId="505A9614">
            <w:pPr>
              <w:spacing w:line="400" w:lineRule="exact"/>
              <w:jc w:val="center"/>
              <w:rPr>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tcPr>
          <w:p w14:paraId="467D47A2">
            <w:pPr>
              <w:snapToGrid w:val="0"/>
              <w:spacing w:before="120" w:beforeLines="50" w:line="400" w:lineRule="exact"/>
              <w:rPr>
                <w:color w:val="auto"/>
                <w:szCs w:val="21"/>
                <w:highlight w:val="none"/>
              </w:rPr>
            </w:pPr>
          </w:p>
        </w:tc>
        <w:tc>
          <w:tcPr>
            <w:tcW w:w="1834" w:type="dxa"/>
            <w:tcBorders>
              <w:top w:val="single" w:color="auto" w:sz="4" w:space="0"/>
              <w:left w:val="single" w:color="auto" w:sz="4" w:space="0"/>
              <w:bottom w:val="single" w:color="auto" w:sz="4" w:space="0"/>
              <w:right w:val="single" w:color="auto" w:sz="4" w:space="0"/>
            </w:tcBorders>
          </w:tcPr>
          <w:p w14:paraId="4176FB93">
            <w:pPr>
              <w:snapToGrid w:val="0"/>
              <w:spacing w:before="120" w:beforeLines="50" w:line="400" w:lineRule="exact"/>
              <w:rPr>
                <w:color w:val="auto"/>
                <w:szCs w:val="21"/>
                <w:highlight w:val="none"/>
              </w:rPr>
            </w:pPr>
          </w:p>
        </w:tc>
        <w:tc>
          <w:tcPr>
            <w:tcW w:w="2713" w:type="dxa"/>
            <w:tcBorders>
              <w:top w:val="single" w:color="auto" w:sz="4" w:space="0"/>
              <w:left w:val="single" w:color="auto" w:sz="4" w:space="0"/>
              <w:bottom w:val="single" w:color="auto" w:sz="4" w:space="0"/>
              <w:right w:val="single" w:color="auto" w:sz="4" w:space="0"/>
            </w:tcBorders>
          </w:tcPr>
          <w:p w14:paraId="72B31D41">
            <w:pPr>
              <w:snapToGrid w:val="0"/>
              <w:spacing w:before="120" w:beforeLines="50" w:line="400" w:lineRule="exact"/>
              <w:rPr>
                <w:color w:val="auto"/>
                <w:szCs w:val="21"/>
                <w:highlight w:val="none"/>
              </w:rPr>
            </w:pPr>
          </w:p>
        </w:tc>
      </w:tr>
      <w:tr w14:paraId="3DA39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2" w:type="dxa"/>
            <w:tcBorders>
              <w:top w:val="single" w:color="auto" w:sz="4" w:space="0"/>
              <w:left w:val="single" w:color="auto" w:sz="4" w:space="0"/>
              <w:bottom w:val="single" w:color="auto" w:sz="4" w:space="0"/>
              <w:right w:val="single" w:color="auto" w:sz="4" w:space="0"/>
            </w:tcBorders>
          </w:tcPr>
          <w:p w14:paraId="680062D3">
            <w:pPr>
              <w:snapToGrid w:val="0"/>
              <w:spacing w:before="120" w:beforeLines="50" w:line="400" w:lineRule="exact"/>
              <w:rPr>
                <w:color w:val="auto"/>
                <w:szCs w:val="21"/>
                <w:highlight w:val="none"/>
              </w:rPr>
            </w:pPr>
          </w:p>
        </w:tc>
        <w:tc>
          <w:tcPr>
            <w:tcW w:w="2977" w:type="dxa"/>
            <w:tcBorders>
              <w:top w:val="single" w:color="auto" w:sz="4" w:space="0"/>
              <w:left w:val="single" w:color="auto" w:sz="4" w:space="0"/>
              <w:bottom w:val="single" w:color="auto" w:sz="4" w:space="0"/>
              <w:right w:val="single" w:color="auto" w:sz="4" w:space="0"/>
            </w:tcBorders>
          </w:tcPr>
          <w:p w14:paraId="6430C172">
            <w:pPr>
              <w:snapToGrid w:val="0"/>
              <w:spacing w:before="120" w:beforeLines="50" w:line="400" w:lineRule="exact"/>
              <w:rPr>
                <w:color w:val="auto"/>
                <w:szCs w:val="21"/>
                <w:highlight w:val="none"/>
              </w:rPr>
            </w:pPr>
          </w:p>
        </w:tc>
        <w:tc>
          <w:tcPr>
            <w:tcW w:w="1834" w:type="dxa"/>
            <w:tcBorders>
              <w:top w:val="single" w:color="auto" w:sz="4" w:space="0"/>
              <w:left w:val="single" w:color="auto" w:sz="4" w:space="0"/>
              <w:bottom w:val="single" w:color="auto" w:sz="4" w:space="0"/>
              <w:right w:val="single" w:color="auto" w:sz="4" w:space="0"/>
            </w:tcBorders>
          </w:tcPr>
          <w:p w14:paraId="3967C4B0">
            <w:pPr>
              <w:snapToGrid w:val="0"/>
              <w:spacing w:before="120" w:beforeLines="50" w:line="400" w:lineRule="exact"/>
              <w:rPr>
                <w:color w:val="auto"/>
                <w:szCs w:val="21"/>
                <w:highlight w:val="none"/>
              </w:rPr>
            </w:pPr>
          </w:p>
        </w:tc>
        <w:tc>
          <w:tcPr>
            <w:tcW w:w="2713" w:type="dxa"/>
            <w:tcBorders>
              <w:top w:val="single" w:color="auto" w:sz="4" w:space="0"/>
              <w:left w:val="single" w:color="auto" w:sz="4" w:space="0"/>
              <w:bottom w:val="single" w:color="auto" w:sz="4" w:space="0"/>
              <w:right w:val="single" w:color="auto" w:sz="4" w:space="0"/>
            </w:tcBorders>
          </w:tcPr>
          <w:p w14:paraId="4D81EDBD">
            <w:pPr>
              <w:snapToGrid w:val="0"/>
              <w:spacing w:before="120" w:beforeLines="50" w:line="400" w:lineRule="exact"/>
              <w:rPr>
                <w:color w:val="auto"/>
                <w:szCs w:val="21"/>
                <w:highlight w:val="none"/>
              </w:rPr>
            </w:pPr>
          </w:p>
        </w:tc>
      </w:tr>
    </w:tbl>
    <w:p w14:paraId="18BA2A05">
      <w:pPr>
        <w:snapToGrid w:val="0"/>
        <w:spacing w:line="360" w:lineRule="auto"/>
        <w:rPr>
          <w:b/>
          <w:color w:val="auto"/>
          <w:szCs w:val="21"/>
          <w:highlight w:val="none"/>
        </w:rPr>
      </w:pPr>
      <w:r>
        <w:rPr>
          <w:b/>
          <w:color w:val="auto"/>
          <w:szCs w:val="21"/>
          <w:highlight w:val="none"/>
        </w:rPr>
        <w:t>注：投标人根据“第二章 采购需求” 中“一、商务需求”内容逐条响应。</w:t>
      </w:r>
    </w:p>
    <w:p w14:paraId="755EB83C">
      <w:pPr>
        <w:pStyle w:val="15"/>
        <w:spacing w:line="360" w:lineRule="auto"/>
        <w:ind w:left="404" w:hanging="404" w:hangingChars="200"/>
        <w:rPr>
          <w:rFonts w:ascii="Times New Roman"/>
          <w:color w:val="auto"/>
          <w:sz w:val="21"/>
          <w:szCs w:val="21"/>
          <w:highlight w:val="none"/>
        </w:rPr>
      </w:pPr>
    </w:p>
    <w:p w14:paraId="1008A4BB">
      <w:pPr>
        <w:widowControl/>
        <w:spacing w:line="360" w:lineRule="auto"/>
        <w:jc w:val="left"/>
        <w:rPr>
          <w:color w:val="auto"/>
          <w:sz w:val="24"/>
          <w:highlight w:val="none"/>
        </w:rPr>
      </w:pPr>
    </w:p>
    <w:p w14:paraId="5AEB5365">
      <w:pPr>
        <w:widowControl/>
        <w:spacing w:line="360" w:lineRule="auto"/>
        <w:jc w:val="left"/>
        <w:rPr>
          <w:color w:val="auto"/>
          <w:sz w:val="24"/>
          <w:highlight w:val="none"/>
        </w:rPr>
      </w:pPr>
      <w:r>
        <w:rPr>
          <w:color w:val="auto"/>
          <w:sz w:val="24"/>
          <w:highlight w:val="none"/>
        </w:rPr>
        <w:t>投标人（盖章）：</w:t>
      </w:r>
    </w:p>
    <w:p w14:paraId="5DE20176">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49F9F5E3">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731E75B4">
      <w:pPr>
        <w:widowControl/>
        <w:jc w:val="left"/>
        <w:rPr>
          <w:rStyle w:val="116"/>
          <w:color w:val="auto"/>
          <w:szCs w:val="21"/>
          <w:highlight w:val="none"/>
        </w:rPr>
      </w:pPr>
      <w:r>
        <w:rPr>
          <w:color w:val="auto"/>
          <w:sz w:val="24"/>
          <w:highlight w:val="none"/>
        </w:rPr>
        <w:br w:type="page"/>
      </w:r>
      <w:r>
        <w:rPr>
          <w:b/>
          <w:color w:val="auto"/>
          <w:highlight w:val="none"/>
        </w:rPr>
        <w:t>格式十：</w:t>
      </w:r>
      <w:r>
        <w:rPr>
          <w:color w:val="auto"/>
          <w:szCs w:val="21"/>
          <w:highlight w:val="none"/>
        </w:rPr>
        <w:t>技术条款响应表</w:t>
      </w:r>
    </w:p>
    <w:p w14:paraId="028529B5">
      <w:pPr>
        <w:snapToGrid w:val="0"/>
        <w:spacing w:line="360" w:lineRule="auto"/>
        <w:jc w:val="center"/>
        <w:rPr>
          <w:b/>
          <w:color w:val="auto"/>
          <w:sz w:val="24"/>
          <w:szCs w:val="21"/>
          <w:highlight w:val="none"/>
        </w:rPr>
      </w:pPr>
    </w:p>
    <w:p w14:paraId="281D189D">
      <w:pPr>
        <w:spacing w:before="120" w:after="120"/>
        <w:jc w:val="center"/>
        <w:rPr>
          <w:b/>
          <w:color w:val="auto"/>
          <w:sz w:val="24"/>
          <w:szCs w:val="21"/>
          <w:highlight w:val="none"/>
        </w:rPr>
      </w:pPr>
      <w:r>
        <w:rPr>
          <w:b/>
          <w:color w:val="auto"/>
          <w:sz w:val="24"/>
          <w:szCs w:val="21"/>
          <w:highlight w:val="none"/>
        </w:rPr>
        <w:t>技术条款响应表</w:t>
      </w:r>
    </w:p>
    <w:p w14:paraId="482AEDDB">
      <w:pPr>
        <w:snapToGrid w:val="0"/>
        <w:spacing w:line="360" w:lineRule="auto"/>
        <w:rPr>
          <w:b/>
          <w:bCs/>
          <w:color w:val="auto"/>
          <w:sz w:val="24"/>
          <w:szCs w:val="21"/>
          <w:highlight w:val="none"/>
        </w:rPr>
      </w:pPr>
      <w:r>
        <w:rPr>
          <w:color w:val="auto"/>
          <w:sz w:val="22"/>
          <w:szCs w:val="21"/>
          <w:highlight w:val="none"/>
        </w:rPr>
        <w:t>项目名称：</w:t>
      </w:r>
      <w:r>
        <w:rPr>
          <w:color w:val="auto"/>
          <w:sz w:val="22"/>
          <w:szCs w:val="21"/>
          <w:highlight w:val="none"/>
          <w:u w:val="single"/>
        </w:rPr>
        <w:t xml:space="preserve">              </w:t>
      </w:r>
      <w:r>
        <w:rPr>
          <w:color w:val="auto"/>
          <w:sz w:val="22"/>
          <w:szCs w:val="21"/>
          <w:highlight w:val="none"/>
        </w:rPr>
        <w:t xml:space="preserve"> 招标编号：</w:t>
      </w:r>
      <w:r>
        <w:rPr>
          <w:color w:val="auto"/>
          <w:sz w:val="22"/>
          <w:szCs w:val="21"/>
          <w:highlight w:val="none"/>
          <w:u w:val="single"/>
        </w:rPr>
        <w:t xml:space="preserve">           </w:t>
      </w:r>
      <w:r>
        <w:rPr>
          <w:color w:val="auto"/>
          <w:sz w:val="22"/>
          <w:szCs w:val="21"/>
          <w:highlight w:val="none"/>
        </w:rPr>
        <w:t xml:space="preserve">  标项：</w:t>
      </w:r>
      <w:r>
        <w:rPr>
          <w:color w:val="auto"/>
          <w:sz w:val="22"/>
          <w:szCs w:val="21"/>
          <w:highlight w:val="none"/>
          <w:u w:val="single"/>
        </w:rPr>
        <w:t xml:space="preserve">            </w:t>
      </w:r>
    </w:p>
    <w:tbl>
      <w:tblPr>
        <w:tblStyle w:val="36"/>
        <w:tblW w:w="974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5"/>
        <w:gridCol w:w="2892"/>
        <w:gridCol w:w="2410"/>
        <w:gridCol w:w="1559"/>
        <w:gridCol w:w="1701"/>
      </w:tblGrid>
      <w:tr w14:paraId="1411DB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trPr>
        <w:tc>
          <w:tcPr>
            <w:tcW w:w="1185" w:type="dxa"/>
            <w:vAlign w:val="center"/>
          </w:tcPr>
          <w:p w14:paraId="176345DD">
            <w:pPr>
              <w:spacing w:line="400" w:lineRule="exact"/>
              <w:jc w:val="center"/>
              <w:rPr>
                <w:color w:val="auto"/>
                <w:highlight w:val="none"/>
              </w:rPr>
            </w:pPr>
            <w:r>
              <w:rPr>
                <w:b/>
                <w:bCs/>
                <w:color w:val="auto"/>
                <w:szCs w:val="21"/>
                <w:highlight w:val="none"/>
              </w:rPr>
              <w:t>序号</w:t>
            </w:r>
          </w:p>
        </w:tc>
        <w:tc>
          <w:tcPr>
            <w:tcW w:w="2892" w:type="dxa"/>
            <w:vAlign w:val="center"/>
          </w:tcPr>
          <w:p w14:paraId="26F8E3AC">
            <w:pPr>
              <w:spacing w:line="400" w:lineRule="exact"/>
              <w:jc w:val="center"/>
              <w:rPr>
                <w:color w:val="auto"/>
                <w:highlight w:val="none"/>
              </w:rPr>
            </w:pPr>
            <w:r>
              <w:rPr>
                <w:b/>
                <w:bCs/>
                <w:color w:val="auto"/>
                <w:szCs w:val="21"/>
                <w:highlight w:val="none"/>
              </w:rPr>
              <w:t>招标要求</w:t>
            </w:r>
          </w:p>
        </w:tc>
        <w:tc>
          <w:tcPr>
            <w:tcW w:w="2410" w:type="dxa"/>
            <w:vAlign w:val="center"/>
          </w:tcPr>
          <w:p w14:paraId="45AFC74D">
            <w:pPr>
              <w:spacing w:line="400" w:lineRule="exact"/>
              <w:jc w:val="center"/>
              <w:rPr>
                <w:b/>
                <w:bCs/>
                <w:color w:val="auto"/>
                <w:szCs w:val="21"/>
                <w:highlight w:val="none"/>
              </w:rPr>
            </w:pPr>
            <w:r>
              <w:rPr>
                <w:b/>
                <w:bCs/>
                <w:color w:val="auto"/>
                <w:szCs w:val="21"/>
                <w:highlight w:val="none"/>
              </w:rPr>
              <w:t>投标响应</w:t>
            </w:r>
          </w:p>
        </w:tc>
        <w:tc>
          <w:tcPr>
            <w:tcW w:w="1559" w:type="dxa"/>
            <w:vAlign w:val="center"/>
          </w:tcPr>
          <w:p w14:paraId="3DC2F2E9">
            <w:pPr>
              <w:spacing w:line="400" w:lineRule="exact"/>
              <w:jc w:val="center"/>
              <w:rPr>
                <w:b/>
                <w:bCs/>
                <w:color w:val="auto"/>
                <w:szCs w:val="21"/>
                <w:highlight w:val="none"/>
              </w:rPr>
            </w:pPr>
            <w:r>
              <w:rPr>
                <w:b/>
                <w:bCs/>
                <w:color w:val="auto"/>
                <w:szCs w:val="21"/>
                <w:highlight w:val="none"/>
              </w:rPr>
              <w:t>偏离</w:t>
            </w:r>
          </w:p>
        </w:tc>
        <w:tc>
          <w:tcPr>
            <w:tcW w:w="1701" w:type="dxa"/>
          </w:tcPr>
          <w:p w14:paraId="3F09AD0D">
            <w:pPr>
              <w:spacing w:line="400" w:lineRule="exact"/>
              <w:jc w:val="center"/>
              <w:rPr>
                <w:b/>
                <w:bCs/>
                <w:color w:val="auto"/>
                <w:szCs w:val="21"/>
                <w:highlight w:val="none"/>
              </w:rPr>
            </w:pPr>
            <w:r>
              <w:rPr>
                <w:b/>
                <w:bCs/>
                <w:color w:val="auto"/>
                <w:szCs w:val="21"/>
                <w:highlight w:val="none"/>
              </w:rPr>
              <w:t>证明材料所在页码（如有）</w:t>
            </w:r>
          </w:p>
        </w:tc>
      </w:tr>
      <w:tr w14:paraId="778A2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trPr>
        <w:tc>
          <w:tcPr>
            <w:tcW w:w="1185" w:type="dxa"/>
            <w:vAlign w:val="center"/>
          </w:tcPr>
          <w:p w14:paraId="1A940463">
            <w:pPr>
              <w:widowControl/>
              <w:tabs>
                <w:tab w:val="left" w:pos="180"/>
                <w:tab w:val="left" w:pos="540"/>
              </w:tabs>
              <w:spacing w:line="400" w:lineRule="exact"/>
              <w:jc w:val="center"/>
              <w:rPr>
                <w:color w:val="auto"/>
                <w:highlight w:val="none"/>
              </w:rPr>
            </w:pPr>
          </w:p>
        </w:tc>
        <w:tc>
          <w:tcPr>
            <w:tcW w:w="2892" w:type="dxa"/>
          </w:tcPr>
          <w:p w14:paraId="40E105EC">
            <w:pPr>
              <w:widowControl/>
              <w:tabs>
                <w:tab w:val="left" w:pos="180"/>
                <w:tab w:val="left" w:pos="540"/>
              </w:tabs>
              <w:spacing w:line="400" w:lineRule="exact"/>
              <w:jc w:val="left"/>
              <w:rPr>
                <w:color w:val="auto"/>
                <w:highlight w:val="none"/>
              </w:rPr>
            </w:pPr>
          </w:p>
        </w:tc>
        <w:tc>
          <w:tcPr>
            <w:tcW w:w="2410" w:type="dxa"/>
          </w:tcPr>
          <w:p w14:paraId="44E7E0D5">
            <w:pPr>
              <w:widowControl/>
              <w:spacing w:line="400" w:lineRule="exact"/>
              <w:rPr>
                <w:b/>
                <w:bCs/>
                <w:color w:val="auto"/>
                <w:szCs w:val="21"/>
                <w:highlight w:val="none"/>
              </w:rPr>
            </w:pPr>
          </w:p>
        </w:tc>
        <w:tc>
          <w:tcPr>
            <w:tcW w:w="1559" w:type="dxa"/>
          </w:tcPr>
          <w:p w14:paraId="60F1A49D">
            <w:pPr>
              <w:widowControl/>
              <w:spacing w:line="400" w:lineRule="exact"/>
              <w:rPr>
                <w:b/>
                <w:bCs/>
                <w:color w:val="auto"/>
                <w:szCs w:val="21"/>
                <w:highlight w:val="none"/>
              </w:rPr>
            </w:pPr>
          </w:p>
        </w:tc>
        <w:tc>
          <w:tcPr>
            <w:tcW w:w="1701" w:type="dxa"/>
          </w:tcPr>
          <w:p w14:paraId="48BBC627">
            <w:pPr>
              <w:widowControl/>
              <w:spacing w:line="400" w:lineRule="exact"/>
              <w:rPr>
                <w:b/>
                <w:bCs/>
                <w:color w:val="auto"/>
                <w:szCs w:val="21"/>
                <w:highlight w:val="none"/>
              </w:rPr>
            </w:pPr>
          </w:p>
        </w:tc>
      </w:tr>
      <w:tr w14:paraId="584DE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736BAD4C">
            <w:pPr>
              <w:widowControl/>
              <w:tabs>
                <w:tab w:val="left" w:pos="180"/>
                <w:tab w:val="left" w:pos="540"/>
              </w:tabs>
              <w:spacing w:line="400" w:lineRule="exact"/>
              <w:jc w:val="center"/>
              <w:rPr>
                <w:color w:val="auto"/>
                <w:highlight w:val="none"/>
              </w:rPr>
            </w:pPr>
          </w:p>
        </w:tc>
        <w:tc>
          <w:tcPr>
            <w:tcW w:w="2892" w:type="dxa"/>
            <w:vAlign w:val="center"/>
          </w:tcPr>
          <w:p w14:paraId="6F0061C7">
            <w:pPr>
              <w:widowControl/>
              <w:tabs>
                <w:tab w:val="left" w:pos="180"/>
                <w:tab w:val="left" w:pos="540"/>
              </w:tabs>
              <w:spacing w:line="400" w:lineRule="exact"/>
              <w:jc w:val="left"/>
              <w:rPr>
                <w:color w:val="auto"/>
                <w:highlight w:val="none"/>
              </w:rPr>
            </w:pPr>
          </w:p>
        </w:tc>
        <w:tc>
          <w:tcPr>
            <w:tcW w:w="2410" w:type="dxa"/>
          </w:tcPr>
          <w:p w14:paraId="52E7EA45">
            <w:pPr>
              <w:widowControl/>
              <w:spacing w:line="400" w:lineRule="exact"/>
              <w:rPr>
                <w:b/>
                <w:bCs/>
                <w:color w:val="auto"/>
                <w:szCs w:val="21"/>
                <w:highlight w:val="none"/>
              </w:rPr>
            </w:pPr>
          </w:p>
        </w:tc>
        <w:tc>
          <w:tcPr>
            <w:tcW w:w="1559" w:type="dxa"/>
          </w:tcPr>
          <w:p w14:paraId="6D65B249">
            <w:pPr>
              <w:widowControl/>
              <w:spacing w:line="400" w:lineRule="exact"/>
              <w:rPr>
                <w:b/>
                <w:bCs/>
                <w:color w:val="auto"/>
                <w:szCs w:val="21"/>
                <w:highlight w:val="none"/>
              </w:rPr>
            </w:pPr>
          </w:p>
        </w:tc>
        <w:tc>
          <w:tcPr>
            <w:tcW w:w="1701" w:type="dxa"/>
          </w:tcPr>
          <w:p w14:paraId="10176F26">
            <w:pPr>
              <w:widowControl/>
              <w:spacing w:line="400" w:lineRule="exact"/>
              <w:rPr>
                <w:b/>
                <w:bCs/>
                <w:color w:val="auto"/>
                <w:szCs w:val="21"/>
                <w:highlight w:val="none"/>
              </w:rPr>
            </w:pPr>
          </w:p>
        </w:tc>
      </w:tr>
      <w:tr w14:paraId="4EDC0C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6A7CB35A">
            <w:pPr>
              <w:widowControl/>
              <w:tabs>
                <w:tab w:val="left" w:pos="180"/>
                <w:tab w:val="left" w:pos="540"/>
              </w:tabs>
              <w:spacing w:line="400" w:lineRule="exact"/>
              <w:jc w:val="center"/>
              <w:rPr>
                <w:color w:val="auto"/>
                <w:highlight w:val="none"/>
              </w:rPr>
            </w:pPr>
          </w:p>
        </w:tc>
        <w:tc>
          <w:tcPr>
            <w:tcW w:w="2892" w:type="dxa"/>
            <w:vAlign w:val="center"/>
          </w:tcPr>
          <w:p w14:paraId="29FEA60D">
            <w:pPr>
              <w:widowControl/>
              <w:tabs>
                <w:tab w:val="left" w:pos="180"/>
                <w:tab w:val="left" w:pos="540"/>
              </w:tabs>
              <w:spacing w:line="400" w:lineRule="exact"/>
              <w:jc w:val="left"/>
              <w:rPr>
                <w:color w:val="auto"/>
                <w:highlight w:val="none"/>
              </w:rPr>
            </w:pPr>
          </w:p>
        </w:tc>
        <w:tc>
          <w:tcPr>
            <w:tcW w:w="2410" w:type="dxa"/>
          </w:tcPr>
          <w:p w14:paraId="4F35D358">
            <w:pPr>
              <w:widowControl/>
              <w:spacing w:line="400" w:lineRule="exact"/>
              <w:rPr>
                <w:b/>
                <w:bCs/>
                <w:color w:val="auto"/>
                <w:szCs w:val="21"/>
                <w:highlight w:val="none"/>
              </w:rPr>
            </w:pPr>
          </w:p>
        </w:tc>
        <w:tc>
          <w:tcPr>
            <w:tcW w:w="1559" w:type="dxa"/>
          </w:tcPr>
          <w:p w14:paraId="48FBDB77">
            <w:pPr>
              <w:widowControl/>
              <w:spacing w:line="400" w:lineRule="exact"/>
              <w:rPr>
                <w:b/>
                <w:bCs/>
                <w:color w:val="auto"/>
                <w:szCs w:val="21"/>
                <w:highlight w:val="none"/>
              </w:rPr>
            </w:pPr>
          </w:p>
        </w:tc>
        <w:tc>
          <w:tcPr>
            <w:tcW w:w="1701" w:type="dxa"/>
          </w:tcPr>
          <w:p w14:paraId="59E9392B">
            <w:pPr>
              <w:widowControl/>
              <w:spacing w:line="400" w:lineRule="exact"/>
              <w:rPr>
                <w:b/>
                <w:bCs/>
                <w:color w:val="auto"/>
                <w:szCs w:val="21"/>
                <w:highlight w:val="none"/>
              </w:rPr>
            </w:pPr>
          </w:p>
        </w:tc>
      </w:tr>
      <w:tr w14:paraId="23D0C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42E2B9EB">
            <w:pPr>
              <w:widowControl/>
              <w:tabs>
                <w:tab w:val="left" w:pos="180"/>
                <w:tab w:val="left" w:pos="540"/>
              </w:tabs>
              <w:spacing w:line="400" w:lineRule="exact"/>
              <w:jc w:val="center"/>
              <w:rPr>
                <w:color w:val="auto"/>
                <w:highlight w:val="none"/>
              </w:rPr>
            </w:pPr>
          </w:p>
        </w:tc>
        <w:tc>
          <w:tcPr>
            <w:tcW w:w="2892" w:type="dxa"/>
            <w:vAlign w:val="center"/>
          </w:tcPr>
          <w:p w14:paraId="4554CD39">
            <w:pPr>
              <w:widowControl/>
              <w:tabs>
                <w:tab w:val="left" w:pos="180"/>
                <w:tab w:val="left" w:pos="540"/>
              </w:tabs>
              <w:spacing w:line="400" w:lineRule="exact"/>
              <w:jc w:val="left"/>
              <w:rPr>
                <w:color w:val="auto"/>
                <w:highlight w:val="none"/>
              </w:rPr>
            </w:pPr>
          </w:p>
        </w:tc>
        <w:tc>
          <w:tcPr>
            <w:tcW w:w="2410" w:type="dxa"/>
          </w:tcPr>
          <w:p w14:paraId="7549E23D">
            <w:pPr>
              <w:widowControl/>
              <w:spacing w:line="400" w:lineRule="exact"/>
              <w:rPr>
                <w:b/>
                <w:bCs/>
                <w:color w:val="auto"/>
                <w:szCs w:val="21"/>
                <w:highlight w:val="none"/>
              </w:rPr>
            </w:pPr>
          </w:p>
        </w:tc>
        <w:tc>
          <w:tcPr>
            <w:tcW w:w="1559" w:type="dxa"/>
          </w:tcPr>
          <w:p w14:paraId="14ABB530">
            <w:pPr>
              <w:widowControl/>
              <w:spacing w:line="400" w:lineRule="exact"/>
              <w:rPr>
                <w:b/>
                <w:bCs/>
                <w:color w:val="auto"/>
                <w:szCs w:val="21"/>
                <w:highlight w:val="none"/>
              </w:rPr>
            </w:pPr>
          </w:p>
        </w:tc>
        <w:tc>
          <w:tcPr>
            <w:tcW w:w="1701" w:type="dxa"/>
          </w:tcPr>
          <w:p w14:paraId="09383CC1">
            <w:pPr>
              <w:widowControl/>
              <w:spacing w:line="400" w:lineRule="exact"/>
              <w:rPr>
                <w:b/>
                <w:bCs/>
                <w:color w:val="auto"/>
                <w:szCs w:val="21"/>
                <w:highlight w:val="none"/>
              </w:rPr>
            </w:pPr>
          </w:p>
        </w:tc>
      </w:tr>
      <w:tr w14:paraId="344426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6D23003C">
            <w:pPr>
              <w:widowControl/>
              <w:spacing w:line="400" w:lineRule="exact"/>
              <w:jc w:val="center"/>
              <w:rPr>
                <w:color w:val="auto"/>
                <w:highlight w:val="none"/>
              </w:rPr>
            </w:pPr>
          </w:p>
        </w:tc>
        <w:tc>
          <w:tcPr>
            <w:tcW w:w="2892" w:type="dxa"/>
            <w:vAlign w:val="center"/>
          </w:tcPr>
          <w:p w14:paraId="2488E0F3">
            <w:pPr>
              <w:widowControl/>
              <w:spacing w:line="400" w:lineRule="exact"/>
              <w:rPr>
                <w:color w:val="auto"/>
                <w:highlight w:val="none"/>
              </w:rPr>
            </w:pPr>
          </w:p>
        </w:tc>
        <w:tc>
          <w:tcPr>
            <w:tcW w:w="2410" w:type="dxa"/>
          </w:tcPr>
          <w:p w14:paraId="1A4C7F0B">
            <w:pPr>
              <w:widowControl/>
              <w:spacing w:line="400" w:lineRule="exact"/>
              <w:rPr>
                <w:b/>
                <w:bCs/>
                <w:color w:val="auto"/>
                <w:szCs w:val="21"/>
                <w:highlight w:val="none"/>
              </w:rPr>
            </w:pPr>
          </w:p>
        </w:tc>
        <w:tc>
          <w:tcPr>
            <w:tcW w:w="1559" w:type="dxa"/>
          </w:tcPr>
          <w:p w14:paraId="37F44653">
            <w:pPr>
              <w:widowControl/>
              <w:spacing w:line="400" w:lineRule="exact"/>
              <w:rPr>
                <w:b/>
                <w:bCs/>
                <w:color w:val="auto"/>
                <w:szCs w:val="21"/>
                <w:highlight w:val="none"/>
              </w:rPr>
            </w:pPr>
          </w:p>
        </w:tc>
        <w:tc>
          <w:tcPr>
            <w:tcW w:w="1701" w:type="dxa"/>
          </w:tcPr>
          <w:p w14:paraId="630C5B75">
            <w:pPr>
              <w:widowControl/>
              <w:spacing w:line="400" w:lineRule="exact"/>
              <w:rPr>
                <w:b/>
                <w:bCs/>
                <w:color w:val="auto"/>
                <w:szCs w:val="21"/>
                <w:highlight w:val="none"/>
              </w:rPr>
            </w:pPr>
          </w:p>
        </w:tc>
      </w:tr>
      <w:tr w14:paraId="2CCD89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5EF4E020">
            <w:pPr>
              <w:widowControl/>
              <w:spacing w:line="400" w:lineRule="exact"/>
              <w:jc w:val="center"/>
              <w:rPr>
                <w:color w:val="auto"/>
                <w:highlight w:val="none"/>
              </w:rPr>
            </w:pPr>
          </w:p>
        </w:tc>
        <w:tc>
          <w:tcPr>
            <w:tcW w:w="2892" w:type="dxa"/>
            <w:vAlign w:val="center"/>
          </w:tcPr>
          <w:p w14:paraId="41988E59">
            <w:pPr>
              <w:widowControl/>
              <w:spacing w:line="400" w:lineRule="exact"/>
              <w:rPr>
                <w:color w:val="auto"/>
                <w:highlight w:val="none"/>
              </w:rPr>
            </w:pPr>
          </w:p>
        </w:tc>
        <w:tc>
          <w:tcPr>
            <w:tcW w:w="2410" w:type="dxa"/>
          </w:tcPr>
          <w:p w14:paraId="07BFF388">
            <w:pPr>
              <w:widowControl/>
              <w:spacing w:line="400" w:lineRule="exact"/>
              <w:rPr>
                <w:b/>
                <w:bCs/>
                <w:color w:val="auto"/>
                <w:szCs w:val="21"/>
                <w:highlight w:val="none"/>
              </w:rPr>
            </w:pPr>
          </w:p>
        </w:tc>
        <w:tc>
          <w:tcPr>
            <w:tcW w:w="1559" w:type="dxa"/>
          </w:tcPr>
          <w:p w14:paraId="50FA8DE5">
            <w:pPr>
              <w:widowControl/>
              <w:spacing w:line="400" w:lineRule="exact"/>
              <w:rPr>
                <w:b/>
                <w:bCs/>
                <w:color w:val="auto"/>
                <w:szCs w:val="21"/>
                <w:highlight w:val="none"/>
              </w:rPr>
            </w:pPr>
          </w:p>
        </w:tc>
        <w:tc>
          <w:tcPr>
            <w:tcW w:w="1701" w:type="dxa"/>
          </w:tcPr>
          <w:p w14:paraId="68F883B8">
            <w:pPr>
              <w:widowControl/>
              <w:spacing w:line="400" w:lineRule="exact"/>
              <w:rPr>
                <w:b/>
                <w:bCs/>
                <w:color w:val="auto"/>
                <w:szCs w:val="21"/>
                <w:highlight w:val="none"/>
              </w:rPr>
            </w:pPr>
          </w:p>
        </w:tc>
      </w:tr>
      <w:tr w14:paraId="2F2B3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495DAC19">
            <w:pPr>
              <w:widowControl/>
              <w:spacing w:line="400" w:lineRule="exact"/>
              <w:jc w:val="center"/>
              <w:rPr>
                <w:color w:val="auto"/>
                <w:highlight w:val="none"/>
              </w:rPr>
            </w:pPr>
          </w:p>
        </w:tc>
        <w:tc>
          <w:tcPr>
            <w:tcW w:w="2892" w:type="dxa"/>
            <w:vAlign w:val="center"/>
          </w:tcPr>
          <w:p w14:paraId="21A1F300">
            <w:pPr>
              <w:widowControl/>
              <w:spacing w:line="400" w:lineRule="exact"/>
              <w:rPr>
                <w:color w:val="auto"/>
                <w:highlight w:val="none"/>
              </w:rPr>
            </w:pPr>
          </w:p>
        </w:tc>
        <w:tc>
          <w:tcPr>
            <w:tcW w:w="2410" w:type="dxa"/>
          </w:tcPr>
          <w:p w14:paraId="4C6BCFA8">
            <w:pPr>
              <w:widowControl/>
              <w:spacing w:line="400" w:lineRule="exact"/>
              <w:rPr>
                <w:b/>
                <w:bCs/>
                <w:color w:val="auto"/>
                <w:szCs w:val="21"/>
                <w:highlight w:val="none"/>
              </w:rPr>
            </w:pPr>
          </w:p>
        </w:tc>
        <w:tc>
          <w:tcPr>
            <w:tcW w:w="1559" w:type="dxa"/>
          </w:tcPr>
          <w:p w14:paraId="0FEBCF04">
            <w:pPr>
              <w:widowControl/>
              <w:spacing w:line="400" w:lineRule="exact"/>
              <w:rPr>
                <w:b/>
                <w:bCs/>
                <w:color w:val="auto"/>
                <w:szCs w:val="21"/>
                <w:highlight w:val="none"/>
              </w:rPr>
            </w:pPr>
          </w:p>
        </w:tc>
        <w:tc>
          <w:tcPr>
            <w:tcW w:w="1701" w:type="dxa"/>
          </w:tcPr>
          <w:p w14:paraId="5786F689">
            <w:pPr>
              <w:widowControl/>
              <w:spacing w:line="400" w:lineRule="exact"/>
              <w:rPr>
                <w:b/>
                <w:bCs/>
                <w:color w:val="auto"/>
                <w:szCs w:val="21"/>
                <w:highlight w:val="none"/>
              </w:rPr>
            </w:pPr>
          </w:p>
        </w:tc>
      </w:tr>
      <w:tr w14:paraId="5725C0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6646E044">
            <w:pPr>
              <w:widowControl/>
              <w:spacing w:line="400" w:lineRule="exact"/>
              <w:jc w:val="center"/>
              <w:rPr>
                <w:color w:val="auto"/>
                <w:highlight w:val="none"/>
              </w:rPr>
            </w:pPr>
          </w:p>
        </w:tc>
        <w:tc>
          <w:tcPr>
            <w:tcW w:w="2892" w:type="dxa"/>
            <w:vAlign w:val="center"/>
          </w:tcPr>
          <w:p w14:paraId="6C9AEB47">
            <w:pPr>
              <w:widowControl/>
              <w:spacing w:line="400" w:lineRule="exact"/>
              <w:rPr>
                <w:color w:val="auto"/>
                <w:highlight w:val="none"/>
              </w:rPr>
            </w:pPr>
          </w:p>
        </w:tc>
        <w:tc>
          <w:tcPr>
            <w:tcW w:w="2410" w:type="dxa"/>
          </w:tcPr>
          <w:p w14:paraId="21FDA9C4">
            <w:pPr>
              <w:widowControl/>
              <w:spacing w:line="400" w:lineRule="exact"/>
              <w:rPr>
                <w:b/>
                <w:bCs/>
                <w:color w:val="auto"/>
                <w:szCs w:val="21"/>
                <w:highlight w:val="none"/>
              </w:rPr>
            </w:pPr>
          </w:p>
        </w:tc>
        <w:tc>
          <w:tcPr>
            <w:tcW w:w="1559" w:type="dxa"/>
          </w:tcPr>
          <w:p w14:paraId="14712A89">
            <w:pPr>
              <w:widowControl/>
              <w:spacing w:line="400" w:lineRule="exact"/>
              <w:rPr>
                <w:b/>
                <w:bCs/>
                <w:color w:val="auto"/>
                <w:szCs w:val="21"/>
                <w:highlight w:val="none"/>
              </w:rPr>
            </w:pPr>
          </w:p>
        </w:tc>
        <w:tc>
          <w:tcPr>
            <w:tcW w:w="1701" w:type="dxa"/>
          </w:tcPr>
          <w:p w14:paraId="2C220630">
            <w:pPr>
              <w:widowControl/>
              <w:spacing w:line="400" w:lineRule="exact"/>
              <w:rPr>
                <w:b/>
                <w:bCs/>
                <w:color w:val="auto"/>
                <w:szCs w:val="21"/>
                <w:highlight w:val="none"/>
              </w:rPr>
            </w:pPr>
          </w:p>
        </w:tc>
      </w:tr>
      <w:tr w14:paraId="50478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4291646E">
            <w:pPr>
              <w:widowControl/>
              <w:spacing w:line="400" w:lineRule="exact"/>
              <w:jc w:val="center"/>
              <w:rPr>
                <w:color w:val="auto"/>
                <w:highlight w:val="none"/>
              </w:rPr>
            </w:pPr>
          </w:p>
        </w:tc>
        <w:tc>
          <w:tcPr>
            <w:tcW w:w="2892" w:type="dxa"/>
            <w:vAlign w:val="center"/>
          </w:tcPr>
          <w:p w14:paraId="21965C65">
            <w:pPr>
              <w:widowControl/>
              <w:spacing w:line="400" w:lineRule="exact"/>
              <w:rPr>
                <w:color w:val="auto"/>
                <w:highlight w:val="none"/>
              </w:rPr>
            </w:pPr>
          </w:p>
        </w:tc>
        <w:tc>
          <w:tcPr>
            <w:tcW w:w="2410" w:type="dxa"/>
          </w:tcPr>
          <w:p w14:paraId="6C192617">
            <w:pPr>
              <w:widowControl/>
              <w:spacing w:line="400" w:lineRule="exact"/>
              <w:rPr>
                <w:b/>
                <w:bCs/>
                <w:color w:val="auto"/>
                <w:szCs w:val="21"/>
                <w:highlight w:val="none"/>
              </w:rPr>
            </w:pPr>
          </w:p>
        </w:tc>
        <w:tc>
          <w:tcPr>
            <w:tcW w:w="1559" w:type="dxa"/>
          </w:tcPr>
          <w:p w14:paraId="259E3AA3">
            <w:pPr>
              <w:widowControl/>
              <w:spacing w:line="400" w:lineRule="exact"/>
              <w:rPr>
                <w:b/>
                <w:bCs/>
                <w:color w:val="auto"/>
                <w:szCs w:val="21"/>
                <w:highlight w:val="none"/>
              </w:rPr>
            </w:pPr>
          </w:p>
        </w:tc>
        <w:tc>
          <w:tcPr>
            <w:tcW w:w="1701" w:type="dxa"/>
          </w:tcPr>
          <w:p w14:paraId="412EA8CF">
            <w:pPr>
              <w:widowControl/>
              <w:spacing w:line="400" w:lineRule="exact"/>
              <w:rPr>
                <w:b/>
                <w:bCs/>
                <w:color w:val="auto"/>
                <w:szCs w:val="21"/>
                <w:highlight w:val="none"/>
              </w:rPr>
            </w:pPr>
          </w:p>
        </w:tc>
      </w:tr>
      <w:tr w14:paraId="0898EC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005CCE55">
            <w:pPr>
              <w:widowControl/>
              <w:spacing w:line="400" w:lineRule="exact"/>
              <w:jc w:val="center"/>
              <w:rPr>
                <w:color w:val="auto"/>
                <w:highlight w:val="none"/>
              </w:rPr>
            </w:pPr>
          </w:p>
        </w:tc>
        <w:tc>
          <w:tcPr>
            <w:tcW w:w="2892" w:type="dxa"/>
            <w:vAlign w:val="center"/>
          </w:tcPr>
          <w:p w14:paraId="403DB032">
            <w:pPr>
              <w:widowControl/>
              <w:spacing w:line="400" w:lineRule="exact"/>
              <w:rPr>
                <w:color w:val="auto"/>
                <w:highlight w:val="none"/>
              </w:rPr>
            </w:pPr>
          </w:p>
        </w:tc>
        <w:tc>
          <w:tcPr>
            <w:tcW w:w="2410" w:type="dxa"/>
          </w:tcPr>
          <w:p w14:paraId="655CD86C">
            <w:pPr>
              <w:widowControl/>
              <w:spacing w:line="400" w:lineRule="exact"/>
              <w:rPr>
                <w:b/>
                <w:bCs/>
                <w:color w:val="auto"/>
                <w:szCs w:val="21"/>
                <w:highlight w:val="none"/>
              </w:rPr>
            </w:pPr>
          </w:p>
        </w:tc>
        <w:tc>
          <w:tcPr>
            <w:tcW w:w="1559" w:type="dxa"/>
          </w:tcPr>
          <w:p w14:paraId="656C3FFC">
            <w:pPr>
              <w:widowControl/>
              <w:spacing w:line="400" w:lineRule="exact"/>
              <w:rPr>
                <w:b/>
                <w:bCs/>
                <w:color w:val="auto"/>
                <w:szCs w:val="21"/>
                <w:highlight w:val="none"/>
              </w:rPr>
            </w:pPr>
          </w:p>
        </w:tc>
        <w:tc>
          <w:tcPr>
            <w:tcW w:w="1701" w:type="dxa"/>
          </w:tcPr>
          <w:p w14:paraId="07BF40D3">
            <w:pPr>
              <w:widowControl/>
              <w:spacing w:line="400" w:lineRule="exact"/>
              <w:rPr>
                <w:b/>
                <w:bCs/>
                <w:color w:val="auto"/>
                <w:szCs w:val="21"/>
                <w:highlight w:val="none"/>
              </w:rPr>
            </w:pPr>
          </w:p>
        </w:tc>
      </w:tr>
      <w:tr w14:paraId="75F9F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55E2120D">
            <w:pPr>
              <w:widowControl/>
              <w:spacing w:line="400" w:lineRule="exact"/>
              <w:jc w:val="center"/>
              <w:rPr>
                <w:color w:val="auto"/>
                <w:highlight w:val="none"/>
              </w:rPr>
            </w:pPr>
          </w:p>
        </w:tc>
        <w:tc>
          <w:tcPr>
            <w:tcW w:w="2892" w:type="dxa"/>
            <w:vAlign w:val="center"/>
          </w:tcPr>
          <w:p w14:paraId="2B45EC94">
            <w:pPr>
              <w:widowControl/>
              <w:spacing w:line="400" w:lineRule="exact"/>
              <w:rPr>
                <w:color w:val="auto"/>
                <w:highlight w:val="none"/>
              </w:rPr>
            </w:pPr>
          </w:p>
        </w:tc>
        <w:tc>
          <w:tcPr>
            <w:tcW w:w="2410" w:type="dxa"/>
          </w:tcPr>
          <w:p w14:paraId="74AE3881">
            <w:pPr>
              <w:widowControl/>
              <w:spacing w:line="400" w:lineRule="exact"/>
              <w:rPr>
                <w:b/>
                <w:bCs/>
                <w:color w:val="auto"/>
                <w:szCs w:val="21"/>
                <w:highlight w:val="none"/>
              </w:rPr>
            </w:pPr>
          </w:p>
        </w:tc>
        <w:tc>
          <w:tcPr>
            <w:tcW w:w="1559" w:type="dxa"/>
          </w:tcPr>
          <w:p w14:paraId="5C3D40F1">
            <w:pPr>
              <w:widowControl/>
              <w:spacing w:line="400" w:lineRule="exact"/>
              <w:rPr>
                <w:b/>
                <w:bCs/>
                <w:color w:val="auto"/>
                <w:szCs w:val="21"/>
                <w:highlight w:val="none"/>
              </w:rPr>
            </w:pPr>
          </w:p>
        </w:tc>
        <w:tc>
          <w:tcPr>
            <w:tcW w:w="1701" w:type="dxa"/>
          </w:tcPr>
          <w:p w14:paraId="4C658A51">
            <w:pPr>
              <w:widowControl/>
              <w:spacing w:line="400" w:lineRule="exact"/>
              <w:rPr>
                <w:b/>
                <w:bCs/>
                <w:color w:val="auto"/>
                <w:szCs w:val="21"/>
                <w:highlight w:val="none"/>
              </w:rPr>
            </w:pPr>
          </w:p>
        </w:tc>
      </w:tr>
      <w:tr w14:paraId="0F81C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4577B944">
            <w:pPr>
              <w:widowControl/>
              <w:spacing w:line="400" w:lineRule="exact"/>
              <w:jc w:val="center"/>
              <w:rPr>
                <w:color w:val="auto"/>
                <w:highlight w:val="none"/>
              </w:rPr>
            </w:pPr>
          </w:p>
        </w:tc>
        <w:tc>
          <w:tcPr>
            <w:tcW w:w="2892" w:type="dxa"/>
            <w:vAlign w:val="center"/>
          </w:tcPr>
          <w:p w14:paraId="119FBDC6">
            <w:pPr>
              <w:widowControl/>
              <w:spacing w:line="400" w:lineRule="exact"/>
              <w:rPr>
                <w:color w:val="auto"/>
                <w:highlight w:val="none"/>
              </w:rPr>
            </w:pPr>
          </w:p>
        </w:tc>
        <w:tc>
          <w:tcPr>
            <w:tcW w:w="2410" w:type="dxa"/>
          </w:tcPr>
          <w:p w14:paraId="67919D62">
            <w:pPr>
              <w:widowControl/>
              <w:spacing w:line="400" w:lineRule="exact"/>
              <w:rPr>
                <w:b/>
                <w:bCs/>
                <w:color w:val="auto"/>
                <w:szCs w:val="21"/>
                <w:highlight w:val="none"/>
              </w:rPr>
            </w:pPr>
          </w:p>
        </w:tc>
        <w:tc>
          <w:tcPr>
            <w:tcW w:w="1559" w:type="dxa"/>
          </w:tcPr>
          <w:p w14:paraId="4F6BC0C9">
            <w:pPr>
              <w:widowControl/>
              <w:spacing w:line="400" w:lineRule="exact"/>
              <w:rPr>
                <w:b/>
                <w:bCs/>
                <w:color w:val="auto"/>
                <w:szCs w:val="21"/>
                <w:highlight w:val="none"/>
              </w:rPr>
            </w:pPr>
          </w:p>
        </w:tc>
        <w:tc>
          <w:tcPr>
            <w:tcW w:w="1701" w:type="dxa"/>
          </w:tcPr>
          <w:p w14:paraId="05BF53AD">
            <w:pPr>
              <w:widowControl/>
              <w:spacing w:line="400" w:lineRule="exact"/>
              <w:rPr>
                <w:b/>
                <w:bCs/>
                <w:color w:val="auto"/>
                <w:szCs w:val="21"/>
                <w:highlight w:val="none"/>
              </w:rPr>
            </w:pPr>
          </w:p>
        </w:tc>
      </w:tr>
      <w:tr w14:paraId="66F5D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509352B7">
            <w:pPr>
              <w:widowControl/>
              <w:spacing w:line="400" w:lineRule="exact"/>
              <w:jc w:val="center"/>
              <w:rPr>
                <w:color w:val="auto"/>
                <w:highlight w:val="none"/>
              </w:rPr>
            </w:pPr>
          </w:p>
        </w:tc>
        <w:tc>
          <w:tcPr>
            <w:tcW w:w="2892" w:type="dxa"/>
            <w:vAlign w:val="center"/>
          </w:tcPr>
          <w:p w14:paraId="743A5AF6">
            <w:pPr>
              <w:widowControl/>
              <w:spacing w:line="400" w:lineRule="exact"/>
              <w:rPr>
                <w:color w:val="auto"/>
                <w:highlight w:val="none"/>
              </w:rPr>
            </w:pPr>
          </w:p>
        </w:tc>
        <w:tc>
          <w:tcPr>
            <w:tcW w:w="2410" w:type="dxa"/>
          </w:tcPr>
          <w:p w14:paraId="69F16995">
            <w:pPr>
              <w:widowControl/>
              <w:spacing w:line="400" w:lineRule="exact"/>
              <w:rPr>
                <w:b/>
                <w:bCs/>
                <w:color w:val="auto"/>
                <w:szCs w:val="21"/>
                <w:highlight w:val="none"/>
              </w:rPr>
            </w:pPr>
          </w:p>
        </w:tc>
        <w:tc>
          <w:tcPr>
            <w:tcW w:w="1559" w:type="dxa"/>
          </w:tcPr>
          <w:p w14:paraId="0F4E4BD8">
            <w:pPr>
              <w:widowControl/>
              <w:spacing w:line="400" w:lineRule="exact"/>
              <w:rPr>
                <w:b/>
                <w:bCs/>
                <w:color w:val="auto"/>
                <w:szCs w:val="21"/>
                <w:highlight w:val="none"/>
              </w:rPr>
            </w:pPr>
          </w:p>
        </w:tc>
        <w:tc>
          <w:tcPr>
            <w:tcW w:w="1701" w:type="dxa"/>
          </w:tcPr>
          <w:p w14:paraId="2775AA75">
            <w:pPr>
              <w:widowControl/>
              <w:spacing w:line="400" w:lineRule="exact"/>
              <w:rPr>
                <w:b/>
                <w:bCs/>
                <w:color w:val="auto"/>
                <w:szCs w:val="21"/>
                <w:highlight w:val="none"/>
              </w:rPr>
            </w:pPr>
          </w:p>
        </w:tc>
      </w:tr>
      <w:tr w14:paraId="2547BC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2760C20B">
            <w:pPr>
              <w:widowControl/>
              <w:spacing w:line="400" w:lineRule="exact"/>
              <w:jc w:val="center"/>
              <w:rPr>
                <w:color w:val="auto"/>
                <w:highlight w:val="none"/>
              </w:rPr>
            </w:pPr>
          </w:p>
        </w:tc>
        <w:tc>
          <w:tcPr>
            <w:tcW w:w="2892" w:type="dxa"/>
            <w:vAlign w:val="center"/>
          </w:tcPr>
          <w:p w14:paraId="350A09FA">
            <w:pPr>
              <w:widowControl/>
              <w:spacing w:line="400" w:lineRule="exact"/>
              <w:rPr>
                <w:color w:val="auto"/>
                <w:highlight w:val="none"/>
              </w:rPr>
            </w:pPr>
          </w:p>
        </w:tc>
        <w:tc>
          <w:tcPr>
            <w:tcW w:w="2410" w:type="dxa"/>
          </w:tcPr>
          <w:p w14:paraId="55E5241E">
            <w:pPr>
              <w:widowControl/>
              <w:spacing w:line="400" w:lineRule="exact"/>
              <w:rPr>
                <w:b/>
                <w:bCs/>
                <w:color w:val="auto"/>
                <w:szCs w:val="21"/>
                <w:highlight w:val="none"/>
              </w:rPr>
            </w:pPr>
          </w:p>
        </w:tc>
        <w:tc>
          <w:tcPr>
            <w:tcW w:w="1559" w:type="dxa"/>
          </w:tcPr>
          <w:p w14:paraId="1670BC9B">
            <w:pPr>
              <w:widowControl/>
              <w:spacing w:line="400" w:lineRule="exact"/>
              <w:rPr>
                <w:b/>
                <w:bCs/>
                <w:color w:val="auto"/>
                <w:szCs w:val="21"/>
                <w:highlight w:val="none"/>
              </w:rPr>
            </w:pPr>
          </w:p>
        </w:tc>
        <w:tc>
          <w:tcPr>
            <w:tcW w:w="1701" w:type="dxa"/>
          </w:tcPr>
          <w:p w14:paraId="4D05F744">
            <w:pPr>
              <w:widowControl/>
              <w:spacing w:line="400" w:lineRule="exact"/>
              <w:rPr>
                <w:b/>
                <w:bCs/>
                <w:color w:val="auto"/>
                <w:szCs w:val="21"/>
                <w:highlight w:val="none"/>
              </w:rPr>
            </w:pPr>
          </w:p>
        </w:tc>
      </w:tr>
      <w:tr w14:paraId="02735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0144CC0B">
            <w:pPr>
              <w:widowControl/>
              <w:spacing w:line="400" w:lineRule="exact"/>
              <w:jc w:val="center"/>
              <w:rPr>
                <w:color w:val="auto"/>
                <w:highlight w:val="none"/>
              </w:rPr>
            </w:pPr>
          </w:p>
        </w:tc>
        <w:tc>
          <w:tcPr>
            <w:tcW w:w="2892" w:type="dxa"/>
            <w:vAlign w:val="center"/>
          </w:tcPr>
          <w:p w14:paraId="6B9A2908">
            <w:pPr>
              <w:widowControl/>
              <w:spacing w:line="400" w:lineRule="exact"/>
              <w:rPr>
                <w:color w:val="auto"/>
                <w:highlight w:val="none"/>
              </w:rPr>
            </w:pPr>
          </w:p>
        </w:tc>
        <w:tc>
          <w:tcPr>
            <w:tcW w:w="2410" w:type="dxa"/>
          </w:tcPr>
          <w:p w14:paraId="1A029004">
            <w:pPr>
              <w:widowControl/>
              <w:spacing w:line="400" w:lineRule="exact"/>
              <w:rPr>
                <w:b/>
                <w:bCs/>
                <w:color w:val="auto"/>
                <w:szCs w:val="21"/>
                <w:highlight w:val="none"/>
              </w:rPr>
            </w:pPr>
          </w:p>
        </w:tc>
        <w:tc>
          <w:tcPr>
            <w:tcW w:w="1559" w:type="dxa"/>
          </w:tcPr>
          <w:p w14:paraId="65140AF7">
            <w:pPr>
              <w:widowControl/>
              <w:spacing w:line="400" w:lineRule="exact"/>
              <w:rPr>
                <w:b/>
                <w:bCs/>
                <w:color w:val="auto"/>
                <w:szCs w:val="21"/>
                <w:highlight w:val="none"/>
              </w:rPr>
            </w:pPr>
          </w:p>
        </w:tc>
        <w:tc>
          <w:tcPr>
            <w:tcW w:w="1701" w:type="dxa"/>
          </w:tcPr>
          <w:p w14:paraId="2B77F2F9">
            <w:pPr>
              <w:widowControl/>
              <w:spacing w:line="400" w:lineRule="exact"/>
              <w:rPr>
                <w:b/>
                <w:bCs/>
                <w:color w:val="auto"/>
                <w:szCs w:val="21"/>
                <w:highlight w:val="none"/>
              </w:rPr>
            </w:pPr>
          </w:p>
        </w:tc>
      </w:tr>
      <w:tr w14:paraId="77F205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3A78BEED">
            <w:pPr>
              <w:widowControl/>
              <w:spacing w:line="400" w:lineRule="exact"/>
              <w:jc w:val="center"/>
              <w:rPr>
                <w:color w:val="auto"/>
                <w:highlight w:val="none"/>
              </w:rPr>
            </w:pPr>
          </w:p>
        </w:tc>
        <w:tc>
          <w:tcPr>
            <w:tcW w:w="2892" w:type="dxa"/>
            <w:vAlign w:val="center"/>
          </w:tcPr>
          <w:p w14:paraId="77B0C734">
            <w:pPr>
              <w:widowControl/>
              <w:spacing w:line="400" w:lineRule="exact"/>
              <w:rPr>
                <w:color w:val="auto"/>
                <w:highlight w:val="none"/>
              </w:rPr>
            </w:pPr>
          </w:p>
        </w:tc>
        <w:tc>
          <w:tcPr>
            <w:tcW w:w="2410" w:type="dxa"/>
          </w:tcPr>
          <w:p w14:paraId="73F5FA87">
            <w:pPr>
              <w:widowControl/>
              <w:spacing w:line="400" w:lineRule="exact"/>
              <w:rPr>
                <w:b/>
                <w:bCs/>
                <w:color w:val="auto"/>
                <w:szCs w:val="21"/>
                <w:highlight w:val="none"/>
              </w:rPr>
            </w:pPr>
          </w:p>
        </w:tc>
        <w:tc>
          <w:tcPr>
            <w:tcW w:w="1559" w:type="dxa"/>
          </w:tcPr>
          <w:p w14:paraId="492D6905">
            <w:pPr>
              <w:widowControl/>
              <w:spacing w:line="400" w:lineRule="exact"/>
              <w:rPr>
                <w:b/>
                <w:bCs/>
                <w:color w:val="auto"/>
                <w:szCs w:val="21"/>
                <w:highlight w:val="none"/>
              </w:rPr>
            </w:pPr>
          </w:p>
        </w:tc>
        <w:tc>
          <w:tcPr>
            <w:tcW w:w="1701" w:type="dxa"/>
          </w:tcPr>
          <w:p w14:paraId="171A1767">
            <w:pPr>
              <w:widowControl/>
              <w:spacing w:line="400" w:lineRule="exact"/>
              <w:rPr>
                <w:b/>
                <w:bCs/>
                <w:color w:val="auto"/>
                <w:szCs w:val="21"/>
                <w:highlight w:val="none"/>
              </w:rPr>
            </w:pPr>
          </w:p>
        </w:tc>
      </w:tr>
      <w:tr w14:paraId="55305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0CA9597E">
            <w:pPr>
              <w:widowControl/>
              <w:spacing w:line="400" w:lineRule="exact"/>
              <w:jc w:val="center"/>
              <w:rPr>
                <w:color w:val="auto"/>
                <w:highlight w:val="none"/>
              </w:rPr>
            </w:pPr>
          </w:p>
        </w:tc>
        <w:tc>
          <w:tcPr>
            <w:tcW w:w="2892" w:type="dxa"/>
            <w:vAlign w:val="center"/>
          </w:tcPr>
          <w:p w14:paraId="6230D245">
            <w:pPr>
              <w:widowControl/>
              <w:spacing w:line="400" w:lineRule="exact"/>
              <w:rPr>
                <w:color w:val="auto"/>
                <w:highlight w:val="none"/>
              </w:rPr>
            </w:pPr>
          </w:p>
        </w:tc>
        <w:tc>
          <w:tcPr>
            <w:tcW w:w="2410" w:type="dxa"/>
          </w:tcPr>
          <w:p w14:paraId="1079DE43">
            <w:pPr>
              <w:widowControl/>
              <w:spacing w:line="400" w:lineRule="exact"/>
              <w:rPr>
                <w:b/>
                <w:bCs/>
                <w:color w:val="auto"/>
                <w:szCs w:val="21"/>
                <w:highlight w:val="none"/>
              </w:rPr>
            </w:pPr>
          </w:p>
        </w:tc>
        <w:tc>
          <w:tcPr>
            <w:tcW w:w="1559" w:type="dxa"/>
          </w:tcPr>
          <w:p w14:paraId="74DB6086">
            <w:pPr>
              <w:widowControl/>
              <w:spacing w:line="400" w:lineRule="exact"/>
              <w:rPr>
                <w:b/>
                <w:bCs/>
                <w:color w:val="auto"/>
                <w:szCs w:val="21"/>
                <w:highlight w:val="none"/>
              </w:rPr>
            </w:pPr>
          </w:p>
        </w:tc>
        <w:tc>
          <w:tcPr>
            <w:tcW w:w="1701" w:type="dxa"/>
          </w:tcPr>
          <w:p w14:paraId="3268F066">
            <w:pPr>
              <w:widowControl/>
              <w:spacing w:line="400" w:lineRule="exact"/>
              <w:rPr>
                <w:b/>
                <w:bCs/>
                <w:color w:val="auto"/>
                <w:szCs w:val="21"/>
                <w:highlight w:val="none"/>
              </w:rPr>
            </w:pPr>
          </w:p>
        </w:tc>
      </w:tr>
      <w:tr w14:paraId="0F933E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0354945B">
            <w:pPr>
              <w:widowControl/>
              <w:spacing w:line="400" w:lineRule="exact"/>
              <w:jc w:val="center"/>
              <w:rPr>
                <w:color w:val="auto"/>
                <w:highlight w:val="none"/>
              </w:rPr>
            </w:pPr>
          </w:p>
        </w:tc>
        <w:tc>
          <w:tcPr>
            <w:tcW w:w="2892" w:type="dxa"/>
            <w:vAlign w:val="center"/>
          </w:tcPr>
          <w:p w14:paraId="1EC19F4F">
            <w:pPr>
              <w:widowControl/>
              <w:spacing w:line="400" w:lineRule="exact"/>
              <w:rPr>
                <w:color w:val="auto"/>
                <w:highlight w:val="none"/>
              </w:rPr>
            </w:pPr>
          </w:p>
        </w:tc>
        <w:tc>
          <w:tcPr>
            <w:tcW w:w="2410" w:type="dxa"/>
          </w:tcPr>
          <w:p w14:paraId="2A473700">
            <w:pPr>
              <w:widowControl/>
              <w:spacing w:line="400" w:lineRule="exact"/>
              <w:rPr>
                <w:b/>
                <w:bCs/>
                <w:color w:val="auto"/>
                <w:szCs w:val="21"/>
                <w:highlight w:val="none"/>
              </w:rPr>
            </w:pPr>
          </w:p>
        </w:tc>
        <w:tc>
          <w:tcPr>
            <w:tcW w:w="1559" w:type="dxa"/>
          </w:tcPr>
          <w:p w14:paraId="5110B6DC">
            <w:pPr>
              <w:widowControl/>
              <w:spacing w:line="400" w:lineRule="exact"/>
              <w:rPr>
                <w:b/>
                <w:bCs/>
                <w:color w:val="auto"/>
                <w:szCs w:val="21"/>
                <w:highlight w:val="none"/>
              </w:rPr>
            </w:pPr>
          </w:p>
        </w:tc>
        <w:tc>
          <w:tcPr>
            <w:tcW w:w="1701" w:type="dxa"/>
          </w:tcPr>
          <w:p w14:paraId="1D4C04F9">
            <w:pPr>
              <w:widowControl/>
              <w:spacing w:line="400" w:lineRule="exact"/>
              <w:rPr>
                <w:b/>
                <w:bCs/>
                <w:color w:val="auto"/>
                <w:szCs w:val="21"/>
                <w:highlight w:val="none"/>
              </w:rPr>
            </w:pPr>
          </w:p>
        </w:tc>
      </w:tr>
      <w:tr w14:paraId="7C15D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7D16CB55">
            <w:pPr>
              <w:widowControl/>
              <w:spacing w:line="400" w:lineRule="exact"/>
              <w:jc w:val="center"/>
              <w:rPr>
                <w:color w:val="auto"/>
                <w:highlight w:val="none"/>
              </w:rPr>
            </w:pPr>
          </w:p>
        </w:tc>
        <w:tc>
          <w:tcPr>
            <w:tcW w:w="2892" w:type="dxa"/>
            <w:vAlign w:val="center"/>
          </w:tcPr>
          <w:p w14:paraId="45EFCF42">
            <w:pPr>
              <w:widowControl/>
              <w:spacing w:line="400" w:lineRule="exact"/>
              <w:rPr>
                <w:color w:val="auto"/>
                <w:highlight w:val="none"/>
              </w:rPr>
            </w:pPr>
          </w:p>
        </w:tc>
        <w:tc>
          <w:tcPr>
            <w:tcW w:w="2410" w:type="dxa"/>
          </w:tcPr>
          <w:p w14:paraId="4D6D2FEE">
            <w:pPr>
              <w:widowControl/>
              <w:spacing w:line="400" w:lineRule="exact"/>
              <w:rPr>
                <w:b/>
                <w:bCs/>
                <w:color w:val="auto"/>
                <w:szCs w:val="21"/>
                <w:highlight w:val="none"/>
              </w:rPr>
            </w:pPr>
          </w:p>
        </w:tc>
        <w:tc>
          <w:tcPr>
            <w:tcW w:w="1559" w:type="dxa"/>
          </w:tcPr>
          <w:p w14:paraId="603357BF">
            <w:pPr>
              <w:widowControl/>
              <w:spacing w:line="400" w:lineRule="exact"/>
              <w:rPr>
                <w:b/>
                <w:bCs/>
                <w:color w:val="auto"/>
                <w:szCs w:val="21"/>
                <w:highlight w:val="none"/>
              </w:rPr>
            </w:pPr>
          </w:p>
        </w:tc>
        <w:tc>
          <w:tcPr>
            <w:tcW w:w="1701" w:type="dxa"/>
          </w:tcPr>
          <w:p w14:paraId="56CA8C77">
            <w:pPr>
              <w:widowControl/>
              <w:spacing w:line="400" w:lineRule="exact"/>
              <w:rPr>
                <w:b/>
                <w:bCs/>
                <w:color w:val="auto"/>
                <w:szCs w:val="21"/>
                <w:highlight w:val="none"/>
              </w:rPr>
            </w:pPr>
          </w:p>
        </w:tc>
      </w:tr>
      <w:tr w14:paraId="06DEE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2073621D">
            <w:pPr>
              <w:widowControl/>
              <w:spacing w:line="400" w:lineRule="exact"/>
              <w:jc w:val="center"/>
              <w:rPr>
                <w:color w:val="auto"/>
                <w:highlight w:val="none"/>
              </w:rPr>
            </w:pPr>
          </w:p>
        </w:tc>
        <w:tc>
          <w:tcPr>
            <w:tcW w:w="2892" w:type="dxa"/>
            <w:vAlign w:val="center"/>
          </w:tcPr>
          <w:p w14:paraId="3603372C">
            <w:pPr>
              <w:widowControl/>
              <w:spacing w:line="400" w:lineRule="exact"/>
              <w:rPr>
                <w:color w:val="auto"/>
                <w:highlight w:val="none"/>
              </w:rPr>
            </w:pPr>
          </w:p>
        </w:tc>
        <w:tc>
          <w:tcPr>
            <w:tcW w:w="2410" w:type="dxa"/>
          </w:tcPr>
          <w:p w14:paraId="1F8F0B53">
            <w:pPr>
              <w:widowControl/>
              <w:spacing w:line="400" w:lineRule="exact"/>
              <w:rPr>
                <w:b/>
                <w:bCs/>
                <w:color w:val="auto"/>
                <w:szCs w:val="21"/>
                <w:highlight w:val="none"/>
              </w:rPr>
            </w:pPr>
          </w:p>
        </w:tc>
        <w:tc>
          <w:tcPr>
            <w:tcW w:w="1559" w:type="dxa"/>
          </w:tcPr>
          <w:p w14:paraId="01D1E14C">
            <w:pPr>
              <w:widowControl/>
              <w:spacing w:line="400" w:lineRule="exact"/>
              <w:rPr>
                <w:b/>
                <w:bCs/>
                <w:color w:val="auto"/>
                <w:szCs w:val="21"/>
                <w:highlight w:val="none"/>
              </w:rPr>
            </w:pPr>
          </w:p>
        </w:tc>
        <w:tc>
          <w:tcPr>
            <w:tcW w:w="1701" w:type="dxa"/>
          </w:tcPr>
          <w:p w14:paraId="56F878CC">
            <w:pPr>
              <w:widowControl/>
              <w:spacing w:line="400" w:lineRule="exact"/>
              <w:rPr>
                <w:b/>
                <w:bCs/>
                <w:color w:val="auto"/>
                <w:szCs w:val="21"/>
                <w:highlight w:val="none"/>
              </w:rPr>
            </w:pPr>
          </w:p>
        </w:tc>
      </w:tr>
      <w:tr w14:paraId="15B02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0F6D1278">
            <w:pPr>
              <w:widowControl/>
              <w:spacing w:line="400" w:lineRule="exact"/>
              <w:jc w:val="center"/>
              <w:rPr>
                <w:color w:val="auto"/>
                <w:highlight w:val="none"/>
              </w:rPr>
            </w:pPr>
          </w:p>
        </w:tc>
        <w:tc>
          <w:tcPr>
            <w:tcW w:w="2892" w:type="dxa"/>
            <w:vAlign w:val="center"/>
          </w:tcPr>
          <w:p w14:paraId="790B17A5">
            <w:pPr>
              <w:widowControl/>
              <w:spacing w:line="400" w:lineRule="exact"/>
              <w:rPr>
                <w:color w:val="auto"/>
                <w:highlight w:val="none"/>
              </w:rPr>
            </w:pPr>
          </w:p>
        </w:tc>
        <w:tc>
          <w:tcPr>
            <w:tcW w:w="2410" w:type="dxa"/>
          </w:tcPr>
          <w:p w14:paraId="3AECAF38">
            <w:pPr>
              <w:widowControl/>
              <w:spacing w:line="400" w:lineRule="exact"/>
              <w:rPr>
                <w:b/>
                <w:bCs/>
                <w:color w:val="auto"/>
                <w:szCs w:val="21"/>
                <w:highlight w:val="none"/>
              </w:rPr>
            </w:pPr>
          </w:p>
        </w:tc>
        <w:tc>
          <w:tcPr>
            <w:tcW w:w="1559" w:type="dxa"/>
          </w:tcPr>
          <w:p w14:paraId="28C74ED7">
            <w:pPr>
              <w:widowControl/>
              <w:spacing w:line="400" w:lineRule="exact"/>
              <w:rPr>
                <w:b/>
                <w:bCs/>
                <w:color w:val="auto"/>
                <w:szCs w:val="21"/>
                <w:highlight w:val="none"/>
              </w:rPr>
            </w:pPr>
          </w:p>
        </w:tc>
        <w:tc>
          <w:tcPr>
            <w:tcW w:w="1701" w:type="dxa"/>
          </w:tcPr>
          <w:p w14:paraId="506674BB">
            <w:pPr>
              <w:widowControl/>
              <w:spacing w:line="400" w:lineRule="exact"/>
              <w:rPr>
                <w:b/>
                <w:bCs/>
                <w:color w:val="auto"/>
                <w:szCs w:val="21"/>
                <w:highlight w:val="none"/>
              </w:rPr>
            </w:pPr>
          </w:p>
        </w:tc>
      </w:tr>
    </w:tbl>
    <w:p w14:paraId="55B56F79">
      <w:pPr>
        <w:snapToGrid w:val="0"/>
        <w:spacing w:line="360" w:lineRule="auto"/>
        <w:rPr>
          <w:b/>
          <w:color w:val="auto"/>
          <w:szCs w:val="21"/>
          <w:highlight w:val="none"/>
        </w:rPr>
      </w:pPr>
      <w:r>
        <w:rPr>
          <w:b/>
          <w:color w:val="auto"/>
          <w:szCs w:val="21"/>
          <w:highlight w:val="none"/>
        </w:rPr>
        <w:t>注：投标人应根据投标产品的性能指标对照招标文件“第二章 采购需求” 中“二、技术需求：（三）（三）技术规格要求”逐条填写，并在“偏离情况”栏注明“正偏离”、“负偏离”或“无偏离”。</w:t>
      </w:r>
    </w:p>
    <w:p w14:paraId="4D3028A3">
      <w:pPr>
        <w:snapToGrid w:val="0"/>
        <w:spacing w:line="360" w:lineRule="auto"/>
        <w:jc w:val="center"/>
        <w:rPr>
          <w:b/>
          <w:bCs/>
          <w:color w:val="auto"/>
          <w:sz w:val="24"/>
          <w:szCs w:val="21"/>
          <w:highlight w:val="none"/>
        </w:rPr>
      </w:pPr>
    </w:p>
    <w:p w14:paraId="53A61C62">
      <w:pPr>
        <w:widowControl/>
        <w:spacing w:line="360" w:lineRule="auto"/>
        <w:jc w:val="left"/>
        <w:rPr>
          <w:color w:val="auto"/>
          <w:sz w:val="24"/>
          <w:highlight w:val="none"/>
        </w:rPr>
      </w:pPr>
      <w:r>
        <w:rPr>
          <w:color w:val="auto"/>
          <w:sz w:val="24"/>
          <w:highlight w:val="none"/>
        </w:rPr>
        <w:t>投标人（盖章）：</w:t>
      </w:r>
    </w:p>
    <w:p w14:paraId="1E5C22D9">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4F7526FC">
      <w:pPr>
        <w:pStyle w:val="15"/>
        <w:widowControl/>
        <w:spacing w:line="360" w:lineRule="auto"/>
        <w:ind w:firstLine="0"/>
        <w:jc w:val="left"/>
        <w:rPr>
          <w:rFonts w:ascii="Times New Roman"/>
          <w:b/>
          <w:color w:val="auto"/>
          <w:highlight w:val="none"/>
        </w:rPr>
      </w:pPr>
      <w:r>
        <w:rPr>
          <w:rFonts w:ascii="Times New Roman"/>
          <w:color w:val="auto"/>
          <w:spacing w:val="0"/>
          <w:sz w:val="24"/>
          <w:szCs w:val="24"/>
          <w:highlight w:val="none"/>
        </w:rPr>
        <w:t>日期：</w:t>
      </w:r>
      <w:r>
        <w:rPr>
          <w:rStyle w:val="116"/>
          <w:color w:val="auto"/>
          <w:szCs w:val="21"/>
          <w:highlight w:val="none"/>
        </w:rPr>
        <w:br w:type="page"/>
      </w:r>
      <w:r>
        <w:rPr>
          <w:rFonts w:ascii="Times New Roman"/>
          <w:b/>
          <w:color w:val="auto"/>
          <w:highlight w:val="none"/>
        </w:rPr>
        <w:t>格式十一：</w:t>
      </w:r>
      <w:r>
        <w:rPr>
          <w:rFonts w:ascii="Times New Roman"/>
          <w:color w:val="auto"/>
          <w:szCs w:val="21"/>
          <w:highlight w:val="none"/>
        </w:rPr>
        <w:t>质保期后备品备件清单</w:t>
      </w:r>
    </w:p>
    <w:p w14:paraId="4D702C5A">
      <w:pPr>
        <w:jc w:val="center"/>
        <w:rPr>
          <w:b/>
          <w:color w:val="auto"/>
          <w:szCs w:val="21"/>
          <w:highlight w:val="none"/>
        </w:rPr>
      </w:pPr>
    </w:p>
    <w:p w14:paraId="27487B1F">
      <w:pPr>
        <w:snapToGrid w:val="0"/>
        <w:spacing w:line="360" w:lineRule="auto"/>
        <w:jc w:val="center"/>
        <w:rPr>
          <w:b/>
          <w:color w:val="auto"/>
          <w:sz w:val="24"/>
          <w:szCs w:val="21"/>
          <w:highlight w:val="none"/>
        </w:rPr>
      </w:pPr>
      <w:r>
        <w:rPr>
          <w:b/>
          <w:color w:val="auto"/>
          <w:sz w:val="24"/>
          <w:szCs w:val="21"/>
          <w:highlight w:val="none"/>
        </w:rPr>
        <w:t>质保期后备品备件清单</w:t>
      </w:r>
    </w:p>
    <w:p w14:paraId="40800FAA">
      <w:pPr>
        <w:snapToGrid w:val="0"/>
        <w:spacing w:line="360" w:lineRule="auto"/>
        <w:rPr>
          <w:b/>
          <w:bCs/>
          <w:color w:val="auto"/>
          <w:sz w:val="24"/>
          <w:szCs w:val="21"/>
          <w:highlight w:val="none"/>
        </w:rPr>
      </w:pPr>
      <w:r>
        <w:rPr>
          <w:color w:val="auto"/>
          <w:sz w:val="22"/>
          <w:szCs w:val="21"/>
          <w:highlight w:val="none"/>
        </w:rPr>
        <w:t>项目名称：</w:t>
      </w:r>
      <w:r>
        <w:rPr>
          <w:color w:val="auto"/>
          <w:sz w:val="22"/>
          <w:szCs w:val="21"/>
          <w:highlight w:val="none"/>
          <w:u w:val="single"/>
        </w:rPr>
        <w:t xml:space="preserve">              </w:t>
      </w:r>
      <w:r>
        <w:rPr>
          <w:color w:val="auto"/>
          <w:sz w:val="22"/>
          <w:szCs w:val="21"/>
          <w:highlight w:val="none"/>
        </w:rPr>
        <w:t xml:space="preserve"> 招标编号：</w:t>
      </w:r>
      <w:r>
        <w:rPr>
          <w:color w:val="auto"/>
          <w:sz w:val="22"/>
          <w:szCs w:val="21"/>
          <w:highlight w:val="none"/>
          <w:u w:val="single"/>
        </w:rPr>
        <w:t xml:space="preserve">           </w:t>
      </w:r>
      <w:r>
        <w:rPr>
          <w:color w:val="auto"/>
          <w:sz w:val="22"/>
          <w:szCs w:val="21"/>
          <w:highlight w:val="none"/>
        </w:rPr>
        <w:t xml:space="preserve">  标项：</w:t>
      </w:r>
      <w:r>
        <w:rPr>
          <w:color w:val="auto"/>
          <w:sz w:val="22"/>
          <w:szCs w:val="21"/>
          <w:highlight w:val="none"/>
          <w:u w:val="single"/>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149F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trPr>
        <w:tc>
          <w:tcPr>
            <w:tcW w:w="757" w:type="dxa"/>
            <w:vMerge w:val="restart"/>
            <w:vAlign w:val="center"/>
          </w:tcPr>
          <w:p w14:paraId="421BA985">
            <w:pPr>
              <w:spacing w:line="400" w:lineRule="exact"/>
              <w:jc w:val="center"/>
              <w:rPr>
                <w:color w:val="auto"/>
                <w:szCs w:val="21"/>
                <w:highlight w:val="none"/>
              </w:rPr>
            </w:pPr>
            <w:r>
              <w:rPr>
                <w:color w:val="auto"/>
                <w:szCs w:val="21"/>
                <w:highlight w:val="none"/>
              </w:rPr>
              <w:t>序号</w:t>
            </w:r>
          </w:p>
        </w:tc>
        <w:tc>
          <w:tcPr>
            <w:tcW w:w="1701" w:type="dxa"/>
            <w:vMerge w:val="restart"/>
            <w:vAlign w:val="center"/>
          </w:tcPr>
          <w:p w14:paraId="7B96697F">
            <w:pPr>
              <w:spacing w:line="400" w:lineRule="exact"/>
              <w:jc w:val="center"/>
              <w:rPr>
                <w:color w:val="auto"/>
                <w:szCs w:val="21"/>
                <w:highlight w:val="none"/>
              </w:rPr>
            </w:pPr>
            <w:r>
              <w:rPr>
                <w:color w:val="auto"/>
                <w:szCs w:val="21"/>
                <w:highlight w:val="none"/>
              </w:rPr>
              <w:t>名称</w:t>
            </w:r>
          </w:p>
        </w:tc>
        <w:tc>
          <w:tcPr>
            <w:tcW w:w="1461" w:type="dxa"/>
            <w:vMerge w:val="restart"/>
            <w:vAlign w:val="center"/>
          </w:tcPr>
          <w:p w14:paraId="4321CE4F">
            <w:pPr>
              <w:spacing w:line="400" w:lineRule="exact"/>
              <w:jc w:val="center"/>
              <w:rPr>
                <w:color w:val="auto"/>
                <w:szCs w:val="21"/>
                <w:highlight w:val="none"/>
              </w:rPr>
            </w:pPr>
            <w:r>
              <w:rPr>
                <w:color w:val="auto"/>
                <w:szCs w:val="21"/>
                <w:highlight w:val="none"/>
              </w:rPr>
              <w:t>主要技术规格</w:t>
            </w:r>
          </w:p>
        </w:tc>
        <w:tc>
          <w:tcPr>
            <w:tcW w:w="859" w:type="dxa"/>
            <w:vMerge w:val="restart"/>
            <w:vAlign w:val="center"/>
          </w:tcPr>
          <w:p w14:paraId="689FCBC7">
            <w:pPr>
              <w:spacing w:line="400" w:lineRule="exact"/>
              <w:jc w:val="center"/>
              <w:rPr>
                <w:color w:val="auto"/>
                <w:szCs w:val="21"/>
                <w:highlight w:val="none"/>
              </w:rPr>
            </w:pPr>
            <w:r>
              <w:rPr>
                <w:color w:val="auto"/>
                <w:szCs w:val="21"/>
                <w:highlight w:val="none"/>
              </w:rPr>
              <w:t>数量</w:t>
            </w:r>
          </w:p>
        </w:tc>
        <w:tc>
          <w:tcPr>
            <w:tcW w:w="885" w:type="dxa"/>
            <w:vMerge w:val="restart"/>
            <w:vAlign w:val="center"/>
          </w:tcPr>
          <w:p w14:paraId="5D47301B">
            <w:pPr>
              <w:spacing w:line="400" w:lineRule="exact"/>
              <w:jc w:val="center"/>
              <w:rPr>
                <w:color w:val="auto"/>
                <w:szCs w:val="21"/>
                <w:highlight w:val="none"/>
              </w:rPr>
            </w:pPr>
            <w:r>
              <w:rPr>
                <w:color w:val="auto"/>
                <w:szCs w:val="21"/>
                <w:highlight w:val="none"/>
              </w:rPr>
              <w:t>生产厂</w:t>
            </w:r>
          </w:p>
        </w:tc>
        <w:tc>
          <w:tcPr>
            <w:tcW w:w="1635" w:type="dxa"/>
            <w:vAlign w:val="center"/>
          </w:tcPr>
          <w:p w14:paraId="241C73F2">
            <w:pPr>
              <w:spacing w:line="400" w:lineRule="exact"/>
              <w:jc w:val="center"/>
              <w:rPr>
                <w:color w:val="auto"/>
                <w:szCs w:val="21"/>
                <w:highlight w:val="none"/>
              </w:rPr>
            </w:pPr>
            <w:r>
              <w:rPr>
                <w:color w:val="auto"/>
                <w:szCs w:val="21"/>
                <w:highlight w:val="none"/>
              </w:rPr>
              <w:t>单价</w:t>
            </w:r>
          </w:p>
        </w:tc>
        <w:tc>
          <w:tcPr>
            <w:tcW w:w="1553" w:type="dxa"/>
            <w:vAlign w:val="center"/>
          </w:tcPr>
          <w:p w14:paraId="6F89CF60">
            <w:pPr>
              <w:spacing w:line="400" w:lineRule="exact"/>
              <w:jc w:val="center"/>
              <w:rPr>
                <w:color w:val="auto"/>
                <w:szCs w:val="21"/>
                <w:highlight w:val="none"/>
              </w:rPr>
            </w:pPr>
            <w:r>
              <w:rPr>
                <w:color w:val="auto"/>
                <w:szCs w:val="21"/>
                <w:highlight w:val="none"/>
              </w:rPr>
              <w:t>总价</w:t>
            </w:r>
          </w:p>
        </w:tc>
      </w:tr>
      <w:tr w14:paraId="3F6E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757" w:type="dxa"/>
            <w:vMerge w:val="continue"/>
            <w:vAlign w:val="center"/>
          </w:tcPr>
          <w:p w14:paraId="5733244F">
            <w:pPr>
              <w:spacing w:line="400" w:lineRule="exact"/>
              <w:jc w:val="center"/>
              <w:rPr>
                <w:color w:val="auto"/>
                <w:szCs w:val="21"/>
                <w:highlight w:val="none"/>
              </w:rPr>
            </w:pPr>
          </w:p>
        </w:tc>
        <w:tc>
          <w:tcPr>
            <w:tcW w:w="1701" w:type="dxa"/>
            <w:vMerge w:val="continue"/>
            <w:vAlign w:val="center"/>
          </w:tcPr>
          <w:p w14:paraId="48CDAC62">
            <w:pPr>
              <w:spacing w:line="400" w:lineRule="exact"/>
              <w:jc w:val="center"/>
              <w:rPr>
                <w:color w:val="auto"/>
                <w:szCs w:val="21"/>
                <w:highlight w:val="none"/>
              </w:rPr>
            </w:pPr>
          </w:p>
        </w:tc>
        <w:tc>
          <w:tcPr>
            <w:tcW w:w="1461" w:type="dxa"/>
            <w:vMerge w:val="continue"/>
            <w:vAlign w:val="center"/>
          </w:tcPr>
          <w:p w14:paraId="1DEDD8D6">
            <w:pPr>
              <w:spacing w:line="400" w:lineRule="exact"/>
              <w:jc w:val="center"/>
              <w:rPr>
                <w:color w:val="auto"/>
                <w:szCs w:val="21"/>
                <w:highlight w:val="none"/>
              </w:rPr>
            </w:pPr>
          </w:p>
        </w:tc>
        <w:tc>
          <w:tcPr>
            <w:tcW w:w="859" w:type="dxa"/>
            <w:vMerge w:val="continue"/>
            <w:vAlign w:val="center"/>
          </w:tcPr>
          <w:p w14:paraId="08BD99DE">
            <w:pPr>
              <w:spacing w:line="400" w:lineRule="exact"/>
              <w:jc w:val="center"/>
              <w:rPr>
                <w:color w:val="auto"/>
                <w:szCs w:val="21"/>
                <w:highlight w:val="none"/>
              </w:rPr>
            </w:pPr>
          </w:p>
        </w:tc>
        <w:tc>
          <w:tcPr>
            <w:tcW w:w="885" w:type="dxa"/>
            <w:vMerge w:val="continue"/>
            <w:vAlign w:val="center"/>
          </w:tcPr>
          <w:p w14:paraId="6126DA8F">
            <w:pPr>
              <w:spacing w:line="400" w:lineRule="exact"/>
              <w:jc w:val="center"/>
              <w:rPr>
                <w:color w:val="auto"/>
                <w:szCs w:val="21"/>
                <w:highlight w:val="none"/>
              </w:rPr>
            </w:pPr>
          </w:p>
        </w:tc>
        <w:tc>
          <w:tcPr>
            <w:tcW w:w="1635" w:type="dxa"/>
            <w:vAlign w:val="center"/>
          </w:tcPr>
          <w:p w14:paraId="70502EA2">
            <w:pPr>
              <w:spacing w:line="400" w:lineRule="exact"/>
              <w:jc w:val="center"/>
              <w:rPr>
                <w:color w:val="auto"/>
                <w:szCs w:val="21"/>
                <w:highlight w:val="none"/>
              </w:rPr>
            </w:pPr>
            <w:r>
              <w:rPr>
                <w:color w:val="auto"/>
                <w:szCs w:val="21"/>
                <w:highlight w:val="none"/>
              </w:rPr>
              <w:t>到工地价</w:t>
            </w:r>
          </w:p>
        </w:tc>
        <w:tc>
          <w:tcPr>
            <w:tcW w:w="1553" w:type="dxa"/>
            <w:vAlign w:val="center"/>
          </w:tcPr>
          <w:p w14:paraId="244B0B87">
            <w:pPr>
              <w:spacing w:line="400" w:lineRule="exact"/>
              <w:jc w:val="center"/>
              <w:rPr>
                <w:color w:val="auto"/>
                <w:szCs w:val="21"/>
                <w:highlight w:val="none"/>
              </w:rPr>
            </w:pPr>
            <w:r>
              <w:rPr>
                <w:color w:val="auto"/>
                <w:szCs w:val="21"/>
                <w:highlight w:val="none"/>
              </w:rPr>
              <w:t>到工地价</w:t>
            </w:r>
          </w:p>
        </w:tc>
      </w:tr>
      <w:tr w14:paraId="1D8E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14:paraId="740F2275">
            <w:pPr>
              <w:spacing w:line="400" w:lineRule="exact"/>
              <w:jc w:val="center"/>
              <w:rPr>
                <w:color w:val="auto"/>
                <w:szCs w:val="21"/>
                <w:highlight w:val="none"/>
              </w:rPr>
            </w:pPr>
          </w:p>
        </w:tc>
        <w:tc>
          <w:tcPr>
            <w:tcW w:w="1701" w:type="dxa"/>
            <w:vAlign w:val="center"/>
          </w:tcPr>
          <w:p w14:paraId="44A955A5">
            <w:pPr>
              <w:spacing w:line="400" w:lineRule="exact"/>
              <w:jc w:val="center"/>
              <w:rPr>
                <w:color w:val="auto"/>
                <w:szCs w:val="21"/>
                <w:highlight w:val="none"/>
              </w:rPr>
            </w:pPr>
          </w:p>
        </w:tc>
        <w:tc>
          <w:tcPr>
            <w:tcW w:w="1461" w:type="dxa"/>
            <w:vAlign w:val="center"/>
          </w:tcPr>
          <w:p w14:paraId="065D7794">
            <w:pPr>
              <w:spacing w:line="400" w:lineRule="exact"/>
              <w:jc w:val="center"/>
              <w:rPr>
                <w:color w:val="auto"/>
                <w:szCs w:val="21"/>
                <w:highlight w:val="none"/>
              </w:rPr>
            </w:pPr>
          </w:p>
        </w:tc>
        <w:tc>
          <w:tcPr>
            <w:tcW w:w="859" w:type="dxa"/>
            <w:vAlign w:val="center"/>
          </w:tcPr>
          <w:p w14:paraId="236232D6">
            <w:pPr>
              <w:spacing w:line="400" w:lineRule="exact"/>
              <w:jc w:val="center"/>
              <w:rPr>
                <w:color w:val="auto"/>
                <w:szCs w:val="21"/>
                <w:highlight w:val="none"/>
              </w:rPr>
            </w:pPr>
          </w:p>
        </w:tc>
        <w:tc>
          <w:tcPr>
            <w:tcW w:w="885" w:type="dxa"/>
            <w:vAlign w:val="center"/>
          </w:tcPr>
          <w:p w14:paraId="2CDBA000">
            <w:pPr>
              <w:spacing w:line="400" w:lineRule="exact"/>
              <w:jc w:val="center"/>
              <w:rPr>
                <w:color w:val="auto"/>
                <w:szCs w:val="21"/>
                <w:highlight w:val="none"/>
              </w:rPr>
            </w:pPr>
          </w:p>
        </w:tc>
        <w:tc>
          <w:tcPr>
            <w:tcW w:w="1635" w:type="dxa"/>
            <w:vAlign w:val="center"/>
          </w:tcPr>
          <w:p w14:paraId="748600EC">
            <w:pPr>
              <w:spacing w:line="400" w:lineRule="exact"/>
              <w:jc w:val="center"/>
              <w:rPr>
                <w:color w:val="auto"/>
                <w:szCs w:val="21"/>
                <w:highlight w:val="none"/>
              </w:rPr>
            </w:pPr>
          </w:p>
        </w:tc>
        <w:tc>
          <w:tcPr>
            <w:tcW w:w="1553" w:type="dxa"/>
            <w:vAlign w:val="center"/>
          </w:tcPr>
          <w:p w14:paraId="57EB6640">
            <w:pPr>
              <w:spacing w:line="400" w:lineRule="exact"/>
              <w:jc w:val="center"/>
              <w:rPr>
                <w:color w:val="auto"/>
                <w:szCs w:val="21"/>
                <w:highlight w:val="none"/>
              </w:rPr>
            </w:pPr>
          </w:p>
        </w:tc>
      </w:tr>
      <w:tr w14:paraId="368F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14:paraId="2993604D">
            <w:pPr>
              <w:spacing w:line="400" w:lineRule="exact"/>
              <w:jc w:val="center"/>
              <w:rPr>
                <w:color w:val="auto"/>
                <w:szCs w:val="21"/>
                <w:highlight w:val="none"/>
              </w:rPr>
            </w:pPr>
          </w:p>
        </w:tc>
        <w:tc>
          <w:tcPr>
            <w:tcW w:w="1701" w:type="dxa"/>
            <w:vAlign w:val="center"/>
          </w:tcPr>
          <w:p w14:paraId="2279C4E3">
            <w:pPr>
              <w:spacing w:line="400" w:lineRule="exact"/>
              <w:jc w:val="center"/>
              <w:rPr>
                <w:color w:val="auto"/>
                <w:szCs w:val="21"/>
                <w:highlight w:val="none"/>
              </w:rPr>
            </w:pPr>
          </w:p>
        </w:tc>
        <w:tc>
          <w:tcPr>
            <w:tcW w:w="1461" w:type="dxa"/>
            <w:vAlign w:val="center"/>
          </w:tcPr>
          <w:p w14:paraId="6DDE1D95">
            <w:pPr>
              <w:spacing w:line="400" w:lineRule="exact"/>
              <w:jc w:val="center"/>
              <w:rPr>
                <w:color w:val="auto"/>
                <w:szCs w:val="21"/>
                <w:highlight w:val="none"/>
              </w:rPr>
            </w:pPr>
          </w:p>
        </w:tc>
        <w:tc>
          <w:tcPr>
            <w:tcW w:w="859" w:type="dxa"/>
            <w:vAlign w:val="center"/>
          </w:tcPr>
          <w:p w14:paraId="737A6EB0">
            <w:pPr>
              <w:spacing w:line="400" w:lineRule="exact"/>
              <w:jc w:val="center"/>
              <w:rPr>
                <w:color w:val="auto"/>
                <w:szCs w:val="21"/>
                <w:highlight w:val="none"/>
              </w:rPr>
            </w:pPr>
          </w:p>
        </w:tc>
        <w:tc>
          <w:tcPr>
            <w:tcW w:w="885" w:type="dxa"/>
            <w:vAlign w:val="center"/>
          </w:tcPr>
          <w:p w14:paraId="2290AB41">
            <w:pPr>
              <w:spacing w:line="400" w:lineRule="exact"/>
              <w:jc w:val="center"/>
              <w:rPr>
                <w:color w:val="auto"/>
                <w:szCs w:val="21"/>
                <w:highlight w:val="none"/>
              </w:rPr>
            </w:pPr>
          </w:p>
        </w:tc>
        <w:tc>
          <w:tcPr>
            <w:tcW w:w="1635" w:type="dxa"/>
            <w:vAlign w:val="center"/>
          </w:tcPr>
          <w:p w14:paraId="286A4351">
            <w:pPr>
              <w:spacing w:line="400" w:lineRule="exact"/>
              <w:jc w:val="center"/>
              <w:rPr>
                <w:color w:val="auto"/>
                <w:szCs w:val="21"/>
                <w:highlight w:val="none"/>
              </w:rPr>
            </w:pPr>
          </w:p>
        </w:tc>
        <w:tc>
          <w:tcPr>
            <w:tcW w:w="1553" w:type="dxa"/>
            <w:vAlign w:val="center"/>
          </w:tcPr>
          <w:p w14:paraId="3818C75C">
            <w:pPr>
              <w:spacing w:line="400" w:lineRule="exact"/>
              <w:jc w:val="center"/>
              <w:rPr>
                <w:color w:val="auto"/>
                <w:szCs w:val="21"/>
                <w:highlight w:val="none"/>
              </w:rPr>
            </w:pPr>
          </w:p>
        </w:tc>
      </w:tr>
      <w:tr w14:paraId="6FE7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14:paraId="79D6EC36">
            <w:pPr>
              <w:spacing w:line="400" w:lineRule="exact"/>
              <w:jc w:val="center"/>
              <w:rPr>
                <w:color w:val="auto"/>
                <w:szCs w:val="21"/>
                <w:highlight w:val="none"/>
              </w:rPr>
            </w:pPr>
          </w:p>
        </w:tc>
        <w:tc>
          <w:tcPr>
            <w:tcW w:w="1701" w:type="dxa"/>
            <w:vAlign w:val="center"/>
          </w:tcPr>
          <w:p w14:paraId="4E69BA29">
            <w:pPr>
              <w:spacing w:line="400" w:lineRule="exact"/>
              <w:jc w:val="center"/>
              <w:rPr>
                <w:color w:val="auto"/>
                <w:szCs w:val="21"/>
                <w:highlight w:val="none"/>
              </w:rPr>
            </w:pPr>
          </w:p>
        </w:tc>
        <w:tc>
          <w:tcPr>
            <w:tcW w:w="1461" w:type="dxa"/>
            <w:vAlign w:val="center"/>
          </w:tcPr>
          <w:p w14:paraId="5180AC6E">
            <w:pPr>
              <w:spacing w:line="400" w:lineRule="exact"/>
              <w:jc w:val="center"/>
              <w:rPr>
                <w:color w:val="auto"/>
                <w:szCs w:val="21"/>
                <w:highlight w:val="none"/>
              </w:rPr>
            </w:pPr>
          </w:p>
        </w:tc>
        <w:tc>
          <w:tcPr>
            <w:tcW w:w="859" w:type="dxa"/>
            <w:vAlign w:val="center"/>
          </w:tcPr>
          <w:p w14:paraId="5C774880">
            <w:pPr>
              <w:spacing w:line="400" w:lineRule="exact"/>
              <w:jc w:val="center"/>
              <w:rPr>
                <w:color w:val="auto"/>
                <w:szCs w:val="21"/>
                <w:highlight w:val="none"/>
              </w:rPr>
            </w:pPr>
          </w:p>
        </w:tc>
        <w:tc>
          <w:tcPr>
            <w:tcW w:w="885" w:type="dxa"/>
            <w:vAlign w:val="center"/>
          </w:tcPr>
          <w:p w14:paraId="72A9F8DA">
            <w:pPr>
              <w:spacing w:line="400" w:lineRule="exact"/>
              <w:jc w:val="center"/>
              <w:rPr>
                <w:color w:val="auto"/>
                <w:szCs w:val="21"/>
                <w:highlight w:val="none"/>
              </w:rPr>
            </w:pPr>
          </w:p>
        </w:tc>
        <w:tc>
          <w:tcPr>
            <w:tcW w:w="1635" w:type="dxa"/>
            <w:vAlign w:val="center"/>
          </w:tcPr>
          <w:p w14:paraId="70069F81">
            <w:pPr>
              <w:spacing w:line="400" w:lineRule="exact"/>
              <w:jc w:val="center"/>
              <w:rPr>
                <w:color w:val="auto"/>
                <w:szCs w:val="21"/>
                <w:highlight w:val="none"/>
              </w:rPr>
            </w:pPr>
          </w:p>
        </w:tc>
        <w:tc>
          <w:tcPr>
            <w:tcW w:w="1553" w:type="dxa"/>
            <w:vAlign w:val="center"/>
          </w:tcPr>
          <w:p w14:paraId="27A1A0D5">
            <w:pPr>
              <w:spacing w:line="400" w:lineRule="exact"/>
              <w:jc w:val="center"/>
              <w:rPr>
                <w:color w:val="auto"/>
                <w:szCs w:val="21"/>
                <w:highlight w:val="none"/>
              </w:rPr>
            </w:pPr>
          </w:p>
        </w:tc>
      </w:tr>
      <w:tr w14:paraId="777B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14:paraId="65D68896">
            <w:pPr>
              <w:spacing w:line="400" w:lineRule="exact"/>
              <w:jc w:val="center"/>
              <w:rPr>
                <w:color w:val="auto"/>
                <w:szCs w:val="21"/>
                <w:highlight w:val="none"/>
              </w:rPr>
            </w:pPr>
          </w:p>
        </w:tc>
        <w:tc>
          <w:tcPr>
            <w:tcW w:w="1701" w:type="dxa"/>
            <w:vAlign w:val="center"/>
          </w:tcPr>
          <w:p w14:paraId="44F57E21">
            <w:pPr>
              <w:spacing w:line="400" w:lineRule="exact"/>
              <w:jc w:val="center"/>
              <w:rPr>
                <w:color w:val="auto"/>
                <w:szCs w:val="21"/>
                <w:highlight w:val="none"/>
              </w:rPr>
            </w:pPr>
          </w:p>
        </w:tc>
        <w:tc>
          <w:tcPr>
            <w:tcW w:w="1461" w:type="dxa"/>
            <w:vAlign w:val="center"/>
          </w:tcPr>
          <w:p w14:paraId="709D851D">
            <w:pPr>
              <w:spacing w:line="400" w:lineRule="exact"/>
              <w:jc w:val="center"/>
              <w:rPr>
                <w:color w:val="auto"/>
                <w:szCs w:val="21"/>
                <w:highlight w:val="none"/>
              </w:rPr>
            </w:pPr>
          </w:p>
        </w:tc>
        <w:tc>
          <w:tcPr>
            <w:tcW w:w="859" w:type="dxa"/>
            <w:vAlign w:val="center"/>
          </w:tcPr>
          <w:p w14:paraId="5327D9A8">
            <w:pPr>
              <w:spacing w:line="400" w:lineRule="exact"/>
              <w:jc w:val="center"/>
              <w:rPr>
                <w:color w:val="auto"/>
                <w:szCs w:val="21"/>
                <w:highlight w:val="none"/>
              </w:rPr>
            </w:pPr>
          </w:p>
        </w:tc>
        <w:tc>
          <w:tcPr>
            <w:tcW w:w="885" w:type="dxa"/>
            <w:vAlign w:val="center"/>
          </w:tcPr>
          <w:p w14:paraId="727CDEA6">
            <w:pPr>
              <w:spacing w:line="400" w:lineRule="exact"/>
              <w:jc w:val="center"/>
              <w:rPr>
                <w:color w:val="auto"/>
                <w:szCs w:val="21"/>
                <w:highlight w:val="none"/>
              </w:rPr>
            </w:pPr>
          </w:p>
        </w:tc>
        <w:tc>
          <w:tcPr>
            <w:tcW w:w="1635" w:type="dxa"/>
            <w:vAlign w:val="center"/>
          </w:tcPr>
          <w:p w14:paraId="38833C97">
            <w:pPr>
              <w:spacing w:line="400" w:lineRule="exact"/>
              <w:jc w:val="center"/>
              <w:rPr>
                <w:color w:val="auto"/>
                <w:szCs w:val="21"/>
                <w:highlight w:val="none"/>
              </w:rPr>
            </w:pPr>
          </w:p>
        </w:tc>
        <w:tc>
          <w:tcPr>
            <w:tcW w:w="1553" w:type="dxa"/>
            <w:vAlign w:val="center"/>
          </w:tcPr>
          <w:p w14:paraId="51AC28B9">
            <w:pPr>
              <w:spacing w:line="400" w:lineRule="exact"/>
              <w:jc w:val="center"/>
              <w:rPr>
                <w:color w:val="auto"/>
                <w:szCs w:val="21"/>
                <w:highlight w:val="none"/>
              </w:rPr>
            </w:pPr>
          </w:p>
        </w:tc>
      </w:tr>
      <w:tr w14:paraId="759B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14:paraId="355CDB1B">
            <w:pPr>
              <w:spacing w:line="400" w:lineRule="exact"/>
              <w:jc w:val="center"/>
              <w:rPr>
                <w:color w:val="auto"/>
                <w:szCs w:val="21"/>
                <w:highlight w:val="none"/>
              </w:rPr>
            </w:pPr>
          </w:p>
        </w:tc>
        <w:tc>
          <w:tcPr>
            <w:tcW w:w="1701" w:type="dxa"/>
            <w:vAlign w:val="center"/>
          </w:tcPr>
          <w:p w14:paraId="0767AEA8">
            <w:pPr>
              <w:spacing w:line="400" w:lineRule="exact"/>
              <w:jc w:val="center"/>
              <w:rPr>
                <w:color w:val="auto"/>
                <w:szCs w:val="21"/>
                <w:highlight w:val="none"/>
              </w:rPr>
            </w:pPr>
          </w:p>
        </w:tc>
        <w:tc>
          <w:tcPr>
            <w:tcW w:w="1461" w:type="dxa"/>
            <w:vAlign w:val="center"/>
          </w:tcPr>
          <w:p w14:paraId="4524ACEE">
            <w:pPr>
              <w:spacing w:line="400" w:lineRule="exact"/>
              <w:jc w:val="center"/>
              <w:rPr>
                <w:color w:val="auto"/>
                <w:szCs w:val="21"/>
                <w:highlight w:val="none"/>
              </w:rPr>
            </w:pPr>
          </w:p>
        </w:tc>
        <w:tc>
          <w:tcPr>
            <w:tcW w:w="859" w:type="dxa"/>
            <w:vAlign w:val="center"/>
          </w:tcPr>
          <w:p w14:paraId="60BAD52D">
            <w:pPr>
              <w:spacing w:line="400" w:lineRule="exact"/>
              <w:jc w:val="center"/>
              <w:rPr>
                <w:color w:val="auto"/>
                <w:szCs w:val="21"/>
                <w:highlight w:val="none"/>
              </w:rPr>
            </w:pPr>
          </w:p>
        </w:tc>
        <w:tc>
          <w:tcPr>
            <w:tcW w:w="885" w:type="dxa"/>
            <w:vAlign w:val="center"/>
          </w:tcPr>
          <w:p w14:paraId="6EA3194A">
            <w:pPr>
              <w:spacing w:line="400" w:lineRule="exact"/>
              <w:jc w:val="center"/>
              <w:rPr>
                <w:color w:val="auto"/>
                <w:szCs w:val="21"/>
                <w:highlight w:val="none"/>
              </w:rPr>
            </w:pPr>
          </w:p>
        </w:tc>
        <w:tc>
          <w:tcPr>
            <w:tcW w:w="1635" w:type="dxa"/>
            <w:vAlign w:val="center"/>
          </w:tcPr>
          <w:p w14:paraId="3F40D212">
            <w:pPr>
              <w:spacing w:line="400" w:lineRule="exact"/>
              <w:jc w:val="center"/>
              <w:rPr>
                <w:color w:val="auto"/>
                <w:szCs w:val="21"/>
                <w:highlight w:val="none"/>
              </w:rPr>
            </w:pPr>
          </w:p>
        </w:tc>
        <w:tc>
          <w:tcPr>
            <w:tcW w:w="1553" w:type="dxa"/>
            <w:vAlign w:val="center"/>
          </w:tcPr>
          <w:p w14:paraId="513FBAA0">
            <w:pPr>
              <w:spacing w:line="400" w:lineRule="exact"/>
              <w:jc w:val="center"/>
              <w:rPr>
                <w:color w:val="auto"/>
                <w:szCs w:val="21"/>
                <w:highlight w:val="none"/>
              </w:rPr>
            </w:pPr>
          </w:p>
        </w:tc>
      </w:tr>
      <w:tr w14:paraId="5A22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14:paraId="4A8895D3">
            <w:pPr>
              <w:spacing w:line="400" w:lineRule="exact"/>
              <w:jc w:val="center"/>
              <w:rPr>
                <w:color w:val="auto"/>
                <w:szCs w:val="21"/>
                <w:highlight w:val="none"/>
              </w:rPr>
            </w:pPr>
          </w:p>
        </w:tc>
        <w:tc>
          <w:tcPr>
            <w:tcW w:w="1701" w:type="dxa"/>
            <w:vAlign w:val="center"/>
          </w:tcPr>
          <w:p w14:paraId="2CAAA074">
            <w:pPr>
              <w:spacing w:line="400" w:lineRule="exact"/>
              <w:jc w:val="center"/>
              <w:rPr>
                <w:color w:val="auto"/>
                <w:szCs w:val="21"/>
                <w:highlight w:val="none"/>
              </w:rPr>
            </w:pPr>
          </w:p>
        </w:tc>
        <w:tc>
          <w:tcPr>
            <w:tcW w:w="1461" w:type="dxa"/>
            <w:vAlign w:val="center"/>
          </w:tcPr>
          <w:p w14:paraId="7257943C">
            <w:pPr>
              <w:spacing w:line="400" w:lineRule="exact"/>
              <w:jc w:val="center"/>
              <w:rPr>
                <w:color w:val="auto"/>
                <w:szCs w:val="21"/>
                <w:highlight w:val="none"/>
              </w:rPr>
            </w:pPr>
          </w:p>
        </w:tc>
        <w:tc>
          <w:tcPr>
            <w:tcW w:w="859" w:type="dxa"/>
            <w:vAlign w:val="center"/>
          </w:tcPr>
          <w:p w14:paraId="2D2A0A98">
            <w:pPr>
              <w:spacing w:line="400" w:lineRule="exact"/>
              <w:jc w:val="center"/>
              <w:rPr>
                <w:color w:val="auto"/>
                <w:szCs w:val="21"/>
                <w:highlight w:val="none"/>
              </w:rPr>
            </w:pPr>
          </w:p>
        </w:tc>
        <w:tc>
          <w:tcPr>
            <w:tcW w:w="885" w:type="dxa"/>
            <w:vAlign w:val="center"/>
          </w:tcPr>
          <w:p w14:paraId="25AC0898">
            <w:pPr>
              <w:spacing w:line="400" w:lineRule="exact"/>
              <w:jc w:val="center"/>
              <w:rPr>
                <w:color w:val="auto"/>
                <w:szCs w:val="21"/>
                <w:highlight w:val="none"/>
              </w:rPr>
            </w:pPr>
          </w:p>
        </w:tc>
        <w:tc>
          <w:tcPr>
            <w:tcW w:w="1635" w:type="dxa"/>
            <w:vAlign w:val="center"/>
          </w:tcPr>
          <w:p w14:paraId="36F3E4D8">
            <w:pPr>
              <w:spacing w:line="400" w:lineRule="exact"/>
              <w:jc w:val="center"/>
              <w:rPr>
                <w:color w:val="auto"/>
                <w:szCs w:val="21"/>
                <w:highlight w:val="none"/>
              </w:rPr>
            </w:pPr>
          </w:p>
        </w:tc>
        <w:tc>
          <w:tcPr>
            <w:tcW w:w="1553" w:type="dxa"/>
            <w:vAlign w:val="center"/>
          </w:tcPr>
          <w:p w14:paraId="2DAD99C2">
            <w:pPr>
              <w:spacing w:line="400" w:lineRule="exact"/>
              <w:jc w:val="center"/>
              <w:rPr>
                <w:color w:val="auto"/>
                <w:szCs w:val="21"/>
                <w:highlight w:val="none"/>
              </w:rPr>
            </w:pPr>
          </w:p>
        </w:tc>
      </w:tr>
    </w:tbl>
    <w:p w14:paraId="318A82F1">
      <w:pPr>
        <w:rPr>
          <w:color w:val="auto"/>
          <w:highlight w:val="none"/>
        </w:rPr>
      </w:pPr>
    </w:p>
    <w:p w14:paraId="67D18C4A">
      <w:pPr>
        <w:widowControl/>
        <w:spacing w:line="360" w:lineRule="auto"/>
        <w:jc w:val="left"/>
        <w:rPr>
          <w:color w:val="auto"/>
          <w:sz w:val="24"/>
          <w:highlight w:val="none"/>
        </w:rPr>
      </w:pPr>
      <w:r>
        <w:rPr>
          <w:color w:val="auto"/>
          <w:sz w:val="24"/>
          <w:highlight w:val="none"/>
        </w:rPr>
        <w:t>投标人（盖章）：</w:t>
      </w:r>
    </w:p>
    <w:p w14:paraId="2914445C">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24F46CC1">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5BF1EB1F">
      <w:pPr>
        <w:pStyle w:val="24"/>
        <w:rPr>
          <w:rFonts w:ascii="Times New Roman" w:hAnsi="Times New Roman"/>
          <w:color w:val="auto"/>
          <w:highlight w:val="none"/>
        </w:rPr>
      </w:pPr>
    </w:p>
    <w:p w14:paraId="41661455">
      <w:pPr>
        <w:pStyle w:val="24"/>
        <w:rPr>
          <w:rFonts w:ascii="Times New Roman" w:hAnsi="Times New Roman"/>
          <w:color w:val="auto"/>
          <w:highlight w:val="none"/>
        </w:rPr>
      </w:pPr>
    </w:p>
    <w:p w14:paraId="37AAA8EB">
      <w:pPr>
        <w:pStyle w:val="24"/>
        <w:rPr>
          <w:rFonts w:ascii="Times New Roman" w:hAnsi="Times New Roman"/>
          <w:color w:val="auto"/>
          <w:highlight w:val="none"/>
        </w:rPr>
      </w:pPr>
    </w:p>
    <w:p w14:paraId="2721FB2E">
      <w:pPr>
        <w:pStyle w:val="24"/>
        <w:rPr>
          <w:rFonts w:ascii="Times New Roman" w:hAnsi="Times New Roman"/>
          <w:color w:val="auto"/>
          <w:highlight w:val="none"/>
        </w:rPr>
      </w:pPr>
    </w:p>
    <w:p w14:paraId="5A1ED2C5">
      <w:pPr>
        <w:pStyle w:val="24"/>
        <w:rPr>
          <w:rFonts w:ascii="Times New Roman" w:hAnsi="Times New Roman"/>
          <w:color w:val="auto"/>
          <w:highlight w:val="none"/>
        </w:rPr>
      </w:pPr>
    </w:p>
    <w:p w14:paraId="467124E7">
      <w:pPr>
        <w:pStyle w:val="24"/>
        <w:rPr>
          <w:rFonts w:ascii="Times New Roman" w:hAnsi="Times New Roman"/>
          <w:color w:val="auto"/>
          <w:highlight w:val="none"/>
        </w:rPr>
      </w:pPr>
    </w:p>
    <w:p w14:paraId="006A2F8E">
      <w:pPr>
        <w:pStyle w:val="24"/>
        <w:rPr>
          <w:rFonts w:ascii="Times New Roman" w:hAnsi="Times New Roman"/>
          <w:color w:val="auto"/>
          <w:highlight w:val="none"/>
        </w:rPr>
      </w:pPr>
    </w:p>
    <w:p w14:paraId="3257EBA7">
      <w:pPr>
        <w:pStyle w:val="24"/>
        <w:rPr>
          <w:rFonts w:ascii="Times New Roman" w:hAnsi="Times New Roman"/>
          <w:color w:val="auto"/>
          <w:highlight w:val="none"/>
        </w:rPr>
      </w:pPr>
    </w:p>
    <w:p w14:paraId="7580F7AC">
      <w:pPr>
        <w:pStyle w:val="24"/>
        <w:rPr>
          <w:rFonts w:ascii="Times New Roman" w:hAnsi="Times New Roman"/>
          <w:color w:val="auto"/>
          <w:highlight w:val="none"/>
        </w:rPr>
      </w:pPr>
    </w:p>
    <w:p w14:paraId="3717DEC3">
      <w:pPr>
        <w:pStyle w:val="24"/>
        <w:rPr>
          <w:rFonts w:ascii="Times New Roman" w:hAnsi="Times New Roman"/>
          <w:color w:val="auto"/>
          <w:highlight w:val="none"/>
        </w:rPr>
      </w:pPr>
    </w:p>
    <w:p w14:paraId="21BCD3CC">
      <w:pPr>
        <w:pStyle w:val="24"/>
        <w:rPr>
          <w:rFonts w:ascii="Times New Roman" w:hAnsi="Times New Roman"/>
          <w:color w:val="auto"/>
          <w:highlight w:val="none"/>
        </w:rPr>
      </w:pPr>
    </w:p>
    <w:p w14:paraId="09AE6988">
      <w:pPr>
        <w:pStyle w:val="24"/>
        <w:rPr>
          <w:rFonts w:ascii="Times New Roman" w:hAnsi="Times New Roman"/>
          <w:color w:val="auto"/>
          <w:highlight w:val="none"/>
        </w:rPr>
      </w:pPr>
    </w:p>
    <w:p w14:paraId="712B9F96">
      <w:pPr>
        <w:pStyle w:val="24"/>
        <w:rPr>
          <w:rFonts w:ascii="Times New Roman" w:hAnsi="Times New Roman"/>
          <w:color w:val="auto"/>
          <w:highlight w:val="none"/>
        </w:rPr>
      </w:pPr>
    </w:p>
    <w:p w14:paraId="3964F3A0">
      <w:pPr>
        <w:pStyle w:val="24"/>
        <w:rPr>
          <w:rFonts w:ascii="Times New Roman" w:hAnsi="Times New Roman"/>
          <w:color w:val="auto"/>
          <w:highlight w:val="none"/>
        </w:rPr>
      </w:pPr>
    </w:p>
    <w:p w14:paraId="3C8180DC">
      <w:pPr>
        <w:pStyle w:val="24"/>
        <w:rPr>
          <w:rFonts w:ascii="Times New Roman" w:hAnsi="Times New Roman"/>
          <w:color w:val="auto"/>
          <w:highlight w:val="none"/>
        </w:rPr>
      </w:pPr>
    </w:p>
    <w:p w14:paraId="3EEF9B8D">
      <w:pPr>
        <w:pStyle w:val="24"/>
        <w:rPr>
          <w:rFonts w:ascii="Times New Roman" w:hAnsi="Times New Roman"/>
          <w:color w:val="auto"/>
          <w:highlight w:val="none"/>
        </w:rPr>
      </w:pPr>
    </w:p>
    <w:p w14:paraId="03686158">
      <w:pPr>
        <w:pStyle w:val="24"/>
        <w:rPr>
          <w:rFonts w:ascii="Times New Roman" w:hAnsi="Times New Roman"/>
          <w:color w:val="auto"/>
          <w:highlight w:val="none"/>
        </w:rPr>
      </w:pPr>
    </w:p>
    <w:p w14:paraId="3EF1FE0E">
      <w:pPr>
        <w:pStyle w:val="24"/>
        <w:rPr>
          <w:rFonts w:ascii="Times New Roman" w:hAnsi="Times New Roman"/>
          <w:color w:val="auto"/>
          <w:highlight w:val="none"/>
        </w:rPr>
      </w:pPr>
    </w:p>
    <w:p w14:paraId="1E96EAC4">
      <w:pPr>
        <w:rPr>
          <w:b/>
          <w:color w:val="auto"/>
          <w:highlight w:val="none"/>
        </w:rPr>
      </w:pPr>
      <w:r>
        <w:rPr>
          <w:b/>
          <w:color w:val="auto"/>
          <w:highlight w:val="none"/>
        </w:rPr>
        <w:br w:type="page"/>
      </w:r>
      <w:r>
        <w:rPr>
          <w:b/>
          <w:color w:val="auto"/>
          <w:highlight w:val="none"/>
        </w:rPr>
        <w:t>格式十二：</w:t>
      </w:r>
      <w:r>
        <w:rPr>
          <w:color w:val="auto"/>
          <w:szCs w:val="21"/>
          <w:highlight w:val="none"/>
        </w:rPr>
        <w:t>距采购单位最近或者能为本项目提供最优服务的网点情况表</w:t>
      </w:r>
    </w:p>
    <w:p w14:paraId="18D93F2C">
      <w:pPr>
        <w:widowControl/>
        <w:snapToGrid w:val="0"/>
        <w:spacing w:line="360" w:lineRule="auto"/>
        <w:jc w:val="center"/>
        <w:rPr>
          <w:b/>
          <w:color w:val="auto"/>
          <w:sz w:val="24"/>
          <w:szCs w:val="21"/>
          <w:highlight w:val="none"/>
        </w:rPr>
      </w:pPr>
    </w:p>
    <w:p w14:paraId="3FF6B7B8">
      <w:pPr>
        <w:widowControl/>
        <w:snapToGrid w:val="0"/>
        <w:spacing w:line="360" w:lineRule="auto"/>
        <w:jc w:val="center"/>
        <w:rPr>
          <w:b/>
          <w:color w:val="auto"/>
          <w:sz w:val="24"/>
          <w:szCs w:val="21"/>
          <w:highlight w:val="none"/>
        </w:rPr>
      </w:pPr>
      <w:r>
        <w:rPr>
          <w:b/>
          <w:color w:val="auto"/>
          <w:sz w:val="24"/>
          <w:szCs w:val="21"/>
          <w:highlight w:val="none"/>
        </w:rPr>
        <w:t>距采购单位最近或者能为本项目提供最优服务的网点情况表</w:t>
      </w:r>
    </w:p>
    <w:p w14:paraId="398DB4CC">
      <w:pPr>
        <w:widowControl/>
        <w:snapToGrid w:val="0"/>
        <w:spacing w:line="360" w:lineRule="auto"/>
        <w:jc w:val="center"/>
        <w:rPr>
          <w:b/>
          <w:color w:val="auto"/>
          <w:sz w:val="24"/>
          <w:szCs w:val="21"/>
          <w:highlight w:val="none"/>
        </w:rPr>
      </w:pPr>
    </w:p>
    <w:p w14:paraId="032C593D">
      <w:pPr>
        <w:pStyle w:val="28"/>
        <w:widowControl/>
        <w:snapToGrid w:val="0"/>
        <w:spacing w:line="360" w:lineRule="auto"/>
        <w:ind w:left="440" w:hanging="440"/>
        <w:rPr>
          <w:color w:val="auto"/>
          <w:sz w:val="24"/>
          <w:szCs w:val="21"/>
          <w:highlight w:val="none"/>
        </w:rPr>
      </w:pPr>
      <w:r>
        <w:rPr>
          <w:color w:val="auto"/>
          <w:sz w:val="22"/>
          <w:szCs w:val="21"/>
          <w:highlight w:val="none"/>
        </w:rPr>
        <w:t>项目名称：</w:t>
      </w:r>
      <w:r>
        <w:rPr>
          <w:color w:val="auto"/>
          <w:sz w:val="22"/>
          <w:szCs w:val="21"/>
          <w:highlight w:val="none"/>
          <w:u w:val="single"/>
        </w:rPr>
        <w:t xml:space="preserve">              </w:t>
      </w:r>
      <w:r>
        <w:rPr>
          <w:color w:val="auto"/>
          <w:sz w:val="22"/>
          <w:szCs w:val="21"/>
          <w:highlight w:val="none"/>
        </w:rPr>
        <w:t xml:space="preserve"> 招标编号：</w:t>
      </w:r>
      <w:r>
        <w:rPr>
          <w:color w:val="auto"/>
          <w:sz w:val="22"/>
          <w:szCs w:val="21"/>
          <w:highlight w:val="none"/>
          <w:u w:val="single"/>
        </w:rPr>
        <w:t xml:space="preserve">           </w:t>
      </w:r>
      <w:r>
        <w:rPr>
          <w:color w:val="auto"/>
          <w:sz w:val="22"/>
          <w:szCs w:val="21"/>
          <w:highlight w:val="none"/>
        </w:rPr>
        <w:t xml:space="preserve">  标项：</w:t>
      </w:r>
      <w:r>
        <w:rPr>
          <w:color w:val="auto"/>
          <w:sz w:val="22"/>
          <w:szCs w:val="21"/>
          <w:highlight w:val="none"/>
          <w:u w:val="single"/>
        </w:rPr>
        <w:t xml:space="preserve">            </w:t>
      </w:r>
      <w:r>
        <w:rPr>
          <w:color w:val="auto"/>
          <w:sz w:val="22"/>
          <w:szCs w:val="21"/>
          <w:highlight w:val="none"/>
        </w:rPr>
        <w:t xml:space="preserve"> </w:t>
      </w:r>
    </w:p>
    <w:tbl>
      <w:tblPr>
        <w:tblStyle w:val="3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14:paraId="47A6FF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7563EAFE">
            <w:pPr>
              <w:snapToGrid w:val="0"/>
              <w:spacing w:before="50" w:after="120" w:afterLines="50" w:line="400" w:lineRule="exact"/>
              <w:jc w:val="left"/>
              <w:rPr>
                <w:color w:val="auto"/>
                <w:sz w:val="24"/>
                <w:szCs w:val="21"/>
                <w:highlight w:val="none"/>
              </w:rPr>
            </w:pPr>
            <w:r>
              <w:rPr>
                <w:color w:val="auto"/>
                <w:sz w:val="24"/>
                <w:szCs w:val="21"/>
                <w:highlight w:val="none"/>
              </w:rPr>
              <w:t>服务网点名称</w:t>
            </w:r>
          </w:p>
        </w:tc>
        <w:tc>
          <w:tcPr>
            <w:tcW w:w="5575" w:type="dxa"/>
            <w:gridSpan w:val="5"/>
          </w:tcPr>
          <w:p w14:paraId="2668C47A">
            <w:pPr>
              <w:snapToGrid w:val="0"/>
              <w:spacing w:before="50" w:after="120" w:afterLines="50" w:line="400" w:lineRule="exact"/>
              <w:jc w:val="left"/>
              <w:rPr>
                <w:color w:val="auto"/>
                <w:sz w:val="24"/>
                <w:szCs w:val="21"/>
                <w:highlight w:val="none"/>
              </w:rPr>
            </w:pPr>
          </w:p>
        </w:tc>
        <w:tc>
          <w:tcPr>
            <w:tcW w:w="1450" w:type="dxa"/>
            <w:vMerge w:val="restart"/>
            <w:vAlign w:val="center"/>
          </w:tcPr>
          <w:p w14:paraId="71920396">
            <w:pPr>
              <w:snapToGrid w:val="0"/>
              <w:spacing w:before="50" w:after="120" w:afterLines="50" w:line="400" w:lineRule="exact"/>
              <w:jc w:val="center"/>
              <w:rPr>
                <w:color w:val="auto"/>
                <w:sz w:val="24"/>
                <w:szCs w:val="21"/>
                <w:highlight w:val="none"/>
              </w:rPr>
            </w:pPr>
            <w:r>
              <w:rPr>
                <w:color w:val="auto"/>
                <w:sz w:val="24"/>
                <w:szCs w:val="21"/>
                <w:highlight w:val="none"/>
              </w:rPr>
              <w:t>投标文件</w:t>
            </w:r>
          </w:p>
          <w:p w14:paraId="2FD3EE21">
            <w:pPr>
              <w:snapToGrid w:val="0"/>
              <w:spacing w:before="50" w:after="120" w:afterLines="50" w:line="400" w:lineRule="exact"/>
              <w:jc w:val="center"/>
              <w:rPr>
                <w:color w:val="auto"/>
                <w:sz w:val="24"/>
                <w:szCs w:val="21"/>
                <w:highlight w:val="none"/>
              </w:rPr>
            </w:pPr>
            <w:r>
              <w:rPr>
                <w:color w:val="auto"/>
                <w:sz w:val="24"/>
                <w:szCs w:val="21"/>
                <w:highlight w:val="none"/>
              </w:rPr>
              <w:t>页码</w:t>
            </w:r>
          </w:p>
        </w:tc>
      </w:tr>
      <w:tr w14:paraId="47D4A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48A3F234">
            <w:pPr>
              <w:snapToGrid w:val="0"/>
              <w:spacing w:before="50" w:after="120" w:afterLines="50" w:line="400" w:lineRule="exact"/>
              <w:jc w:val="left"/>
              <w:rPr>
                <w:color w:val="auto"/>
                <w:sz w:val="24"/>
                <w:szCs w:val="21"/>
                <w:highlight w:val="none"/>
              </w:rPr>
            </w:pPr>
            <w:r>
              <w:rPr>
                <w:color w:val="auto"/>
                <w:sz w:val="24"/>
                <w:szCs w:val="21"/>
                <w:highlight w:val="none"/>
              </w:rPr>
              <w:t>地址</w:t>
            </w:r>
          </w:p>
        </w:tc>
        <w:tc>
          <w:tcPr>
            <w:tcW w:w="5575" w:type="dxa"/>
            <w:gridSpan w:val="5"/>
          </w:tcPr>
          <w:p w14:paraId="21DA73D0">
            <w:pPr>
              <w:snapToGrid w:val="0"/>
              <w:spacing w:before="50" w:after="120" w:afterLines="50" w:line="400" w:lineRule="exact"/>
              <w:jc w:val="left"/>
              <w:rPr>
                <w:color w:val="auto"/>
                <w:sz w:val="24"/>
                <w:szCs w:val="21"/>
                <w:highlight w:val="none"/>
              </w:rPr>
            </w:pPr>
          </w:p>
        </w:tc>
        <w:tc>
          <w:tcPr>
            <w:tcW w:w="1450" w:type="dxa"/>
            <w:vMerge w:val="continue"/>
            <w:vAlign w:val="center"/>
          </w:tcPr>
          <w:p w14:paraId="5D43C732">
            <w:pPr>
              <w:rPr>
                <w:color w:val="auto"/>
                <w:highlight w:val="none"/>
              </w:rPr>
            </w:pPr>
          </w:p>
        </w:tc>
      </w:tr>
      <w:tr w14:paraId="3B0164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3914FDEF">
            <w:pPr>
              <w:snapToGrid w:val="0"/>
              <w:spacing w:before="50" w:after="120" w:afterLines="50" w:line="400" w:lineRule="exact"/>
              <w:jc w:val="left"/>
              <w:rPr>
                <w:color w:val="auto"/>
                <w:sz w:val="24"/>
                <w:szCs w:val="21"/>
                <w:highlight w:val="none"/>
              </w:rPr>
            </w:pPr>
            <w:r>
              <w:rPr>
                <w:color w:val="auto"/>
                <w:sz w:val="24"/>
                <w:szCs w:val="21"/>
                <w:highlight w:val="none"/>
              </w:rPr>
              <w:t>注册资本金</w:t>
            </w:r>
          </w:p>
        </w:tc>
        <w:tc>
          <w:tcPr>
            <w:tcW w:w="1622" w:type="dxa"/>
          </w:tcPr>
          <w:p w14:paraId="725E0613">
            <w:pPr>
              <w:snapToGrid w:val="0"/>
              <w:spacing w:before="50" w:after="120" w:afterLines="50" w:line="400" w:lineRule="exact"/>
              <w:jc w:val="left"/>
              <w:rPr>
                <w:color w:val="auto"/>
                <w:sz w:val="24"/>
                <w:szCs w:val="21"/>
                <w:highlight w:val="none"/>
              </w:rPr>
            </w:pPr>
          </w:p>
        </w:tc>
        <w:tc>
          <w:tcPr>
            <w:tcW w:w="2518" w:type="dxa"/>
            <w:gridSpan w:val="3"/>
          </w:tcPr>
          <w:p w14:paraId="66965699">
            <w:pPr>
              <w:snapToGrid w:val="0"/>
              <w:spacing w:before="50" w:after="120" w:afterLines="50" w:line="400" w:lineRule="exact"/>
              <w:jc w:val="left"/>
              <w:rPr>
                <w:color w:val="auto"/>
                <w:sz w:val="24"/>
                <w:szCs w:val="21"/>
                <w:highlight w:val="none"/>
              </w:rPr>
            </w:pPr>
            <w:r>
              <w:rPr>
                <w:color w:val="auto"/>
                <w:sz w:val="24"/>
                <w:szCs w:val="21"/>
                <w:highlight w:val="none"/>
              </w:rPr>
              <w:t>其中：投标人出资比例</w:t>
            </w:r>
          </w:p>
        </w:tc>
        <w:tc>
          <w:tcPr>
            <w:tcW w:w="1435" w:type="dxa"/>
          </w:tcPr>
          <w:p w14:paraId="5ABC9051">
            <w:pPr>
              <w:snapToGrid w:val="0"/>
              <w:spacing w:before="50" w:after="120" w:afterLines="50" w:line="400" w:lineRule="exact"/>
              <w:jc w:val="left"/>
              <w:rPr>
                <w:color w:val="auto"/>
                <w:sz w:val="24"/>
                <w:szCs w:val="21"/>
                <w:highlight w:val="none"/>
              </w:rPr>
            </w:pPr>
          </w:p>
        </w:tc>
        <w:tc>
          <w:tcPr>
            <w:tcW w:w="1450" w:type="dxa"/>
          </w:tcPr>
          <w:p w14:paraId="1482BAC9">
            <w:pPr>
              <w:snapToGrid w:val="0"/>
              <w:spacing w:before="50" w:after="120" w:afterLines="50" w:line="400" w:lineRule="exact"/>
              <w:jc w:val="left"/>
              <w:rPr>
                <w:color w:val="auto"/>
                <w:sz w:val="24"/>
                <w:szCs w:val="21"/>
                <w:highlight w:val="none"/>
              </w:rPr>
            </w:pPr>
          </w:p>
        </w:tc>
      </w:tr>
      <w:tr w14:paraId="71CC0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726" w:type="dxa"/>
          </w:tcPr>
          <w:p w14:paraId="793FF5BF">
            <w:pPr>
              <w:snapToGrid w:val="0"/>
              <w:spacing w:before="50" w:after="120" w:afterLines="50" w:line="400" w:lineRule="exact"/>
              <w:jc w:val="left"/>
              <w:rPr>
                <w:color w:val="auto"/>
                <w:sz w:val="24"/>
                <w:szCs w:val="21"/>
                <w:highlight w:val="none"/>
              </w:rPr>
            </w:pPr>
            <w:r>
              <w:rPr>
                <w:color w:val="auto"/>
                <w:sz w:val="24"/>
                <w:szCs w:val="21"/>
                <w:highlight w:val="none"/>
              </w:rPr>
              <w:t>员工总人数</w:t>
            </w:r>
          </w:p>
        </w:tc>
        <w:tc>
          <w:tcPr>
            <w:tcW w:w="1622" w:type="dxa"/>
          </w:tcPr>
          <w:p w14:paraId="66D8AE0D">
            <w:pPr>
              <w:snapToGrid w:val="0"/>
              <w:spacing w:before="50" w:after="120" w:afterLines="50" w:line="400" w:lineRule="exact"/>
              <w:jc w:val="left"/>
              <w:rPr>
                <w:color w:val="auto"/>
                <w:sz w:val="24"/>
                <w:szCs w:val="21"/>
                <w:highlight w:val="none"/>
              </w:rPr>
            </w:pPr>
          </w:p>
        </w:tc>
        <w:tc>
          <w:tcPr>
            <w:tcW w:w="2518" w:type="dxa"/>
            <w:gridSpan w:val="3"/>
          </w:tcPr>
          <w:p w14:paraId="10D374B3">
            <w:pPr>
              <w:snapToGrid w:val="0"/>
              <w:spacing w:before="50" w:after="120" w:afterLines="50" w:line="400" w:lineRule="exact"/>
              <w:ind w:left="60"/>
              <w:jc w:val="left"/>
              <w:rPr>
                <w:color w:val="auto"/>
                <w:sz w:val="24"/>
                <w:szCs w:val="21"/>
                <w:highlight w:val="none"/>
              </w:rPr>
            </w:pPr>
            <w:r>
              <w:rPr>
                <w:color w:val="auto"/>
                <w:sz w:val="24"/>
                <w:szCs w:val="21"/>
                <w:highlight w:val="none"/>
              </w:rPr>
              <w:t>其中：技术人员数</w:t>
            </w:r>
          </w:p>
        </w:tc>
        <w:tc>
          <w:tcPr>
            <w:tcW w:w="1435" w:type="dxa"/>
          </w:tcPr>
          <w:p w14:paraId="086CE06D">
            <w:pPr>
              <w:snapToGrid w:val="0"/>
              <w:spacing w:before="50" w:after="120" w:afterLines="50" w:line="400" w:lineRule="exact"/>
              <w:jc w:val="left"/>
              <w:rPr>
                <w:color w:val="auto"/>
                <w:sz w:val="24"/>
                <w:szCs w:val="21"/>
                <w:highlight w:val="none"/>
              </w:rPr>
            </w:pPr>
          </w:p>
        </w:tc>
        <w:tc>
          <w:tcPr>
            <w:tcW w:w="1450" w:type="dxa"/>
          </w:tcPr>
          <w:p w14:paraId="5BA13DF4">
            <w:pPr>
              <w:snapToGrid w:val="0"/>
              <w:spacing w:before="50" w:after="120" w:afterLines="50" w:line="400" w:lineRule="exact"/>
              <w:jc w:val="left"/>
              <w:rPr>
                <w:color w:val="auto"/>
                <w:sz w:val="24"/>
                <w:szCs w:val="21"/>
                <w:highlight w:val="none"/>
              </w:rPr>
            </w:pPr>
          </w:p>
        </w:tc>
      </w:tr>
      <w:tr w14:paraId="5A6C6D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74CE7CC1">
            <w:pPr>
              <w:snapToGrid w:val="0"/>
              <w:spacing w:before="50" w:after="120" w:afterLines="50" w:line="400" w:lineRule="exact"/>
              <w:jc w:val="left"/>
              <w:rPr>
                <w:color w:val="auto"/>
                <w:sz w:val="24"/>
                <w:szCs w:val="21"/>
                <w:highlight w:val="none"/>
              </w:rPr>
            </w:pPr>
            <w:r>
              <w:rPr>
                <w:color w:val="auto"/>
                <w:sz w:val="24"/>
                <w:szCs w:val="21"/>
                <w:highlight w:val="none"/>
              </w:rPr>
              <w:t>经营期限</w:t>
            </w:r>
          </w:p>
        </w:tc>
        <w:tc>
          <w:tcPr>
            <w:tcW w:w="5575" w:type="dxa"/>
            <w:gridSpan w:val="5"/>
          </w:tcPr>
          <w:p w14:paraId="6973C7C3">
            <w:pPr>
              <w:snapToGrid w:val="0"/>
              <w:spacing w:before="50" w:after="120" w:afterLines="50" w:line="400" w:lineRule="exact"/>
              <w:jc w:val="left"/>
              <w:rPr>
                <w:color w:val="auto"/>
                <w:sz w:val="24"/>
                <w:szCs w:val="21"/>
                <w:highlight w:val="none"/>
              </w:rPr>
            </w:pPr>
          </w:p>
        </w:tc>
        <w:tc>
          <w:tcPr>
            <w:tcW w:w="1450" w:type="dxa"/>
          </w:tcPr>
          <w:p w14:paraId="6B6044E2">
            <w:pPr>
              <w:snapToGrid w:val="0"/>
              <w:spacing w:before="50" w:after="120" w:afterLines="50" w:line="400" w:lineRule="exact"/>
              <w:jc w:val="left"/>
              <w:rPr>
                <w:color w:val="auto"/>
                <w:sz w:val="24"/>
                <w:szCs w:val="21"/>
                <w:highlight w:val="none"/>
              </w:rPr>
            </w:pPr>
          </w:p>
        </w:tc>
      </w:tr>
      <w:tr w14:paraId="1D103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205D3D27">
            <w:pPr>
              <w:snapToGrid w:val="0"/>
              <w:spacing w:before="50" w:after="120" w:afterLines="50" w:line="400" w:lineRule="exact"/>
              <w:jc w:val="left"/>
              <w:rPr>
                <w:color w:val="auto"/>
                <w:sz w:val="24"/>
                <w:szCs w:val="21"/>
                <w:highlight w:val="none"/>
              </w:rPr>
            </w:pPr>
            <w:r>
              <w:rPr>
                <w:color w:val="auto"/>
                <w:sz w:val="24"/>
                <w:szCs w:val="21"/>
                <w:highlight w:val="none"/>
              </w:rPr>
              <w:t>售后服务协议</w:t>
            </w:r>
          </w:p>
        </w:tc>
        <w:tc>
          <w:tcPr>
            <w:tcW w:w="5575" w:type="dxa"/>
            <w:gridSpan w:val="5"/>
          </w:tcPr>
          <w:p w14:paraId="33657A6C">
            <w:pPr>
              <w:snapToGrid w:val="0"/>
              <w:spacing w:before="50" w:after="120" w:afterLines="50" w:line="400" w:lineRule="exact"/>
              <w:jc w:val="left"/>
              <w:rPr>
                <w:color w:val="auto"/>
                <w:sz w:val="24"/>
                <w:szCs w:val="21"/>
                <w:highlight w:val="none"/>
              </w:rPr>
            </w:pPr>
          </w:p>
        </w:tc>
        <w:tc>
          <w:tcPr>
            <w:tcW w:w="1450" w:type="dxa"/>
          </w:tcPr>
          <w:p w14:paraId="6953425A">
            <w:pPr>
              <w:snapToGrid w:val="0"/>
              <w:spacing w:before="50" w:after="120" w:afterLines="50" w:line="400" w:lineRule="exact"/>
              <w:jc w:val="left"/>
              <w:rPr>
                <w:color w:val="auto"/>
                <w:sz w:val="24"/>
                <w:szCs w:val="21"/>
                <w:highlight w:val="none"/>
              </w:rPr>
            </w:pPr>
          </w:p>
        </w:tc>
      </w:tr>
      <w:tr w14:paraId="7C45E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757D6130">
            <w:pPr>
              <w:snapToGrid w:val="0"/>
              <w:spacing w:before="50" w:after="120" w:afterLines="50" w:line="400" w:lineRule="exact"/>
              <w:jc w:val="left"/>
              <w:rPr>
                <w:color w:val="auto"/>
                <w:sz w:val="24"/>
                <w:szCs w:val="21"/>
                <w:highlight w:val="none"/>
              </w:rPr>
            </w:pPr>
            <w:r>
              <w:rPr>
                <w:color w:val="auto"/>
                <w:sz w:val="24"/>
                <w:szCs w:val="21"/>
                <w:highlight w:val="none"/>
              </w:rPr>
              <w:t>售后服务内容</w:t>
            </w:r>
          </w:p>
        </w:tc>
        <w:tc>
          <w:tcPr>
            <w:tcW w:w="5575" w:type="dxa"/>
            <w:gridSpan w:val="5"/>
          </w:tcPr>
          <w:p w14:paraId="66B4629D">
            <w:pPr>
              <w:snapToGrid w:val="0"/>
              <w:spacing w:before="50" w:after="120" w:afterLines="50" w:line="400" w:lineRule="exact"/>
              <w:jc w:val="left"/>
              <w:rPr>
                <w:color w:val="auto"/>
                <w:sz w:val="24"/>
                <w:szCs w:val="21"/>
                <w:highlight w:val="none"/>
              </w:rPr>
            </w:pPr>
          </w:p>
        </w:tc>
        <w:tc>
          <w:tcPr>
            <w:tcW w:w="1450" w:type="dxa"/>
          </w:tcPr>
          <w:p w14:paraId="213F1F8A">
            <w:pPr>
              <w:snapToGrid w:val="0"/>
              <w:spacing w:before="50" w:after="120" w:afterLines="50" w:line="400" w:lineRule="exact"/>
              <w:jc w:val="left"/>
              <w:rPr>
                <w:color w:val="auto"/>
                <w:sz w:val="24"/>
                <w:szCs w:val="21"/>
                <w:highlight w:val="none"/>
              </w:rPr>
            </w:pPr>
          </w:p>
        </w:tc>
      </w:tr>
      <w:tr w14:paraId="7A5E00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725518D1">
            <w:pPr>
              <w:snapToGrid w:val="0"/>
              <w:spacing w:before="50" w:after="120" w:afterLines="50" w:line="400" w:lineRule="exact"/>
              <w:jc w:val="left"/>
              <w:rPr>
                <w:color w:val="auto"/>
                <w:sz w:val="24"/>
                <w:szCs w:val="21"/>
                <w:highlight w:val="none"/>
              </w:rPr>
            </w:pPr>
            <w:r>
              <w:rPr>
                <w:color w:val="auto"/>
                <w:sz w:val="24"/>
                <w:szCs w:val="21"/>
                <w:highlight w:val="none"/>
              </w:rPr>
              <w:t>工作业绩</w:t>
            </w:r>
          </w:p>
        </w:tc>
        <w:tc>
          <w:tcPr>
            <w:tcW w:w="5575" w:type="dxa"/>
            <w:gridSpan w:val="5"/>
          </w:tcPr>
          <w:p w14:paraId="5AEA3791">
            <w:pPr>
              <w:snapToGrid w:val="0"/>
              <w:spacing w:before="50" w:after="120" w:afterLines="50" w:line="400" w:lineRule="exact"/>
              <w:jc w:val="left"/>
              <w:rPr>
                <w:color w:val="auto"/>
                <w:sz w:val="24"/>
                <w:szCs w:val="21"/>
                <w:highlight w:val="none"/>
              </w:rPr>
            </w:pPr>
          </w:p>
        </w:tc>
        <w:tc>
          <w:tcPr>
            <w:tcW w:w="1450" w:type="dxa"/>
          </w:tcPr>
          <w:p w14:paraId="3A2F3B54">
            <w:pPr>
              <w:snapToGrid w:val="0"/>
              <w:spacing w:before="50" w:after="120" w:afterLines="50" w:line="400" w:lineRule="exact"/>
              <w:jc w:val="left"/>
              <w:rPr>
                <w:color w:val="auto"/>
                <w:sz w:val="24"/>
                <w:szCs w:val="21"/>
                <w:highlight w:val="none"/>
              </w:rPr>
            </w:pPr>
          </w:p>
        </w:tc>
      </w:tr>
      <w:tr w14:paraId="32023C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7246B5B6">
            <w:pPr>
              <w:snapToGrid w:val="0"/>
              <w:spacing w:before="50" w:after="120" w:afterLines="50" w:line="400" w:lineRule="exact"/>
              <w:jc w:val="left"/>
              <w:rPr>
                <w:color w:val="auto"/>
                <w:sz w:val="24"/>
                <w:szCs w:val="21"/>
                <w:highlight w:val="none"/>
              </w:rPr>
            </w:pPr>
            <w:r>
              <w:rPr>
                <w:color w:val="auto"/>
                <w:sz w:val="24"/>
                <w:szCs w:val="21"/>
                <w:highlight w:val="none"/>
              </w:rPr>
              <w:t>服务承诺</w:t>
            </w:r>
          </w:p>
        </w:tc>
        <w:tc>
          <w:tcPr>
            <w:tcW w:w="5575" w:type="dxa"/>
            <w:gridSpan w:val="5"/>
          </w:tcPr>
          <w:p w14:paraId="6DAC7F0A">
            <w:pPr>
              <w:snapToGrid w:val="0"/>
              <w:spacing w:before="50" w:after="120" w:afterLines="50" w:line="400" w:lineRule="exact"/>
              <w:jc w:val="left"/>
              <w:rPr>
                <w:color w:val="auto"/>
                <w:sz w:val="24"/>
                <w:szCs w:val="21"/>
                <w:highlight w:val="none"/>
              </w:rPr>
            </w:pPr>
          </w:p>
        </w:tc>
        <w:tc>
          <w:tcPr>
            <w:tcW w:w="1450" w:type="dxa"/>
          </w:tcPr>
          <w:p w14:paraId="03B7504C">
            <w:pPr>
              <w:snapToGrid w:val="0"/>
              <w:spacing w:before="50" w:after="120" w:afterLines="50" w:line="400" w:lineRule="exact"/>
              <w:jc w:val="left"/>
              <w:rPr>
                <w:color w:val="auto"/>
                <w:sz w:val="24"/>
                <w:szCs w:val="21"/>
                <w:highlight w:val="none"/>
              </w:rPr>
            </w:pPr>
          </w:p>
        </w:tc>
      </w:tr>
      <w:tr w14:paraId="560F7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1F1A7A01">
            <w:pPr>
              <w:snapToGrid w:val="0"/>
              <w:spacing w:before="50" w:after="120" w:afterLines="50" w:line="400" w:lineRule="exact"/>
              <w:jc w:val="left"/>
              <w:rPr>
                <w:color w:val="auto"/>
                <w:sz w:val="24"/>
                <w:szCs w:val="21"/>
                <w:highlight w:val="none"/>
              </w:rPr>
            </w:pPr>
            <w:r>
              <w:rPr>
                <w:color w:val="auto"/>
                <w:sz w:val="24"/>
                <w:szCs w:val="21"/>
                <w:highlight w:val="none"/>
              </w:rPr>
              <w:t>业务咨询电话</w:t>
            </w:r>
          </w:p>
        </w:tc>
        <w:tc>
          <w:tcPr>
            <w:tcW w:w="1813" w:type="dxa"/>
            <w:gridSpan w:val="2"/>
          </w:tcPr>
          <w:p w14:paraId="6AC6D5A1">
            <w:pPr>
              <w:snapToGrid w:val="0"/>
              <w:spacing w:before="50" w:after="120" w:afterLines="50" w:line="400" w:lineRule="exact"/>
              <w:jc w:val="left"/>
              <w:rPr>
                <w:color w:val="auto"/>
                <w:sz w:val="24"/>
                <w:szCs w:val="21"/>
                <w:highlight w:val="none"/>
              </w:rPr>
            </w:pPr>
          </w:p>
        </w:tc>
        <w:tc>
          <w:tcPr>
            <w:tcW w:w="1439" w:type="dxa"/>
          </w:tcPr>
          <w:p w14:paraId="3C51FC30">
            <w:pPr>
              <w:snapToGrid w:val="0"/>
              <w:spacing w:before="50" w:after="120" w:afterLines="50" w:line="400" w:lineRule="exact"/>
              <w:ind w:firstLine="240" w:firstLineChars="100"/>
              <w:jc w:val="left"/>
              <w:rPr>
                <w:color w:val="auto"/>
                <w:sz w:val="24"/>
                <w:szCs w:val="21"/>
                <w:highlight w:val="none"/>
              </w:rPr>
            </w:pPr>
            <w:r>
              <w:rPr>
                <w:color w:val="auto"/>
                <w:sz w:val="24"/>
                <w:szCs w:val="21"/>
                <w:highlight w:val="none"/>
              </w:rPr>
              <w:t>传真</w:t>
            </w:r>
          </w:p>
        </w:tc>
        <w:tc>
          <w:tcPr>
            <w:tcW w:w="2323" w:type="dxa"/>
            <w:gridSpan w:val="2"/>
          </w:tcPr>
          <w:p w14:paraId="7831309D">
            <w:pPr>
              <w:snapToGrid w:val="0"/>
              <w:spacing w:before="50" w:after="120" w:afterLines="50" w:line="400" w:lineRule="exact"/>
              <w:jc w:val="left"/>
              <w:rPr>
                <w:color w:val="auto"/>
                <w:sz w:val="24"/>
                <w:szCs w:val="21"/>
                <w:highlight w:val="none"/>
              </w:rPr>
            </w:pPr>
          </w:p>
        </w:tc>
        <w:tc>
          <w:tcPr>
            <w:tcW w:w="1450" w:type="dxa"/>
          </w:tcPr>
          <w:p w14:paraId="4293BBA7">
            <w:pPr>
              <w:snapToGrid w:val="0"/>
              <w:spacing w:before="50" w:after="120" w:afterLines="50" w:line="400" w:lineRule="exact"/>
              <w:jc w:val="left"/>
              <w:rPr>
                <w:color w:val="auto"/>
                <w:sz w:val="24"/>
                <w:szCs w:val="21"/>
                <w:highlight w:val="none"/>
              </w:rPr>
            </w:pPr>
          </w:p>
        </w:tc>
      </w:tr>
      <w:tr w14:paraId="4533E3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14:paraId="176BF64A">
            <w:pPr>
              <w:snapToGrid w:val="0"/>
              <w:spacing w:before="50" w:after="120" w:afterLines="50" w:line="400" w:lineRule="exact"/>
              <w:jc w:val="left"/>
              <w:rPr>
                <w:color w:val="auto"/>
                <w:sz w:val="24"/>
                <w:szCs w:val="21"/>
                <w:highlight w:val="none"/>
              </w:rPr>
            </w:pPr>
            <w:r>
              <w:rPr>
                <w:color w:val="auto"/>
                <w:sz w:val="24"/>
                <w:szCs w:val="21"/>
                <w:highlight w:val="none"/>
              </w:rPr>
              <w:t>负责人</w:t>
            </w:r>
          </w:p>
        </w:tc>
        <w:tc>
          <w:tcPr>
            <w:tcW w:w="1813" w:type="dxa"/>
            <w:gridSpan w:val="2"/>
          </w:tcPr>
          <w:p w14:paraId="417880D7">
            <w:pPr>
              <w:snapToGrid w:val="0"/>
              <w:spacing w:before="50" w:after="120" w:afterLines="50" w:line="400" w:lineRule="exact"/>
              <w:jc w:val="left"/>
              <w:rPr>
                <w:color w:val="auto"/>
                <w:sz w:val="24"/>
                <w:szCs w:val="21"/>
                <w:highlight w:val="none"/>
              </w:rPr>
            </w:pPr>
          </w:p>
        </w:tc>
        <w:tc>
          <w:tcPr>
            <w:tcW w:w="1439" w:type="dxa"/>
          </w:tcPr>
          <w:p w14:paraId="2F2A757E">
            <w:pPr>
              <w:snapToGrid w:val="0"/>
              <w:spacing w:before="50" w:after="120" w:afterLines="50" w:line="400" w:lineRule="exact"/>
              <w:jc w:val="left"/>
              <w:rPr>
                <w:color w:val="auto"/>
                <w:sz w:val="24"/>
                <w:szCs w:val="21"/>
                <w:highlight w:val="none"/>
              </w:rPr>
            </w:pPr>
            <w:r>
              <w:rPr>
                <w:color w:val="auto"/>
                <w:sz w:val="24"/>
                <w:szCs w:val="21"/>
                <w:highlight w:val="none"/>
              </w:rPr>
              <w:t>联系电话</w:t>
            </w:r>
          </w:p>
        </w:tc>
        <w:tc>
          <w:tcPr>
            <w:tcW w:w="2323" w:type="dxa"/>
            <w:gridSpan w:val="2"/>
          </w:tcPr>
          <w:p w14:paraId="3CC68DB8">
            <w:pPr>
              <w:snapToGrid w:val="0"/>
              <w:spacing w:before="50" w:after="120" w:afterLines="50" w:line="400" w:lineRule="exact"/>
              <w:jc w:val="left"/>
              <w:rPr>
                <w:color w:val="auto"/>
                <w:sz w:val="24"/>
                <w:szCs w:val="21"/>
                <w:highlight w:val="none"/>
              </w:rPr>
            </w:pPr>
          </w:p>
        </w:tc>
        <w:tc>
          <w:tcPr>
            <w:tcW w:w="1450" w:type="dxa"/>
          </w:tcPr>
          <w:p w14:paraId="7C90A6DE">
            <w:pPr>
              <w:snapToGrid w:val="0"/>
              <w:spacing w:before="50" w:after="120" w:afterLines="50" w:line="400" w:lineRule="exact"/>
              <w:jc w:val="left"/>
              <w:rPr>
                <w:color w:val="auto"/>
                <w:sz w:val="24"/>
                <w:szCs w:val="21"/>
                <w:highlight w:val="none"/>
              </w:rPr>
            </w:pPr>
          </w:p>
        </w:tc>
      </w:tr>
    </w:tbl>
    <w:p w14:paraId="2AFA0F69">
      <w:pPr>
        <w:pStyle w:val="11"/>
        <w:numPr>
          <w:ilvl w:val="0"/>
          <w:numId w:val="0"/>
        </w:numPr>
        <w:snapToGrid w:val="0"/>
        <w:rPr>
          <w:rFonts w:ascii="Times New Roman" w:hAnsi="Times New Roman" w:eastAsia="宋体" w:cs="Times New Roman"/>
          <w:color w:val="auto"/>
          <w:sz w:val="24"/>
          <w:szCs w:val="21"/>
          <w:highlight w:val="none"/>
        </w:rPr>
      </w:pPr>
    </w:p>
    <w:p w14:paraId="2ADADFCB">
      <w:pPr>
        <w:widowControl/>
        <w:spacing w:line="360" w:lineRule="auto"/>
        <w:jc w:val="left"/>
        <w:rPr>
          <w:color w:val="auto"/>
          <w:sz w:val="24"/>
          <w:highlight w:val="none"/>
        </w:rPr>
      </w:pPr>
      <w:r>
        <w:rPr>
          <w:color w:val="auto"/>
          <w:sz w:val="24"/>
          <w:highlight w:val="none"/>
        </w:rPr>
        <w:t>投标人（盖章）：</w:t>
      </w:r>
    </w:p>
    <w:p w14:paraId="31C7D658">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30C80D85">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3EAEF94A">
      <w:pPr>
        <w:widowControl/>
        <w:jc w:val="left"/>
        <w:rPr>
          <w:color w:val="auto"/>
          <w:sz w:val="24"/>
          <w:szCs w:val="21"/>
          <w:highlight w:val="none"/>
        </w:rPr>
      </w:pPr>
    </w:p>
    <w:p w14:paraId="1026DF41">
      <w:pPr>
        <w:tabs>
          <w:tab w:val="left" w:pos="606"/>
        </w:tabs>
        <w:rPr>
          <w:color w:val="auto"/>
          <w:szCs w:val="21"/>
          <w:highlight w:val="none"/>
        </w:rPr>
      </w:pPr>
    </w:p>
    <w:p w14:paraId="33527F31">
      <w:pPr>
        <w:snapToGrid w:val="0"/>
        <w:spacing w:before="50" w:after="50"/>
        <w:rPr>
          <w:color w:val="auto"/>
          <w:szCs w:val="21"/>
          <w:highlight w:val="none"/>
        </w:rPr>
      </w:pPr>
    </w:p>
    <w:p w14:paraId="5E7E91BF">
      <w:pPr>
        <w:tabs>
          <w:tab w:val="left" w:pos="606"/>
        </w:tabs>
        <w:rPr>
          <w:color w:val="auto"/>
          <w:szCs w:val="21"/>
          <w:highlight w:val="none"/>
        </w:rPr>
      </w:pPr>
    </w:p>
    <w:p w14:paraId="575C81AA">
      <w:pPr>
        <w:tabs>
          <w:tab w:val="left" w:pos="606"/>
        </w:tabs>
        <w:rPr>
          <w:color w:val="auto"/>
          <w:szCs w:val="21"/>
          <w:highlight w:val="none"/>
        </w:rPr>
      </w:pPr>
    </w:p>
    <w:p w14:paraId="03B23B9D">
      <w:pPr>
        <w:widowControl/>
        <w:jc w:val="left"/>
        <w:rPr>
          <w:b/>
          <w:color w:val="auto"/>
          <w:highlight w:val="none"/>
        </w:rPr>
      </w:pPr>
      <w:r>
        <w:rPr>
          <w:color w:val="auto"/>
          <w:highlight w:val="none"/>
        </w:rPr>
        <w:br w:type="page"/>
      </w:r>
      <w:r>
        <w:rPr>
          <w:b/>
          <w:color w:val="auto"/>
          <w:highlight w:val="none"/>
        </w:rPr>
        <w:t>格式十三：</w:t>
      </w:r>
      <w:r>
        <w:rPr>
          <w:color w:val="auto"/>
          <w:szCs w:val="21"/>
          <w:highlight w:val="none"/>
        </w:rPr>
        <w:t>投标函</w:t>
      </w:r>
    </w:p>
    <w:p w14:paraId="5AE98D10">
      <w:pPr>
        <w:widowControl/>
        <w:spacing w:line="400" w:lineRule="exact"/>
        <w:jc w:val="center"/>
        <w:rPr>
          <w:b/>
          <w:color w:val="auto"/>
          <w:sz w:val="24"/>
          <w:szCs w:val="21"/>
          <w:highlight w:val="none"/>
        </w:rPr>
      </w:pPr>
      <w:r>
        <w:rPr>
          <w:b/>
          <w:color w:val="auto"/>
          <w:sz w:val="24"/>
          <w:szCs w:val="21"/>
          <w:highlight w:val="none"/>
        </w:rPr>
        <w:t>投标函</w:t>
      </w:r>
    </w:p>
    <w:p w14:paraId="37304162">
      <w:pPr>
        <w:widowControl/>
        <w:spacing w:line="400" w:lineRule="exact"/>
        <w:jc w:val="center"/>
        <w:rPr>
          <w:b/>
          <w:color w:val="auto"/>
          <w:sz w:val="24"/>
          <w:highlight w:val="none"/>
        </w:rPr>
      </w:pPr>
    </w:p>
    <w:p w14:paraId="0159D4BF">
      <w:pPr>
        <w:pStyle w:val="15"/>
        <w:widowControl/>
        <w:spacing w:line="360" w:lineRule="auto"/>
        <w:ind w:firstLine="0"/>
        <w:jc w:val="left"/>
        <w:rPr>
          <w:rFonts w:ascii="Times New Roman"/>
          <w:color w:val="auto"/>
          <w:sz w:val="21"/>
          <w:szCs w:val="21"/>
          <w:highlight w:val="none"/>
        </w:rPr>
      </w:pPr>
      <w:r>
        <w:rPr>
          <w:rFonts w:ascii="Times New Roman"/>
          <w:color w:val="auto"/>
          <w:sz w:val="21"/>
          <w:szCs w:val="21"/>
          <w:highlight w:val="none"/>
        </w:rPr>
        <w:t>致：浙江中创招投标有限公司</w:t>
      </w:r>
    </w:p>
    <w:p w14:paraId="436F114C">
      <w:pPr>
        <w:pStyle w:val="15"/>
        <w:widowControl/>
        <w:spacing w:line="360" w:lineRule="auto"/>
        <w:ind w:firstLine="0"/>
        <w:jc w:val="left"/>
        <w:rPr>
          <w:rFonts w:ascii="Times New Roman"/>
          <w:color w:val="auto"/>
          <w:sz w:val="21"/>
          <w:szCs w:val="21"/>
          <w:highlight w:val="none"/>
        </w:rPr>
      </w:pPr>
      <w:r>
        <w:rPr>
          <w:rFonts w:ascii="Times New Roman"/>
          <w:color w:val="auto"/>
          <w:sz w:val="21"/>
          <w:szCs w:val="21"/>
          <w:highlight w:val="none"/>
          <w:u w:val="single"/>
        </w:rPr>
        <w:t>（投标人全称）</w:t>
      </w:r>
      <w:r>
        <w:rPr>
          <w:rFonts w:ascii="Times New Roman"/>
          <w:color w:val="auto"/>
          <w:sz w:val="21"/>
          <w:szCs w:val="21"/>
          <w:highlight w:val="none"/>
        </w:rPr>
        <w:t>授权</w:t>
      </w:r>
      <w:r>
        <w:rPr>
          <w:rFonts w:ascii="Times New Roman"/>
          <w:color w:val="auto"/>
          <w:sz w:val="21"/>
          <w:szCs w:val="21"/>
          <w:highlight w:val="none"/>
          <w:u w:val="single"/>
        </w:rPr>
        <w:t>（授权代表姓名、职务）</w:t>
      </w:r>
      <w:r>
        <w:rPr>
          <w:rFonts w:ascii="Times New Roman"/>
          <w:color w:val="auto"/>
          <w:sz w:val="21"/>
          <w:szCs w:val="21"/>
          <w:highlight w:val="none"/>
        </w:rPr>
        <w:t>为本公司合法代理人，参加贵方组织的</w:t>
      </w:r>
      <w:r>
        <w:rPr>
          <w:rFonts w:ascii="Times New Roman"/>
          <w:color w:val="auto"/>
          <w:sz w:val="21"/>
          <w:szCs w:val="21"/>
          <w:highlight w:val="none"/>
          <w:u w:val="single"/>
        </w:rPr>
        <w:t>（招标编号、项目名称）</w:t>
      </w:r>
      <w:r>
        <w:rPr>
          <w:rFonts w:ascii="Times New Roman"/>
          <w:color w:val="auto"/>
          <w:sz w:val="21"/>
          <w:szCs w:val="21"/>
          <w:highlight w:val="none"/>
        </w:rPr>
        <w:t>招投标活动，代表本公司（单位）处理招投标活动中的一切事宜，在此：</w:t>
      </w:r>
    </w:p>
    <w:p w14:paraId="1243A434">
      <w:pPr>
        <w:pStyle w:val="15"/>
        <w:widowControl/>
        <w:numPr>
          <w:ilvl w:val="0"/>
          <w:numId w:val="17"/>
        </w:numPr>
        <w:spacing w:line="360" w:lineRule="auto"/>
        <w:jc w:val="left"/>
        <w:rPr>
          <w:rFonts w:ascii="Times New Roman"/>
          <w:color w:val="auto"/>
          <w:szCs w:val="21"/>
          <w:highlight w:val="none"/>
        </w:rPr>
      </w:pPr>
      <w:r>
        <w:rPr>
          <w:rFonts w:ascii="Times New Roman"/>
          <w:color w:val="auto"/>
          <w:sz w:val="21"/>
          <w:szCs w:val="21"/>
          <w:highlight w:val="none"/>
        </w:rPr>
        <w:t>提供招标文件中“投标须知”规定的全部投标文件：</w:t>
      </w:r>
    </w:p>
    <w:p w14:paraId="6D0BCC55">
      <w:pPr>
        <w:pStyle w:val="15"/>
        <w:widowControl/>
        <w:tabs>
          <w:tab w:val="left" w:pos="0"/>
        </w:tabs>
        <w:spacing w:line="360" w:lineRule="auto"/>
        <w:ind w:firstLine="0"/>
        <w:jc w:val="left"/>
        <w:rPr>
          <w:rFonts w:ascii="Times New Roman"/>
          <w:color w:val="auto"/>
          <w:sz w:val="21"/>
          <w:szCs w:val="21"/>
          <w:highlight w:val="none"/>
        </w:rPr>
      </w:pPr>
      <w:r>
        <w:rPr>
          <w:rFonts w:ascii="Times New Roman"/>
          <w:color w:val="auto"/>
          <w:sz w:val="21"/>
          <w:szCs w:val="21"/>
          <w:highlight w:val="none"/>
        </w:rPr>
        <w:t>（1）上传到政府采购云平台的电子投标文件（含资信证明文件、商务技术文件、报价文件）1份。</w:t>
      </w:r>
    </w:p>
    <w:p w14:paraId="7A3A9944">
      <w:pPr>
        <w:pStyle w:val="15"/>
        <w:widowControl/>
        <w:tabs>
          <w:tab w:val="left" w:pos="0"/>
        </w:tabs>
        <w:spacing w:line="360" w:lineRule="auto"/>
        <w:ind w:firstLine="0"/>
        <w:jc w:val="left"/>
        <w:rPr>
          <w:rFonts w:ascii="Times New Roman"/>
          <w:color w:val="auto"/>
          <w:sz w:val="21"/>
          <w:szCs w:val="21"/>
          <w:highlight w:val="none"/>
        </w:rPr>
      </w:pPr>
      <w:r>
        <w:rPr>
          <w:rFonts w:ascii="Times New Roman"/>
          <w:color w:val="auto"/>
          <w:sz w:val="21"/>
          <w:szCs w:val="21"/>
          <w:highlight w:val="none"/>
        </w:rPr>
        <w:t>（2）以U盘存储的电子备份投标文件（含资信证明文件、商务技术文件、报价文件）1份。</w:t>
      </w:r>
    </w:p>
    <w:p w14:paraId="17EF1D70">
      <w:pPr>
        <w:pStyle w:val="15"/>
        <w:widowControl/>
        <w:spacing w:line="360" w:lineRule="auto"/>
        <w:ind w:firstLine="0"/>
        <w:jc w:val="left"/>
        <w:rPr>
          <w:rFonts w:ascii="Times New Roman"/>
          <w:color w:val="auto"/>
          <w:sz w:val="21"/>
          <w:szCs w:val="21"/>
          <w:highlight w:val="none"/>
        </w:rPr>
      </w:pPr>
      <w:r>
        <w:rPr>
          <w:rFonts w:ascii="Times New Roman"/>
          <w:color w:val="auto"/>
          <w:sz w:val="21"/>
          <w:szCs w:val="21"/>
          <w:highlight w:val="none"/>
        </w:rPr>
        <w:t>2、据此函，签字代表宣布并承诺如下：</w:t>
      </w:r>
    </w:p>
    <w:p w14:paraId="6134F571">
      <w:pPr>
        <w:pStyle w:val="15"/>
        <w:widowControl/>
        <w:numPr>
          <w:ilvl w:val="0"/>
          <w:numId w:val="18"/>
        </w:numPr>
        <w:spacing w:line="360" w:lineRule="auto"/>
        <w:jc w:val="left"/>
        <w:rPr>
          <w:rFonts w:ascii="Times New Roman"/>
          <w:color w:val="auto"/>
          <w:sz w:val="21"/>
          <w:szCs w:val="21"/>
          <w:highlight w:val="none"/>
          <w:u w:val="single"/>
        </w:rPr>
      </w:pPr>
      <w:r>
        <w:rPr>
          <w:rFonts w:ascii="Times New Roman"/>
          <w:color w:val="auto"/>
          <w:sz w:val="21"/>
          <w:szCs w:val="21"/>
          <w:highlight w:val="none"/>
        </w:rPr>
        <w:t>我方对招标项目标项</w:t>
      </w:r>
      <w:r>
        <w:rPr>
          <w:rFonts w:ascii="Times New Roman"/>
          <w:color w:val="auto"/>
          <w:sz w:val="21"/>
          <w:szCs w:val="21"/>
          <w:highlight w:val="none"/>
          <w:u w:val="single"/>
        </w:rPr>
        <w:t xml:space="preserve"> /  </w:t>
      </w:r>
      <w:r>
        <w:rPr>
          <w:rFonts w:ascii="Times New Roman"/>
          <w:color w:val="auto"/>
          <w:sz w:val="21"/>
          <w:szCs w:val="21"/>
          <w:highlight w:val="none"/>
        </w:rPr>
        <w:t>愿以投标报价为（大写）：</w:t>
      </w:r>
      <w:r>
        <w:rPr>
          <w:rFonts w:ascii="Times New Roman"/>
          <w:color w:val="auto"/>
          <w:sz w:val="21"/>
          <w:szCs w:val="21"/>
          <w:highlight w:val="none"/>
          <w:u w:val="single"/>
        </w:rPr>
        <w:t xml:space="preserve">     </w:t>
      </w:r>
      <w:r>
        <w:rPr>
          <w:rFonts w:ascii="Times New Roman"/>
          <w:color w:val="auto"/>
          <w:sz w:val="21"/>
          <w:szCs w:val="21"/>
          <w:highlight w:val="none"/>
        </w:rPr>
        <w:t xml:space="preserve"> 、（小写）：</w:t>
      </w:r>
      <w:r>
        <w:rPr>
          <w:rFonts w:ascii="Times New Roman"/>
          <w:color w:val="auto"/>
          <w:sz w:val="21"/>
          <w:szCs w:val="21"/>
          <w:highlight w:val="none"/>
          <w:u w:val="single"/>
        </w:rPr>
        <w:t xml:space="preserve">    </w:t>
      </w:r>
      <w:r>
        <w:rPr>
          <w:rFonts w:ascii="Times New Roman"/>
          <w:color w:val="auto"/>
          <w:sz w:val="21"/>
          <w:szCs w:val="21"/>
          <w:highlight w:val="none"/>
        </w:rPr>
        <w:t>元人民币，承担招标文件规定内容。（可按标项列明）</w:t>
      </w:r>
    </w:p>
    <w:p w14:paraId="17798C8C">
      <w:pPr>
        <w:pStyle w:val="15"/>
        <w:widowControl/>
        <w:spacing w:line="360" w:lineRule="auto"/>
        <w:ind w:left="715" w:leftChars="100" w:hanging="505" w:hangingChars="250"/>
        <w:jc w:val="left"/>
        <w:rPr>
          <w:rFonts w:ascii="Times New Roman"/>
          <w:color w:val="auto"/>
          <w:sz w:val="21"/>
          <w:szCs w:val="21"/>
          <w:highlight w:val="none"/>
        </w:rPr>
      </w:pPr>
      <w:r>
        <w:rPr>
          <w:rFonts w:ascii="Times New Roman"/>
          <w:color w:val="auto"/>
          <w:sz w:val="21"/>
          <w:szCs w:val="21"/>
          <w:highlight w:val="none"/>
        </w:rPr>
        <w:t>（2）本报价已经包含了所供货物应纳的税金及招标文件规定的报价方式应包含的其它费用。本报价在投标有效期内固定不变，并在合同有效期内不受利率波动的影响。</w:t>
      </w:r>
    </w:p>
    <w:p w14:paraId="5B370628">
      <w:pPr>
        <w:pStyle w:val="15"/>
        <w:widowControl/>
        <w:spacing w:line="360" w:lineRule="auto"/>
        <w:ind w:firstLine="202" w:firstLineChars="100"/>
        <w:jc w:val="left"/>
        <w:rPr>
          <w:rFonts w:ascii="Times New Roman"/>
          <w:color w:val="auto"/>
          <w:sz w:val="21"/>
          <w:szCs w:val="21"/>
          <w:highlight w:val="none"/>
        </w:rPr>
      </w:pPr>
      <w:r>
        <w:rPr>
          <w:rFonts w:ascii="Times New Roman"/>
          <w:color w:val="auto"/>
          <w:sz w:val="21"/>
          <w:szCs w:val="21"/>
          <w:highlight w:val="none"/>
        </w:rPr>
        <w:t>（3）本投标自开标之日起</w:t>
      </w:r>
      <w:r>
        <w:rPr>
          <w:rFonts w:ascii="Times New Roman"/>
          <w:color w:val="auto"/>
          <w:sz w:val="21"/>
          <w:szCs w:val="21"/>
          <w:highlight w:val="none"/>
          <w:u w:val="single"/>
        </w:rPr>
        <w:t xml:space="preserve">    90  </w:t>
      </w:r>
      <w:r>
        <w:rPr>
          <w:rFonts w:ascii="Times New Roman"/>
          <w:color w:val="auto"/>
          <w:sz w:val="21"/>
          <w:szCs w:val="21"/>
          <w:highlight w:val="none"/>
        </w:rPr>
        <w:t>天内有效。</w:t>
      </w:r>
    </w:p>
    <w:p w14:paraId="6E6B9236">
      <w:pPr>
        <w:pStyle w:val="15"/>
        <w:widowControl/>
        <w:spacing w:line="360" w:lineRule="auto"/>
        <w:ind w:left="715" w:leftChars="100" w:hanging="505" w:hangingChars="250"/>
        <w:jc w:val="left"/>
        <w:rPr>
          <w:rFonts w:ascii="Times New Roman"/>
          <w:color w:val="auto"/>
          <w:sz w:val="21"/>
          <w:szCs w:val="21"/>
          <w:highlight w:val="none"/>
        </w:rPr>
      </w:pPr>
      <w:r>
        <w:rPr>
          <w:rFonts w:ascii="Times New Roman"/>
          <w:color w:val="auto"/>
          <w:sz w:val="21"/>
          <w:szCs w:val="21"/>
          <w:highlight w:val="none"/>
        </w:rPr>
        <w:t>（4）我们已详细审查全部招标文件及有关的澄清/修改文件(若有的话)，我们完全理解并同意放弃对这方面提出任何异议的权利。保证遵守招标文件有关条款规定。</w:t>
      </w:r>
    </w:p>
    <w:p w14:paraId="0CD6473D">
      <w:pPr>
        <w:pStyle w:val="15"/>
        <w:widowControl/>
        <w:spacing w:line="360" w:lineRule="auto"/>
        <w:ind w:left="715" w:leftChars="100" w:hanging="505" w:hangingChars="250"/>
        <w:jc w:val="left"/>
        <w:rPr>
          <w:rFonts w:ascii="Times New Roman"/>
          <w:color w:val="auto"/>
          <w:sz w:val="21"/>
          <w:szCs w:val="21"/>
          <w:highlight w:val="none"/>
        </w:rPr>
      </w:pPr>
      <w:r>
        <w:rPr>
          <w:rFonts w:ascii="Times New Roman"/>
          <w:color w:val="auto"/>
          <w:sz w:val="21"/>
          <w:szCs w:val="21"/>
          <w:highlight w:val="none"/>
        </w:rPr>
        <w:t>（5）保证在中标后忠实地执行与招标人所签署的合同，并承担合同规定的责任义务。保证在中标后按照招标文件的规定支付中标服务费。</w:t>
      </w:r>
    </w:p>
    <w:p w14:paraId="49B58712">
      <w:pPr>
        <w:pStyle w:val="15"/>
        <w:widowControl/>
        <w:spacing w:line="360" w:lineRule="auto"/>
        <w:ind w:firstLine="202" w:firstLineChars="100"/>
        <w:jc w:val="left"/>
        <w:rPr>
          <w:rFonts w:ascii="Times New Roman"/>
          <w:color w:val="auto"/>
          <w:sz w:val="21"/>
          <w:szCs w:val="21"/>
          <w:highlight w:val="none"/>
        </w:rPr>
      </w:pPr>
      <w:r>
        <w:rPr>
          <w:rFonts w:ascii="Times New Roman"/>
          <w:color w:val="auto"/>
          <w:sz w:val="21"/>
          <w:szCs w:val="21"/>
          <w:highlight w:val="none"/>
        </w:rPr>
        <w:t>（6）承诺应贵方要求提供任何与该项目投标有关的数据、情况和技术资料。</w:t>
      </w:r>
    </w:p>
    <w:p w14:paraId="6A277429">
      <w:pPr>
        <w:pStyle w:val="15"/>
        <w:widowControl/>
        <w:spacing w:line="360" w:lineRule="auto"/>
        <w:ind w:left="614" w:leftChars="100" w:hanging="404" w:hangingChars="200"/>
        <w:jc w:val="left"/>
        <w:rPr>
          <w:rFonts w:ascii="Times New Roman"/>
          <w:color w:val="auto"/>
          <w:sz w:val="21"/>
          <w:szCs w:val="21"/>
          <w:highlight w:val="none"/>
        </w:rPr>
      </w:pPr>
      <w:r>
        <w:rPr>
          <w:rFonts w:ascii="Times New Roman"/>
          <w:color w:val="auto"/>
          <w:sz w:val="21"/>
          <w:szCs w:val="21"/>
          <w:highlight w:val="none"/>
        </w:rPr>
        <w:t>（7）我们承诺，与为招标人采购本次招标的货物进行设计、编制规范和其他文件所委托的咨询公司或其附属机构无任何直接或间接的关联。</w:t>
      </w:r>
    </w:p>
    <w:p w14:paraId="3040BFD9">
      <w:pPr>
        <w:pStyle w:val="15"/>
        <w:widowControl/>
        <w:spacing w:line="360" w:lineRule="auto"/>
        <w:ind w:left="303" w:hanging="303" w:hangingChars="150"/>
        <w:jc w:val="left"/>
        <w:rPr>
          <w:rFonts w:ascii="Times New Roman"/>
          <w:color w:val="auto"/>
          <w:sz w:val="21"/>
          <w:szCs w:val="21"/>
          <w:highlight w:val="none"/>
        </w:rPr>
      </w:pPr>
      <w:r>
        <w:rPr>
          <w:rFonts w:ascii="Times New Roman"/>
          <w:color w:val="auto"/>
          <w:sz w:val="21"/>
          <w:szCs w:val="21"/>
          <w:highlight w:val="none"/>
        </w:rPr>
        <w:t>4、我们郑重声明：</w:t>
      </w:r>
      <w:r>
        <w:rPr>
          <w:rFonts w:ascii="Times New Roman"/>
          <w:color w:val="auto"/>
          <w:sz w:val="21"/>
          <w:szCs w:val="21"/>
          <w:highlight w:val="none"/>
        </w:rPr>
        <w:br w:type="textWrapping"/>
      </w:r>
      <w:r>
        <w:rPr>
          <w:rFonts w:ascii="Times New Roman"/>
          <w:color w:val="auto"/>
          <w:sz w:val="21"/>
          <w:szCs w:val="21"/>
          <w:highlight w:val="none"/>
        </w:rPr>
        <w:t>我公司符合有关法律法规规定的参加采购活动应当具备的条件：具有健全的财务会计制度、依法缴纳税收和社会保障资金、参加本次采购活动之前的三年内，在经营活动中无重大违法活动。</w:t>
      </w:r>
    </w:p>
    <w:p w14:paraId="39ED7EB6">
      <w:pPr>
        <w:pStyle w:val="15"/>
        <w:widowControl/>
        <w:spacing w:line="360" w:lineRule="auto"/>
        <w:ind w:firstLine="0"/>
        <w:jc w:val="left"/>
        <w:rPr>
          <w:rFonts w:ascii="Times New Roman"/>
          <w:color w:val="auto"/>
          <w:sz w:val="21"/>
          <w:szCs w:val="21"/>
          <w:highlight w:val="none"/>
        </w:rPr>
      </w:pPr>
      <w:r>
        <w:rPr>
          <w:rFonts w:ascii="Times New Roman"/>
          <w:color w:val="auto"/>
          <w:sz w:val="21"/>
          <w:szCs w:val="21"/>
          <w:highlight w:val="none"/>
        </w:rPr>
        <w:t>5、与本投标有关的一切往来通讯请寄：</w:t>
      </w:r>
    </w:p>
    <w:p w14:paraId="1F2EC8A5">
      <w:pPr>
        <w:pStyle w:val="15"/>
        <w:widowControl/>
        <w:spacing w:line="360" w:lineRule="auto"/>
        <w:jc w:val="left"/>
        <w:rPr>
          <w:rFonts w:ascii="Times New Roman"/>
          <w:color w:val="auto"/>
          <w:sz w:val="21"/>
          <w:szCs w:val="21"/>
          <w:highlight w:val="none"/>
        </w:rPr>
      </w:pPr>
      <w:r>
        <w:rPr>
          <w:rFonts w:ascii="Times New Roman"/>
          <w:color w:val="auto"/>
          <w:sz w:val="21"/>
          <w:szCs w:val="21"/>
          <w:highlight w:val="none"/>
        </w:rPr>
        <w:t>地址：</w:t>
      </w:r>
      <w:r>
        <w:rPr>
          <w:rFonts w:ascii="Times New Roman"/>
          <w:color w:val="auto"/>
          <w:szCs w:val="21"/>
          <w:highlight w:val="none"/>
          <w:u w:val="single"/>
        </w:rPr>
        <w:t xml:space="preserve">                                   </w:t>
      </w:r>
    </w:p>
    <w:p w14:paraId="6C57142F">
      <w:pPr>
        <w:pStyle w:val="15"/>
        <w:widowControl/>
        <w:spacing w:line="360" w:lineRule="auto"/>
        <w:jc w:val="left"/>
        <w:rPr>
          <w:rFonts w:ascii="Times New Roman"/>
          <w:color w:val="auto"/>
          <w:sz w:val="21"/>
          <w:szCs w:val="21"/>
          <w:highlight w:val="none"/>
          <w:u w:val="single"/>
        </w:rPr>
      </w:pPr>
      <w:r>
        <w:rPr>
          <w:rFonts w:ascii="Times New Roman"/>
          <w:color w:val="auto"/>
          <w:sz w:val="21"/>
          <w:szCs w:val="21"/>
          <w:highlight w:val="none"/>
        </w:rPr>
        <w:t>邮编：</w:t>
      </w:r>
      <w:r>
        <w:rPr>
          <w:rFonts w:ascii="Times New Roman"/>
          <w:color w:val="auto"/>
          <w:sz w:val="21"/>
          <w:szCs w:val="21"/>
          <w:highlight w:val="none"/>
          <w:u w:val="single"/>
        </w:rPr>
        <w:t xml:space="preserve">     </w:t>
      </w:r>
      <w:r>
        <w:rPr>
          <w:rFonts w:ascii="Times New Roman"/>
          <w:color w:val="auto"/>
          <w:sz w:val="21"/>
          <w:szCs w:val="21"/>
          <w:highlight w:val="none"/>
        </w:rPr>
        <w:t>电话：</w:t>
      </w:r>
      <w:r>
        <w:rPr>
          <w:rFonts w:ascii="Times New Roman"/>
          <w:color w:val="auto"/>
          <w:sz w:val="21"/>
          <w:szCs w:val="21"/>
          <w:highlight w:val="none"/>
          <w:u w:val="single"/>
        </w:rPr>
        <w:t xml:space="preserve">       </w:t>
      </w:r>
      <w:r>
        <w:rPr>
          <w:rFonts w:ascii="Times New Roman"/>
          <w:color w:val="auto"/>
          <w:sz w:val="21"/>
          <w:szCs w:val="21"/>
          <w:highlight w:val="none"/>
        </w:rPr>
        <w:t xml:space="preserve">  传真：</w:t>
      </w:r>
      <w:r>
        <w:rPr>
          <w:rFonts w:ascii="Times New Roman"/>
          <w:color w:val="auto"/>
          <w:sz w:val="21"/>
          <w:szCs w:val="21"/>
          <w:highlight w:val="none"/>
          <w:u w:val="single"/>
        </w:rPr>
        <w:t xml:space="preserve">     </w:t>
      </w:r>
    </w:p>
    <w:p w14:paraId="0318568A">
      <w:pPr>
        <w:pStyle w:val="15"/>
        <w:widowControl/>
        <w:spacing w:line="360" w:lineRule="auto"/>
        <w:ind w:firstLine="0"/>
        <w:jc w:val="left"/>
        <w:rPr>
          <w:rFonts w:ascii="Times New Roman"/>
          <w:color w:val="auto"/>
          <w:sz w:val="21"/>
          <w:szCs w:val="21"/>
          <w:highlight w:val="none"/>
        </w:rPr>
      </w:pPr>
    </w:p>
    <w:p w14:paraId="3C4A21B0">
      <w:pPr>
        <w:pStyle w:val="15"/>
        <w:snapToGrid w:val="0"/>
        <w:spacing w:line="360" w:lineRule="auto"/>
        <w:rPr>
          <w:rFonts w:ascii="Times New Roman"/>
          <w:color w:val="auto"/>
          <w:sz w:val="21"/>
          <w:szCs w:val="21"/>
          <w:highlight w:val="none"/>
        </w:rPr>
      </w:pPr>
      <w:r>
        <w:rPr>
          <w:rFonts w:ascii="Times New Roman"/>
          <w:color w:val="auto"/>
          <w:sz w:val="21"/>
          <w:szCs w:val="21"/>
          <w:highlight w:val="none"/>
        </w:rPr>
        <w:t>投标人（盖章）：</w:t>
      </w:r>
    </w:p>
    <w:p w14:paraId="309C61DB">
      <w:pPr>
        <w:pStyle w:val="15"/>
        <w:snapToGrid w:val="0"/>
        <w:spacing w:line="360" w:lineRule="auto"/>
        <w:rPr>
          <w:rFonts w:ascii="Times New Roman"/>
          <w:color w:val="auto"/>
          <w:sz w:val="21"/>
          <w:szCs w:val="21"/>
          <w:highlight w:val="none"/>
        </w:rPr>
      </w:pPr>
      <w:r>
        <w:rPr>
          <w:rFonts w:ascii="Times New Roman"/>
          <w:color w:val="auto"/>
          <w:sz w:val="21"/>
          <w:szCs w:val="21"/>
          <w:highlight w:val="none"/>
        </w:rPr>
        <w:t>法定代表人或其授权代表（签字或盖章）：</w:t>
      </w:r>
    </w:p>
    <w:p w14:paraId="32F8E385">
      <w:pPr>
        <w:pStyle w:val="15"/>
        <w:widowControl/>
        <w:spacing w:line="360" w:lineRule="auto"/>
        <w:ind w:firstLine="303" w:firstLineChars="150"/>
        <w:jc w:val="left"/>
        <w:rPr>
          <w:rFonts w:ascii="Times New Roman"/>
          <w:color w:val="auto"/>
          <w:sz w:val="21"/>
          <w:szCs w:val="21"/>
          <w:highlight w:val="none"/>
        </w:rPr>
      </w:pPr>
      <w:r>
        <w:rPr>
          <w:rFonts w:ascii="Times New Roman"/>
          <w:color w:val="auto"/>
          <w:sz w:val="21"/>
          <w:szCs w:val="21"/>
          <w:highlight w:val="none"/>
        </w:rPr>
        <w:t>日期：</w:t>
      </w:r>
    </w:p>
    <w:p w14:paraId="1C6A7870">
      <w:pPr>
        <w:rPr>
          <w:b/>
          <w:color w:val="auto"/>
          <w:szCs w:val="21"/>
          <w:highlight w:val="none"/>
        </w:rPr>
      </w:pPr>
      <w:r>
        <w:rPr>
          <w:color w:val="auto"/>
          <w:sz w:val="24"/>
          <w:highlight w:val="none"/>
        </w:rPr>
        <w:br w:type="page"/>
      </w:r>
      <w:r>
        <w:rPr>
          <w:b/>
          <w:color w:val="auto"/>
          <w:highlight w:val="none"/>
        </w:rPr>
        <w:t>格式十四：</w:t>
      </w:r>
      <w:r>
        <w:rPr>
          <w:color w:val="auto"/>
          <w:szCs w:val="21"/>
          <w:highlight w:val="none"/>
        </w:rPr>
        <w:t>开标一览表</w:t>
      </w:r>
    </w:p>
    <w:p w14:paraId="2C48EE48">
      <w:pPr>
        <w:spacing w:line="360" w:lineRule="auto"/>
        <w:rPr>
          <w:color w:val="auto"/>
          <w:sz w:val="24"/>
          <w:highlight w:val="none"/>
        </w:rPr>
      </w:pPr>
    </w:p>
    <w:p w14:paraId="2CD1F392">
      <w:pPr>
        <w:spacing w:line="360" w:lineRule="auto"/>
        <w:jc w:val="center"/>
        <w:rPr>
          <w:b/>
          <w:color w:val="auto"/>
          <w:sz w:val="24"/>
          <w:highlight w:val="none"/>
        </w:rPr>
      </w:pPr>
      <w:r>
        <w:rPr>
          <w:b/>
          <w:color w:val="auto"/>
          <w:sz w:val="24"/>
          <w:highlight w:val="none"/>
        </w:rPr>
        <w:t>开标一览表</w:t>
      </w:r>
    </w:p>
    <w:p w14:paraId="6F53DCB7">
      <w:pPr>
        <w:spacing w:line="360" w:lineRule="auto"/>
        <w:jc w:val="center"/>
        <w:rPr>
          <w:b/>
          <w:color w:val="auto"/>
          <w:sz w:val="24"/>
          <w:highlight w:val="none"/>
        </w:rPr>
      </w:pPr>
    </w:p>
    <w:p w14:paraId="368B2C2F">
      <w:pPr>
        <w:spacing w:line="360" w:lineRule="auto"/>
        <w:rPr>
          <w:color w:val="auto"/>
          <w:szCs w:val="21"/>
          <w:highlight w:val="none"/>
        </w:rPr>
      </w:pPr>
      <w:r>
        <w:rPr>
          <w:color w:val="auto"/>
          <w:sz w:val="22"/>
          <w:szCs w:val="21"/>
          <w:highlight w:val="none"/>
        </w:rPr>
        <w:t>项目名称：</w:t>
      </w:r>
      <w:r>
        <w:rPr>
          <w:color w:val="auto"/>
          <w:sz w:val="22"/>
          <w:szCs w:val="21"/>
          <w:highlight w:val="none"/>
          <w:u w:val="single"/>
        </w:rPr>
        <w:t xml:space="preserve">              </w:t>
      </w:r>
      <w:r>
        <w:rPr>
          <w:color w:val="auto"/>
          <w:sz w:val="22"/>
          <w:szCs w:val="21"/>
          <w:highlight w:val="none"/>
        </w:rPr>
        <w:t xml:space="preserve"> 招标编号：</w:t>
      </w:r>
      <w:r>
        <w:rPr>
          <w:color w:val="auto"/>
          <w:sz w:val="22"/>
          <w:szCs w:val="21"/>
          <w:highlight w:val="none"/>
          <w:u w:val="single"/>
        </w:rPr>
        <w:t xml:space="preserve">           </w:t>
      </w:r>
      <w:r>
        <w:rPr>
          <w:color w:val="auto"/>
          <w:sz w:val="22"/>
          <w:szCs w:val="21"/>
          <w:highlight w:val="none"/>
        </w:rPr>
        <w:t xml:space="preserve">  标项：</w:t>
      </w:r>
      <w:r>
        <w:rPr>
          <w:color w:val="auto"/>
          <w:sz w:val="22"/>
          <w:szCs w:val="21"/>
          <w:highlight w:val="none"/>
          <w:u w:val="single"/>
        </w:rPr>
        <w:t xml:space="preserve">            </w:t>
      </w:r>
    </w:p>
    <w:tbl>
      <w:tblPr>
        <w:tblStyle w:val="36"/>
        <w:tblW w:w="952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1"/>
        <w:gridCol w:w="3428"/>
        <w:gridCol w:w="2383"/>
        <w:gridCol w:w="1701"/>
        <w:gridCol w:w="1161"/>
      </w:tblGrid>
      <w:tr w14:paraId="44D62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851" w:type="dxa"/>
            <w:vAlign w:val="center"/>
          </w:tcPr>
          <w:p w14:paraId="78DD8C64">
            <w:pPr>
              <w:snapToGrid w:val="0"/>
              <w:jc w:val="center"/>
              <w:rPr>
                <w:color w:val="auto"/>
                <w:szCs w:val="21"/>
                <w:highlight w:val="none"/>
              </w:rPr>
            </w:pPr>
            <w:r>
              <w:rPr>
                <w:color w:val="auto"/>
                <w:szCs w:val="21"/>
                <w:highlight w:val="none"/>
              </w:rPr>
              <w:t>序号</w:t>
            </w:r>
          </w:p>
        </w:tc>
        <w:tc>
          <w:tcPr>
            <w:tcW w:w="3428" w:type="dxa"/>
            <w:vAlign w:val="center"/>
          </w:tcPr>
          <w:p w14:paraId="53C7D519">
            <w:pPr>
              <w:snapToGrid w:val="0"/>
              <w:jc w:val="center"/>
              <w:rPr>
                <w:color w:val="auto"/>
                <w:szCs w:val="21"/>
                <w:highlight w:val="none"/>
              </w:rPr>
            </w:pPr>
            <w:r>
              <w:rPr>
                <w:color w:val="auto"/>
                <w:szCs w:val="21"/>
                <w:highlight w:val="none"/>
              </w:rPr>
              <w:t>名称</w:t>
            </w:r>
          </w:p>
        </w:tc>
        <w:tc>
          <w:tcPr>
            <w:tcW w:w="2383" w:type="dxa"/>
            <w:vAlign w:val="center"/>
          </w:tcPr>
          <w:p w14:paraId="123FCEBC">
            <w:pPr>
              <w:snapToGrid w:val="0"/>
              <w:jc w:val="center"/>
              <w:rPr>
                <w:color w:val="auto"/>
                <w:szCs w:val="21"/>
                <w:highlight w:val="none"/>
              </w:rPr>
            </w:pPr>
            <w:r>
              <w:rPr>
                <w:color w:val="auto"/>
                <w:szCs w:val="21"/>
                <w:highlight w:val="none"/>
              </w:rPr>
              <w:t>投标价</w:t>
            </w:r>
          </w:p>
          <w:p w14:paraId="3956DD7D">
            <w:pPr>
              <w:snapToGrid w:val="0"/>
              <w:jc w:val="center"/>
              <w:rPr>
                <w:color w:val="auto"/>
                <w:szCs w:val="21"/>
                <w:highlight w:val="none"/>
              </w:rPr>
            </w:pPr>
            <w:r>
              <w:rPr>
                <w:color w:val="auto"/>
                <w:szCs w:val="21"/>
                <w:highlight w:val="none"/>
              </w:rPr>
              <w:t>（人民币/元）</w:t>
            </w:r>
          </w:p>
        </w:tc>
        <w:tc>
          <w:tcPr>
            <w:tcW w:w="1701" w:type="dxa"/>
            <w:vAlign w:val="center"/>
          </w:tcPr>
          <w:p w14:paraId="4466F353">
            <w:pPr>
              <w:snapToGrid w:val="0"/>
              <w:jc w:val="center"/>
              <w:rPr>
                <w:color w:val="auto"/>
                <w:szCs w:val="21"/>
                <w:highlight w:val="none"/>
              </w:rPr>
            </w:pPr>
            <w:r>
              <w:rPr>
                <w:color w:val="auto"/>
                <w:szCs w:val="21"/>
                <w:highlight w:val="none"/>
              </w:rPr>
              <w:t>交货时间</w:t>
            </w:r>
          </w:p>
        </w:tc>
        <w:tc>
          <w:tcPr>
            <w:tcW w:w="1161" w:type="dxa"/>
            <w:vAlign w:val="center"/>
          </w:tcPr>
          <w:p w14:paraId="21DA00A8">
            <w:pPr>
              <w:snapToGrid w:val="0"/>
              <w:jc w:val="center"/>
              <w:rPr>
                <w:color w:val="auto"/>
                <w:szCs w:val="21"/>
                <w:highlight w:val="none"/>
              </w:rPr>
            </w:pPr>
            <w:r>
              <w:rPr>
                <w:color w:val="auto"/>
                <w:szCs w:val="21"/>
                <w:highlight w:val="none"/>
              </w:rPr>
              <w:t>备注</w:t>
            </w:r>
          </w:p>
        </w:tc>
      </w:tr>
      <w:tr w14:paraId="1BC16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851" w:type="dxa"/>
            <w:vAlign w:val="center"/>
          </w:tcPr>
          <w:p w14:paraId="18980AD9">
            <w:pPr>
              <w:spacing w:line="360" w:lineRule="auto"/>
              <w:jc w:val="center"/>
              <w:rPr>
                <w:color w:val="auto"/>
                <w:szCs w:val="21"/>
                <w:highlight w:val="none"/>
              </w:rPr>
            </w:pPr>
            <w:r>
              <w:rPr>
                <w:color w:val="auto"/>
                <w:szCs w:val="21"/>
                <w:highlight w:val="none"/>
              </w:rPr>
              <w:t>1</w:t>
            </w:r>
          </w:p>
        </w:tc>
        <w:tc>
          <w:tcPr>
            <w:tcW w:w="3428" w:type="dxa"/>
            <w:vAlign w:val="center"/>
          </w:tcPr>
          <w:p w14:paraId="791A1620">
            <w:pPr>
              <w:snapToGrid w:val="0"/>
              <w:jc w:val="center"/>
              <w:rPr>
                <w:color w:val="auto"/>
                <w:szCs w:val="21"/>
                <w:highlight w:val="none"/>
              </w:rPr>
            </w:pPr>
            <w:r>
              <w:rPr>
                <w:color w:val="auto"/>
                <w:szCs w:val="21"/>
                <w:highlight w:val="none"/>
              </w:rPr>
              <w:t>硬件部分</w:t>
            </w:r>
          </w:p>
        </w:tc>
        <w:tc>
          <w:tcPr>
            <w:tcW w:w="2383" w:type="dxa"/>
            <w:vAlign w:val="center"/>
          </w:tcPr>
          <w:p w14:paraId="2AAF09C0">
            <w:pPr>
              <w:spacing w:line="360" w:lineRule="auto"/>
              <w:rPr>
                <w:color w:val="auto"/>
                <w:szCs w:val="21"/>
                <w:highlight w:val="none"/>
              </w:rPr>
            </w:pPr>
          </w:p>
        </w:tc>
        <w:tc>
          <w:tcPr>
            <w:tcW w:w="1701" w:type="dxa"/>
            <w:vAlign w:val="center"/>
          </w:tcPr>
          <w:p w14:paraId="6C080482">
            <w:pPr>
              <w:spacing w:line="360" w:lineRule="auto"/>
              <w:rPr>
                <w:color w:val="auto"/>
                <w:szCs w:val="21"/>
                <w:highlight w:val="none"/>
              </w:rPr>
            </w:pPr>
          </w:p>
        </w:tc>
        <w:tc>
          <w:tcPr>
            <w:tcW w:w="1161" w:type="dxa"/>
            <w:vAlign w:val="center"/>
          </w:tcPr>
          <w:p w14:paraId="50DACCF3">
            <w:pPr>
              <w:spacing w:line="360" w:lineRule="auto"/>
              <w:rPr>
                <w:color w:val="auto"/>
                <w:szCs w:val="21"/>
                <w:highlight w:val="none"/>
              </w:rPr>
            </w:pPr>
          </w:p>
        </w:tc>
      </w:tr>
      <w:tr w14:paraId="36A636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851" w:type="dxa"/>
            <w:vAlign w:val="center"/>
          </w:tcPr>
          <w:p w14:paraId="544588DB">
            <w:pPr>
              <w:spacing w:line="360" w:lineRule="auto"/>
              <w:jc w:val="center"/>
              <w:rPr>
                <w:color w:val="auto"/>
                <w:szCs w:val="21"/>
                <w:highlight w:val="none"/>
              </w:rPr>
            </w:pPr>
            <w:r>
              <w:rPr>
                <w:color w:val="auto"/>
                <w:szCs w:val="21"/>
                <w:highlight w:val="none"/>
              </w:rPr>
              <w:t>2</w:t>
            </w:r>
          </w:p>
        </w:tc>
        <w:tc>
          <w:tcPr>
            <w:tcW w:w="3428" w:type="dxa"/>
            <w:vAlign w:val="center"/>
          </w:tcPr>
          <w:p w14:paraId="324437C2">
            <w:pPr>
              <w:snapToGrid w:val="0"/>
              <w:jc w:val="center"/>
              <w:rPr>
                <w:color w:val="auto"/>
                <w:szCs w:val="21"/>
                <w:highlight w:val="none"/>
              </w:rPr>
            </w:pPr>
            <w:r>
              <w:rPr>
                <w:color w:val="auto"/>
                <w:szCs w:val="21"/>
                <w:highlight w:val="none"/>
              </w:rPr>
              <w:t>软件部分</w:t>
            </w:r>
          </w:p>
        </w:tc>
        <w:tc>
          <w:tcPr>
            <w:tcW w:w="2383" w:type="dxa"/>
            <w:vAlign w:val="center"/>
          </w:tcPr>
          <w:p w14:paraId="2FE3AB5D">
            <w:pPr>
              <w:spacing w:line="360" w:lineRule="auto"/>
              <w:rPr>
                <w:color w:val="auto"/>
                <w:szCs w:val="21"/>
                <w:highlight w:val="none"/>
              </w:rPr>
            </w:pPr>
          </w:p>
        </w:tc>
        <w:tc>
          <w:tcPr>
            <w:tcW w:w="1701" w:type="dxa"/>
            <w:vAlign w:val="center"/>
          </w:tcPr>
          <w:p w14:paraId="46D33A2F">
            <w:pPr>
              <w:spacing w:line="360" w:lineRule="auto"/>
              <w:rPr>
                <w:color w:val="auto"/>
                <w:szCs w:val="21"/>
                <w:highlight w:val="none"/>
              </w:rPr>
            </w:pPr>
          </w:p>
        </w:tc>
        <w:tc>
          <w:tcPr>
            <w:tcW w:w="1161" w:type="dxa"/>
            <w:vAlign w:val="center"/>
          </w:tcPr>
          <w:p w14:paraId="7A12D1CD">
            <w:pPr>
              <w:spacing w:line="360" w:lineRule="auto"/>
              <w:rPr>
                <w:color w:val="auto"/>
                <w:szCs w:val="21"/>
                <w:highlight w:val="none"/>
              </w:rPr>
            </w:pPr>
          </w:p>
        </w:tc>
      </w:tr>
      <w:tr w14:paraId="7C2F4A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851" w:type="dxa"/>
            <w:vAlign w:val="center"/>
          </w:tcPr>
          <w:p w14:paraId="3758DAD0">
            <w:pPr>
              <w:spacing w:line="360" w:lineRule="auto"/>
              <w:jc w:val="center"/>
              <w:rPr>
                <w:color w:val="auto"/>
                <w:szCs w:val="21"/>
                <w:highlight w:val="none"/>
              </w:rPr>
            </w:pPr>
            <w:r>
              <w:rPr>
                <w:color w:val="auto"/>
                <w:szCs w:val="21"/>
                <w:highlight w:val="none"/>
              </w:rPr>
              <w:t>3</w:t>
            </w:r>
          </w:p>
        </w:tc>
        <w:tc>
          <w:tcPr>
            <w:tcW w:w="3428" w:type="dxa"/>
            <w:vAlign w:val="center"/>
          </w:tcPr>
          <w:p w14:paraId="7ECE3F9D">
            <w:pPr>
              <w:snapToGrid w:val="0"/>
              <w:jc w:val="center"/>
              <w:rPr>
                <w:color w:val="auto"/>
                <w:szCs w:val="21"/>
                <w:highlight w:val="none"/>
              </w:rPr>
            </w:pPr>
            <w:r>
              <w:rPr>
                <w:color w:val="auto"/>
                <w:szCs w:val="21"/>
                <w:highlight w:val="none"/>
              </w:rPr>
              <w:t>实验室文化建设</w:t>
            </w:r>
          </w:p>
        </w:tc>
        <w:tc>
          <w:tcPr>
            <w:tcW w:w="2383" w:type="dxa"/>
            <w:vAlign w:val="center"/>
          </w:tcPr>
          <w:p w14:paraId="5A696122">
            <w:pPr>
              <w:spacing w:line="360" w:lineRule="auto"/>
              <w:rPr>
                <w:color w:val="auto"/>
                <w:szCs w:val="21"/>
                <w:highlight w:val="none"/>
              </w:rPr>
            </w:pPr>
          </w:p>
        </w:tc>
        <w:tc>
          <w:tcPr>
            <w:tcW w:w="1701" w:type="dxa"/>
            <w:vAlign w:val="center"/>
          </w:tcPr>
          <w:p w14:paraId="1BCBB908">
            <w:pPr>
              <w:spacing w:line="360" w:lineRule="auto"/>
              <w:rPr>
                <w:color w:val="auto"/>
                <w:szCs w:val="21"/>
                <w:highlight w:val="none"/>
              </w:rPr>
            </w:pPr>
          </w:p>
        </w:tc>
        <w:tc>
          <w:tcPr>
            <w:tcW w:w="1161" w:type="dxa"/>
            <w:vAlign w:val="center"/>
          </w:tcPr>
          <w:p w14:paraId="34B50CC8">
            <w:pPr>
              <w:spacing w:line="360" w:lineRule="auto"/>
              <w:rPr>
                <w:color w:val="auto"/>
                <w:szCs w:val="21"/>
                <w:highlight w:val="none"/>
              </w:rPr>
            </w:pPr>
          </w:p>
        </w:tc>
      </w:tr>
      <w:tr w14:paraId="6D1020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4279" w:type="dxa"/>
            <w:gridSpan w:val="2"/>
            <w:vAlign w:val="center"/>
          </w:tcPr>
          <w:p w14:paraId="0D94261D">
            <w:pPr>
              <w:spacing w:line="360" w:lineRule="auto"/>
              <w:rPr>
                <w:color w:val="auto"/>
                <w:szCs w:val="21"/>
                <w:highlight w:val="none"/>
              </w:rPr>
            </w:pPr>
            <w:r>
              <w:rPr>
                <w:color w:val="auto"/>
                <w:szCs w:val="21"/>
                <w:highlight w:val="none"/>
              </w:rPr>
              <w:t>投标报价合计（大写）（人民币）</w:t>
            </w:r>
          </w:p>
        </w:tc>
        <w:tc>
          <w:tcPr>
            <w:tcW w:w="5245" w:type="dxa"/>
            <w:gridSpan w:val="3"/>
          </w:tcPr>
          <w:p w14:paraId="2CF0F967">
            <w:pPr>
              <w:spacing w:line="360" w:lineRule="auto"/>
              <w:rPr>
                <w:color w:val="auto"/>
                <w:szCs w:val="21"/>
                <w:highlight w:val="none"/>
              </w:rPr>
            </w:pPr>
          </w:p>
        </w:tc>
      </w:tr>
    </w:tbl>
    <w:p w14:paraId="467652BF">
      <w:pPr>
        <w:spacing w:line="400" w:lineRule="exact"/>
        <w:rPr>
          <w:b/>
          <w:color w:val="auto"/>
          <w:szCs w:val="21"/>
          <w:highlight w:val="none"/>
        </w:rPr>
      </w:pPr>
      <w:r>
        <w:rPr>
          <w:b/>
          <w:color w:val="auto"/>
          <w:szCs w:val="21"/>
          <w:highlight w:val="none"/>
        </w:rPr>
        <w:t>注：</w:t>
      </w:r>
    </w:p>
    <w:p w14:paraId="6878E42C">
      <w:pPr>
        <w:pStyle w:val="15"/>
        <w:spacing w:line="360" w:lineRule="auto"/>
        <w:ind w:left="-178" w:leftChars="-85" w:firstLine="507" w:firstLineChars="250"/>
        <w:rPr>
          <w:rFonts w:ascii="Times New Roman"/>
          <w:b/>
          <w:color w:val="auto"/>
          <w:sz w:val="21"/>
          <w:szCs w:val="21"/>
          <w:highlight w:val="none"/>
        </w:rPr>
      </w:pPr>
      <w:r>
        <w:rPr>
          <w:rFonts w:ascii="Times New Roman"/>
          <w:b/>
          <w:color w:val="auto"/>
          <w:sz w:val="21"/>
          <w:szCs w:val="21"/>
          <w:highlight w:val="none"/>
        </w:rPr>
        <w:t>1、若投标人尚有其它内容需明列的，请按此表格式扩展。</w:t>
      </w:r>
    </w:p>
    <w:p w14:paraId="2A865BB1">
      <w:pPr>
        <w:pStyle w:val="15"/>
        <w:spacing w:line="360" w:lineRule="auto"/>
        <w:ind w:left="-178" w:leftChars="-85" w:firstLine="507" w:firstLineChars="250"/>
        <w:rPr>
          <w:rFonts w:ascii="Times New Roman"/>
          <w:color w:val="auto"/>
          <w:sz w:val="21"/>
          <w:szCs w:val="21"/>
          <w:highlight w:val="none"/>
        </w:rPr>
      </w:pPr>
      <w:r>
        <w:rPr>
          <w:rFonts w:ascii="Times New Roman"/>
          <w:b/>
          <w:color w:val="auto"/>
          <w:sz w:val="21"/>
          <w:szCs w:val="21"/>
          <w:highlight w:val="none"/>
        </w:rPr>
        <w:t>2、“投标报价”应与格式一“投标函”中“投标报价”一致。</w:t>
      </w:r>
    </w:p>
    <w:p w14:paraId="0047BCD3">
      <w:pPr>
        <w:pStyle w:val="15"/>
        <w:spacing w:line="360" w:lineRule="auto"/>
        <w:ind w:left="-178" w:leftChars="-85" w:firstLine="505" w:firstLineChars="250"/>
        <w:rPr>
          <w:rFonts w:ascii="Times New Roman"/>
          <w:color w:val="auto"/>
          <w:sz w:val="21"/>
          <w:szCs w:val="21"/>
          <w:highlight w:val="none"/>
        </w:rPr>
      </w:pPr>
    </w:p>
    <w:p w14:paraId="37E2B460">
      <w:pPr>
        <w:spacing w:line="400" w:lineRule="exact"/>
        <w:rPr>
          <w:color w:val="auto"/>
          <w:szCs w:val="21"/>
          <w:highlight w:val="none"/>
        </w:rPr>
      </w:pPr>
    </w:p>
    <w:p w14:paraId="1B88E59D">
      <w:pPr>
        <w:widowControl/>
        <w:spacing w:line="360" w:lineRule="auto"/>
        <w:jc w:val="left"/>
        <w:rPr>
          <w:color w:val="auto"/>
          <w:sz w:val="24"/>
          <w:highlight w:val="none"/>
        </w:rPr>
      </w:pPr>
      <w:r>
        <w:rPr>
          <w:color w:val="auto"/>
          <w:sz w:val="24"/>
          <w:highlight w:val="none"/>
        </w:rPr>
        <w:t>投标人（盖章）：</w:t>
      </w:r>
    </w:p>
    <w:p w14:paraId="089CD3FE">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59A5A833">
      <w:pPr>
        <w:pStyle w:val="15"/>
        <w:widowControl/>
        <w:spacing w:line="360" w:lineRule="auto"/>
        <w:ind w:firstLine="0"/>
        <w:jc w:val="left"/>
        <w:rPr>
          <w:rFonts w:ascii="Times New Roman"/>
          <w:color w:val="auto"/>
          <w:spacing w:val="0"/>
          <w:sz w:val="24"/>
          <w:szCs w:val="24"/>
          <w:highlight w:val="none"/>
        </w:rPr>
      </w:pPr>
      <w:r>
        <w:rPr>
          <w:rFonts w:ascii="Times New Roman"/>
          <w:color w:val="auto"/>
          <w:spacing w:val="0"/>
          <w:sz w:val="24"/>
          <w:szCs w:val="24"/>
          <w:highlight w:val="none"/>
        </w:rPr>
        <w:t>日期：</w:t>
      </w:r>
    </w:p>
    <w:p w14:paraId="724ACAA1">
      <w:pPr>
        <w:pStyle w:val="15"/>
        <w:widowControl/>
        <w:spacing w:line="360" w:lineRule="auto"/>
        <w:ind w:firstLine="303" w:firstLineChars="150"/>
        <w:jc w:val="left"/>
        <w:rPr>
          <w:rFonts w:ascii="Times New Roman"/>
          <w:color w:val="auto"/>
          <w:sz w:val="21"/>
          <w:szCs w:val="21"/>
          <w:highlight w:val="none"/>
        </w:rPr>
      </w:pPr>
    </w:p>
    <w:p w14:paraId="50C5A70E">
      <w:pPr>
        <w:pStyle w:val="15"/>
        <w:widowControl/>
        <w:spacing w:line="360" w:lineRule="auto"/>
        <w:ind w:firstLine="0"/>
        <w:jc w:val="left"/>
        <w:rPr>
          <w:rFonts w:ascii="Times New Roman"/>
          <w:b/>
          <w:color w:val="auto"/>
          <w:sz w:val="28"/>
          <w:highlight w:val="none"/>
        </w:rPr>
        <w:sectPr>
          <w:headerReference r:id="rId7" w:type="default"/>
          <w:footerReference r:id="rId8" w:type="default"/>
          <w:pgSz w:w="11907" w:h="16840"/>
          <w:pgMar w:top="1276" w:right="1242" w:bottom="1474" w:left="1276" w:header="851" w:footer="851" w:gutter="0"/>
          <w:cols w:space="720" w:num="1"/>
          <w:titlePg/>
          <w:docGrid w:linePitch="312" w:charSpace="0"/>
        </w:sectPr>
      </w:pPr>
    </w:p>
    <w:p w14:paraId="66E982E7">
      <w:pPr>
        <w:rPr>
          <w:color w:val="auto"/>
          <w:sz w:val="24"/>
          <w:szCs w:val="21"/>
          <w:highlight w:val="none"/>
        </w:rPr>
      </w:pPr>
      <w:r>
        <w:rPr>
          <w:b/>
          <w:color w:val="auto"/>
          <w:highlight w:val="none"/>
        </w:rPr>
        <w:t>格式十五：</w:t>
      </w:r>
      <w:r>
        <w:rPr>
          <w:color w:val="auto"/>
          <w:szCs w:val="21"/>
          <w:highlight w:val="none"/>
        </w:rPr>
        <w:t>投标分项报价表</w:t>
      </w:r>
    </w:p>
    <w:p w14:paraId="194376C6">
      <w:pPr>
        <w:jc w:val="center"/>
        <w:rPr>
          <w:b/>
          <w:color w:val="auto"/>
          <w:sz w:val="24"/>
          <w:szCs w:val="21"/>
          <w:highlight w:val="none"/>
        </w:rPr>
      </w:pPr>
      <w:r>
        <w:rPr>
          <w:b/>
          <w:color w:val="auto"/>
          <w:sz w:val="24"/>
          <w:szCs w:val="21"/>
          <w:highlight w:val="none"/>
        </w:rPr>
        <w:t>投标分项报价表</w:t>
      </w:r>
    </w:p>
    <w:p w14:paraId="0279F0B2">
      <w:pPr>
        <w:jc w:val="center"/>
        <w:rPr>
          <w:b/>
          <w:color w:val="auto"/>
          <w:sz w:val="24"/>
          <w:szCs w:val="21"/>
          <w:highlight w:val="none"/>
        </w:rPr>
      </w:pPr>
    </w:p>
    <w:p w14:paraId="1770F314">
      <w:pPr>
        <w:spacing w:line="360" w:lineRule="auto"/>
        <w:ind w:firstLine="440" w:firstLineChars="200"/>
        <w:rPr>
          <w:color w:val="auto"/>
          <w:szCs w:val="21"/>
          <w:highlight w:val="none"/>
        </w:rPr>
      </w:pPr>
      <w:r>
        <w:rPr>
          <w:color w:val="auto"/>
          <w:sz w:val="22"/>
          <w:szCs w:val="21"/>
          <w:highlight w:val="none"/>
        </w:rPr>
        <w:t>项目名称：</w:t>
      </w:r>
      <w:r>
        <w:rPr>
          <w:color w:val="auto"/>
          <w:sz w:val="22"/>
          <w:szCs w:val="21"/>
          <w:highlight w:val="none"/>
          <w:u w:val="single"/>
        </w:rPr>
        <w:t xml:space="preserve">              </w:t>
      </w:r>
      <w:r>
        <w:rPr>
          <w:color w:val="auto"/>
          <w:sz w:val="22"/>
          <w:szCs w:val="21"/>
          <w:highlight w:val="none"/>
        </w:rPr>
        <w:t xml:space="preserve"> 招标编号：</w:t>
      </w:r>
      <w:r>
        <w:rPr>
          <w:color w:val="auto"/>
          <w:sz w:val="22"/>
          <w:szCs w:val="21"/>
          <w:highlight w:val="none"/>
          <w:u w:val="single"/>
        </w:rPr>
        <w:t xml:space="preserve">           </w:t>
      </w:r>
      <w:r>
        <w:rPr>
          <w:color w:val="auto"/>
          <w:sz w:val="22"/>
          <w:szCs w:val="21"/>
          <w:highlight w:val="none"/>
        </w:rPr>
        <w:t xml:space="preserve">  标项：</w:t>
      </w:r>
      <w:r>
        <w:rPr>
          <w:color w:val="auto"/>
          <w:sz w:val="22"/>
          <w:szCs w:val="21"/>
          <w:highlight w:val="none"/>
          <w:u w:val="single"/>
        </w:rPr>
        <w:t xml:space="preserve">            </w:t>
      </w:r>
    </w:p>
    <w:tbl>
      <w:tblPr>
        <w:tblStyle w:val="36"/>
        <w:tblW w:w="102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2"/>
        <w:gridCol w:w="1207"/>
        <w:gridCol w:w="992"/>
        <w:gridCol w:w="1225"/>
        <w:gridCol w:w="1100"/>
        <w:gridCol w:w="938"/>
        <w:gridCol w:w="848"/>
        <w:gridCol w:w="992"/>
        <w:gridCol w:w="1134"/>
        <w:gridCol w:w="1076"/>
      </w:tblGrid>
      <w:tr w14:paraId="3FA4C3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247EE421">
            <w:pPr>
              <w:jc w:val="center"/>
              <w:rPr>
                <w:color w:val="auto"/>
                <w:szCs w:val="21"/>
                <w:highlight w:val="none"/>
              </w:rPr>
            </w:pPr>
            <w:r>
              <w:rPr>
                <w:color w:val="auto"/>
                <w:szCs w:val="21"/>
                <w:highlight w:val="none"/>
              </w:rPr>
              <w:t>序号</w:t>
            </w:r>
          </w:p>
        </w:tc>
        <w:tc>
          <w:tcPr>
            <w:tcW w:w="1207" w:type="dxa"/>
            <w:vAlign w:val="center"/>
          </w:tcPr>
          <w:p w14:paraId="4B6951BE">
            <w:pPr>
              <w:jc w:val="center"/>
              <w:rPr>
                <w:color w:val="auto"/>
                <w:szCs w:val="21"/>
                <w:highlight w:val="none"/>
              </w:rPr>
            </w:pPr>
            <w:r>
              <w:rPr>
                <w:color w:val="auto"/>
                <w:szCs w:val="21"/>
                <w:highlight w:val="none"/>
              </w:rPr>
              <w:t>名称</w:t>
            </w:r>
          </w:p>
        </w:tc>
        <w:tc>
          <w:tcPr>
            <w:tcW w:w="992" w:type="dxa"/>
            <w:vAlign w:val="center"/>
          </w:tcPr>
          <w:p w14:paraId="55B6505C">
            <w:pPr>
              <w:jc w:val="center"/>
              <w:rPr>
                <w:color w:val="auto"/>
                <w:szCs w:val="21"/>
                <w:highlight w:val="none"/>
              </w:rPr>
            </w:pPr>
            <w:r>
              <w:rPr>
                <w:color w:val="auto"/>
                <w:szCs w:val="21"/>
                <w:highlight w:val="none"/>
              </w:rPr>
              <w:t>品牌</w:t>
            </w:r>
          </w:p>
        </w:tc>
        <w:tc>
          <w:tcPr>
            <w:tcW w:w="1225" w:type="dxa"/>
            <w:vAlign w:val="center"/>
          </w:tcPr>
          <w:p w14:paraId="39CAFA3A">
            <w:pPr>
              <w:jc w:val="center"/>
              <w:rPr>
                <w:color w:val="auto"/>
                <w:szCs w:val="21"/>
                <w:highlight w:val="none"/>
              </w:rPr>
            </w:pPr>
            <w:r>
              <w:rPr>
                <w:color w:val="auto"/>
                <w:szCs w:val="21"/>
                <w:highlight w:val="none"/>
              </w:rPr>
              <w:t>规格/型号</w:t>
            </w:r>
          </w:p>
        </w:tc>
        <w:tc>
          <w:tcPr>
            <w:tcW w:w="1100" w:type="dxa"/>
            <w:vAlign w:val="center"/>
          </w:tcPr>
          <w:p w14:paraId="36C9C2A9">
            <w:pPr>
              <w:jc w:val="center"/>
              <w:rPr>
                <w:color w:val="auto"/>
                <w:szCs w:val="21"/>
                <w:highlight w:val="none"/>
              </w:rPr>
            </w:pPr>
            <w:r>
              <w:rPr>
                <w:color w:val="auto"/>
                <w:szCs w:val="21"/>
                <w:highlight w:val="none"/>
              </w:rPr>
              <w:t>数量单位</w:t>
            </w:r>
          </w:p>
        </w:tc>
        <w:tc>
          <w:tcPr>
            <w:tcW w:w="938" w:type="dxa"/>
            <w:vAlign w:val="center"/>
          </w:tcPr>
          <w:p w14:paraId="6515E435">
            <w:pPr>
              <w:jc w:val="center"/>
              <w:rPr>
                <w:color w:val="auto"/>
                <w:szCs w:val="21"/>
                <w:highlight w:val="none"/>
              </w:rPr>
            </w:pPr>
            <w:r>
              <w:rPr>
                <w:color w:val="auto"/>
                <w:szCs w:val="21"/>
                <w:highlight w:val="none"/>
              </w:rPr>
              <w:t>数量</w:t>
            </w:r>
          </w:p>
        </w:tc>
        <w:tc>
          <w:tcPr>
            <w:tcW w:w="848" w:type="dxa"/>
            <w:vAlign w:val="center"/>
          </w:tcPr>
          <w:p w14:paraId="56EBFF41">
            <w:pPr>
              <w:jc w:val="center"/>
              <w:rPr>
                <w:color w:val="auto"/>
                <w:szCs w:val="21"/>
                <w:highlight w:val="none"/>
              </w:rPr>
            </w:pPr>
            <w:r>
              <w:rPr>
                <w:color w:val="auto"/>
                <w:szCs w:val="21"/>
                <w:highlight w:val="none"/>
              </w:rPr>
              <w:t>单价</w:t>
            </w:r>
          </w:p>
        </w:tc>
        <w:tc>
          <w:tcPr>
            <w:tcW w:w="992" w:type="dxa"/>
            <w:vAlign w:val="center"/>
          </w:tcPr>
          <w:p w14:paraId="5E9C294C">
            <w:pPr>
              <w:jc w:val="center"/>
              <w:rPr>
                <w:color w:val="auto"/>
                <w:szCs w:val="21"/>
                <w:highlight w:val="none"/>
              </w:rPr>
            </w:pPr>
            <w:r>
              <w:rPr>
                <w:color w:val="auto"/>
                <w:szCs w:val="21"/>
                <w:highlight w:val="none"/>
              </w:rPr>
              <w:t>总价</w:t>
            </w:r>
          </w:p>
        </w:tc>
        <w:tc>
          <w:tcPr>
            <w:tcW w:w="1134" w:type="dxa"/>
            <w:vAlign w:val="center"/>
          </w:tcPr>
          <w:p w14:paraId="045E61F1">
            <w:pPr>
              <w:jc w:val="center"/>
              <w:rPr>
                <w:color w:val="auto"/>
                <w:szCs w:val="21"/>
                <w:highlight w:val="none"/>
              </w:rPr>
            </w:pPr>
            <w:r>
              <w:rPr>
                <w:color w:val="auto"/>
                <w:szCs w:val="21"/>
                <w:highlight w:val="none"/>
              </w:rPr>
              <w:t>交货日期</w:t>
            </w:r>
          </w:p>
        </w:tc>
        <w:tc>
          <w:tcPr>
            <w:tcW w:w="1076" w:type="dxa"/>
            <w:vAlign w:val="center"/>
          </w:tcPr>
          <w:p w14:paraId="651AE898">
            <w:pPr>
              <w:jc w:val="center"/>
              <w:rPr>
                <w:color w:val="auto"/>
                <w:szCs w:val="21"/>
                <w:highlight w:val="none"/>
              </w:rPr>
            </w:pPr>
            <w:r>
              <w:rPr>
                <w:color w:val="auto"/>
                <w:szCs w:val="21"/>
                <w:highlight w:val="none"/>
              </w:rPr>
              <w:t>交货地点</w:t>
            </w:r>
          </w:p>
        </w:tc>
      </w:tr>
      <w:tr w14:paraId="5AD09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37E968CD">
            <w:pPr>
              <w:rPr>
                <w:color w:val="auto"/>
                <w:highlight w:val="none"/>
              </w:rPr>
            </w:pPr>
          </w:p>
        </w:tc>
        <w:tc>
          <w:tcPr>
            <w:tcW w:w="1207" w:type="dxa"/>
            <w:vAlign w:val="center"/>
          </w:tcPr>
          <w:p w14:paraId="78DC0714">
            <w:pPr>
              <w:jc w:val="center"/>
              <w:textAlignment w:val="center"/>
              <w:rPr>
                <w:color w:val="auto"/>
                <w:sz w:val="20"/>
                <w:szCs w:val="20"/>
                <w:highlight w:val="none"/>
              </w:rPr>
            </w:pPr>
          </w:p>
        </w:tc>
        <w:tc>
          <w:tcPr>
            <w:tcW w:w="992" w:type="dxa"/>
            <w:vAlign w:val="center"/>
          </w:tcPr>
          <w:p w14:paraId="343AE6CF">
            <w:pPr>
              <w:rPr>
                <w:color w:val="auto"/>
                <w:highlight w:val="none"/>
              </w:rPr>
            </w:pPr>
          </w:p>
        </w:tc>
        <w:tc>
          <w:tcPr>
            <w:tcW w:w="1225" w:type="dxa"/>
            <w:vAlign w:val="center"/>
          </w:tcPr>
          <w:p w14:paraId="1D1AD9C6">
            <w:pPr>
              <w:rPr>
                <w:color w:val="auto"/>
                <w:highlight w:val="none"/>
              </w:rPr>
            </w:pPr>
          </w:p>
        </w:tc>
        <w:tc>
          <w:tcPr>
            <w:tcW w:w="1100" w:type="dxa"/>
            <w:vAlign w:val="center"/>
          </w:tcPr>
          <w:p w14:paraId="457AD61D">
            <w:pPr>
              <w:rPr>
                <w:color w:val="auto"/>
                <w:highlight w:val="none"/>
              </w:rPr>
            </w:pPr>
          </w:p>
        </w:tc>
        <w:tc>
          <w:tcPr>
            <w:tcW w:w="938" w:type="dxa"/>
            <w:vAlign w:val="center"/>
          </w:tcPr>
          <w:p w14:paraId="579750C6">
            <w:pPr>
              <w:rPr>
                <w:color w:val="auto"/>
                <w:highlight w:val="none"/>
              </w:rPr>
            </w:pPr>
          </w:p>
        </w:tc>
        <w:tc>
          <w:tcPr>
            <w:tcW w:w="848" w:type="dxa"/>
            <w:vAlign w:val="center"/>
          </w:tcPr>
          <w:p w14:paraId="0C0EEB8C">
            <w:pPr>
              <w:rPr>
                <w:color w:val="auto"/>
                <w:szCs w:val="21"/>
                <w:highlight w:val="none"/>
              </w:rPr>
            </w:pPr>
          </w:p>
        </w:tc>
        <w:tc>
          <w:tcPr>
            <w:tcW w:w="992" w:type="dxa"/>
            <w:vAlign w:val="center"/>
          </w:tcPr>
          <w:p w14:paraId="16A9D211">
            <w:pPr>
              <w:rPr>
                <w:color w:val="auto"/>
                <w:szCs w:val="21"/>
                <w:highlight w:val="none"/>
              </w:rPr>
            </w:pPr>
          </w:p>
        </w:tc>
        <w:tc>
          <w:tcPr>
            <w:tcW w:w="1134" w:type="dxa"/>
            <w:vAlign w:val="center"/>
          </w:tcPr>
          <w:p w14:paraId="33002444">
            <w:pPr>
              <w:rPr>
                <w:color w:val="auto"/>
                <w:szCs w:val="21"/>
                <w:highlight w:val="none"/>
              </w:rPr>
            </w:pPr>
          </w:p>
        </w:tc>
        <w:tc>
          <w:tcPr>
            <w:tcW w:w="1076" w:type="dxa"/>
            <w:vAlign w:val="center"/>
          </w:tcPr>
          <w:p w14:paraId="6A6ADF7D">
            <w:pPr>
              <w:rPr>
                <w:color w:val="auto"/>
                <w:szCs w:val="21"/>
                <w:highlight w:val="none"/>
              </w:rPr>
            </w:pPr>
          </w:p>
        </w:tc>
      </w:tr>
      <w:tr w14:paraId="21AD5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5A42AB1F">
            <w:pPr>
              <w:rPr>
                <w:color w:val="auto"/>
                <w:highlight w:val="none"/>
              </w:rPr>
            </w:pPr>
          </w:p>
        </w:tc>
        <w:tc>
          <w:tcPr>
            <w:tcW w:w="1207" w:type="dxa"/>
            <w:vAlign w:val="center"/>
          </w:tcPr>
          <w:p w14:paraId="246C3BCA">
            <w:pPr>
              <w:jc w:val="center"/>
              <w:textAlignment w:val="center"/>
              <w:rPr>
                <w:color w:val="auto"/>
                <w:sz w:val="20"/>
                <w:szCs w:val="20"/>
                <w:highlight w:val="none"/>
              </w:rPr>
            </w:pPr>
          </w:p>
        </w:tc>
        <w:tc>
          <w:tcPr>
            <w:tcW w:w="992" w:type="dxa"/>
            <w:vAlign w:val="center"/>
          </w:tcPr>
          <w:p w14:paraId="6D157028">
            <w:pPr>
              <w:rPr>
                <w:color w:val="auto"/>
                <w:highlight w:val="none"/>
              </w:rPr>
            </w:pPr>
          </w:p>
        </w:tc>
        <w:tc>
          <w:tcPr>
            <w:tcW w:w="1225" w:type="dxa"/>
            <w:vAlign w:val="center"/>
          </w:tcPr>
          <w:p w14:paraId="3D3314BC">
            <w:pPr>
              <w:rPr>
                <w:color w:val="auto"/>
                <w:highlight w:val="none"/>
              </w:rPr>
            </w:pPr>
          </w:p>
        </w:tc>
        <w:tc>
          <w:tcPr>
            <w:tcW w:w="1100" w:type="dxa"/>
            <w:vAlign w:val="center"/>
          </w:tcPr>
          <w:p w14:paraId="51918DFF">
            <w:pPr>
              <w:rPr>
                <w:color w:val="auto"/>
                <w:highlight w:val="none"/>
              </w:rPr>
            </w:pPr>
          </w:p>
        </w:tc>
        <w:tc>
          <w:tcPr>
            <w:tcW w:w="938" w:type="dxa"/>
            <w:vAlign w:val="center"/>
          </w:tcPr>
          <w:p w14:paraId="03E60468">
            <w:pPr>
              <w:rPr>
                <w:color w:val="auto"/>
                <w:highlight w:val="none"/>
              </w:rPr>
            </w:pPr>
          </w:p>
        </w:tc>
        <w:tc>
          <w:tcPr>
            <w:tcW w:w="848" w:type="dxa"/>
            <w:vAlign w:val="center"/>
          </w:tcPr>
          <w:p w14:paraId="4F2EE6B1">
            <w:pPr>
              <w:rPr>
                <w:color w:val="auto"/>
                <w:szCs w:val="21"/>
                <w:highlight w:val="none"/>
              </w:rPr>
            </w:pPr>
          </w:p>
        </w:tc>
        <w:tc>
          <w:tcPr>
            <w:tcW w:w="992" w:type="dxa"/>
            <w:vAlign w:val="center"/>
          </w:tcPr>
          <w:p w14:paraId="44402877">
            <w:pPr>
              <w:rPr>
                <w:color w:val="auto"/>
                <w:szCs w:val="21"/>
                <w:highlight w:val="none"/>
              </w:rPr>
            </w:pPr>
          </w:p>
        </w:tc>
        <w:tc>
          <w:tcPr>
            <w:tcW w:w="1134" w:type="dxa"/>
            <w:vAlign w:val="center"/>
          </w:tcPr>
          <w:p w14:paraId="24BB6828">
            <w:pPr>
              <w:rPr>
                <w:color w:val="auto"/>
                <w:szCs w:val="21"/>
                <w:highlight w:val="none"/>
              </w:rPr>
            </w:pPr>
          </w:p>
        </w:tc>
        <w:tc>
          <w:tcPr>
            <w:tcW w:w="1076" w:type="dxa"/>
            <w:vAlign w:val="center"/>
          </w:tcPr>
          <w:p w14:paraId="7136B288">
            <w:pPr>
              <w:rPr>
                <w:color w:val="auto"/>
                <w:szCs w:val="21"/>
                <w:highlight w:val="none"/>
              </w:rPr>
            </w:pPr>
          </w:p>
        </w:tc>
      </w:tr>
      <w:tr w14:paraId="6161E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18A496CA">
            <w:pPr>
              <w:rPr>
                <w:color w:val="auto"/>
                <w:highlight w:val="none"/>
              </w:rPr>
            </w:pPr>
          </w:p>
        </w:tc>
        <w:tc>
          <w:tcPr>
            <w:tcW w:w="1207" w:type="dxa"/>
            <w:vAlign w:val="center"/>
          </w:tcPr>
          <w:p w14:paraId="3AE1945F">
            <w:pPr>
              <w:jc w:val="center"/>
              <w:textAlignment w:val="center"/>
              <w:rPr>
                <w:color w:val="auto"/>
                <w:sz w:val="20"/>
                <w:szCs w:val="20"/>
                <w:highlight w:val="none"/>
              </w:rPr>
            </w:pPr>
          </w:p>
        </w:tc>
        <w:tc>
          <w:tcPr>
            <w:tcW w:w="992" w:type="dxa"/>
            <w:vAlign w:val="center"/>
          </w:tcPr>
          <w:p w14:paraId="5EEF74A5">
            <w:pPr>
              <w:rPr>
                <w:color w:val="auto"/>
                <w:highlight w:val="none"/>
              </w:rPr>
            </w:pPr>
          </w:p>
        </w:tc>
        <w:tc>
          <w:tcPr>
            <w:tcW w:w="1225" w:type="dxa"/>
            <w:vAlign w:val="center"/>
          </w:tcPr>
          <w:p w14:paraId="16E8EB85">
            <w:pPr>
              <w:rPr>
                <w:color w:val="auto"/>
                <w:highlight w:val="none"/>
              </w:rPr>
            </w:pPr>
          </w:p>
        </w:tc>
        <w:tc>
          <w:tcPr>
            <w:tcW w:w="1100" w:type="dxa"/>
            <w:vAlign w:val="center"/>
          </w:tcPr>
          <w:p w14:paraId="49A2FC1D">
            <w:pPr>
              <w:rPr>
                <w:color w:val="auto"/>
                <w:highlight w:val="none"/>
              </w:rPr>
            </w:pPr>
          </w:p>
        </w:tc>
        <w:tc>
          <w:tcPr>
            <w:tcW w:w="938" w:type="dxa"/>
            <w:vAlign w:val="center"/>
          </w:tcPr>
          <w:p w14:paraId="0A4C8CDF">
            <w:pPr>
              <w:rPr>
                <w:color w:val="auto"/>
                <w:highlight w:val="none"/>
              </w:rPr>
            </w:pPr>
          </w:p>
        </w:tc>
        <w:tc>
          <w:tcPr>
            <w:tcW w:w="848" w:type="dxa"/>
            <w:vAlign w:val="center"/>
          </w:tcPr>
          <w:p w14:paraId="0230C0C5">
            <w:pPr>
              <w:rPr>
                <w:color w:val="auto"/>
                <w:szCs w:val="21"/>
                <w:highlight w:val="none"/>
              </w:rPr>
            </w:pPr>
          </w:p>
        </w:tc>
        <w:tc>
          <w:tcPr>
            <w:tcW w:w="992" w:type="dxa"/>
            <w:vAlign w:val="center"/>
          </w:tcPr>
          <w:p w14:paraId="790DF359">
            <w:pPr>
              <w:rPr>
                <w:color w:val="auto"/>
                <w:szCs w:val="21"/>
                <w:highlight w:val="none"/>
              </w:rPr>
            </w:pPr>
          </w:p>
        </w:tc>
        <w:tc>
          <w:tcPr>
            <w:tcW w:w="1134" w:type="dxa"/>
            <w:vAlign w:val="center"/>
          </w:tcPr>
          <w:p w14:paraId="5998367C">
            <w:pPr>
              <w:rPr>
                <w:color w:val="auto"/>
                <w:szCs w:val="21"/>
                <w:highlight w:val="none"/>
              </w:rPr>
            </w:pPr>
          </w:p>
        </w:tc>
        <w:tc>
          <w:tcPr>
            <w:tcW w:w="1076" w:type="dxa"/>
            <w:vAlign w:val="center"/>
          </w:tcPr>
          <w:p w14:paraId="65EB070B">
            <w:pPr>
              <w:rPr>
                <w:color w:val="auto"/>
                <w:szCs w:val="21"/>
                <w:highlight w:val="none"/>
              </w:rPr>
            </w:pPr>
          </w:p>
        </w:tc>
      </w:tr>
      <w:tr w14:paraId="4A6F2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3ABF0702">
            <w:pPr>
              <w:rPr>
                <w:color w:val="auto"/>
                <w:highlight w:val="none"/>
              </w:rPr>
            </w:pPr>
          </w:p>
        </w:tc>
        <w:tc>
          <w:tcPr>
            <w:tcW w:w="1207" w:type="dxa"/>
            <w:vAlign w:val="center"/>
          </w:tcPr>
          <w:p w14:paraId="60D1760D">
            <w:pPr>
              <w:jc w:val="center"/>
              <w:textAlignment w:val="center"/>
              <w:rPr>
                <w:color w:val="auto"/>
                <w:sz w:val="20"/>
                <w:szCs w:val="20"/>
                <w:highlight w:val="none"/>
              </w:rPr>
            </w:pPr>
          </w:p>
        </w:tc>
        <w:tc>
          <w:tcPr>
            <w:tcW w:w="992" w:type="dxa"/>
            <w:vAlign w:val="center"/>
          </w:tcPr>
          <w:p w14:paraId="54977FA9">
            <w:pPr>
              <w:rPr>
                <w:color w:val="auto"/>
                <w:highlight w:val="none"/>
              </w:rPr>
            </w:pPr>
          </w:p>
        </w:tc>
        <w:tc>
          <w:tcPr>
            <w:tcW w:w="1225" w:type="dxa"/>
            <w:vAlign w:val="center"/>
          </w:tcPr>
          <w:p w14:paraId="69B6BB9E">
            <w:pPr>
              <w:rPr>
                <w:color w:val="auto"/>
                <w:highlight w:val="none"/>
              </w:rPr>
            </w:pPr>
          </w:p>
        </w:tc>
        <w:tc>
          <w:tcPr>
            <w:tcW w:w="1100" w:type="dxa"/>
            <w:vAlign w:val="center"/>
          </w:tcPr>
          <w:p w14:paraId="75984122">
            <w:pPr>
              <w:rPr>
                <w:color w:val="auto"/>
                <w:highlight w:val="none"/>
              </w:rPr>
            </w:pPr>
          </w:p>
        </w:tc>
        <w:tc>
          <w:tcPr>
            <w:tcW w:w="938" w:type="dxa"/>
            <w:vAlign w:val="center"/>
          </w:tcPr>
          <w:p w14:paraId="3D8BEF1B">
            <w:pPr>
              <w:rPr>
                <w:color w:val="auto"/>
                <w:highlight w:val="none"/>
              </w:rPr>
            </w:pPr>
          </w:p>
        </w:tc>
        <w:tc>
          <w:tcPr>
            <w:tcW w:w="848" w:type="dxa"/>
            <w:vAlign w:val="center"/>
          </w:tcPr>
          <w:p w14:paraId="421B24D1">
            <w:pPr>
              <w:rPr>
                <w:color w:val="auto"/>
                <w:szCs w:val="21"/>
                <w:highlight w:val="none"/>
              </w:rPr>
            </w:pPr>
          </w:p>
        </w:tc>
        <w:tc>
          <w:tcPr>
            <w:tcW w:w="992" w:type="dxa"/>
            <w:vAlign w:val="center"/>
          </w:tcPr>
          <w:p w14:paraId="69363F62">
            <w:pPr>
              <w:rPr>
                <w:color w:val="auto"/>
                <w:szCs w:val="21"/>
                <w:highlight w:val="none"/>
              </w:rPr>
            </w:pPr>
          </w:p>
        </w:tc>
        <w:tc>
          <w:tcPr>
            <w:tcW w:w="1134" w:type="dxa"/>
            <w:vAlign w:val="center"/>
          </w:tcPr>
          <w:p w14:paraId="1919A70A">
            <w:pPr>
              <w:rPr>
                <w:color w:val="auto"/>
                <w:szCs w:val="21"/>
                <w:highlight w:val="none"/>
              </w:rPr>
            </w:pPr>
          </w:p>
        </w:tc>
        <w:tc>
          <w:tcPr>
            <w:tcW w:w="1076" w:type="dxa"/>
            <w:vAlign w:val="center"/>
          </w:tcPr>
          <w:p w14:paraId="4B1024F0">
            <w:pPr>
              <w:rPr>
                <w:color w:val="auto"/>
                <w:szCs w:val="21"/>
                <w:highlight w:val="none"/>
              </w:rPr>
            </w:pPr>
          </w:p>
        </w:tc>
      </w:tr>
      <w:tr w14:paraId="6F5D8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7251A1B0">
            <w:pPr>
              <w:rPr>
                <w:color w:val="auto"/>
                <w:highlight w:val="none"/>
              </w:rPr>
            </w:pPr>
          </w:p>
        </w:tc>
        <w:tc>
          <w:tcPr>
            <w:tcW w:w="1207" w:type="dxa"/>
            <w:vAlign w:val="center"/>
          </w:tcPr>
          <w:p w14:paraId="0A6C908A">
            <w:pPr>
              <w:jc w:val="center"/>
              <w:textAlignment w:val="center"/>
              <w:rPr>
                <w:color w:val="auto"/>
                <w:sz w:val="20"/>
                <w:szCs w:val="20"/>
                <w:highlight w:val="none"/>
              </w:rPr>
            </w:pPr>
          </w:p>
        </w:tc>
        <w:tc>
          <w:tcPr>
            <w:tcW w:w="992" w:type="dxa"/>
            <w:vAlign w:val="center"/>
          </w:tcPr>
          <w:p w14:paraId="63DCD65D">
            <w:pPr>
              <w:rPr>
                <w:color w:val="auto"/>
                <w:highlight w:val="none"/>
              </w:rPr>
            </w:pPr>
          </w:p>
        </w:tc>
        <w:tc>
          <w:tcPr>
            <w:tcW w:w="1225" w:type="dxa"/>
            <w:vAlign w:val="center"/>
          </w:tcPr>
          <w:p w14:paraId="3841D55E">
            <w:pPr>
              <w:rPr>
                <w:color w:val="auto"/>
                <w:highlight w:val="none"/>
              </w:rPr>
            </w:pPr>
          </w:p>
        </w:tc>
        <w:tc>
          <w:tcPr>
            <w:tcW w:w="1100" w:type="dxa"/>
            <w:vAlign w:val="center"/>
          </w:tcPr>
          <w:p w14:paraId="16CD5A9D">
            <w:pPr>
              <w:rPr>
                <w:color w:val="auto"/>
                <w:highlight w:val="none"/>
              </w:rPr>
            </w:pPr>
          </w:p>
        </w:tc>
        <w:tc>
          <w:tcPr>
            <w:tcW w:w="938" w:type="dxa"/>
            <w:vAlign w:val="center"/>
          </w:tcPr>
          <w:p w14:paraId="1DB051D0">
            <w:pPr>
              <w:rPr>
                <w:color w:val="auto"/>
                <w:highlight w:val="none"/>
              </w:rPr>
            </w:pPr>
          </w:p>
        </w:tc>
        <w:tc>
          <w:tcPr>
            <w:tcW w:w="848" w:type="dxa"/>
            <w:vAlign w:val="center"/>
          </w:tcPr>
          <w:p w14:paraId="5AD2F23E">
            <w:pPr>
              <w:rPr>
                <w:color w:val="auto"/>
                <w:szCs w:val="21"/>
                <w:highlight w:val="none"/>
              </w:rPr>
            </w:pPr>
          </w:p>
        </w:tc>
        <w:tc>
          <w:tcPr>
            <w:tcW w:w="992" w:type="dxa"/>
            <w:vAlign w:val="center"/>
          </w:tcPr>
          <w:p w14:paraId="5F78B23F">
            <w:pPr>
              <w:rPr>
                <w:color w:val="auto"/>
                <w:szCs w:val="21"/>
                <w:highlight w:val="none"/>
              </w:rPr>
            </w:pPr>
          </w:p>
        </w:tc>
        <w:tc>
          <w:tcPr>
            <w:tcW w:w="1134" w:type="dxa"/>
            <w:vAlign w:val="center"/>
          </w:tcPr>
          <w:p w14:paraId="4E24173C">
            <w:pPr>
              <w:rPr>
                <w:color w:val="auto"/>
                <w:szCs w:val="21"/>
                <w:highlight w:val="none"/>
              </w:rPr>
            </w:pPr>
          </w:p>
        </w:tc>
        <w:tc>
          <w:tcPr>
            <w:tcW w:w="1076" w:type="dxa"/>
            <w:vAlign w:val="center"/>
          </w:tcPr>
          <w:p w14:paraId="2A7F3718">
            <w:pPr>
              <w:rPr>
                <w:color w:val="auto"/>
                <w:szCs w:val="21"/>
                <w:highlight w:val="none"/>
              </w:rPr>
            </w:pPr>
          </w:p>
        </w:tc>
      </w:tr>
      <w:tr w14:paraId="786FD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725F3C14">
            <w:pPr>
              <w:rPr>
                <w:color w:val="auto"/>
                <w:highlight w:val="none"/>
              </w:rPr>
            </w:pPr>
          </w:p>
        </w:tc>
        <w:tc>
          <w:tcPr>
            <w:tcW w:w="1207" w:type="dxa"/>
            <w:vAlign w:val="center"/>
          </w:tcPr>
          <w:p w14:paraId="6A22A1B1">
            <w:pPr>
              <w:jc w:val="center"/>
              <w:textAlignment w:val="center"/>
              <w:rPr>
                <w:color w:val="auto"/>
                <w:sz w:val="20"/>
                <w:szCs w:val="20"/>
                <w:highlight w:val="none"/>
              </w:rPr>
            </w:pPr>
          </w:p>
        </w:tc>
        <w:tc>
          <w:tcPr>
            <w:tcW w:w="992" w:type="dxa"/>
            <w:vAlign w:val="center"/>
          </w:tcPr>
          <w:p w14:paraId="4E5BAAE9">
            <w:pPr>
              <w:rPr>
                <w:color w:val="auto"/>
                <w:highlight w:val="none"/>
              </w:rPr>
            </w:pPr>
          </w:p>
        </w:tc>
        <w:tc>
          <w:tcPr>
            <w:tcW w:w="1225" w:type="dxa"/>
            <w:vAlign w:val="center"/>
          </w:tcPr>
          <w:p w14:paraId="71348F5B">
            <w:pPr>
              <w:rPr>
                <w:color w:val="auto"/>
                <w:highlight w:val="none"/>
              </w:rPr>
            </w:pPr>
          </w:p>
        </w:tc>
        <w:tc>
          <w:tcPr>
            <w:tcW w:w="1100" w:type="dxa"/>
            <w:vAlign w:val="center"/>
          </w:tcPr>
          <w:p w14:paraId="2A4D7F23">
            <w:pPr>
              <w:rPr>
                <w:color w:val="auto"/>
                <w:highlight w:val="none"/>
              </w:rPr>
            </w:pPr>
          </w:p>
        </w:tc>
        <w:tc>
          <w:tcPr>
            <w:tcW w:w="938" w:type="dxa"/>
            <w:vAlign w:val="center"/>
          </w:tcPr>
          <w:p w14:paraId="4A6B6DF4">
            <w:pPr>
              <w:rPr>
                <w:color w:val="auto"/>
                <w:highlight w:val="none"/>
              </w:rPr>
            </w:pPr>
          </w:p>
        </w:tc>
        <w:tc>
          <w:tcPr>
            <w:tcW w:w="848" w:type="dxa"/>
            <w:vAlign w:val="center"/>
          </w:tcPr>
          <w:p w14:paraId="0547A29E">
            <w:pPr>
              <w:rPr>
                <w:color w:val="auto"/>
                <w:szCs w:val="21"/>
                <w:highlight w:val="none"/>
              </w:rPr>
            </w:pPr>
          </w:p>
        </w:tc>
        <w:tc>
          <w:tcPr>
            <w:tcW w:w="992" w:type="dxa"/>
            <w:vAlign w:val="center"/>
          </w:tcPr>
          <w:p w14:paraId="4CEEFCA8">
            <w:pPr>
              <w:rPr>
                <w:color w:val="auto"/>
                <w:szCs w:val="21"/>
                <w:highlight w:val="none"/>
              </w:rPr>
            </w:pPr>
          </w:p>
        </w:tc>
        <w:tc>
          <w:tcPr>
            <w:tcW w:w="1134" w:type="dxa"/>
            <w:vAlign w:val="center"/>
          </w:tcPr>
          <w:p w14:paraId="7102A9E8">
            <w:pPr>
              <w:rPr>
                <w:color w:val="auto"/>
                <w:szCs w:val="21"/>
                <w:highlight w:val="none"/>
              </w:rPr>
            </w:pPr>
          </w:p>
        </w:tc>
        <w:tc>
          <w:tcPr>
            <w:tcW w:w="1076" w:type="dxa"/>
            <w:vAlign w:val="center"/>
          </w:tcPr>
          <w:p w14:paraId="6DB48840">
            <w:pPr>
              <w:rPr>
                <w:color w:val="auto"/>
                <w:szCs w:val="21"/>
                <w:highlight w:val="none"/>
              </w:rPr>
            </w:pPr>
          </w:p>
        </w:tc>
      </w:tr>
      <w:tr w14:paraId="11798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71B5958C">
            <w:pPr>
              <w:rPr>
                <w:color w:val="auto"/>
                <w:highlight w:val="none"/>
              </w:rPr>
            </w:pPr>
          </w:p>
        </w:tc>
        <w:tc>
          <w:tcPr>
            <w:tcW w:w="1207" w:type="dxa"/>
            <w:vAlign w:val="center"/>
          </w:tcPr>
          <w:p w14:paraId="00AD678E">
            <w:pPr>
              <w:jc w:val="center"/>
              <w:textAlignment w:val="center"/>
              <w:rPr>
                <w:color w:val="auto"/>
                <w:sz w:val="20"/>
                <w:szCs w:val="20"/>
                <w:highlight w:val="none"/>
              </w:rPr>
            </w:pPr>
          </w:p>
        </w:tc>
        <w:tc>
          <w:tcPr>
            <w:tcW w:w="992" w:type="dxa"/>
            <w:vAlign w:val="center"/>
          </w:tcPr>
          <w:p w14:paraId="5E3027FB">
            <w:pPr>
              <w:rPr>
                <w:color w:val="auto"/>
                <w:highlight w:val="none"/>
              </w:rPr>
            </w:pPr>
          </w:p>
        </w:tc>
        <w:tc>
          <w:tcPr>
            <w:tcW w:w="1225" w:type="dxa"/>
            <w:vAlign w:val="center"/>
          </w:tcPr>
          <w:p w14:paraId="5E581A61">
            <w:pPr>
              <w:rPr>
                <w:color w:val="auto"/>
                <w:highlight w:val="none"/>
              </w:rPr>
            </w:pPr>
          </w:p>
        </w:tc>
        <w:tc>
          <w:tcPr>
            <w:tcW w:w="1100" w:type="dxa"/>
            <w:vAlign w:val="center"/>
          </w:tcPr>
          <w:p w14:paraId="18E44820">
            <w:pPr>
              <w:rPr>
                <w:color w:val="auto"/>
                <w:highlight w:val="none"/>
              </w:rPr>
            </w:pPr>
          </w:p>
        </w:tc>
        <w:tc>
          <w:tcPr>
            <w:tcW w:w="938" w:type="dxa"/>
            <w:vAlign w:val="center"/>
          </w:tcPr>
          <w:p w14:paraId="117EFC42">
            <w:pPr>
              <w:rPr>
                <w:color w:val="auto"/>
                <w:highlight w:val="none"/>
              </w:rPr>
            </w:pPr>
          </w:p>
        </w:tc>
        <w:tc>
          <w:tcPr>
            <w:tcW w:w="848" w:type="dxa"/>
            <w:vAlign w:val="center"/>
          </w:tcPr>
          <w:p w14:paraId="4FE2F5A1">
            <w:pPr>
              <w:rPr>
                <w:color w:val="auto"/>
                <w:szCs w:val="21"/>
                <w:highlight w:val="none"/>
              </w:rPr>
            </w:pPr>
          </w:p>
        </w:tc>
        <w:tc>
          <w:tcPr>
            <w:tcW w:w="992" w:type="dxa"/>
            <w:vAlign w:val="center"/>
          </w:tcPr>
          <w:p w14:paraId="7267536E">
            <w:pPr>
              <w:rPr>
                <w:color w:val="auto"/>
                <w:szCs w:val="21"/>
                <w:highlight w:val="none"/>
              </w:rPr>
            </w:pPr>
          </w:p>
        </w:tc>
        <w:tc>
          <w:tcPr>
            <w:tcW w:w="1134" w:type="dxa"/>
            <w:vAlign w:val="center"/>
          </w:tcPr>
          <w:p w14:paraId="6ED035E9">
            <w:pPr>
              <w:rPr>
                <w:color w:val="auto"/>
                <w:szCs w:val="21"/>
                <w:highlight w:val="none"/>
              </w:rPr>
            </w:pPr>
          </w:p>
        </w:tc>
        <w:tc>
          <w:tcPr>
            <w:tcW w:w="1076" w:type="dxa"/>
            <w:vAlign w:val="center"/>
          </w:tcPr>
          <w:p w14:paraId="339C5018">
            <w:pPr>
              <w:rPr>
                <w:color w:val="auto"/>
                <w:szCs w:val="21"/>
                <w:highlight w:val="none"/>
              </w:rPr>
            </w:pPr>
          </w:p>
        </w:tc>
      </w:tr>
      <w:tr w14:paraId="3C067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2A34B8C1">
            <w:pPr>
              <w:rPr>
                <w:color w:val="auto"/>
                <w:highlight w:val="none"/>
              </w:rPr>
            </w:pPr>
          </w:p>
        </w:tc>
        <w:tc>
          <w:tcPr>
            <w:tcW w:w="1207" w:type="dxa"/>
            <w:vAlign w:val="center"/>
          </w:tcPr>
          <w:p w14:paraId="052F5B02">
            <w:pPr>
              <w:widowControl/>
              <w:jc w:val="center"/>
              <w:textAlignment w:val="center"/>
              <w:rPr>
                <w:color w:val="auto"/>
                <w:sz w:val="20"/>
                <w:szCs w:val="20"/>
                <w:highlight w:val="none"/>
              </w:rPr>
            </w:pPr>
          </w:p>
        </w:tc>
        <w:tc>
          <w:tcPr>
            <w:tcW w:w="992" w:type="dxa"/>
            <w:vAlign w:val="center"/>
          </w:tcPr>
          <w:p w14:paraId="7F57FB4A">
            <w:pPr>
              <w:rPr>
                <w:color w:val="auto"/>
                <w:highlight w:val="none"/>
              </w:rPr>
            </w:pPr>
          </w:p>
        </w:tc>
        <w:tc>
          <w:tcPr>
            <w:tcW w:w="1225" w:type="dxa"/>
            <w:vAlign w:val="center"/>
          </w:tcPr>
          <w:p w14:paraId="13AD1D11">
            <w:pPr>
              <w:rPr>
                <w:color w:val="auto"/>
                <w:highlight w:val="none"/>
              </w:rPr>
            </w:pPr>
          </w:p>
        </w:tc>
        <w:tc>
          <w:tcPr>
            <w:tcW w:w="1100" w:type="dxa"/>
            <w:vAlign w:val="center"/>
          </w:tcPr>
          <w:p w14:paraId="2764B7FE">
            <w:pPr>
              <w:rPr>
                <w:color w:val="auto"/>
                <w:highlight w:val="none"/>
              </w:rPr>
            </w:pPr>
          </w:p>
        </w:tc>
        <w:tc>
          <w:tcPr>
            <w:tcW w:w="938" w:type="dxa"/>
            <w:vAlign w:val="center"/>
          </w:tcPr>
          <w:p w14:paraId="17D6D04D">
            <w:pPr>
              <w:rPr>
                <w:color w:val="auto"/>
                <w:highlight w:val="none"/>
              </w:rPr>
            </w:pPr>
          </w:p>
        </w:tc>
        <w:tc>
          <w:tcPr>
            <w:tcW w:w="848" w:type="dxa"/>
            <w:vAlign w:val="center"/>
          </w:tcPr>
          <w:p w14:paraId="37492BB6">
            <w:pPr>
              <w:rPr>
                <w:color w:val="auto"/>
                <w:szCs w:val="21"/>
                <w:highlight w:val="none"/>
              </w:rPr>
            </w:pPr>
          </w:p>
        </w:tc>
        <w:tc>
          <w:tcPr>
            <w:tcW w:w="992" w:type="dxa"/>
            <w:vAlign w:val="center"/>
          </w:tcPr>
          <w:p w14:paraId="673F4792">
            <w:pPr>
              <w:rPr>
                <w:color w:val="auto"/>
                <w:szCs w:val="21"/>
                <w:highlight w:val="none"/>
              </w:rPr>
            </w:pPr>
          </w:p>
        </w:tc>
        <w:tc>
          <w:tcPr>
            <w:tcW w:w="1134" w:type="dxa"/>
            <w:vAlign w:val="center"/>
          </w:tcPr>
          <w:p w14:paraId="0B43F790">
            <w:pPr>
              <w:rPr>
                <w:color w:val="auto"/>
                <w:szCs w:val="21"/>
                <w:highlight w:val="none"/>
              </w:rPr>
            </w:pPr>
          </w:p>
        </w:tc>
        <w:tc>
          <w:tcPr>
            <w:tcW w:w="1076" w:type="dxa"/>
            <w:vAlign w:val="center"/>
          </w:tcPr>
          <w:p w14:paraId="61871BF6">
            <w:pPr>
              <w:rPr>
                <w:color w:val="auto"/>
                <w:szCs w:val="21"/>
                <w:highlight w:val="none"/>
              </w:rPr>
            </w:pPr>
          </w:p>
        </w:tc>
      </w:tr>
      <w:tr w14:paraId="5AB5A3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692" w:type="dxa"/>
            <w:vAlign w:val="center"/>
          </w:tcPr>
          <w:p w14:paraId="2A18F5D4">
            <w:pPr>
              <w:rPr>
                <w:color w:val="auto"/>
                <w:szCs w:val="21"/>
                <w:highlight w:val="none"/>
              </w:rPr>
            </w:pPr>
          </w:p>
        </w:tc>
        <w:tc>
          <w:tcPr>
            <w:tcW w:w="1207" w:type="dxa"/>
            <w:vAlign w:val="center"/>
          </w:tcPr>
          <w:p w14:paraId="6761205B">
            <w:pPr>
              <w:rPr>
                <w:color w:val="auto"/>
                <w:szCs w:val="21"/>
                <w:highlight w:val="none"/>
              </w:rPr>
            </w:pPr>
          </w:p>
        </w:tc>
        <w:tc>
          <w:tcPr>
            <w:tcW w:w="992" w:type="dxa"/>
            <w:vAlign w:val="center"/>
          </w:tcPr>
          <w:p w14:paraId="23039877">
            <w:pPr>
              <w:rPr>
                <w:color w:val="auto"/>
                <w:szCs w:val="21"/>
                <w:highlight w:val="none"/>
              </w:rPr>
            </w:pPr>
          </w:p>
        </w:tc>
        <w:tc>
          <w:tcPr>
            <w:tcW w:w="1225" w:type="dxa"/>
            <w:vAlign w:val="center"/>
          </w:tcPr>
          <w:p w14:paraId="2B479049">
            <w:pPr>
              <w:rPr>
                <w:color w:val="auto"/>
                <w:szCs w:val="21"/>
                <w:highlight w:val="none"/>
              </w:rPr>
            </w:pPr>
          </w:p>
        </w:tc>
        <w:tc>
          <w:tcPr>
            <w:tcW w:w="1100" w:type="dxa"/>
            <w:vAlign w:val="center"/>
          </w:tcPr>
          <w:p w14:paraId="0DAF995A">
            <w:pPr>
              <w:rPr>
                <w:color w:val="auto"/>
                <w:szCs w:val="21"/>
                <w:highlight w:val="none"/>
              </w:rPr>
            </w:pPr>
          </w:p>
        </w:tc>
        <w:tc>
          <w:tcPr>
            <w:tcW w:w="938" w:type="dxa"/>
            <w:vAlign w:val="center"/>
          </w:tcPr>
          <w:p w14:paraId="3C2D6A1D">
            <w:pPr>
              <w:rPr>
                <w:color w:val="auto"/>
                <w:szCs w:val="21"/>
                <w:highlight w:val="none"/>
              </w:rPr>
            </w:pPr>
          </w:p>
        </w:tc>
        <w:tc>
          <w:tcPr>
            <w:tcW w:w="848" w:type="dxa"/>
            <w:vAlign w:val="center"/>
          </w:tcPr>
          <w:p w14:paraId="5062DDB8">
            <w:pPr>
              <w:rPr>
                <w:color w:val="auto"/>
                <w:szCs w:val="21"/>
                <w:highlight w:val="none"/>
              </w:rPr>
            </w:pPr>
          </w:p>
        </w:tc>
        <w:tc>
          <w:tcPr>
            <w:tcW w:w="992" w:type="dxa"/>
            <w:vAlign w:val="center"/>
          </w:tcPr>
          <w:p w14:paraId="0B05FF17">
            <w:pPr>
              <w:rPr>
                <w:color w:val="auto"/>
                <w:szCs w:val="21"/>
                <w:highlight w:val="none"/>
              </w:rPr>
            </w:pPr>
          </w:p>
        </w:tc>
        <w:tc>
          <w:tcPr>
            <w:tcW w:w="1134" w:type="dxa"/>
            <w:vAlign w:val="center"/>
          </w:tcPr>
          <w:p w14:paraId="378E121B">
            <w:pPr>
              <w:rPr>
                <w:color w:val="auto"/>
                <w:szCs w:val="21"/>
                <w:highlight w:val="none"/>
              </w:rPr>
            </w:pPr>
          </w:p>
        </w:tc>
        <w:tc>
          <w:tcPr>
            <w:tcW w:w="1076" w:type="dxa"/>
            <w:vAlign w:val="center"/>
          </w:tcPr>
          <w:p w14:paraId="4D6E1B15">
            <w:pPr>
              <w:rPr>
                <w:color w:val="auto"/>
                <w:szCs w:val="21"/>
                <w:highlight w:val="none"/>
              </w:rPr>
            </w:pPr>
          </w:p>
        </w:tc>
      </w:tr>
      <w:tr w14:paraId="184F7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0204" w:type="dxa"/>
            <w:gridSpan w:val="10"/>
            <w:vAlign w:val="center"/>
          </w:tcPr>
          <w:p w14:paraId="20BCCC88">
            <w:pPr>
              <w:rPr>
                <w:color w:val="auto"/>
                <w:szCs w:val="21"/>
                <w:highlight w:val="none"/>
              </w:rPr>
            </w:pPr>
            <w:r>
              <w:rPr>
                <w:color w:val="auto"/>
                <w:szCs w:val="21"/>
                <w:highlight w:val="none"/>
              </w:rPr>
              <w:t>投标总金额（人民币）：</w:t>
            </w:r>
          </w:p>
        </w:tc>
      </w:tr>
    </w:tbl>
    <w:p w14:paraId="5E2B0EDF">
      <w:pPr>
        <w:pStyle w:val="15"/>
        <w:spacing w:line="360" w:lineRule="auto"/>
        <w:ind w:left="-178" w:leftChars="-85" w:firstLine="507" w:firstLineChars="250"/>
        <w:rPr>
          <w:rFonts w:ascii="Times New Roman"/>
          <w:b/>
          <w:color w:val="auto"/>
          <w:sz w:val="21"/>
          <w:szCs w:val="21"/>
          <w:highlight w:val="none"/>
        </w:rPr>
      </w:pPr>
      <w:r>
        <w:rPr>
          <w:rFonts w:ascii="Times New Roman"/>
          <w:b/>
          <w:color w:val="auto"/>
          <w:sz w:val="21"/>
          <w:szCs w:val="21"/>
          <w:highlight w:val="none"/>
        </w:rPr>
        <w:t>注：投标人根据实际需求进行填写，包含但不限于本招标文件第二章采购需求二、技术需求（一）招标货物清单中所列的内容。</w:t>
      </w:r>
    </w:p>
    <w:p w14:paraId="4B63628C">
      <w:pPr>
        <w:rPr>
          <w:color w:val="auto"/>
          <w:szCs w:val="21"/>
          <w:highlight w:val="none"/>
        </w:rPr>
      </w:pPr>
    </w:p>
    <w:p w14:paraId="61C463DF">
      <w:pPr>
        <w:rPr>
          <w:color w:val="auto"/>
          <w:szCs w:val="21"/>
          <w:highlight w:val="none"/>
        </w:rPr>
      </w:pPr>
    </w:p>
    <w:p w14:paraId="7D94D4B5">
      <w:pPr>
        <w:rPr>
          <w:color w:val="auto"/>
          <w:szCs w:val="21"/>
          <w:highlight w:val="none"/>
        </w:rPr>
      </w:pPr>
    </w:p>
    <w:p w14:paraId="5FB03ED5">
      <w:pPr>
        <w:rPr>
          <w:color w:val="auto"/>
          <w:szCs w:val="21"/>
          <w:highlight w:val="none"/>
        </w:rPr>
      </w:pPr>
    </w:p>
    <w:p w14:paraId="5BB0B9B5">
      <w:pPr>
        <w:rPr>
          <w:color w:val="auto"/>
          <w:szCs w:val="21"/>
          <w:highlight w:val="none"/>
        </w:rPr>
      </w:pPr>
    </w:p>
    <w:p w14:paraId="478F284C">
      <w:pPr>
        <w:widowControl/>
        <w:spacing w:line="360" w:lineRule="auto"/>
        <w:jc w:val="left"/>
        <w:rPr>
          <w:color w:val="auto"/>
          <w:sz w:val="24"/>
          <w:highlight w:val="none"/>
        </w:rPr>
      </w:pPr>
      <w:r>
        <w:rPr>
          <w:color w:val="auto"/>
          <w:sz w:val="24"/>
          <w:highlight w:val="none"/>
        </w:rPr>
        <w:t>投标人（盖章）：</w:t>
      </w:r>
    </w:p>
    <w:p w14:paraId="76DC7B6E">
      <w:pPr>
        <w:pStyle w:val="15"/>
        <w:snapToGrid w:val="0"/>
        <w:spacing w:line="360" w:lineRule="auto"/>
        <w:ind w:firstLine="0"/>
        <w:rPr>
          <w:rFonts w:ascii="Times New Roman"/>
          <w:color w:val="auto"/>
          <w:spacing w:val="0"/>
          <w:sz w:val="24"/>
          <w:szCs w:val="24"/>
          <w:highlight w:val="none"/>
        </w:rPr>
      </w:pPr>
      <w:r>
        <w:rPr>
          <w:rFonts w:ascii="Times New Roman"/>
          <w:color w:val="auto"/>
          <w:spacing w:val="0"/>
          <w:sz w:val="24"/>
          <w:szCs w:val="24"/>
          <w:highlight w:val="none"/>
        </w:rPr>
        <w:t>法定代表人或其授权代表（签字或盖章）：</w:t>
      </w:r>
    </w:p>
    <w:p w14:paraId="753FF932">
      <w:pPr>
        <w:rPr>
          <w:color w:val="auto"/>
          <w:szCs w:val="21"/>
          <w:highlight w:val="none"/>
        </w:rPr>
      </w:pPr>
      <w:r>
        <w:rPr>
          <w:color w:val="auto"/>
          <w:sz w:val="24"/>
          <w:highlight w:val="none"/>
        </w:rPr>
        <w:t>日期：</w:t>
      </w:r>
    </w:p>
    <w:p w14:paraId="3DE72D8D">
      <w:pPr>
        <w:rPr>
          <w:color w:val="auto"/>
          <w:szCs w:val="21"/>
          <w:highlight w:val="none"/>
        </w:rPr>
      </w:pPr>
      <w:r>
        <w:rPr>
          <w:color w:val="auto"/>
          <w:szCs w:val="21"/>
          <w:highlight w:val="none"/>
        </w:rPr>
        <w:t xml:space="preserve">    </w:t>
      </w:r>
    </w:p>
    <w:p w14:paraId="3716236D">
      <w:pPr>
        <w:pStyle w:val="15"/>
        <w:spacing w:line="400" w:lineRule="exact"/>
        <w:ind w:left="711" w:leftChars="228" w:hanging="232" w:hangingChars="100"/>
        <w:rPr>
          <w:rFonts w:ascii="Times New Roman"/>
          <w:color w:val="auto"/>
          <w:sz w:val="24"/>
          <w:szCs w:val="21"/>
          <w:highlight w:val="none"/>
        </w:rPr>
      </w:pPr>
    </w:p>
    <w:p w14:paraId="17163775">
      <w:pPr>
        <w:widowControl/>
        <w:jc w:val="left"/>
        <w:rPr>
          <w:b/>
          <w:color w:val="auto"/>
          <w:highlight w:val="none"/>
        </w:rPr>
      </w:pPr>
      <w:bookmarkStart w:id="244" w:name="_Toc460857955"/>
      <w:r>
        <w:rPr>
          <w:rStyle w:val="116"/>
          <w:color w:val="auto"/>
          <w:szCs w:val="21"/>
          <w:highlight w:val="none"/>
        </w:rPr>
        <w:br w:type="page"/>
      </w:r>
      <w:bookmarkEnd w:id="244"/>
      <w:bookmarkStart w:id="245" w:name="_Toc460857950"/>
      <w:r>
        <w:rPr>
          <w:b/>
          <w:color w:val="auto"/>
          <w:highlight w:val="none"/>
        </w:rPr>
        <w:t>格式十六：</w:t>
      </w:r>
      <w:r>
        <w:rPr>
          <w:color w:val="auto"/>
          <w:highlight w:val="none"/>
        </w:rPr>
        <w:t>中小企业声明函</w:t>
      </w:r>
      <w:bookmarkEnd w:id="245"/>
    </w:p>
    <w:p w14:paraId="623D7215">
      <w:pPr>
        <w:pStyle w:val="15"/>
        <w:spacing w:line="520" w:lineRule="exact"/>
        <w:jc w:val="center"/>
        <w:rPr>
          <w:rFonts w:ascii="Times New Roman"/>
          <w:b/>
          <w:color w:val="auto"/>
          <w:sz w:val="21"/>
          <w:szCs w:val="21"/>
          <w:highlight w:val="none"/>
        </w:rPr>
      </w:pPr>
    </w:p>
    <w:p w14:paraId="23BA2503">
      <w:pPr>
        <w:spacing w:line="411" w:lineRule="exact"/>
        <w:ind w:right="6"/>
        <w:jc w:val="center"/>
        <w:rPr>
          <w:b/>
          <w:color w:val="auto"/>
          <w:sz w:val="36"/>
          <w:highlight w:val="none"/>
        </w:rPr>
      </w:pPr>
      <w:r>
        <w:rPr>
          <w:b/>
          <w:color w:val="auto"/>
          <w:sz w:val="36"/>
          <w:highlight w:val="none"/>
        </w:rPr>
        <w:t>中小企业声明函（货物）</w:t>
      </w:r>
    </w:p>
    <w:p w14:paraId="72AE7F60">
      <w:pPr>
        <w:spacing w:line="200" w:lineRule="exact"/>
        <w:rPr>
          <w:color w:val="auto"/>
          <w:highlight w:val="none"/>
        </w:rPr>
      </w:pPr>
    </w:p>
    <w:p w14:paraId="624630AA">
      <w:pPr>
        <w:spacing w:line="318" w:lineRule="exact"/>
        <w:rPr>
          <w:color w:val="auto"/>
          <w:szCs w:val="21"/>
          <w:highlight w:val="none"/>
        </w:rPr>
      </w:pPr>
    </w:p>
    <w:p w14:paraId="0FEF3104">
      <w:pPr>
        <w:spacing w:line="360" w:lineRule="auto"/>
        <w:ind w:firstLine="420" w:firstLineChars="200"/>
        <w:rPr>
          <w:color w:val="auto"/>
          <w:szCs w:val="21"/>
          <w:highlight w:val="none"/>
        </w:rPr>
      </w:pPr>
      <w:r>
        <w:rPr>
          <w:color w:val="auto"/>
          <w:szCs w:val="21"/>
          <w:highlight w:val="none"/>
        </w:rPr>
        <w:t>本公司（联合体）郑重声明，根据《政府采购促进中小企业发展管理办法》（财库﹝2020﹞46 号）的规定，本公司（联合体）参加</w:t>
      </w:r>
      <w:r>
        <w:rPr>
          <w:color w:val="auto"/>
          <w:szCs w:val="21"/>
          <w:highlight w:val="none"/>
          <w:u w:val="single"/>
        </w:rPr>
        <w:t xml:space="preserve"> 宁波大学科学技术学院 的 宁波大学科学技术学院智慧文旅实训室建设项目 </w:t>
      </w:r>
      <w:r>
        <w:rPr>
          <w:color w:val="auto"/>
          <w:szCs w:val="21"/>
          <w:highlight w:val="none"/>
        </w:rPr>
        <w:t>采购活动，提供的货物全部由符合政策要求的中小企业制造。相关企业（含联合体中的中小企业、签订分包意向协议的中小企业）的具体情况如下：</w:t>
      </w:r>
    </w:p>
    <w:p w14:paraId="2E28199F">
      <w:pPr>
        <w:spacing w:line="360" w:lineRule="auto"/>
        <w:ind w:firstLine="420" w:firstLineChars="200"/>
        <w:rPr>
          <w:color w:val="auto"/>
          <w:szCs w:val="21"/>
          <w:highlight w:val="none"/>
        </w:rPr>
      </w:pPr>
      <w:r>
        <w:rPr>
          <w:color w:val="auto"/>
          <w:szCs w:val="21"/>
          <w:highlight w:val="none"/>
        </w:rPr>
        <w:t>1.</w:t>
      </w:r>
      <w:r>
        <w:rPr>
          <w:color w:val="auto"/>
          <w:szCs w:val="21"/>
          <w:highlight w:val="none"/>
          <w:u w:val="single"/>
        </w:rPr>
        <w:t xml:space="preserve">（教学智慧触控大屏） </w:t>
      </w:r>
      <w:r>
        <w:rPr>
          <w:color w:val="auto"/>
          <w:szCs w:val="21"/>
          <w:highlight w:val="none"/>
        </w:rPr>
        <w:t>，属于</w:t>
      </w:r>
      <w:r>
        <w:rPr>
          <w:color w:val="auto"/>
          <w:szCs w:val="21"/>
          <w:highlight w:val="none"/>
          <w:u w:val="single"/>
        </w:rPr>
        <w:t>（工业）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16A6C46E">
      <w:pPr>
        <w:spacing w:line="360" w:lineRule="auto"/>
        <w:ind w:firstLine="420" w:firstLineChars="200"/>
        <w:rPr>
          <w:color w:val="auto"/>
          <w:szCs w:val="21"/>
          <w:highlight w:val="none"/>
        </w:rPr>
      </w:pPr>
      <w:r>
        <w:rPr>
          <w:color w:val="auto"/>
          <w:szCs w:val="21"/>
          <w:highlight w:val="none"/>
        </w:rPr>
        <w:t xml:space="preserve">2. </w:t>
      </w:r>
      <w:r>
        <w:rPr>
          <w:color w:val="auto"/>
          <w:szCs w:val="21"/>
          <w:highlight w:val="none"/>
          <w:u w:val="single"/>
        </w:rPr>
        <w:t>（VR大屏展示系统）</w:t>
      </w:r>
      <w:r>
        <w:rPr>
          <w:color w:val="auto"/>
          <w:szCs w:val="21"/>
          <w:highlight w:val="none"/>
        </w:rPr>
        <w:t xml:space="preserve"> ，属于 </w:t>
      </w:r>
      <w:r>
        <w:rPr>
          <w:color w:val="auto"/>
          <w:szCs w:val="21"/>
          <w:highlight w:val="none"/>
          <w:u w:val="single"/>
        </w:rPr>
        <w:t>（工业）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21B1C08D">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 xml:space="preserve">. </w:t>
      </w:r>
      <w:r>
        <w:rPr>
          <w:color w:val="auto"/>
          <w:szCs w:val="21"/>
          <w:highlight w:val="none"/>
          <w:u w:val="single"/>
        </w:rPr>
        <w:t>（</w:t>
      </w:r>
      <w:r>
        <w:rPr>
          <w:rFonts w:hint="eastAsia"/>
          <w:color w:val="auto"/>
          <w:szCs w:val="21"/>
          <w:highlight w:val="none"/>
          <w:u w:val="single"/>
        </w:rPr>
        <w:t>3D眼镜</w:t>
      </w:r>
      <w:r>
        <w:rPr>
          <w:color w:val="auto"/>
          <w:szCs w:val="21"/>
          <w:highlight w:val="none"/>
          <w:u w:val="single"/>
        </w:rPr>
        <w:t>）</w:t>
      </w:r>
      <w:r>
        <w:rPr>
          <w:color w:val="auto"/>
          <w:szCs w:val="21"/>
          <w:highlight w:val="none"/>
        </w:rPr>
        <w:t xml:space="preserve"> ，属于 </w:t>
      </w:r>
      <w:r>
        <w:rPr>
          <w:color w:val="auto"/>
          <w:szCs w:val="21"/>
          <w:highlight w:val="none"/>
          <w:u w:val="single"/>
        </w:rPr>
        <w:t>（工业）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2E606C65">
      <w:pPr>
        <w:spacing w:line="360" w:lineRule="auto"/>
        <w:ind w:firstLine="420" w:firstLineChars="200"/>
        <w:rPr>
          <w:color w:val="auto"/>
          <w:szCs w:val="21"/>
          <w:highlight w:val="none"/>
        </w:rPr>
      </w:pPr>
      <w:r>
        <w:rPr>
          <w:rFonts w:hint="eastAsia"/>
          <w:color w:val="auto"/>
          <w:szCs w:val="21"/>
          <w:highlight w:val="none"/>
        </w:rPr>
        <w:t>4</w:t>
      </w:r>
      <w:r>
        <w:rPr>
          <w:color w:val="auto"/>
          <w:szCs w:val="21"/>
          <w:highlight w:val="none"/>
        </w:rPr>
        <w:t xml:space="preserve">. </w:t>
      </w:r>
      <w:r>
        <w:rPr>
          <w:color w:val="auto"/>
          <w:szCs w:val="21"/>
          <w:highlight w:val="none"/>
          <w:u w:val="single"/>
        </w:rPr>
        <w:t xml:space="preserve">（音响系统） </w:t>
      </w:r>
      <w:r>
        <w:rPr>
          <w:color w:val="auto"/>
          <w:szCs w:val="21"/>
          <w:highlight w:val="none"/>
        </w:rPr>
        <w:t xml:space="preserve">，属于 </w:t>
      </w:r>
      <w:r>
        <w:rPr>
          <w:color w:val="auto"/>
          <w:szCs w:val="21"/>
          <w:highlight w:val="none"/>
          <w:u w:val="single"/>
        </w:rPr>
        <w:t>（工业）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29BCC1BC">
      <w:pPr>
        <w:spacing w:line="360" w:lineRule="auto"/>
        <w:ind w:firstLine="420" w:firstLineChars="200"/>
        <w:rPr>
          <w:color w:val="auto"/>
          <w:szCs w:val="21"/>
          <w:highlight w:val="none"/>
        </w:rPr>
      </w:pPr>
      <w:r>
        <w:rPr>
          <w:rFonts w:hint="eastAsia"/>
          <w:color w:val="auto"/>
          <w:szCs w:val="21"/>
          <w:highlight w:val="none"/>
        </w:rPr>
        <w:t>5</w:t>
      </w:r>
      <w:r>
        <w:rPr>
          <w:color w:val="auto"/>
          <w:szCs w:val="21"/>
          <w:highlight w:val="none"/>
        </w:rPr>
        <w:t xml:space="preserve">. </w:t>
      </w:r>
      <w:r>
        <w:rPr>
          <w:color w:val="auto"/>
          <w:szCs w:val="21"/>
          <w:highlight w:val="none"/>
          <w:u w:val="single"/>
        </w:rPr>
        <w:t xml:space="preserve">（VR充电柜） </w:t>
      </w:r>
      <w:r>
        <w:rPr>
          <w:color w:val="auto"/>
          <w:szCs w:val="21"/>
          <w:highlight w:val="none"/>
        </w:rPr>
        <w:t xml:space="preserve">，属于 </w:t>
      </w:r>
      <w:r>
        <w:rPr>
          <w:color w:val="auto"/>
          <w:szCs w:val="21"/>
          <w:highlight w:val="none"/>
          <w:u w:val="single"/>
        </w:rPr>
        <w:t>（工业）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108F75D1">
      <w:pPr>
        <w:spacing w:line="360" w:lineRule="auto"/>
        <w:ind w:firstLine="420" w:firstLineChars="200"/>
        <w:rPr>
          <w:color w:val="auto"/>
          <w:szCs w:val="21"/>
          <w:highlight w:val="none"/>
        </w:rPr>
      </w:pPr>
      <w:r>
        <w:rPr>
          <w:rFonts w:hint="eastAsia"/>
          <w:color w:val="auto"/>
          <w:szCs w:val="21"/>
          <w:highlight w:val="none"/>
        </w:rPr>
        <w:t>6</w:t>
      </w:r>
      <w:r>
        <w:rPr>
          <w:color w:val="auto"/>
          <w:szCs w:val="21"/>
          <w:highlight w:val="none"/>
        </w:rPr>
        <w:t xml:space="preserve">. </w:t>
      </w:r>
      <w:r>
        <w:rPr>
          <w:color w:val="auto"/>
          <w:szCs w:val="21"/>
          <w:highlight w:val="none"/>
          <w:u w:val="single"/>
        </w:rPr>
        <w:t xml:space="preserve">（党建VR学习机（VR眼镜）） </w:t>
      </w:r>
      <w:r>
        <w:rPr>
          <w:color w:val="auto"/>
          <w:szCs w:val="21"/>
          <w:highlight w:val="none"/>
        </w:rPr>
        <w:t xml:space="preserve">，属于 </w:t>
      </w:r>
      <w:r>
        <w:rPr>
          <w:color w:val="auto"/>
          <w:szCs w:val="21"/>
          <w:highlight w:val="none"/>
          <w:u w:val="single"/>
        </w:rPr>
        <w:t>（工业）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338ADB3A">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 xml:space="preserve">. </w:t>
      </w:r>
      <w:r>
        <w:rPr>
          <w:color w:val="auto"/>
          <w:szCs w:val="21"/>
          <w:highlight w:val="none"/>
          <w:u w:val="single"/>
        </w:rPr>
        <w:t>（党建宣传展示系统）</w:t>
      </w:r>
      <w:r>
        <w:rPr>
          <w:color w:val="auto"/>
          <w:szCs w:val="21"/>
          <w:highlight w:val="none"/>
        </w:rPr>
        <w:t xml:space="preserve"> ，属于 </w:t>
      </w:r>
      <w:r>
        <w:rPr>
          <w:color w:val="auto"/>
          <w:szCs w:val="21"/>
          <w:highlight w:val="none"/>
          <w:u w:val="single"/>
        </w:rPr>
        <w:t>（工业）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421FA0D4">
      <w:pPr>
        <w:spacing w:line="360" w:lineRule="auto"/>
        <w:ind w:firstLine="420" w:firstLineChars="200"/>
        <w:rPr>
          <w:rFonts w:hint="eastAsia"/>
          <w:color w:val="auto"/>
          <w:szCs w:val="21"/>
          <w:highlight w:val="none"/>
        </w:rPr>
      </w:pPr>
      <w:r>
        <w:rPr>
          <w:rFonts w:hint="eastAsia"/>
          <w:color w:val="auto"/>
          <w:szCs w:val="21"/>
          <w:highlight w:val="none"/>
          <w:lang w:val="en-US" w:eastAsia="zh-CN"/>
        </w:rPr>
        <w:t>8</w:t>
      </w:r>
      <w:r>
        <w:rPr>
          <w:color w:val="auto"/>
          <w:szCs w:val="21"/>
          <w:highlight w:val="none"/>
        </w:rPr>
        <w:t xml:space="preserve">. </w:t>
      </w:r>
      <w:r>
        <w:rPr>
          <w:color w:val="auto"/>
          <w:szCs w:val="21"/>
          <w:highlight w:val="none"/>
          <w:u w:val="single"/>
        </w:rPr>
        <w:t>（数字党建思政资源系统（PAD版））</w:t>
      </w:r>
      <w:r>
        <w:rPr>
          <w:color w:val="auto"/>
          <w:szCs w:val="21"/>
          <w:highlight w:val="none"/>
        </w:rPr>
        <w:t xml:space="preserve"> ，属于 </w:t>
      </w:r>
      <w:r>
        <w:rPr>
          <w:color w:val="auto"/>
          <w:szCs w:val="21"/>
          <w:highlight w:val="none"/>
          <w:u w:val="single"/>
        </w:rPr>
        <w:t>（工业）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4B9B6F3F">
      <w:pPr>
        <w:spacing w:line="360" w:lineRule="auto"/>
        <w:ind w:firstLine="420" w:firstLineChars="200"/>
        <w:rPr>
          <w:color w:val="auto"/>
          <w:szCs w:val="21"/>
          <w:highlight w:val="none"/>
        </w:rPr>
      </w:pPr>
      <w:r>
        <w:rPr>
          <w:rFonts w:hint="eastAsia"/>
          <w:color w:val="auto"/>
          <w:szCs w:val="21"/>
          <w:highlight w:val="none"/>
          <w:lang w:val="en-US" w:eastAsia="zh-CN"/>
        </w:rPr>
        <w:t>9</w:t>
      </w:r>
      <w:r>
        <w:rPr>
          <w:color w:val="auto"/>
          <w:szCs w:val="21"/>
          <w:highlight w:val="none"/>
        </w:rPr>
        <w:t xml:space="preserve">. </w:t>
      </w:r>
      <w:r>
        <w:rPr>
          <w:color w:val="auto"/>
          <w:szCs w:val="21"/>
          <w:highlight w:val="none"/>
          <w:u w:val="single"/>
        </w:rPr>
        <w:t>（宁波VR红色旅游全景资源）</w:t>
      </w:r>
      <w:r>
        <w:rPr>
          <w:color w:val="auto"/>
          <w:szCs w:val="21"/>
          <w:highlight w:val="none"/>
        </w:rPr>
        <w:t xml:space="preserve"> ，属于 </w:t>
      </w:r>
      <w:r>
        <w:rPr>
          <w:color w:val="auto"/>
          <w:szCs w:val="21"/>
          <w:highlight w:val="none"/>
          <w:u w:val="single"/>
        </w:rPr>
        <w:t>（软件和信息技术服务业）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0DA77628">
      <w:pPr>
        <w:spacing w:line="360" w:lineRule="auto"/>
        <w:ind w:firstLine="420" w:firstLineChars="200"/>
        <w:rPr>
          <w:color w:val="auto"/>
          <w:szCs w:val="21"/>
          <w:highlight w:val="none"/>
        </w:rPr>
      </w:pPr>
      <w:r>
        <w:rPr>
          <w:rFonts w:hint="eastAsia"/>
          <w:color w:val="auto"/>
          <w:szCs w:val="21"/>
          <w:highlight w:val="none"/>
          <w:lang w:val="en-US" w:eastAsia="zh-CN"/>
        </w:rPr>
        <w:t>10</w:t>
      </w:r>
      <w:r>
        <w:rPr>
          <w:color w:val="auto"/>
          <w:szCs w:val="21"/>
          <w:highlight w:val="none"/>
        </w:rPr>
        <w:t xml:space="preserve">. </w:t>
      </w:r>
      <w:r>
        <w:rPr>
          <w:color w:val="auto"/>
          <w:szCs w:val="21"/>
          <w:highlight w:val="none"/>
          <w:u w:val="single"/>
        </w:rPr>
        <w:t>（旅游VR全景系统资源）</w:t>
      </w:r>
      <w:r>
        <w:rPr>
          <w:color w:val="auto"/>
          <w:szCs w:val="21"/>
          <w:highlight w:val="none"/>
        </w:rPr>
        <w:t xml:space="preserve"> ，属于 </w:t>
      </w:r>
      <w:r>
        <w:rPr>
          <w:color w:val="auto"/>
          <w:szCs w:val="21"/>
          <w:highlight w:val="none"/>
          <w:u w:val="single"/>
        </w:rPr>
        <w:t>（软件和信息技术服务业）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2D6D86AC">
      <w:pPr>
        <w:spacing w:line="360" w:lineRule="auto"/>
        <w:ind w:firstLine="420" w:firstLineChars="200"/>
        <w:rPr>
          <w:color w:val="auto"/>
          <w:szCs w:val="21"/>
          <w:highlight w:val="none"/>
        </w:rPr>
      </w:pPr>
      <w:r>
        <w:rPr>
          <w:rFonts w:hint="eastAsia"/>
          <w:color w:val="auto"/>
          <w:szCs w:val="21"/>
          <w:highlight w:val="none"/>
          <w:lang w:val="en-US" w:eastAsia="zh-CN"/>
        </w:rPr>
        <w:t>11</w:t>
      </w:r>
      <w:r>
        <w:rPr>
          <w:color w:val="auto"/>
          <w:szCs w:val="21"/>
          <w:highlight w:val="none"/>
        </w:rPr>
        <w:t xml:space="preserve">. </w:t>
      </w:r>
      <w:r>
        <w:rPr>
          <w:color w:val="auto"/>
          <w:szCs w:val="21"/>
          <w:highlight w:val="none"/>
          <w:u w:val="single"/>
        </w:rPr>
        <w:t>（研学旅行资源包）</w:t>
      </w:r>
      <w:r>
        <w:rPr>
          <w:color w:val="auto"/>
          <w:szCs w:val="21"/>
          <w:highlight w:val="none"/>
        </w:rPr>
        <w:t xml:space="preserve"> ，属于 </w:t>
      </w:r>
      <w:r>
        <w:rPr>
          <w:color w:val="auto"/>
          <w:szCs w:val="21"/>
          <w:highlight w:val="none"/>
          <w:u w:val="single"/>
        </w:rPr>
        <w:t>（软件和信息技术服务业）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7CD44BB2">
      <w:pPr>
        <w:spacing w:line="360" w:lineRule="auto"/>
        <w:ind w:firstLine="420" w:firstLineChars="200"/>
        <w:rPr>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color w:val="auto"/>
          <w:szCs w:val="21"/>
          <w:highlight w:val="none"/>
        </w:rPr>
        <w:t xml:space="preserve">. </w:t>
      </w:r>
      <w:r>
        <w:rPr>
          <w:color w:val="auto"/>
          <w:szCs w:val="21"/>
          <w:highlight w:val="none"/>
          <w:u w:val="single"/>
        </w:rPr>
        <w:t>（红色旅游课程思政资源）</w:t>
      </w:r>
      <w:r>
        <w:rPr>
          <w:color w:val="auto"/>
          <w:szCs w:val="21"/>
          <w:highlight w:val="none"/>
        </w:rPr>
        <w:t xml:space="preserve"> ，属于 </w:t>
      </w:r>
      <w:r>
        <w:rPr>
          <w:color w:val="auto"/>
          <w:szCs w:val="21"/>
          <w:highlight w:val="none"/>
          <w:u w:val="single"/>
        </w:rPr>
        <w:t>（软件和信息技术服务业）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589B2809">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3</w:t>
      </w:r>
      <w:r>
        <w:rPr>
          <w:color w:val="auto"/>
          <w:szCs w:val="21"/>
          <w:highlight w:val="none"/>
        </w:rPr>
        <w:t xml:space="preserve">. </w:t>
      </w:r>
      <w:r>
        <w:rPr>
          <w:color w:val="auto"/>
          <w:szCs w:val="21"/>
          <w:highlight w:val="none"/>
          <w:u w:val="single"/>
        </w:rPr>
        <w:t>（红色旅游党建VR学习机软件资源）</w:t>
      </w:r>
      <w:r>
        <w:rPr>
          <w:color w:val="auto"/>
          <w:szCs w:val="21"/>
          <w:highlight w:val="none"/>
        </w:rPr>
        <w:t xml:space="preserve"> ，属于 </w:t>
      </w:r>
      <w:r>
        <w:rPr>
          <w:color w:val="auto"/>
          <w:szCs w:val="21"/>
          <w:highlight w:val="none"/>
          <w:u w:val="single"/>
        </w:rPr>
        <w:t>（软件和信息技术服务业）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747DCB81">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4</w:t>
      </w:r>
      <w:r>
        <w:rPr>
          <w:color w:val="auto"/>
          <w:szCs w:val="21"/>
          <w:highlight w:val="none"/>
        </w:rPr>
        <w:t xml:space="preserve">. </w:t>
      </w:r>
      <w:r>
        <w:rPr>
          <w:color w:val="auto"/>
          <w:szCs w:val="21"/>
          <w:highlight w:val="none"/>
          <w:u w:val="single"/>
        </w:rPr>
        <w:t>（导游考试系统）</w:t>
      </w:r>
      <w:r>
        <w:rPr>
          <w:color w:val="auto"/>
          <w:szCs w:val="21"/>
          <w:highlight w:val="none"/>
        </w:rPr>
        <w:t xml:space="preserve"> ，属于 </w:t>
      </w:r>
      <w:r>
        <w:rPr>
          <w:color w:val="auto"/>
          <w:szCs w:val="21"/>
          <w:highlight w:val="none"/>
          <w:u w:val="single"/>
        </w:rPr>
        <w:t>（软件和信息技术服务业）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20B1CC52">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5</w:t>
      </w:r>
      <w:r>
        <w:rPr>
          <w:color w:val="auto"/>
          <w:szCs w:val="21"/>
          <w:highlight w:val="none"/>
        </w:rPr>
        <w:t xml:space="preserve">. </w:t>
      </w:r>
      <w:r>
        <w:rPr>
          <w:color w:val="auto"/>
          <w:szCs w:val="21"/>
          <w:highlight w:val="none"/>
          <w:u w:val="single"/>
        </w:rPr>
        <w:t>（酒店管理模拟实训系统）</w:t>
      </w:r>
      <w:r>
        <w:rPr>
          <w:color w:val="auto"/>
          <w:szCs w:val="21"/>
          <w:highlight w:val="none"/>
        </w:rPr>
        <w:t xml:space="preserve"> ，属于 </w:t>
      </w:r>
      <w:r>
        <w:rPr>
          <w:color w:val="auto"/>
          <w:szCs w:val="21"/>
          <w:highlight w:val="none"/>
          <w:u w:val="single"/>
        </w:rPr>
        <w:t>（软件和信息技术服务业）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6EE35D42">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6</w:t>
      </w:r>
      <w:r>
        <w:rPr>
          <w:color w:val="auto"/>
          <w:szCs w:val="21"/>
          <w:highlight w:val="none"/>
        </w:rPr>
        <w:t xml:space="preserve">. </w:t>
      </w:r>
      <w:r>
        <w:rPr>
          <w:color w:val="auto"/>
          <w:szCs w:val="21"/>
          <w:highlight w:val="none"/>
          <w:u w:val="single"/>
        </w:rPr>
        <w:t>（会展管理模拟实训系统）</w:t>
      </w:r>
      <w:r>
        <w:rPr>
          <w:color w:val="auto"/>
          <w:szCs w:val="21"/>
          <w:highlight w:val="none"/>
        </w:rPr>
        <w:t xml:space="preserve"> ，属于 </w:t>
      </w:r>
      <w:r>
        <w:rPr>
          <w:color w:val="auto"/>
          <w:szCs w:val="21"/>
          <w:highlight w:val="none"/>
          <w:u w:val="single"/>
        </w:rPr>
        <w:t>（软件和信息技术服务业）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79E97BC4">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7</w:t>
      </w:r>
      <w:r>
        <w:rPr>
          <w:color w:val="auto"/>
          <w:szCs w:val="21"/>
          <w:highlight w:val="none"/>
        </w:rPr>
        <w:t xml:space="preserve">. </w:t>
      </w:r>
      <w:r>
        <w:rPr>
          <w:color w:val="auto"/>
          <w:szCs w:val="21"/>
          <w:highlight w:val="none"/>
          <w:u w:val="single"/>
        </w:rPr>
        <w:t>（中控系统）</w:t>
      </w:r>
      <w:r>
        <w:rPr>
          <w:color w:val="auto"/>
          <w:szCs w:val="21"/>
          <w:highlight w:val="none"/>
        </w:rPr>
        <w:t xml:space="preserve"> ，属于 </w:t>
      </w:r>
      <w:r>
        <w:rPr>
          <w:color w:val="auto"/>
          <w:szCs w:val="21"/>
          <w:highlight w:val="none"/>
          <w:u w:val="single"/>
        </w:rPr>
        <w:t>（软件和信息技术服务业）</w:t>
      </w:r>
      <w:r>
        <w:rPr>
          <w:color w:val="auto"/>
          <w:szCs w:val="21"/>
          <w:highlight w:val="none"/>
        </w:rPr>
        <w:t>行业 ；制造商为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77DC9AAE">
      <w:pPr>
        <w:spacing w:line="360" w:lineRule="auto"/>
        <w:ind w:firstLine="420" w:firstLineChars="200"/>
        <w:rPr>
          <w:color w:val="auto"/>
          <w:szCs w:val="21"/>
          <w:highlight w:val="none"/>
        </w:rPr>
      </w:pPr>
    </w:p>
    <w:p w14:paraId="57372970">
      <w:pPr>
        <w:spacing w:line="360" w:lineRule="auto"/>
        <w:ind w:firstLine="420" w:firstLineChars="200"/>
        <w:rPr>
          <w:color w:val="auto"/>
          <w:szCs w:val="21"/>
          <w:highlight w:val="none"/>
        </w:rPr>
      </w:pPr>
    </w:p>
    <w:p w14:paraId="014C8EC1">
      <w:pPr>
        <w:rPr>
          <w:color w:val="auto"/>
          <w:szCs w:val="21"/>
          <w:highlight w:val="none"/>
        </w:rPr>
      </w:pPr>
    </w:p>
    <w:p w14:paraId="6F862AB4">
      <w:pPr>
        <w:rPr>
          <w:color w:val="auto"/>
          <w:szCs w:val="21"/>
          <w:highlight w:val="none"/>
        </w:rPr>
      </w:pPr>
      <w:r>
        <w:rPr>
          <w:color w:val="auto"/>
          <w:szCs w:val="21"/>
          <w:highlight w:val="none"/>
        </w:rPr>
        <w:t>……</w:t>
      </w:r>
    </w:p>
    <w:p w14:paraId="1790D8C5">
      <w:pPr>
        <w:spacing w:line="360" w:lineRule="auto"/>
        <w:ind w:firstLine="420" w:firstLineChars="200"/>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14:paraId="276370BC">
      <w:pPr>
        <w:spacing w:line="360" w:lineRule="auto"/>
        <w:ind w:firstLine="420" w:firstLineChars="200"/>
        <w:rPr>
          <w:color w:val="auto"/>
          <w:szCs w:val="21"/>
          <w:highlight w:val="none"/>
        </w:rPr>
      </w:pPr>
      <w:r>
        <w:rPr>
          <w:color w:val="auto"/>
          <w:szCs w:val="21"/>
          <w:highlight w:val="none"/>
        </w:rPr>
        <w:t>本企业对上述声明内容的真实性负责。如有虚假，将依法承担相应责任。</w:t>
      </w:r>
    </w:p>
    <w:p w14:paraId="2DEB1E4B">
      <w:pPr>
        <w:rPr>
          <w:color w:val="auto"/>
          <w:szCs w:val="21"/>
          <w:highlight w:val="none"/>
        </w:rPr>
      </w:pPr>
    </w:p>
    <w:p w14:paraId="2E9AADC8">
      <w:pPr>
        <w:spacing w:line="360" w:lineRule="auto"/>
        <w:ind w:firstLine="3721" w:firstLineChars="1772"/>
        <w:rPr>
          <w:color w:val="auto"/>
          <w:szCs w:val="21"/>
          <w:highlight w:val="none"/>
        </w:rPr>
      </w:pPr>
    </w:p>
    <w:p w14:paraId="181994D3">
      <w:pPr>
        <w:spacing w:line="360" w:lineRule="auto"/>
        <w:ind w:firstLine="3721" w:firstLineChars="1772"/>
        <w:rPr>
          <w:color w:val="auto"/>
          <w:szCs w:val="21"/>
          <w:highlight w:val="none"/>
        </w:rPr>
      </w:pPr>
    </w:p>
    <w:p w14:paraId="556E6B57">
      <w:pPr>
        <w:spacing w:line="360" w:lineRule="auto"/>
        <w:ind w:firstLine="3721" w:firstLineChars="1772"/>
        <w:rPr>
          <w:color w:val="auto"/>
          <w:szCs w:val="21"/>
          <w:highlight w:val="none"/>
        </w:rPr>
      </w:pPr>
      <w:r>
        <w:rPr>
          <w:color w:val="auto"/>
          <w:szCs w:val="21"/>
          <w:highlight w:val="none"/>
        </w:rPr>
        <w:t>法定代表人或其授权委托人（签名或印章）：</w:t>
      </w:r>
    </w:p>
    <w:p w14:paraId="22DCB155">
      <w:pPr>
        <w:spacing w:line="360" w:lineRule="auto"/>
        <w:ind w:firstLine="3721" w:firstLineChars="1772"/>
        <w:rPr>
          <w:color w:val="auto"/>
          <w:szCs w:val="21"/>
          <w:highlight w:val="none"/>
        </w:rPr>
      </w:pPr>
      <w:r>
        <w:rPr>
          <w:color w:val="auto"/>
          <w:szCs w:val="21"/>
          <w:highlight w:val="none"/>
        </w:rPr>
        <w:t>投标人（盖章）：</w:t>
      </w:r>
    </w:p>
    <w:p w14:paraId="3B6F051D">
      <w:pPr>
        <w:spacing w:line="360" w:lineRule="auto"/>
        <w:ind w:firstLine="3721" w:firstLineChars="1772"/>
        <w:rPr>
          <w:color w:val="auto"/>
          <w:szCs w:val="21"/>
          <w:highlight w:val="none"/>
        </w:rPr>
      </w:pPr>
      <w:r>
        <w:rPr>
          <w:color w:val="auto"/>
          <w:szCs w:val="21"/>
          <w:highlight w:val="none"/>
        </w:rPr>
        <w:t>日期：</w:t>
      </w:r>
    </w:p>
    <w:p w14:paraId="1FF50E3F">
      <w:pPr>
        <w:spacing w:line="411" w:lineRule="exact"/>
        <w:ind w:right="6"/>
        <w:jc w:val="center"/>
        <w:rPr>
          <w:b/>
          <w:color w:val="auto"/>
          <w:sz w:val="36"/>
          <w:highlight w:val="none"/>
        </w:rPr>
      </w:pPr>
      <w:r>
        <w:rPr>
          <w:color w:val="auto"/>
          <w:highlight w:val="none"/>
        </w:rPr>
        <w:br w:type="page"/>
      </w:r>
      <w:r>
        <w:rPr>
          <w:b/>
          <w:color w:val="auto"/>
          <w:sz w:val="36"/>
          <w:highlight w:val="none"/>
        </w:rPr>
        <w:t>中小企业声明函（服务、工程）</w:t>
      </w:r>
    </w:p>
    <w:p w14:paraId="6F2CE2D2">
      <w:pPr>
        <w:spacing w:line="200" w:lineRule="exact"/>
        <w:rPr>
          <w:rFonts w:eastAsia="Times New Roman"/>
          <w:color w:val="auto"/>
          <w:highlight w:val="none"/>
        </w:rPr>
      </w:pPr>
    </w:p>
    <w:p w14:paraId="77C8E789">
      <w:pPr>
        <w:spacing w:line="200" w:lineRule="exact"/>
        <w:rPr>
          <w:rFonts w:eastAsia="Times New Roman"/>
          <w:color w:val="auto"/>
          <w:highlight w:val="none"/>
        </w:rPr>
      </w:pPr>
    </w:p>
    <w:p w14:paraId="63CA6251">
      <w:pPr>
        <w:spacing w:line="318" w:lineRule="exact"/>
        <w:rPr>
          <w:rFonts w:eastAsia="Times New Roman"/>
          <w:color w:val="auto"/>
          <w:highlight w:val="none"/>
        </w:rPr>
      </w:pPr>
    </w:p>
    <w:p w14:paraId="7B53A8EB">
      <w:pPr>
        <w:spacing w:line="360" w:lineRule="auto"/>
        <w:ind w:firstLine="420" w:firstLineChars="200"/>
        <w:rPr>
          <w:color w:val="auto"/>
          <w:szCs w:val="21"/>
          <w:highlight w:val="none"/>
        </w:rPr>
      </w:pPr>
      <w:r>
        <w:rPr>
          <w:color w:val="auto"/>
          <w:szCs w:val="21"/>
          <w:highlight w:val="none"/>
        </w:rPr>
        <w:t>本公司（联合体）郑重声明，根据《政府采购促进中小企业发展管理办法》（财库﹝2020﹞46号）的规定，本公司（联合体）参加</w:t>
      </w:r>
      <w:r>
        <w:rPr>
          <w:color w:val="auto"/>
          <w:szCs w:val="21"/>
          <w:highlight w:val="none"/>
          <w:u w:val="single"/>
        </w:rPr>
        <w:t xml:space="preserve"> 宁波大学科学技术学院 的 宁波大学科学技术学院智慧文旅实训室建设项目 </w:t>
      </w:r>
      <w:r>
        <w:rPr>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09A89C">
      <w:pPr>
        <w:spacing w:line="360" w:lineRule="auto"/>
        <w:ind w:firstLine="420" w:firstLineChars="200"/>
        <w:rPr>
          <w:color w:val="auto"/>
          <w:szCs w:val="21"/>
          <w:highlight w:val="none"/>
        </w:rPr>
      </w:pPr>
      <w:r>
        <w:rPr>
          <w:color w:val="auto"/>
          <w:szCs w:val="21"/>
          <w:highlight w:val="none"/>
        </w:rPr>
        <w:t>1.</w:t>
      </w:r>
      <w:r>
        <w:rPr>
          <w:color w:val="auto"/>
          <w:szCs w:val="21"/>
          <w:highlight w:val="none"/>
          <w:u w:val="single"/>
        </w:rPr>
        <w:t>（实训室文化设计及环境建设）</w:t>
      </w:r>
      <w:r>
        <w:rPr>
          <w:color w:val="auto"/>
          <w:szCs w:val="21"/>
          <w:highlight w:val="none"/>
        </w:rPr>
        <w:t>，属于</w:t>
      </w:r>
      <w:r>
        <w:rPr>
          <w:color w:val="auto"/>
          <w:szCs w:val="21"/>
          <w:highlight w:val="none"/>
          <w:u w:val="single"/>
        </w:rPr>
        <w:t>（建筑业）</w:t>
      </w:r>
      <w:r>
        <w:rPr>
          <w:color w:val="auto"/>
          <w:szCs w:val="21"/>
          <w:highlight w:val="none"/>
        </w:rPr>
        <w:t>；承接企业为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 xml:space="preserve">； </w:t>
      </w:r>
    </w:p>
    <w:p w14:paraId="069CC5F5">
      <w:pPr>
        <w:spacing w:line="360" w:lineRule="auto"/>
        <w:ind w:firstLine="420" w:firstLineChars="200"/>
        <w:rPr>
          <w:color w:val="auto"/>
          <w:szCs w:val="21"/>
          <w:highlight w:val="none"/>
        </w:rPr>
      </w:pPr>
      <w:r>
        <w:rPr>
          <w:color w:val="auto"/>
          <w:szCs w:val="21"/>
          <w:highlight w:val="none"/>
        </w:rPr>
        <w:t>2.</w:t>
      </w:r>
      <w:r>
        <w:rPr>
          <w:color w:val="auto"/>
          <w:szCs w:val="21"/>
          <w:highlight w:val="none"/>
          <w:u w:val="single"/>
        </w:rPr>
        <w:t>（实训室内外文化设计及环境建设）</w:t>
      </w:r>
      <w:r>
        <w:rPr>
          <w:color w:val="auto"/>
          <w:szCs w:val="21"/>
          <w:highlight w:val="none"/>
        </w:rPr>
        <w:t>，属于</w:t>
      </w:r>
      <w:r>
        <w:rPr>
          <w:color w:val="auto"/>
          <w:szCs w:val="21"/>
          <w:highlight w:val="none"/>
          <w:u w:val="single"/>
        </w:rPr>
        <w:t>（建筑业）</w:t>
      </w:r>
      <w:r>
        <w:rPr>
          <w:color w:val="auto"/>
          <w:szCs w:val="21"/>
          <w:highlight w:val="none"/>
        </w:rPr>
        <w:t>；承接企业为</w:t>
      </w:r>
      <w:r>
        <w:rPr>
          <w:color w:val="auto"/>
          <w:szCs w:val="21"/>
          <w:highlight w:val="none"/>
          <w:u w:val="single"/>
        </w:rPr>
        <w:t xml:space="preserve"> （企业名称）</w:t>
      </w:r>
      <w:r>
        <w:rPr>
          <w:color w:val="auto"/>
          <w:szCs w:val="21"/>
          <w:highlight w:val="none"/>
        </w:rPr>
        <w:t xml:space="preserve"> ，从业人员</w:t>
      </w:r>
      <w:r>
        <w:rPr>
          <w:color w:val="auto"/>
          <w:szCs w:val="21"/>
          <w:highlight w:val="none"/>
          <w:u w:val="single"/>
        </w:rPr>
        <w:t xml:space="preserve">   </w:t>
      </w:r>
      <w:r>
        <w:rPr>
          <w:color w:val="auto"/>
          <w:szCs w:val="21"/>
          <w:highlight w:val="none"/>
        </w:rPr>
        <w:t>人，营业收入为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万元，属于</w:t>
      </w:r>
      <w:r>
        <w:rPr>
          <w:color w:val="auto"/>
          <w:szCs w:val="21"/>
          <w:highlight w:val="none"/>
          <w:u w:val="single"/>
        </w:rPr>
        <w:t xml:space="preserve">  （中型企业、小型企业、微型企业）</w:t>
      </w:r>
      <w:r>
        <w:rPr>
          <w:color w:val="auto"/>
          <w:szCs w:val="21"/>
          <w:highlight w:val="none"/>
        </w:rPr>
        <w:t>；</w:t>
      </w:r>
    </w:p>
    <w:p w14:paraId="106BDBFF">
      <w:pPr>
        <w:spacing w:line="360" w:lineRule="auto"/>
        <w:ind w:firstLine="420" w:firstLineChars="200"/>
        <w:rPr>
          <w:color w:val="auto"/>
          <w:szCs w:val="21"/>
          <w:highlight w:val="none"/>
        </w:rPr>
      </w:pPr>
      <w:r>
        <w:rPr>
          <w:color w:val="auto"/>
          <w:szCs w:val="21"/>
          <w:highlight w:val="none"/>
        </w:rPr>
        <w:t xml:space="preserve"> ……</w:t>
      </w:r>
    </w:p>
    <w:p w14:paraId="0F7AF2E6">
      <w:pPr>
        <w:spacing w:line="360" w:lineRule="auto"/>
        <w:ind w:firstLine="420" w:firstLineChars="200"/>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14:paraId="2F7417A9">
      <w:pPr>
        <w:spacing w:line="360" w:lineRule="auto"/>
        <w:ind w:firstLine="420" w:firstLineChars="200"/>
        <w:rPr>
          <w:color w:val="auto"/>
          <w:szCs w:val="21"/>
          <w:highlight w:val="none"/>
        </w:rPr>
      </w:pPr>
      <w:r>
        <w:rPr>
          <w:color w:val="auto"/>
          <w:szCs w:val="21"/>
          <w:highlight w:val="none"/>
        </w:rPr>
        <w:t>本企业对上述声明内容的真实性负责。如有虚假，将依法承担相应责任。</w:t>
      </w:r>
    </w:p>
    <w:p w14:paraId="5722E6C2">
      <w:pPr>
        <w:spacing w:line="360" w:lineRule="auto"/>
        <w:ind w:firstLine="420" w:firstLineChars="200"/>
        <w:rPr>
          <w:color w:val="auto"/>
          <w:szCs w:val="21"/>
          <w:highlight w:val="none"/>
        </w:rPr>
      </w:pPr>
    </w:p>
    <w:p w14:paraId="27EEFBB4">
      <w:pPr>
        <w:spacing w:line="360" w:lineRule="auto"/>
        <w:ind w:firstLine="420" w:firstLineChars="200"/>
        <w:rPr>
          <w:color w:val="auto"/>
          <w:szCs w:val="21"/>
          <w:highlight w:val="none"/>
        </w:rPr>
      </w:pPr>
    </w:p>
    <w:p w14:paraId="5076B27B">
      <w:pPr>
        <w:spacing w:line="360" w:lineRule="auto"/>
        <w:ind w:firstLine="3721" w:firstLineChars="1772"/>
        <w:rPr>
          <w:color w:val="auto"/>
          <w:szCs w:val="21"/>
          <w:highlight w:val="none"/>
        </w:rPr>
      </w:pPr>
      <w:r>
        <w:rPr>
          <w:color w:val="auto"/>
          <w:szCs w:val="21"/>
          <w:highlight w:val="none"/>
        </w:rPr>
        <w:t>法定代表人或其授权委托人（签名或印章）：</w:t>
      </w:r>
    </w:p>
    <w:p w14:paraId="52EFD8E2">
      <w:pPr>
        <w:spacing w:line="360" w:lineRule="auto"/>
        <w:ind w:firstLine="3721" w:firstLineChars="1772"/>
        <w:rPr>
          <w:color w:val="auto"/>
          <w:szCs w:val="21"/>
          <w:highlight w:val="none"/>
        </w:rPr>
      </w:pPr>
      <w:r>
        <w:rPr>
          <w:color w:val="auto"/>
          <w:szCs w:val="21"/>
          <w:highlight w:val="none"/>
        </w:rPr>
        <w:t>投标人（盖章）：</w:t>
      </w:r>
    </w:p>
    <w:p w14:paraId="76F76972">
      <w:pPr>
        <w:spacing w:line="360" w:lineRule="auto"/>
        <w:ind w:firstLine="3721" w:firstLineChars="1772"/>
        <w:rPr>
          <w:color w:val="auto"/>
          <w:sz w:val="24"/>
          <w:highlight w:val="none"/>
        </w:rPr>
        <w:sectPr>
          <w:headerReference r:id="rId9" w:type="default"/>
          <w:footerReference r:id="rId10" w:type="default"/>
          <w:pgSz w:w="11907" w:h="16840"/>
          <w:pgMar w:top="1276" w:right="1242" w:bottom="1474" w:left="1276" w:header="720" w:footer="720" w:gutter="0"/>
          <w:cols w:space="720" w:num="1"/>
          <w:docGrid w:linePitch="285" w:charSpace="0"/>
        </w:sectPr>
      </w:pPr>
      <w:r>
        <w:rPr>
          <w:color w:val="auto"/>
          <w:szCs w:val="21"/>
          <w:highlight w:val="none"/>
        </w:rPr>
        <w:t xml:space="preserve">日期： </w:t>
      </w:r>
    </w:p>
    <w:p w14:paraId="035D9089">
      <w:pPr>
        <w:pStyle w:val="35"/>
        <w:ind w:leftChars="-67" w:hanging="539" w:hangingChars="267"/>
        <w:rPr>
          <w:color w:val="auto"/>
          <w:sz w:val="24"/>
          <w:highlight w:val="none"/>
        </w:rPr>
        <w:sectPr>
          <w:pgSz w:w="16840" w:h="11907" w:orient="landscape"/>
          <w:pgMar w:top="1276" w:right="1276" w:bottom="1242" w:left="1474" w:header="720" w:footer="720" w:gutter="0"/>
          <w:cols w:space="720" w:num="1"/>
          <w:docGrid w:linePitch="286" w:charSpace="0"/>
        </w:sectPr>
      </w:pPr>
      <w:r>
        <w:rPr>
          <w:color w:val="auto"/>
          <w:highlight w:val="none"/>
        </w:rPr>
        <w:drawing>
          <wp:inline distT="0" distB="0" distL="114300" distR="114300">
            <wp:extent cx="8970010" cy="5275580"/>
            <wp:effectExtent l="0" t="0" r="2540" b="1270"/>
            <wp:docPr id="2" name="图片 1" descr="微信图片_20240227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40227104854"/>
                    <pic:cNvPicPr>
                      <a:picLocks noChangeAspect="1"/>
                    </pic:cNvPicPr>
                  </pic:nvPicPr>
                  <pic:blipFill>
                    <a:blip r:embed="rId14"/>
                    <a:stretch>
                      <a:fillRect/>
                    </a:stretch>
                  </pic:blipFill>
                  <pic:spPr>
                    <a:xfrm>
                      <a:off x="0" y="0"/>
                      <a:ext cx="8970010" cy="5275580"/>
                    </a:xfrm>
                    <a:prstGeom prst="rect">
                      <a:avLst/>
                    </a:prstGeom>
                    <a:noFill/>
                    <a:ln>
                      <a:noFill/>
                    </a:ln>
                  </pic:spPr>
                </pic:pic>
              </a:graphicData>
            </a:graphic>
          </wp:inline>
        </w:drawing>
      </w:r>
      <w:bookmarkStart w:id="246" w:name="OLE_LINK14"/>
      <w:bookmarkStart w:id="247" w:name="OLE_LINK13"/>
    </w:p>
    <w:p w14:paraId="38C23C83">
      <w:pPr>
        <w:pStyle w:val="35"/>
        <w:ind w:left="401" w:leftChars="-67" w:hanging="542" w:hangingChars="267"/>
        <w:rPr>
          <w:b/>
          <w:color w:val="auto"/>
          <w:highlight w:val="none"/>
        </w:rPr>
      </w:pPr>
      <w:r>
        <w:rPr>
          <w:b/>
          <w:color w:val="auto"/>
          <w:highlight w:val="none"/>
        </w:rPr>
        <w:t>格式十七：</w:t>
      </w:r>
      <w:r>
        <w:rPr>
          <w:color w:val="auto"/>
          <w:szCs w:val="21"/>
          <w:highlight w:val="none"/>
        </w:rPr>
        <w:t>残疾人福利性单位声明函</w:t>
      </w:r>
    </w:p>
    <w:p w14:paraId="437A5192">
      <w:pPr>
        <w:pStyle w:val="15"/>
        <w:spacing w:line="520" w:lineRule="exact"/>
        <w:jc w:val="center"/>
        <w:rPr>
          <w:rFonts w:ascii="Times New Roman"/>
          <w:b/>
          <w:color w:val="auto"/>
          <w:sz w:val="21"/>
          <w:szCs w:val="21"/>
          <w:highlight w:val="none"/>
        </w:rPr>
      </w:pPr>
    </w:p>
    <w:p w14:paraId="18677DB2">
      <w:pPr>
        <w:pStyle w:val="15"/>
        <w:spacing w:line="520" w:lineRule="exact"/>
        <w:jc w:val="center"/>
        <w:rPr>
          <w:rFonts w:ascii="Times New Roman"/>
          <w:b/>
          <w:color w:val="auto"/>
          <w:spacing w:val="6"/>
          <w:szCs w:val="21"/>
          <w:highlight w:val="none"/>
        </w:rPr>
      </w:pPr>
      <w:r>
        <w:rPr>
          <w:rFonts w:ascii="Times New Roman"/>
          <w:b/>
          <w:color w:val="auto"/>
          <w:sz w:val="21"/>
          <w:szCs w:val="21"/>
          <w:highlight w:val="none"/>
        </w:rPr>
        <w:t>残疾人福利性单位声明函</w:t>
      </w:r>
      <w:bookmarkEnd w:id="246"/>
      <w:bookmarkEnd w:id="247"/>
    </w:p>
    <w:p w14:paraId="78EDA6D3">
      <w:pPr>
        <w:spacing w:line="588" w:lineRule="exact"/>
        <w:jc w:val="center"/>
        <w:rPr>
          <w:rFonts w:eastAsia="新宋体"/>
          <w:b/>
          <w:bCs/>
          <w:color w:val="auto"/>
          <w:spacing w:val="6"/>
          <w:sz w:val="22"/>
          <w:szCs w:val="22"/>
          <w:highlight w:val="none"/>
        </w:rPr>
      </w:pPr>
      <w:r>
        <w:rPr>
          <w:color w:val="auto"/>
          <w:kern w:val="0"/>
          <w:highlight w:val="none"/>
        </w:rPr>
        <w:t>【不属于残疾人福利性单位的无需填写、递交】</w:t>
      </w:r>
    </w:p>
    <w:p w14:paraId="284A21E4">
      <w:pPr>
        <w:spacing w:line="588" w:lineRule="exact"/>
        <w:ind w:firstLine="504" w:firstLineChars="200"/>
        <w:rPr>
          <w:rFonts w:eastAsia="新宋体"/>
          <w:color w:val="auto"/>
          <w:spacing w:val="6"/>
          <w:sz w:val="24"/>
          <w:highlight w:val="none"/>
        </w:rPr>
      </w:pPr>
      <w:r>
        <w:rPr>
          <w:rFonts w:eastAsia="新宋体"/>
          <w:color w:val="auto"/>
          <w:spacing w:val="6"/>
          <w:sz w:val="24"/>
          <w:highlight w:val="none"/>
        </w:rPr>
        <w:t>本单位郑重声明，根据《财政部民政部中国残疾人联合会关于促进残疾人就业政府采购政策的通知》（财库</w:t>
      </w:r>
      <w:r>
        <w:rPr>
          <w:rFonts w:eastAsia="新宋体"/>
          <w:color w:val="auto"/>
          <w:sz w:val="24"/>
          <w:highlight w:val="none"/>
        </w:rPr>
        <w:t>〔2018〕 141</w:t>
      </w:r>
      <w:r>
        <w:rPr>
          <w:rFonts w:eastAsia="新宋体"/>
          <w:color w:val="auto"/>
          <w:spacing w:val="6"/>
          <w:sz w:val="24"/>
          <w:highlight w:val="none"/>
        </w:rPr>
        <w:t>号）的规定，本单位为符合条件的残疾人福利性单位，且本单位参加</w:t>
      </w:r>
      <w:r>
        <w:rPr>
          <w:rFonts w:eastAsia="新宋体"/>
          <w:color w:val="auto"/>
          <w:spacing w:val="6"/>
          <w:sz w:val="24"/>
          <w:highlight w:val="none"/>
          <w:u w:val="single"/>
        </w:rPr>
        <w:t xml:space="preserve">        </w:t>
      </w:r>
      <w:r>
        <w:rPr>
          <w:rFonts w:eastAsia="新宋体"/>
          <w:color w:val="auto"/>
          <w:spacing w:val="6"/>
          <w:sz w:val="24"/>
          <w:highlight w:val="none"/>
        </w:rPr>
        <w:t>单位的</w:t>
      </w:r>
      <w:r>
        <w:rPr>
          <w:rFonts w:eastAsia="新宋体"/>
          <w:color w:val="auto"/>
          <w:spacing w:val="6"/>
          <w:sz w:val="24"/>
          <w:highlight w:val="none"/>
          <w:u w:val="single"/>
        </w:rPr>
        <w:t xml:space="preserve">        </w:t>
      </w:r>
      <w:r>
        <w:rPr>
          <w:rFonts w:eastAsia="新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73900270">
      <w:pPr>
        <w:spacing w:line="588" w:lineRule="exact"/>
        <w:ind w:firstLine="504" w:firstLineChars="200"/>
        <w:rPr>
          <w:rFonts w:eastAsia="新宋体"/>
          <w:color w:val="auto"/>
          <w:spacing w:val="6"/>
          <w:sz w:val="24"/>
          <w:highlight w:val="none"/>
        </w:rPr>
      </w:pPr>
      <w:r>
        <w:rPr>
          <w:rFonts w:eastAsia="新宋体"/>
          <w:color w:val="auto"/>
          <w:spacing w:val="6"/>
          <w:sz w:val="24"/>
          <w:highlight w:val="none"/>
        </w:rPr>
        <w:t>本单位对上述声明的真实性负责。如有虚假，将依法承担相应责任。</w:t>
      </w:r>
    </w:p>
    <w:p w14:paraId="7D07D1B5">
      <w:pPr>
        <w:spacing w:line="588" w:lineRule="exact"/>
        <w:ind w:firstLine="444" w:firstLineChars="200"/>
        <w:rPr>
          <w:color w:val="auto"/>
          <w:spacing w:val="6"/>
          <w:szCs w:val="21"/>
          <w:highlight w:val="none"/>
        </w:rPr>
      </w:pPr>
    </w:p>
    <w:p w14:paraId="76521158">
      <w:pPr>
        <w:spacing w:line="588" w:lineRule="exact"/>
        <w:ind w:firstLine="444" w:firstLineChars="200"/>
        <w:rPr>
          <w:color w:val="auto"/>
          <w:spacing w:val="6"/>
          <w:szCs w:val="21"/>
          <w:highlight w:val="none"/>
        </w:rPr>
      </w:pPr>
    </w:p>
    <w:p w14:paraId="16DDCD06">
      <w:pPr>
        <w:spacing w:line="588" w:lineRule="exact"/>
        <w:ind w:firstLine="444" w:firstLineChars="200"/>
        <w:rPr>
          <w:color w:val="auto"/>
          <w:spacing w:val="6"/>
          <w:szCs w:val="21"/>
          <w:highlight w:val="none"/>
        </w:rPr>
      </w:pPr>
    </w:p>
    <w:p w14:paraId="6AA79BA9">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14:paraId="44E2A609">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日期：</w:t>
      </w:r>
    </w:p>
    <w:p w14:paraId="0C18A011">
      <w:pPr>
        <w:tabs>
          <w:tab w:val="left" w:pos="4860"/>
        </w:tabs>
        <w:spacing w:line="588" w:lineRule="exact"/>
        <w:ind w:right="1560"/>
        <w:rPr>
          <w:color w:val="auto"/>
          <w:spacing w:val="6"/>
          <w:sz w:val="24"/>
          <w:highlight w:val="none"/>
        </w:rPr>
      </w:pPr>
      <w:r>
        <w:rPr>
          <w:color w:val="auto"/>
          <w:spacing w:val="6"/>
          <w:sz w:val="24"/>
          <w:highlight w:val="none"/>
        </w:rPr>
        <w:br w:type="page"/>
      </w:r>
      <w:r>
        <w:rPr>
          <w:b/>
          <w:color w:val="auto"/>
          <w:highlight w:val="none"/>
        </w:rPr>
        <w:t>格式十八：</w:t>
      </w:r>
      <w:r>
        <w:rPr>
          <w:bCs/>
          <w:color w:val="auto"/>
          <w:highlight w:val="none"/>
        </w:rPr>
        <w:t>监狱企业声明函</w:t>
      </w:r>
    </w:p>
    <w:p w14:paraId="770D193F">
      <w:pPr>
        <w:pStyle w:val="15"/>
        <w:spacing w:line="520" w:lineRule="exact"/>
        <w:jc w:val="center"/>
        <w:rPr>
          <w:rFonts w:ascii="Times New Roman"/>
          <w:b/>
          <w:color w:val="auto"/>
          <w:sz w:val="21"/>
          <w:szCs w:val="21"/>
          <w:highlight w:val="none"/>
        </w:rPr>
      </w:pPr>
    </w:p>
    <w:p w14:paraId="137102CC">
      <w:pPr>
        <w:pStyle w:val="15"/>
        <w:spacing w:line="520" w:lineRule="exact"/>
        <w:jc w:val="center"/>
        <w:rPr>
          <w:rFonts w:ascii="Times New Roman"/>
          <w:b/>
          <w:color w:val="auto"/>
          <w:sz w:val="21"/>
          <w:szCs w:val="21"/>
          <w:highlight w:val="none"/>
        </w:rPr>
      </w:pPr>
      <w:r>
        <w:rPr>
          <w:rFonts w:ascii="Times New Roman"/>
          <w:b/>
          <w:color w:val="auto"/>
          <w:sz w:val="21"/>
          <w:szCs w:val="21"/>
          <w:highlight w:val="none"/>
        </w:rPr>
        <w:t>监狱企业声明函及其相关的充分的证明材料</w:t>
      </w:r>
    </w:p>
    <w:p w14:paraId="36B21D4C">
      <w:pPr>
        <w:pStyle w:val="15"/>
        <w:spacing w:line="520" w:lineRule="exact"/>
        <w:jc w:val="center"/>
        <w:rPr>
          <w:rFonts w:ascii="Times New Roman"/>
          <w:b/>
          <w:color w:val="auto"/>
          <w:sz w:val="21"/>
          <w:szCs w:val="21"/>
          <w:highlight w:val="none"/>
        </w:rPr>
      </w:pPr>
      <w:r>
        <w:rPr>
          <w:rFonts w:ascii="Times New Roman"/>
          <w:b/>
          <w:color w:val="auto"/>
          <w:sz w:val="21"/>
          <w:szCs w:val="21"/>
          <w:highlight w:val="none"/>
        </w:rPr>
        <w:t>监狱企业声明函</w:t>
      </w:r>
    </w:p>
    <w:p w14:paraId="41B464ED">
      <w:pPr>
        <w:widowControl/>
        <w:adjustRightInd w:val="0"/>
        <w:snapToGrid w:val="0"/>
        <w:spacing w:line="360" w:lineRule="auto"/>
        <w:ind w:firstLine="420" w:firstLineChars="200"/>
        <w:jc w:val="center"/>
        <w:rPr>
          <w:color w:val="auto"/>
          <w:kern w:val="0"/>
          <w:highlight w:val="none"/>
        </w:rPr>
      </w:pPr>
    </w:p>
    <w:p w14:paraId="49EADC81">
      <w:pPr>
        <w:widowControl/>
        <w:adjustRightInd w:val="0"/>
        <w:snapToGrid w:val="0"/>
        <w:spacing w:line="360" w:lineRule="auto"/>
        <w:ind w:firstLine="420" w:firstLineChars="200"/>
        <w:jc w:val="center"/>
        <w:rPr>
          <w:color w:val="auto"/>
          <w:kern w:val="0"/>
          <w:highlight w:val="none"/>
        </w:rPr>
      </w:pPr>
      <w:r>
        <w:rPr>
          <w:color w:val="auto"/>
          <w:kern w:val="0"/>
          <w:highlight w:val="none"/>
        </w:rPr>
        <w:t>【不属于监狱企业的无需填写、递交】</w:t>
      </w:r>
    </w:p>
    <w:p w14:paraId="2D01FF38">
      <w:pPr>
        <w:widowControl/>
        <w:adjustRightInd w:val="0"/>
        <w:snapToGrid w:val="0"/>
        <w:spacing w:line="360" w:lineRule="auto"/>
        <w:ind w:firstLine="480" w:firstLineChars="200"/>
        <w:jc w:val="center"/>
        <w:rPr>
          <w:color w:val="auto"/>
          <w:kern w:val="0"/>
          <w:sz w:val="24"/>
          <w:highlight w:val="none"/>
        </w:rPr>
      </w:pPr>
    </w:p>
    <w:p w14:paraId="2EC84C13">
      <w:pPr>
        <w:widowControl/>
        <w:adjustRightInd w:val="0"/>
        <w:snapToGrid w:val="0"/>
        <w:spacing w:line="360" w:lineRule="auto"/>
        <w:ind w:firstLine="480" w:firstLineChars="200"/>
        <w:jc w:val="left"/>
        <w:rPr>
          <w:rFonts w:eastAsia="新宋体"/>
          <w:color w:val="auto"/>
          <w:kern w:val="0"/>
          <w:sz w:val="24"/>
          <w:highlight w:val="none"/>
        </w:rPr>
      </w:pPr>
      <w:r>
        <w:rPr>
          <w:rFonts w:eastAsia="新宋体"/>
          <w:color w:val="auto"/>
          <w:kern w:val="0"/>
          <w:sz w:val="24"/>
          <w:highlight w:val="none"/>
        </w:rPr>
        <w:t>本公司郑重声明，根据《关于政府采购支持监狱企业发展有关问题的通知》（财库[2014]68 号）的规定，本公司为</w:t>
      </w:r>
      <w:r>
        <w:rPr>
          <w:rFonts w:eastAsia="新宋体"/>
          <w:color w:val="auto"/>
          <w:kern w:val="0"/>
          <w:sz w:val="24"/>
          <w:highlight w:val="none"/>
          <w:u w:val="single"/>
        </w:rPr>
        <w:t xml:space="preserve">  监狱企业 </w:t>
      </w:r>
      <w:r>
        <w:rPr>
          <w:rFonts w:eastAsia="新宋体"/>
          <w:color w:val="auto"/>
          <w:kern w:val="0"/>
          <w:sz w:val="24"/>
          <w:highlight w:val="none"/>
        </w:rPr>
        <w:t>。</w:t>
      </w:r>
    </w:p>
    <w:p w14:paraId="67C83115">
      <w:pPr>
        <w:widowControl/>
        <w:adjustRightInd w:val="0"/>
        <w:snapToGrid w:val="0"/>
        <w:spacing w:line="360" w:lineRule="auto"/>
        <w:ind w:firstLine="480" w:firstLineChars="200"/>
        <w:jc w:val="left"/>
        <w:rPr>
          <w:rFonts w:eastAsia="新宋体"/>
          <w:color w:val="auto"/>
          <w:kern w:val="0"/>
          <w:sz w:val="24"/>
          <w:highlight w:val="none"/>
        </w:rPr>
      </w:pPr>
      <w:r>
        <w:rPr>
          <w:rFonts w:eastAsia="新宋体"/>
          <w:color w:val="auto"/>
          <w:kern w:val="0"/>
          <w:sz w:val="24"/>
          <w:highlight w:val="none"/>
        </w:rPr>
        <w:t>根据上述标准，我公司属于监狱企业的理由为：</w:t>
      </w:r>
      <w:r>
        <w:rPr>
          <w:rFonts w:eastAsia="新宋体"/>
          <w:color w:val="auto"/>
          <w:kern w:val="0"/>
          <w:sz w:val="24"/>
          <w:highlight w:val="none"/>
          <w:u w:val="single"/>
        </w:rPr>
        <w:t xml:space="preserve">                </w:t>
      </w:r>
      <w:r>
        <w:rPr>
          <w:rFonts w:eastAsia="新宋体"/>
          <w:color w:val="auto"/>
          <w:kern w:val="0"/>
          <w:sz w:val="24"/>
          <w:highlight w:val="none"/>
        </w:rPr>
        <w:t>。</w:t>
      </w:r>
    </w:p>
    <w:p w14:paraId="715FFF9D">
      <w:pPr>
        <w:widowControl/>
        <w:adjustRightInd w:val="0"/>
        <w:snapToGrid w:val="0"/>
        <w:spacing w:line="324" w:lineRule="auto"/>
        <w:ind w:firstLine="480" w:firstLineChars="200"/>
        <w:jc w:val="left"/>
        <w:rPr>
          <w:rFonts w:eastAsia="新宋体"/>
          <w:color w:val="auto"/>
          <w:kern w:val="0"/>
          <w:sz w:val="24"/>
          <w:highlight w:val="none"/>
        </w:rPr>
      </w:pPr>
      <w:r>
        <w:rPr>
          <w:rFonts w:eastAsia="新宋体"/>
          <w:color w:val="auto"/>
          <w:kern w:val="0"/>
          <w:sz w:val="24"/>
          <w:highlight w:val="none"/>
        </w:rPr>
        <w:t>本公司为参加（</w:t>
      </w:r>
      <w:r>
        <w:rPr>
          <w:rFonts w:eastAsia="新宋体"/>
          <w:color w:val="auto"/>
          <w:kern w:val="0"/>
          <w:sz w:val="24"/>
          <w:highlight w:val="none"/>
          <w:u w:val="single"/>
        </w:rPr>
        <w:t xml:space="preserve">     项目名称     </w:t>
      </w:r>
      <w:r>
        <w:rPr>
          <w:rFonts w:eastAsia="新宋体"/>
          <w:color w:val="auto"/>
          <w:kern w:val="0"/>
          <w:sz w:val="24"/>
          <w:highlight w:val="none"/>
        </w:rPr>
        <w:t>）（项目编号：</w:t>
      </w:r>
      <w:r>
        <w:rPr>
          <w:rFonts w:eastAsia="新宋体"/>
          <w:color w:val="auto"/>
          <w:kern w:val="0"/>
          <w:sz w:val="24"/>
          <w:highlight w:val="none"/>
          <w:u w:val="single"/>
        </w:rPr>
        <w:t xml:space="preserve">    </w:t>
      </w:r>
      <w:r>
        <w:rPr>
          <w:rFonts w:eastAsia="新宋体"/>
          <w:color w:val="auto"/>
          <w:kern w:val="0"/>
          <w:sz w:val="24"/>
          <w:highlight w:val="none"/>
        </w:rPr>
        <w:t>）采购活动由本企业提供服务。</w:t>
      </w:r>
    </w:p>
    <w:p w14:paraId="4A76E0E5">
      <w:pPr>
        <w:widowControl/>
        <w:adjustRightInd w:val="0"/>
        <w:snapToGrid w:val="0"/>
        <w:spacing w:line="360" w:lineRule="auto"/>
        <w:ind w:firstLine="480" w:firstLineChars="200"/>
        <w:jc w:val="left"/>
        <w:rPr>
          <w:rFonts w:eastAsia="新宋体"/>
          <w:color w:val="auto"/>
          <w:kern w:val="0"/>
          <w:sz w:val="24"/>
          <w:highlight w:val="none"/>
        </w:rPr>
      </w:pPr>
    </w:p>
    <w:p w14:paraId="28CE5EE7">
      <w:pPr>
        <w:tabs>
          <w:tab w:val="left" w:pos="4860"/>
        </w:tabs>
        <w:spacing w:line="588" w:lineRule="exact"/>
        <w:ind w:right="1560" w:firstLine="480" w:firstLineChars="200"/>
        <w:jc w:val="center"/>
        <w:rPr>
          <w:rFonts w:eastAsia="新宋体"/>
          <w:color w:val="auto"/>
          <w:kern w:val="0"/>
          <w:sz w:val="24"/>
          <w:highlight w:val="none"/>
        </w:rPr>
      </w:pPr>
      <w:r>
        <w:rPr>
          <w:rFonts w:eastAsia="新宋体"/>
          <w:color w:val="auto"/>
          <w:kern w:val="0"/>
          <w:sz w:val="24"/>
          <w:highlight w:val="none"/>
        </w:rPr>
        <w:t>本公司对上述声明的真实性负责。如有虚假，将依法承担相应责任。</w:t>
      </w:r>
    </w:p>
    <w:p w14:paraId="5AA551D0">
      <w:pPr>
        <w:tabs>
          <w:tab w:val="left" w:pos="4860"/>
        </w:tabs>
        <w:spacing w:line="588" w:lineRule="exact"/>
        <w:ind w:right="1560" w:firstLine="480" w:firstLineChars="200"/>
        <w:jc w:val="center"/>
        <w:rPr>
          <w:rFonts w:eastAsia="新宋体"/>
          <w:color w:val="auto"/>
          <w:kern w:val="0"/>
          <w:sz w:val="24"/>
          <w:highlight w:val="none"/>
        </w:rPr>
      </w:pPr>
    </w:p>
    <w:p w14:paraId="41F32F62">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14:paraId="40F4437B">
      <w:pPr>
        <w:tabs>
          <w:tab w:val="left" w:pos="4860"/>
        </w:tabs>
        <w:spacing w:line="588" w:lineRule="exact"/>
        <w:ind w:right="1560" w:firstLine="504" w:firstLineChars="200"/>
        <w:jc w:val="center"/>
        <w:rPr>
          <w:rFonts w:eastAsia="新宋体"/>
          <w:color w:val="auto"/>
          <w:kern w:val="0"/>
          <w:sz w:val="24"/>
          <w:highlight w:val="none"/>
        </w:rPr>
      </w:pPr>
      <w:r>
        <w:rPr>
          <w:color w:val="auto"/>
          <w:spacing w:val="6"/>
          <w:sz w:val="24"/>
          <w:highlight w:val="none"/>
        </w:rPr>
        <w:t>日期：</w:t>
      </w:r>
    </w:p>
    <w:sectPr>
      <w:pgSz w:w="11907" w:h="16840"/>
      <w:pgMar w:top="1276" w:right="1242" w:bottom="1474" w:left="1276"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4004">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A659">
    <w:pPr>
      <w:pStyle w:val="23"/>
      <w:jc w:val="center"/>
    </w:pPr>
    <w:r>
      <w:fldChar w:fldCharType="begin"/>
    </w:r>
    <w:r>
      <w:instrText xml:space="preserve"> PAGE   \* MERGEFORMAT </w:instrText>
    </w:r>
    <w:r>
      <w:fldChar w:fldCharType="separate"/>
    </w:r>
    <w:r>
      <w:rPr>
        <w:lang w:val="zh-CN"/>
      </w:rPr>
      <w:t>57</w:t>
    </w:r>
    <w:r>
      <w:rPr>
        <w:lang w:val="zh-CN"/>
      </w:rPr>
      <w:fldChar w:fldCharType="end"/>
    </w:r>
  </w:p>
  <w:p w14:paraId="3F4141F4">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2F4E9">
    <w:pPr>
      <w:pStyle w:val="23"/>
      <w:tabs>
        <w:tab w:val="center" w:pos="4479"/>
        <w:tab w:val="left" w:pos="6405"/>
      </w:tabs>
      <w:jc w:val="center"/>
    </w:pPr>
    <w:r>
      <w:fldChar w:fldCharType="begin"/>
    </w:r>
    <w:r>
      <w:instrText xml:space="preserve"> PAGE   \* MERGEFORMAT </w:instrText>
    </w:r>
    <w:r>
      <w:fldChar w:fldCharType="separate"/>
    </w:r>
    <w:r>
      <w:rPr>
        <w:lang w:val="zh-CN"/>
      </w:rPr>
      <w:t>47</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C929B">
    <w:pPr>
      <w:pStyle w:val="23"/>
      <w:ind w:firstLine="480"/>
      <w:jc w:val="center"/>
    </w:pPr>
    <w:r>
      <w:fldChar w:fldCharType="begin"/>
    </w:r>
    <w:r>
      <w:instrText xml:space="preserve"> PAGE   \* MERGEFORMAT </w:instrText>
    </w:r>
    <w:r>
      <w:fldChar w:fldCharType="separate"/>
    </w:r>
    <w:r>
      <w:t>65</w:t>
    </w:r>
    <w:r>
      <w:fldChar w:fldCharType="end"/>
    </w:r>
  </w:p>
  <w:p w14:paraId="40C7D554">
    <w:pPr>
      <w:pStyle w:val="23"/>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8E82">
    <w:pPr>
      <w:pStyle w:val="23"/>
      <w:jc w:val="center"/>
    </w:pPr>
    <w:r>
      <w:fldChar w:fldCharType="begin"/>
    </w:r>
    <w:r>
      <w:instrText xml:space="preserve"> PAGE   \* MERGEFORMAT </w:instrText>
    </w:r>
    <w:r>
      <w:fldChar w:fldCharType="separate"/>
    </w:r>
    <w:r>
      <w:t>67</w:t>
    </w:r>
    <w:r>
      <w:fldChar w:fldCharType="end"/>
    </w:r>
  </w:p>
  <w:p w14:paraId="286F8B6A">
    <w:pPr>
      <w:pStyle w:val="23"/>
    </w:pPr>
  </w:p>
  <w:p w14:paraId="1DEE8E2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BB3C">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9175">
    <w:pPr>
      <w:pStyle w:val="25"/>
      <w:pBdr>
        <w:bottom w:val="none" w:color="auto" w:sz="0" w:space="0"/>
      </w:pBd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DE0A">
    <w:pPr>
      <w:pStyle w:val="25"/>
      <w:pBdr>
        <w:bottom w:val="none" w:color="auto" w:sz="0" w:space="0"/>
      </w:pBdr>
    </w:pPr>
  </w:p>
  <w:p w14:paraId="6D72ED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4109A"/>
    <w:multiLevelType w:val="multilevel"/>
    <w:tmpl w:val="D684109A"/>
    <w:lvl w:ilvl="0" w:tentative="0">
      <w:start w:val="1"/>
      <w:numFmt w:val="decimal"/>
      <w:lvlText w:val="（%1）"/>
      <w:lvlJc w:val="left"/>
      <w:pPr>
        <w:tabs>
          <w:tab w:val="left" w:pos="715"/>
        </w:tabs>
        <w:ind w:left="715" w:hanging="505"/>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DA4F8041"/>
    <w:multiLevelType w:val="singleLevel"/>
    <w:tmpl w:val="DA4F8041"/>
    <w:lvl w:ilvl="0" w:tentative="0">
      <w:start w:val="1"/>
      <w:numFmt w:val="chineseCounting"/>
      <w:suff w:val="nothing"/>
      <w:lvlText w:val="%1、"/>
      <w:lvlJc w:val="left"/>
      <w:rPr>
        <w:rFonts w:hint="eastAsia"/>
      </w:rPr>
    </w:lvl>
  </w:abstractNum>
  <w:abstractNum w:abstractNumId="2">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3">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4">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5">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6">
    <w:nsid w:val="00000017"/>
    <w:multiLevelType w:val="singleLevel"/>
    <w:tmpl w:val="00000017"/>
    <w:lvl w:ilvl="0" w:tentative="0">
      <w:start w:val="1"/>
      <w:numFmt w:val="decimal"/>
      <w:suff w:val="nothing"/>
      <w:lvlText w:val="%1."/>
      <w:lvlJc w:val="left"/>
    </w:lvl>
  </w:abstractNum>
  <w:abstractNum w:abstractNumId="7">
    <w:nsid w:val="00000023"/>
    <w:multiLevelType w:val="multilevel"/>
    <w:tmpl w:val="00000023"/>
    <w:lvl w:ilvl="0" w:tentative="0">
      <w:start w:val="1"/>
      <w:numFmt w:val="decimal"/>
      <w:lvlText w:val="(%1)"/>
      <w:lvlJc w:val="left"/>
      <w:pPr>
        <w:ind w:left="2160" w:hanging="2160"/>
      </w:pPr>
      <w:rPr>
        <w:rFonts w:hint="default"/>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FFFF7C"/>
    <w:multiLevelType w:val="singleLevel"/>
    <w:tmpl w:val="0FFFFF7C"/>
    <w:lvl w:ilvl="0" w:tentative="0">
      <w:start w:val="1"/>
      <w:numFmt w:val="decimal"/>
      <w:pStyle w:val="10"/>
      <w:lvlText w:val="%1."/>
      <w:lvlJc w:val="left"/>
      <w:pPr>
        <w:tabs>
          <w:tab w:val="left" w:pos="2040"/>
        </w:tabs>
        <w:ind w:left="2040" w:hanging="360"/>
      </w:pPr>
    </w:lvl>
  </w:abstractNum>
  <w:abstractNum w:abstractNumId="9">
    <w:nsid w:val="0FFFFF7D"/>
    <w:multiLevelType w:val="singleLevel"/>
    <w:tmpl w:val="0FFFFF7D"/>
    <w:lvl w:ilvl="0" w:tentative="0">
      <w:start w:val="1"/>
      <w:numFmt w:val="decimal"/>
      <w:pStyle w:val="14"/>
      <w:lvlText w:val="%1."/>
      <w:lvlJc w:val="left"/>
      <w:pPr>
        <w:tabs>
          <w:tab w:val="left" w:pos="1620"/>
        </w:tabs>
        <w:ind w:left="1620" w:hanging="360"/>
      </w:pPr>
    </w:lvl>
  </w:abstractNum>
  <w:abstractNum w:abstractNumId="10">
    <w:nsid w:val="0FFFFF7F"/>
    <w:multiLevelType w:val="singleLevel"/>
    <w:tmpl w:val="0FFFFF7F"/>
    <w:lvl w:ilvl="0" w:tentative="0">
      <w:start w:val="1"/>
      <w:numFmt w:val="decimal"/>
      <w:pStyle w:val="11"/>
      <w:lvlText w:val="%1."/>
      <w:lvlJc w:val="left"/>
      <w:pPr>
        <w:tabs>
          <w:tab w:val="left" w:pos="780"/>
        </w:tabs>
        <w:ind w:left="780" w:hanging="360"/>
      </w:pPr>
    </w:lvl>
  </w:abstractNum>
  <w:abstractNum w:abstractNumId="11">
    <w:nsid w:val="0FFFFF80"/>
    <w:multiLevelType w:val="singleLevel"/>
    <w:tmpl w:val="0FFFFF80"/>
    <w:lvl w:ilvl="0" w:tentative="0">
      <w:start w:val="1"/>
      <w:numFmt w:val="bullet"/>
      <w:pStyle w:val="20"/>
      <w:lvlText w:val=""/>
      <w:lvlJc w:val="left"/>
      <w:pPr>
        <w:tabs>
          <w:tab w:val="left" w:pos="2040"/>
        </w:tabs>
        <w:ind w:left="2040" w:hanging="360"/>
      </w:pPr>
      <w:rPr>
        <w:rFonts w:hint="default" w:ascii="Wingdings" w:hAnsi="Wingdings"/>
      </w:rPr>
    </w:lvl>
  </w:abstractNum>
  <w:abstractNum w:abstractNumId="12">
    <w:nsid w:val="0FFFFF81"/>
    <w:multiLevelType w:val="singleLevel"/>
    <w:tmpl w:val="0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3">
    <w:nsid w:val="0FFFFF83"/>
    <w:multiLevelType w:val="singleLevel"/>
    <w:tmpl w:val="0FFFFF8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4">
    <w:nsid w:val="0FFFFF89"/>
    <w:multiLevelType w:val="singleLevel"/>
    <w:tmpl w:val="0FFFFF89"/>
    <w:lvl w:ilvl="0" w:tentative="0">
      <w:start w:val="1"/>
      <w:numFmt w:val="bullet"/>
      <w:pStyle w:val="98"/>
      <w:lvlText w:val=""/>
      <w:lvlJc w:val="left"/>
      <w:pPr>
        <w:tabs>
          <w:tab w:val="left" w:pos="360"/>
        </w:tabs>
        <w:ind w:left="360" w:hanging="360"/>
      </w:pPr>
      <w:rPr>
        <w:rFonts w:hint="default" w:ascii="Wingdings" w:hAnsi="Wingdings"/>
      </w:rPr>
    </w:lvl>
  </w:abstractNum>
  <w:abstractNum w:abstractNumId="15">
    <w:nsid w:val="29D120CC"/>
    <w:multiLevelType w:val="singleLevel"/>
    <w:tmpl w:val="29D120CC"/>
    <w:lvl w:ilvl="0" w:tentative="0">
      <w:start w:val="1"/>
      <w:numFmt w:val="decimal"/>
      <w:suff w:val="nothing"/>
      <w:lvlText w:val="（%1）"/>
      <w:lvlJc w:val="left"/>
      <w:pPr>
        <w:ind w:left="0" w:firstLine="0"/>
      </w:pPr>
    </w:lvl>
  </w:abstractNum>
  <w:abstractNum w:abstractNumId="16">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
    <w:nsid w:val="518F314E"/>
    <w:multiLevelType w:val="multilevel"/>
    <w:tmpl w:val="518F314E"/>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8"/>
  </w:num>
  <w:num w:numId="3">
    <w:abstractNumId w:val="10"/>
  </w:num>
  <w:num w:numId="4">
    <w:abstractNumId w:val="9"/>
  </w:num>
  <w:num w:numId="5">
    <w:abstractNumId w:val="12"/>
  </w:num>
  <w:num w:numId="6">
    <w:abstractNumId w:val="11"/>
  </w:num>
  <w:num w:numId="7">
    <w:abstractNumId w:val="13"/>
  </w:num>
  <w:num w:numId="8">
    <w:abstractNumId w:val="14"/>
  </w:num>
  <w:num w:numId="9">
    <w:abstractNumId w:val="1"/>
  </w:num>
  <w:num w:numId="10">
    <w:abstractNumId w:val="17"/>
  </w:num>
  <w:num w:numId="11">
    <w:abstractNumId w:val="7"/>
  </w:num>
  <w:num w:numId="12">
    <w:abstractNumId w:val="15"/>
    <w:lvlOverride w:ilvl="0">
      <w:startOverride w:val="1"/>
    </w:lvlOverride>
  </w:num>
  <w:num w:numId="13">
    <w:abstractNumId w:val="3"/>
  </w:num>
  <w:num w:numId="14">
    <w:abstractNumId w:val="6"/>
  </w:num>
  <w:num w:numId="15">
    <w:abstractNumId w:val="2"/>
  </w:num>
  <w:num w:numId="16">
    <w:abstractNumId w:val="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GRhNzFhNDFhYjg2MTkwYTFkZmMxZTJlNWU0MTEifQ=="/>
  </w:docVars>
  <w:rsids>
    <w:rsidRoot w:val="001439E3"/>
    <w:rsid w:val="00000B62"/>
    <w:rsid w:val="000018F6"/>
    <w:rsid w:val="00002445"/>
    <w:rsid w:val="00002E8D"/>
    <w:rsid w:val="00002EB0"/>
    <w:rsid w:val="00006E0B"/>
    <w:rsid w:val="0000720D"/>
    <w:rsid w:val="00007555"/>
    <w:rsid w:val="00007C20"/>
    <w:rsid w:val="00010895"/>
    <w:rsid w:val="00010BE8"/>
    <w:rsid w:val="00011784"/>
    <w:rsid w:val="00012873"/>
    <w:rsid w:val="00012AEE"/>
    <w:rsid w:val="00012BF3"/>
    <w:rsid w:val="00012C9F"/>
    <w:rsid w:val="00013191"/>
    <w:rsid w:val="00014E91"/>
    <w:rsid w:val="000152BD"/>
    <w:rsid w:val="00016E5B"/>
    <w:rsid w:val="00017ADD"/>
    <w:rsid w:val="0002127F"/>
    <w:rsid w:val="000227AF"/>
    <w:rsid w:val="000233E7"/>
    <w:rsid w:val="0002373B"/>
    <w:rsid w:val="00024329"/>
    <w:rsid w:val="00025694"/>
    <w:rsid w:val="000256D8"/>
    <w:rsid w:val="00026B94"/>
    <w:rsid w:val="000271E7"/>
    <w:rsid w:val="00027255"/>
    <w:rsid w:val="00027532"/>
    <w:rsid w:val="000276D0"/>
    <w:rsid w:val="000279D7"/>
    <w:rsid w:val="00027B64"/>
    <w:rsid w:val="00030089"/>
    <w:rsid w:val="000301DB"/>
    <w:rsid w:val="00030A43"/>
    <w:rsid w:val="00031FDB"/>
    <w:rsid w:val="000324F1"/>
    <w:rsid w:val="00032771"/>
    <w:rsid w:val="000328DE"/>
    <w:rsid w:val="00033509"/>
    <w:rsid w:val="00033C5C"/>
    <w:rsid w:val="00033F5E"/>
    <w:rsid w:val="0003526B"/>
    <w:rsid w:val="000353BD"/>
    <w:rsid w:val="000353EB"/>
    <w:rsid w:val="0003629C"/>
    <w:rsid w:val="00036401"/>
    <w:rsid w:val="00036BFD"/>
    <w:rsid w:val="00036ED9"/>
    <w:rsid w:val="00040E1D"/>
    <w:rsid w:val="000413D3"/>
    <w:rsid w:val="00041D53"/>
    <w:rsid w:val="00042586"/>
    <w:rsid w:val="00042EFD"/>
    <w:rsid w:val="0004351F"/>
    <w:rsid w:val="0004418C"/>
    <w:rsid w:val="0004465E"/>
    <w:rsid w:val="00044DE7"/>
    <w:rsid w:val="00045691"/>
    <w:rsid w:val="00045734"/>
    <w:rsid w:val="00045E8E"/>
    <w:rsid w:val="000460B6"/>
    <w:rsid w:val="00046282"/>
    <w:rsid w:val="00046A9C"/>
    <w:rsid w:val="000479FF"/>
    <w:rsid w:val="00051AE2"/>
    <w:rsid w:val="00051CE3"/>
    <w:rsid w:val="0005301B"/>
    <w:rsid w:val="000540F4"/>
    <w:rsid w:val="00054DDE"/>
    <w:rsid w:val="000563CB"/>
    <w:rsid w:val="00056633"/>
    <w:rsid w:val="000568C4"/>
    <w:rsid w:val="000572B3"/>
    <w:rsid w:val="00057D0C"/>
    <w:rsid w:val="00060411"/>
    <w:rsid w:val="0006085B"/>
    <w:rsid w:val="00060D01"/>
    <w:rsid w:val="000621CD"/>
    <w:rsid w:val="0006425B"/>
    <w:rsid w:val="0006493A"/>
    <w:rsid w:val="00064BE2"/>
    <w:rsid w:val="00064F1F"/>
    <w:rsid w:val="000653F5"/>
    <w:rsid w:val="00065C53"/>
    <w:rsid w:val="00065D58"/>
    <w:rsid w:val="00065FC4"/>
    <w:rsid w:val="00066102"/>
    <w:rsid w:val="000704DD"/>
    <w:rsid w:val="00072C61"/>
    <w:rsid w:val="00073814"/>
    <w:rsid w:val="00074067"/>
    <w:rsid w:val="0007485E"/>
    <w:rsid w:val="000749E0"/>
    <w:rsid w:val="00074B96"/>
    <w:rsid w:val="0007504D"/>
    <w:rsid w:val="00076D74"/>
    <w:rsid w:val="00076D9F"/>
    <w:rsid w:val="000771F8"/>
    <w:rsid w:val="000808CF"/>
    <w:rsid w:val="00080C31"/>
    <w:rsid w:val="00081328"/>
    <w:rsid w:val="000815A6"/>
    <w:rsid w:val="00081F25"/>
    <w:rsid w:val="000824AE"/>
    <w:rsid w:val="000828DA"/>
    <w:rsid w:val="0008329D"/>
    <w:rsid w:val="00083C64"/>
    <w:rsid w:val="00083E1A"/>
    <w:rsid w:val="000849BB"/>
    <w:rsid w:val="00084A00"/>
    <w:rsid w:val="00085239"/>
    <w:rsid w:val="000856FE"/>
    <w:rsid w:val="00086FBB"/>
    <w:rsid w:val="00086FCA"/>
    <w:rsid w:val="0008743B"/>
    <w:rsid w:val="00087FE7"/>
    <w:rsid w:val="00092408"/>
    <w:rsid w:val="00093C6D"/>
    <w:rsid w:val="0009619A"/>
    <w:rsid w:val="00096557"/>
    <w:rsid w:val="000966CB"/>
    <w:rsid w:val="00096789"/>
    <w:rsid w:val="00096A48"/>
    <w:rsid w:val="000979BE"/>
    <w:rsid w:val="000A0D3B"/>
    <w:rsid w:val="000A3965"/>
    <w:rsid w:val="000A3985"/>
    <w:rsid w:val="000A3B0D"/>
    <w:rsid w:val="000A3E8F"/>
    <w:rsid w:val="000A40C6"/>
    <w:rsid w:val="000A4622"/>
    <w:rsid w:val="000A4754"/>
    <w:rsid w:val="000A5020"/>
    <w:rsid w:val="000A66D3"/>
    <w:rsid w:val="000A7433"/>
    <w:rsid w:val="000A74AD"/>
    <w:rsid w:val="000A796B"/>
    <w:rsid w:val="000A7B4E"/>
    <w:rsid w:val="000B0334"/>
    <w:rsid w:val="000B0B05"/>
    <w:rsid w:val="000B0D00"/>
    <w:rsid w:val="000B0DF4"/>
    <w:rsid w:val="000B1677"/>
    <w:rsid w:val="000B1AC7"/>
    <w:rsid w:val="000B1DFC"/>
    <w:rsid w:val="000B3D29"/>
    <w:rsid w:val="000B5B96"/>
    <w:rsid w:val="000B794A"/>
    <w:rsid w:val="000B7AC9"/>
    <w:rsid w:val="000C0426"/>
    <w:rsid w:val="000C0DBC"/>
    <w:rsid w:val="000C16D5"/>
    <w:rsid w:val="000C2DAA"/>
    <w:rsid w:val="000C4CE5"/>
    <w:rsid w:val="000C5EC0"/>
    <w:rsid w:val="000C6496"/>
    <w:rsid w:val="000C76F6"/>
    <w:rsid w:val="000C7BAB"/>
    <w:rsid w:val="000C7C45"/>
    <w:rsid w:val="000D03D2"/>
    <w:rsid w:val="000D06C1"/>
    <w:rsid w:val="000D06DD"/>
    <w:rsid w:val="000D074E"/>
    <w:rsid w:val="000D1187"/>
    <w:rsid w:val="000D1716"/>
    <w:rsid w:val="000D2BDF"/>
    <w:rsid w:val="000D2C4F"/>
    <w:rsid w:val="000D34F6"/>
    <w:rsid w:val="000D3E4C"/>
    <w:rsid w:val="000D413C"/>
    <w:rsid w:val="000D43DF"/>
    <w:rsid w:val="000D4AA8"/>
    <w:rsid w:val="000D6D94"/>
    <w:rsid w:val="000D7001"/>
    <w:rsid w:val="000D7411"/>
    <w:rsid w:val="000E02E9"/>
    <w:rsid w:val="000E2D2C"/>
    <w:rsid w:val="000E339F"/>
    <w:rsid w:val="000E3BFC"/>
    <w:rsid w:val="000E3FF9"/>
    <w:rsid w:val="000E4396"/>
    <w:rsid w:val="000E5852"/>
    <w:rsid w:val="000E5AF2"/>
    <w:rsid w:val="000E654C"/>
    <w:rsid w:val="000E67C3"/>
    <w:rsid w:val="000E6938"/>
    <w:rsid w:val="000E7DEA"/>
    <w:rsid w:val="000F02DE"/>
    <w:rsid w:val="000F0613"/>
    <w:rsid w:val="000F167E"/>
    <w:rsid w:val="000F1686"/>
    <w:rsid w:val="000F1862"/>
    <w:rsid w:val="000F25BB"/>
    <w:rsid w:val="000F2B61"/>
    <w:rsid w:val="000F3A18"/>
    <w:rsid w:val="000F432C"/>
    <w:rsid w:val="000F576E"/>
    <w:rsid w:val="000F5CA2"/>
    <w:rsid w:val="000F664C"/>
    <w:rsid w:val="000F6698"/>
    <w:rsid w:val="000F6BE9"/>
    <w:rsid w:val="000F72AD"/>
    <w:rsid w:val="000F73CB"/>
    <w:rsid w:val="000F7C3C"/>
    <w:rsid w:val="00101555"/>
    <w:rsid w:val="00101E31"/>
    <w:rsid w:val="001026FD"/>
    <w:rsid w:val="001027EA"/>
    <w:rsid w:val="00102FCE"/>
    <w:rsid w:val="00103204"/>
    <w:rsid w:val="00103245"/>
    <w:rsid w:val="0010383D"/>
    <w:rsid w:val="0010556B"/>
    <w:rsid w:val="001070F7"/>
    <w:rsid w:val="0010721F"/>
    <w:rsid w:val="001073D2"/>
    <w:rsid w:val="00107559"/>
    <w:rsid w:val="0011033E"/>
    <w:rsid w:val="00111218"/>
    <w:rsid w:val="00111BE4"/>
    <w:rsid w:val="0011215B"/>
    <w:rsid w:val="0011216B"/>
    <w:rsid w:val="001128F6"/>
    <w:rsid w:val="00112D3B"/>
    <w:rsid w:val="001138CE"/>
    <w:rsid w:val="00113F59"/>
    <w:rsid w:val="0011512C"/>
    <w:rsid w:val="0011515B"/>
    <w:rsid w:val="00115A71"/>
    <w:rsid w:val="00115CD2"/>
    <w:rsid w:val="001163A8"/>
    <w:rsid w:val="001169A0"/>
    <w:rsid w:val="001175DB"/>
    <w:rsid w:val="00120237"/>
    <w:rsid w:val="00120550"/>
    <w:rsid w:val="00120C9D"/>
    <w:rsid w:val="00121C66"/>
    <w:rsid w:val="00121DDB"/>
    <w:rsid w:val="00122125"/>
    <w:rsid w:val="00123804"/>
    <w:rsid w:val="00124897"/>
    <w:rsid w:val="00124FE1"/>
    <w:rsid w:val="0012576B"/>
    <w:rsid w:val="00126242"/>
    <w:rsid w:val="001270B4"/>
    <w:rsid w:val="00127E5A"/>
    <w:rsid w:val="001301B5"/>
    <w:rsid w:val="00130554"/>
    <w:rsid w:val="0013096D"/>
    <w:rsid w:val="001318FC"/>
    <w:rsid w:val="0013194A"/>
    <w:rsid w:val="001320AE"/>
    <w:rsid w:val="00132854"/>
    <w:rsid w:val="00133143"/>
    <w:rsid w:val="00133B7C"/>
    <w:rsid w:val="001351B2"/>
    <w:rsid w:val="00135A6A"/>
    <w:rsid w:val="00135F1F"/>
    <w:rsid w:val="001361C8"/>
    <w:rsid w:val="001362B9"/>
    <w:rsid w:val="00136AEA"/>
    <w:rsid w:val="00137501"/>
    <w:rsid w:val="00141E67"/>
    <w:rsid w:val="00142D13"/>
    <w:rsid w:val="001438A8"/>
    <w:rsid w:val="001439E3"/>
    <w:rsid w:val="001440ED"/>
    <w:rsid w:val="001441CB"/>
    <w:rsid w:val="00144532"/>
    <w:rsid w:val="001447D0"/>
    <w:rsid w:val="00144901"/>
    <w:rsid w:val="00145635"/>
    <w:rsid w:val="00145E56"/>
    <w:rsid w:val="0014699A"/>
    <w:rsid w:val="001471D3"/>
    <w:rsid w:val="0015027D"/>
    <w:rsid w:val="00151365"/>
    <w:rsid w:val="00151612"/>
    <w:rsid w:val="00152DCB"/>
    <w:rsid w:val="00153869"/>
    <w:rsid w:val="00153EE1"/>
    <w:rsid w:val="00154232"/>
    <w:rsid w:val="0015432B"/>
    <w:rsid w:val="001543DE"/>
    <w:rsid w:val="00154833"/>
    <w:rsid w:val="0015699C"/>
    <w:rsid w:val="00160224"/>
    <w:rsid w:val="001609A4"/>
    <w:rsid w:val="001610FE"/>
    <w:rsid w:val="00162641"/>
    <w:rsid w:val="00163008"/>
    <w:rsid w:val="0016304F"/>
    <w:rsid w:val="001649F2"/>
    <w:rsid w:val="00164A20"/>
    <w:rsid w:val="00166A7B"/>
    <w:rsid w:val="00166ABB"/>
    <w:rsid w:val="00167419"/>
    <w:rsid w:val="00167559"/>
    <w:rsid w:val="00170223"/>
    <w:rsid w:val="001709C1"/>
    <w:rsid w:val="00171E08"/>
    <w:rsid w:val="00172432"/>
    <w:rsid w:val="00172516"/>
    <w:rsid w:val="00172C9B"/>
    <w:rsid w:val="0017322B"/>
    <w:rsid w:val="00173639"/>
    <w:rsid w:val="00173906"/>
    <w:rsid w:val="00173BD2"/>
    <w:rsid w:val="00173E58"/>
    <w:rsid w:val="0017411F"/>
    <w:rsid w:val="00174313"/>
    <w:rsid w:val="001755D3"/>
    <w:rsid w:val="00175D47"/>
    <w:rsid w:val="00175FE0"/>
    <w:rsid w:val="00176612"/>
    <w:rsid w:val="00177A7E"/>
    <w:rsid w:val="001808F6"/>
    <w:rsid w:val="00180910"/>
    <w:rsid w:val="00180F4E"/>
    <w:rsid w:val="00180F90"/>
    <w:rsid w:val="001812EB"/>
    <w:rsid w:val="00181E6B"/>
    <w:rsid w:val="0018366E"/>
    <w:rsid w:val="00183754"/>
    <w:rsid w:val="001839C4"/>
    <w:rsid w:val="0018407A"/>
    <w:rsid w:val="00184457"/>
    <w:rsid w:val="001845F0"/>
    <w:rsid w:val="00184D0F"/>
    <w:rsid w:val="00184F9A"/>
    <w:rsid w:val="001862BA"/>
    <w:rsid w:val="0018688D"/>
    <w:rsid w:val="00186F4E"/>
    <w:rsid w:val="001874BA"/>
    <w:rsid w:val="001904AB"/>
    <w:rsid w:val="00191903"/>
    <w:rsid w:val="00193198"/>
    <w:rsid w:val="001945CA"/>
    <w:rsid w:val="00195162"/>
    <w:rsid w:val="00197956"/>
    <w:rsid w:val="001A1471"/>
    <w:rsid w:val="001A29A1"/>
    <w:rsid w:val="001A2A75"/>
    <w:rsid w:val="001A3035"/>
    <w:rsid w:val="001A3082"/>
    <w:rsid w:val="001A36F1"/>
    <w:rsid w:val="001A4D2D"/>
    <w:rsid w:val="001A52D6"/>
    <w:rsid w:val="001A58AC"/>
    <w:rsid w:val="001A5D8A"/>
    <w:rsid w:val="001A60B0"/>
    <w:rsid w:val="001A66CB"/>
    <w:rsid w:val="001A765D"/>
    <w:rsid w:val="001A78ED"/>
    <w:rsid w:val="001A7B63"/>
    <w:rsid w:val="001A7D44"/>
    <w:rsid w:val="001A7EEC"/>
    <w:rsid w:val="001B0677"/>
    <w:rsid w:val="001B0AE2"/>
    <w:rsid w:val="001B0C9C"/>
    <w:rsid w:val="001B1699"/>
    <w:rsid w:val="001B1A18"/>
    <w:rsid w:val="001B1AAC"/>
    <w:rsid w:val="001B1D8D"/>
    <w:rsid w:val="001B29B2"/>
    <w:rsid w:val="001B3803"/>
    <w:rsid w:val="001B4235"/>
    <w:rsid w:val="001B4A3B"/>
    <w:rsid w:val="001B5444"/>
    <w:rsid w:val="001B5F90"/>
    <w:rsid w:val="001B6488"/>
    <w:rsid w:val="001B6A36"/>
    <w:rsid w:val="001B70FB"/>
    <w:rsid w:val="001B7CC3"/>
    <w:rsid w:val="001C08F1"/>
    <w:rsid w:val="001C17F1"/>
    <w:rsid w:val="001C1CCE"/>
    <w:rsid w:val="001C25E6"/>
    <w:rsid w:val="001C37E4"/>
    <w:rsid w:val="001C388F"/>
    <w:rsid w:val="001C50D7"/>
    <w:rsid w:val="001C5394"/>
    <w:rsid w:val="001C56C9"/>
    <w:rsid w:val="001C6618"/>
    <w:rsid w:val="001C6911"/>
    <w:rsid w:val="001C7586"/>
    <w:rsid w:val="001C7E3C"/>
    <w:rsid w:val="001D1213"/>
    <w:rsid w:val="001D13CC"/>
    <w:rsid w:val="001D16A2"/>
    <w:rsid w:val="001D226F"/>
    <w:rsid w:val="001D34D0"/>
    <w:rsid w:val="001D3AAF"/>
    <w:rsid w:val="001D4B85"/>
    <w:rsid w:val="001D545A"/>
    <w:rsid w:val="001D6587"/>
    <w:rsid w:val="001D69ED"/>
    <w:rsid w:val="001D74EE"/>
    <w:rsid w:val="001D764D"/>
    <w:rsid w:val="001D7804"/>
    <w:rsid w:val="001E030C"/>
    <w:rsid w:val="001E0967"/>
    <w:rsid w:val="001E0984"/>
    <w:rsid w:val="001E14FA"/>
    <w:rsid w:val="001E2460"/>
    <w:rsid w:val="001E247D"/>
    <w:rsid w:val="001E2B27"/>
    <w:rsid w:val="001E4839"/>
    <w:rsid w:val="001E528B"/>
    <w:rsid w:val="001E5FC5"/>
    <w:rsid w:val="001E6133"/>
    <w:rsid w:val="001E7042"/>
    <w:rsid w:val="001E79A9"/>
    <w:rsid w:val="001F041C"/>
    <w:rsid w:val="001F062C"/>
    <w:rsid w:val="001F0D6F"/>
    <w:rsid w:val="001F31CE"/>
    <w:rsid w:val="001F4965"/>
    <w:rsid w:val="001F4C7C"/>
    <w:rsid w:val="001F4F06"/>
    <w:rsid w:val="001F5318"/>
    <w:rsid w:val="001F5893"/>
    <w:rsid w:val="001F6072"/>
    <w:rsid w:val="001F60B3"/>
    <w:rsid w:val="001F60F0"/>
    <w:rsid w:val="001F6642"/>
    <w:rsid w:val="001F670D"/>
    <w:rsid w:val="001F679D"/>
    <w:rsid w:val="001F78EC"/>
    <w:rsid w:val="001F7A6C"/>
    <w:rsid w:val="00200465"/>
    <w:rsid w:val="002005B5"/>
    <w:rsid w:val="0020070E"/>
    <w:rsid w:val="00200808"/>
    <w:rsid w:val="00200F19"/>
    <w:rsid w:val="0020106F"/>
    <w:rsid w:val="00202DA7"/>
    <w:rsid w:val="00204612"/>
    <w:rsid w:val="002047C5"/>
    <w:rsid w:val="00204850"/>
    <w:rsid w:val="0020528F"/>
    <w:rsid w:val="00205315"/>
    <w:rsid w:val="00205A77"/>
    <w:rsid w:val="002062CF"/>
    <w:rsid w:val="00207898"/>
    <w:rsid w:val="00207960"/>
    <w:rsid w:val="00207983"/>
    <w:rsid w:val="0021092F"/>
    <w:rsid w:val="00210CB1"/>
    <w:rsid w:val="002111F5"/>
    <w:rsid w:val="0021304A"/>
    <w:rsid w:val="00213811"/>
    <w:rsid w:val="002138F6"/>
    <w:rsid w:val="00214501"/>
    <w:rsid w:val="002150E7"/>
    <w:rsid w:val="0021533C"/>
    <w:rsid w:val="00215D5C"/>
    <w:rsid w:val="00215F1E"/>
    <w:rsid w:val="00216895"/>
    <w:rsid w:val="00216EAA"/>
    <w:rsid w:val="00217978"/>
    <w:rsid w:val="00220740"/>
    <w:rsid w:val="002216D3"/>
    <w:rsid w:val="00221AE0"/>
    <w:rsid w:val="002224B5"/>
    <w:rsid w:val="00223F90"/>
    <w:rsid w:val="00224132"/>
    <w:rsid w:val="0022452A"/>
    <w:rsid w:val="00224BA6"/>
    <w:rsid w:val="00224C68"/>
    <w:rsid w:val="00225752"/>
    <w:rsid w:val="0022588E"/>
    <w:rsid w:val="00225CEC"/>
    <w:rsid w:val="00226D58"/>
    <w:rsid w:val="0022738D"/>
    <w:rsid w:val="0023032F"/>
    <w:rsid w:val="00230551"/>
    <w:rsid w:val="00230DEE"/>
    <w:rsid w:val="00231C87"/>
    <w:rsid w:val="00231D6F"/>
    <w:rsid w:val="00231F34"/>
    <w:rsid w:val="002321E1"/>
    <w:rsid w:val="002322C1"/>
    <w:rsid w:val="00232CED"/>
    <w:rsid w:val="002344F9"/>
    <w:rsid w:val="00234C0F"/>
    <w:rsid w:val="002360D3"/>
    <w:rsid w:val="002363F8"/>
    <w:rsid w:val="00236630"/>
    <w:rsid w:val="0023688D"/>
    <w:rsid w:val="0023730C"/>
    <w:rsid w:val="002375DD"/>
    <w:rsid w:val="002405AE"/>
    <w:rsid w:val="0024105A"/>
    <w:rsid w:val="00241458"/>
    <w:rsid w:val="00241FB9"/>
    <w:rsid w:val="00242E12"/>
    <w:rsid w:val="002430B4"/>
    <w:rsid w:val="00243772"/>
    <w:rsid w:val="00244364"/>
    <w:rsid w:val="0024496B"/>
    <w:rsid w:val="00246C03"/>
    <w:rsid w:val="0024719F"/>
    <w:rsid w:val="00250030"/>
    <w:rsid w:val="00250E84"/>
    <w:rsid w:val="002514F6"/>
    <w:rsid w:val="00251695"/>
    <w:rsid w:val="00251A5D"/>
    <w:rsid w:val="002521D9"/>
    <w:rsid w:val="00252BCD"/>
    <w:rsid w:val="00253577"/>
    <w:rsid w:val="002548F5"/>
    <w:rsid w:val="0025587D"/>
    <w:rsid w:val="00256785"/>
    <w:rsid w:val="00256892"/>
    <w:rsid w:val="002568C3"/>
    <w:rsid w:val="002576C8"/>
    <w:rsid w:val="002604CE"/>
    <w:rsid w:val="00260985"/>
    <w:rsid w:val="002615CB"/>
    <w:rsid w:val="00262ABE"/>
    <w:rsid w:val="00262C52"/>
    <w:rsid w:val="00264178"/>
    <w:rsid w:val="00264886"/>
    <w:rsid w:val="0026526D"/>
    <w:rsid w:val="002653ED"/>
    <w:rsid w:val="00266542"/>
    <w:rsid w:val="00266E80"/>
    <w:rsid w:val="00266EA0"/>
    <w:rsid w:val="0026723B"/>
    <w:rsid w:val="00267FF7"/>
    <w:rsid w:val="002703DB"/>
    <w:rsid w:val="00272B16"/>
    <w:rsid w:val="00272D08"/>
    <w:rsid w:val="00272D84"/>
    <w:rsid w:val="00273D49"/>
    <w:rsid w:val="00274181"/>
    <w:rsid w:val="00274A0F"/>
    <w:rsid w:val="002752B1"/>
    <w:rsid w:val="00277035"/>
    <w:rsid w:val="00277823"/>
    <w:rsid w:val="0027787E"/>
    <w:rsid w:val="00277932"/>
    <w:rsid w:val="00277D7E"/>
    <w:rsid w:val="00280047"/>
    <w:rsid w:val="002810E0"/>
    <w:rsid w:val="002813CF"/>
    <w:rsid w:val="00281AB0"/>
    <w:rsid w:val="00281E91"/>
    <w:rsid w:val="0028217D"/>
    <w:rsid w:val="002825DE"/>
    <w:rsid w:val="00282666"/>
    <w:rsid w:val="002826B2"/>
    <w:rsid w:val="00282ED1"/>
    <w:rsid w:val="00284691"/>
    <w:rsid w:val="00284DDC"/>
    <w:rsid w:val="002851BF"/>
    <w:rsid w:val="002865CD"/>
    <w:rsid w:val="00286876"/>
    <w:rsid w:val="00287F94"/>
    <w:rsid w:val="00290676"/>
    <w:rsid w:val="00290868"/>
    <w:rsid w:val="00290E7A"/>
    <w:rsid w:val="00291263"/>
    <w:rsid w:val="0029146B"/>
    <w:rsid w:val="002924EA"/>
    <w:rsid w:val="00292F58"/>
    <w:rsid w:val="00293446"/>
    <w:rsid w:val="002938BB"/>
    <w:rsid w:val="00293AD9"/>
    <w:rsid w:val="002945ED"/>
    <w:rsid w:val="00295033"/>
    <w:rsid w:val="00295D08"/>
    <w:rsid w:val="00295E04"/>
    <w:rsid w:val="002969DC"/>
    <w:rsid w:val="00296C48"/>
    <w:rsid w:val="0029726E"/>
    <w:rsid w:val="002A0C94"/>
    <w:rsid w:val="002A2D12"/>
    <w:rsid w:val="002A3109"/>
    <w:rsid w:val="002A3710"/>
    <w:rsid w:val="002A447D"/>
    <w:rsid w:val="002A57B8"/>
    <w:rsid w:val="002A5EA9"/>
    <w:rsid w:val="002A66E4"/>
    <w:rsid w:val="002A74E9"/>
    <w:rsid w:val="002A7A55"/>
    <w:rsid w:val="002B0F7A"/>
    <w:rsid w:val="002B1FEF"/>
    <w:rsid w:val="002B235D"/>
    <w:rsid w:val="002B2781"/>
    <w:rsid w:val="002B30AF"/>
    <w:rsid w:val="002B3515"/>
    <w:rsid w:val="002B3D12"/>
    <w:rsid w:val="002B4F8E"/>
    <w:rsid w:val="002B61D9"/>
    <w:rsid w:val="002B6DB9"/>
    <w:rsid w:val="002B7CF6"/>
    <w:rsid w:val="002C2250"/>
    <w:rsid w:val="002C23B8"/>
    <w:rsid w:val="002C3B33"/>
    <w:rsid w:val="002C4132"/>
    <w:rsid w:val="002C4B1E"/>
    <w:rsid w:val="002C5151"/>
    <w:rsid w:val="002C5452"/>
    <w:rsid w:val="002C5A5F"/>
    <w:rsid w:val="002C5FFC"/>
    <w:rsid w:val="002C6088"/>
    <w:rsid w:val="002C748E"/>
    <w:rsid w:val="002C7925"/>
    <w:rsid w:val="002D07AF"/>
    <w:rsid w:val="002D10B9"/>
    <w:rsid w:val="002D1AA5"/>
    <w:rsid w:val="002D2CBB"/>
    <w:rsid w:val="002D2DB8"/>
    <w:rsid w:val="002D38B1"/>
    <w:rsid w:val="002D38E9"/>
    <w:rsid w:val="002D40E3"/>
    <w:rsid w:val="002D447B"/>
    <w:rsid w:val="002D4916"/>
    <w:rsid w:val="002D5699"/>
    <w:rsid w:val="002D58BF"/>
    <w:rsid w:val="002D5930"/>
    <w:rsid w:val="002D6EC5"/>
    <w:rsid w:val="002D7EAE"/>
    <w:rsid w:val="002D7F2F"/>
    <w:rsid w:val="002E0325"/>
    <w:rsid w:val="002E0844"/>
    <w:rsid w:val="002E0BC4"/>
    <w:rsid w:val="002E162F"/>
    <w:rsid w:val="002E1EDE"/>
    <w:rsid w:val="002E2759"/>
    <w:rsid w:val="002E2837"/>
    <w:rsid w:val="002E2F07"/>
    <w:rsid w:val="002E3E0E"/>
    <w:rsid w:val="002E403B"/>
    <w:rsid w:val="002E45BD"/>
    <w:rsid w:val="002E5724"/>
    <w:rsid w:val="002E5AAB"/>
    <w:rsid w:val="002E620C"/>
    <w:rsid w:val="002E7C7C"/>
    <w:rsid w:val="002F0A83"/>
    <w:rsid w:val="002F2B41"/>
    <w:rsid w:val="002F3B40"/>
    <w:rsid w:val="002F4748"/>
    <w:rsid w:val="002F5643"/>
    <w:rsid w:val="002F60AA"/>
    <w:rsid w:val="002F643A"/>
    <w:rsid w:val="002F6981"/>
    <w:rsid w:val="002F6F90"/>
    <w:rsid w:val="00301246"/>
    <w:rsid w:val="0030178B"/>
    <w:rsid w:val="003019A0"/>
    <w:rsid w:val="00301BFC"/>
    <w:rsid w:val="00302673"/>
    <w:rsid w:val="003027C5"/>
    <w:rsid w:val="0030283F"/>
    <w:rsid w:val="003030CE"/>
    <w:rsid w:val="003034B6"/>
    <w:rsid w:val="0030395D"/>
    <w:rsid w:val="00303CF1"/>
    <w:rsid w:val="00303F77"/>
    <w:rsid w:val="003040E4"/>
    <w:rsid w:val="00304503"/>
    <w:rsid w:val="00306114"/>
    <w:rsid w:val="003069DB"/>
    <w:rsid w:val="00310214"/>
    <w:rsid w:val="00311469"/>
    <w:rsid w:val="00312462"/>
    <w:rsid w:val="00312837"/>
    <w:rsid w:val="00313052"/>
    <w:rsid w:val="00313E7D"/>
    <w:rsid w:val="00313EF9"/>
    <w:rsid w:val="00316837"/>
    <w:rsid w:val="0031698E"/>
    <w:rsid w:val="00316CB1"/>
    <w:rsid w:val="00316E3C"/>
    <w:rsid w:val="003171BC"/>
    <w:rsid w:val="0031744B"/>
    <w:rsid w:val="003176CF"/>
    <w:rsid w:val="003204D6"/>
    <w:rsid w:val="0032127D"/>
    <w:rsid w:val="003221FD"/>
    <w:rsid w:val="003227DE"/>
    <w:rsid w:val="00323137"/>
    <w:rsid w:val="00323BB5"/>
    <w:rsid w:val="00324281"/>
    <w:rsid w:val="0032516D"/>
    <w:rsid w:val="00326781"/>
    <w:rsid w:val="00326D4C"/>
    <w:rsid w:val="00326F6D"/>
    <w:rsid w:val="003277BA"/>
    <w:rsid w:val="00331114"/>
    <w:rsid w:val="003313A7"/>
    <w:rsid w:val="003317B5"/>
    <w:rsid w:val="00331853"/>
    <w:rsid w:val="00331865"/>
    <w:rsid w:val="00332020"/>
    <w:rsid w:val="00332276"/>
    <w:rsid w:val="003322A2"/>
    <w:rsid w:val="0033242E"/>
    <w:rsid w:val="003328B8"/>
    <w:rsid w:val="0033307D"/>
    <w:rsid w:val="0033336A"/>
    <w:rsid w:val="003334E5"/>
    <w:rsid w:val="00334380"/>
    <w:rsid w:val="003351B7"/>
    <w:rsid w:val="003369F1"/>
    <w:rsid w:val="00336CB7"/>
    <w:rsid w:val="003377D5"/>
    <w:rsid w:val="003413B7"/>
    <w:rsid w:val="00341A1E"/>
    <w:rsid w:val="00341C45"/>
    <w:rsid w:val="00342744"/>
    <w:rsid w:val="00342F09"/>
    <w:rsid w:val="00343E5C"/>
    <w:rsid w:val="00344524"/>
    <w:rsid w:val="00344665"/>
    <w:rsid w:val="00344940"/>
    <w:rsid w:val="00344AD3"/>
    <w:rsid w:val="00345791"/>
    <w:rsid w:val="00346625"/>
    <w:rsid w:val="00346642"/>
    <w:rsid w:val="00347025"/>
    <w:rsid w:val="003470FF"/>
    <w:rsid w:val="003475CD"/>
    <w:rsid w:val="00347FA7"/>
    <w:rsid w:val="00352563"/>
    <w:rsid w:val="00354198"/>
    <w:rsid w:val="00355CE9"/>
    <w:rsid w:val="00356486"/>
    <w:rsid w:val="0035681A"/>
    <w:rsid w:val="003569E9"/>
    <w:rsid w:val="00356E11"/>
    <w:rsid w:val="003574A6"/>
    <w:rsid w:val="00357708"/>
    <w:rsid w:val="0035773E"/>
    <w:rsid w:val="00357C0B"/>
    <w:rsid w:val="00357DE0"/>
    <w:rsid w:val="00357F92"/>
    <w:rsid w:val="0036096C"/>
    <w:rsid w:val="0036116F"/>
    <w:rsid w:val="00361A9F"/>
    <w:rsid w:val="00361D31"/>
    <w:rsid w:val="003620E0"/>
    <w:rsid w:val="003627A1"/>
    <w:rsid w:val="00362876"/>
    <w:rsid w:val="00362D15"/>
    <w:rsid w:val="003636D2"/>
    <w:rsid w:val="003637CC"/>
    <w:rsid w:val="00363B3B"/>
    <w:rsid w:val="00363B42"/>
    <w:rsid w:val="00365364"/>
    <w:rsid w:val="00365555"/>
    <w:rsid w:val="003665D7"/>
    <w:rsid w:val="003674BD"/>
    <w:rsid w:val="00367AE3"/>
    <w:rsid w:val="00367F9C"/>
    <w:rsid w:val="003705FA"/>
    <w:rsid w:val="0037091D"/>
    <w:rsid w:val="00370BBF"/>
    <w:rsid w:val="003710EC"/>
    <w:rsid w:val="003714DC"/>
    <w:rsid w:val="00371FF4"/>
    <w:rsid w:val="00372096"/>
    <w:rsid w:val="00372510"/>
    <w:rsid w:val="0037261D"/>
    <w:rsid w:val="00373253"/>
    <w:rsid w:val="00373550"/>
    <w:rsid w:val="0037433B"/>
    <w:rsid w:val="003746C1"/>
    <w:rsid w:val="00375368"/>
    <w:rsid w:val="003757F8"/>
    <w:rsid w:val="00375CA5"/>
    <w:rsid w:val="00375CA8"/>
    <w:rsid w:val="00375E95"/>
    <w:rsid w:val="00375EA2"/>
    <w:rsid w:val="003763EE"/>
    <w:rsid w:val="003775DD"/>
    <w:rsid w:val="003808B0"/>
    <w:rsid w:val="00381017"/>
    <w:rsid w:val="003829F0"/>
    <w:rsid w:val="00382A84"/>
    <w:rsid w:val="00382FB9"/>
    <w:rsid w:val="00383161"/>
    <w:rsid w:val="00383900"/>
    <w:rsid w:val="0038398E"/>
    <w:rsid w:val="003839E7"/>
    <w:rsid w:val="00383CEF"/>
    <w:rsid w:val="00384447"/>
    <w:rsid w:val="003846D2"/>
    <w:rsid w:val="003850D5"/>
    <w:rsid w:val="0038574B"/>
    <w:rsid w:val="00385AFE"/>
    <w:rsid w:val="003869D6"/>
    <w:rsid w:val="00387381"/>
    <w:rsid w:val="00390213"/>
    <w:rsid w:val="003905B7"/>
    <w:rsid w:val="0039122B"/>
    <w:rsid w:val="00391752"/>
    <w:rsid w:val="00392A3B"/>
    <w:rsid w:val="003940A1"/>
    <w:rsid w:val="00394438"/>
    <w:rsid w:val="003946C7"/>
    <w:rsid w:val="00395739"/>
    <w:rsid w:val="00395889"/>
    <w:rsid w:val="00395B29"/>
    <w:rsid w:val="00396ED5"/>
    <w:rsid w:val="00396F64"/>
    <w:rsid w:val="003A01AE"/>
    <w:rsid w:val="003A0541"/>
    <w:rsid w:val="003A2651"/>
    <w:rsid w:val="003A26AB"/>
    <w:rsid w:val="003A2D87"/>
    <w:rsid w:val="003A5C6A"/>
    <w:rsid w:val="003A6626"/>
    <w:rsid w:val="003A6FAF"/>
    <w:rsid w:val="003B0766"/>
    <w:rsid w:val="003B0AF9"/>
    <w:rsid w:val="003B1B9B"/>
    <w:rsid w:val="003B2230"/>
    <w:rsid w:val="003B2566"/>
    <w:rsid w:val="003B29D1"/>
    <w:rsid w:val="003B2FAA"/>
    <w:rsid w:val="003B31CD"/>
    <w:rsid w:val="003B33CF"/>
    <w:rsid w:val="003B3412"/>
    <w:rsid w:val="003B3F6B"/>
    <w:rsid w:val="003B482D"/>
    <w:rsid w:val="003B492F"/>
    <w:rsid w:val="003B4E05"/>
    <w:rsid w:val="003B4E4B"/>
    <w:rsid w:val="003B52A6"/>
    <w:rsid w:val="003B571F"/>
    <w:rsid w:val="003B58CC"/>
    <w:rsid w:val="003B5931"/>
    <w:rsid w:val="003B5DC6"/>
    <w:rsid w:val="003B6691"/>
    <w:rsid w:val="003C03D0"/>
    <w:rsid w:val="003C04DF"/>
    <w:rsid w:val="003C06E2"/>
    <w:rsid w:val="003C0B79"/>
    <w:rsid w:val="003C1003"/>
    <w:rsid w:val="003C1E9C"/>
    <w:rsid w:val="003C245B"/>
    <w:rsid w:val="003C2761"/>
    <w:rsid w:val="003C2D69"/>
    <w:rsid w:val="003C2F7E"/>
    <w:rsid w:val="003C4417"/>
    <w:rsid w:val="003C4454"/>
    <w:rsid w:val="003C495E"/>
    <w:rsid w:val="003C559E"/>
    <w:rsid w:val="003C5622"/>
    <w:rsid w:val="003C6C22"/>
    <w:rsid w:val="003C7E14"/>
    <w:rsid w:val="003D01CC"/>
    <w:rsid w:val="003D12DE"/>
    <w:rsid w:val="003D1CFF"/>
    <w:rsid w:val="003D2B4E"/>
    <w:rsid w:val="003D305D"/>
    <w:rsid w:val="003D430C"/>
    <w:rsid w:val="003D46BC"/>
    <w:rsid w:val="003D46D6"/>
    <w:rsid w:val="003D49F3"/>
    <w:rsid w:val="003D4C7A"/>
    <w:rsid w:val="003D4D1B"/>
    <w:rsid w:val="003D4E20"/>
    <w:rsid w:val="003D59EB"/>
    <w:rsid w:val="003D5C49"/>
    <w:rsid w:val="003D7B6B"/>
    <w:rsid w:val="003E0DF6"/>
    <w:rsid w:val="003E18A1"/>
    <w:rsid w:val="003E19B0"/>
    <w:rsid w:val="003E2C81"/>
    <w:rsid w:val="003E2FD9"/>
    <w:rsid w:val="003E3DA2"/>
    <w:rsid w:val="003E47DD"/>
    <w:rsid w:val="003E602A"/>
    <w:rsid w:val="003E6A2B"/>
    <w:rsid w:val="003E6E04"/>
    <w:rsid w:val="003E76C7"/>
    <w:rsid w:val="003F2712"/>
    <w:rsid w:val="003F2A34"/>
    <w:rsid w:val="003F2C59"/>
    <w:rsid w:val="003F2EFA"/>
    <w:rsid w:val="003F31A3"/>
    <w:rsid w:val="003F3D07"/>
    <w:rsid w:val="003F4550"/>
    <w:rsid w:val="003F49AE"/>
    <w:rsid w:val="003F4C9C"/>
    <w:rsid w:val="003F5020"/>
    <w:rsid w:val="003F622B"/>
    <w:rsid w:val="003F7149"/>
    <w:rsid w:val="003F7A3B"/>
    <w:rsid w:val="00400886"/>
    <w:rsid w:val="004013FD"/>
    <w:rsid w:val="0040181B"/>
    <w:rsid w:val="0040246C"/>
    <w:rsid w:val="004029FC"/>
    <w:rsid w:val="0040305E"/>
    <w:rsid w:val="004032FE"/>
    <w:rsid w:val="00403D06"/>
    <w:rsid w:val="00404BCF"/>
    <w:rsid w:val="00404BFB"/>
    <w:rsid w:val="00404EAB"/>
    <w:rsid w:val="00405B1A"/>
    <w:rsid w:val="004068D1"/>
    <w:rsid w:val="0040782E"/>
    <w:rsid w:val="0041008E"/>
    <w:rsid w:val="00410B84"/>
    <w:rsid w:val="00410E2C"/>
    <w:rsid w:val="00411190"/>
    <w:rsid w:val="00411E1B"/>
    <w:rsid w:val="0041252B"/>
    <w:rsid w:val="00412B0B"/>
    <w:rsid w:val="00412C1C"/>
    <w:rsid w:val="00413349"/>
    <w:rsid w:val="0041370D"/>
    <w:rsid w:val="004145B0"/>
    <w:rsid w:val="00415318"/>
    <w:rsid w:val="00417D3C"/>
    <w:rsid w:val="00417FFD"/>
    <w:rsid w:val="004200DD"/>
    <w:rsid w:val="0042106E"/>
    <w:rsid w:val="00421179"/>
    <w:rsid w:val="004211B3"/>
    <w:rsid w:val="0042125D"/>
    <w:rsid w:val="00422982"/>
    <w:rsid w:val="00422B4B"/>
    <w:rsid w:val="00422BC6"/>
    <w:rsid w:val="0042386E"/>
    <w:rsid w:val="00424972"/>
    <w:rsid w:val="00424981"/>
    <w:rsid w:val="00426380"/>
    <w:rsid w:val="004270C6"/>
    <w:rsid w:val="00430E82"/>
    <w:rsid w:val="00430EA8"/>
    <w:rsid w:val="00431B54"/>
    <w:rsid w:val="00431E42"/>
    <w:rsid w:val="00432088"/>
    <w:rsid w:val="004320D8"/>
    <w:rsid w:val="00432E95"/>
    <w:rsid w:val="004330BB"/>
    <w:rsid w:val="004332CD"/>
    <w:rsid w:val="00433C2F"/>
    <w:rsid w:val="004343A7"/>
    <w:rsid w:val="00434717"/>
    <w:rsid w:val="00434DB7"/>
    <w:rsid w:val="004356B7"/>
    <w:rsid w:val="00436029"/>
    <w:rsid w:val="004364DD"/>
    <w:rsid w:val="00436B9F"/>
    <w:rsid w:val="00436E52"/>
    <w:rsid w:val="00437190"/>
    <w:rsid w:val="004402AE"/>
    <w:rsid w:val="0044041E"/>
    <w:rsid w:val="004416D1"/>
    <w:rsid w:val="00443CBF"/>
    <w:rsid w:val="00444463"/>
    <w:rsid w:val="00444F7A"/>
    <w:rsid w:val="00445A51"/>
    <w:rsid w:val="00446465"/>
    <w:rsid w:val="00447241"/>
    <w:rsid w:val="00447304"/>
    <w:rsid w:val="00447641"/>
    <w:rsid w:val="004478D1"/>
    <w:rsid w:val="004503F8"/>
    <w:rsid w:val="00450547"/>
    <w:rsid w:val="00450632"/>
    <w:rsid w:val="004515D1"/>
    <w:rsid w:val="00451E00"/>
    <w:rsid w:val="0045267B"/>
    <w:rsid w:val="00454654"/>
    <w:rsid w:val="00454F76"/>
    <w:rsid w:val="00455010"/>
    <w:rsid w:val="004553FE"/>
    <w:rsid w:val="00455BAE"/>
    <w:rsid w:val="004561A8"/>
    <w:rsid w:val="004571A2"/>
    <w:rsid w:val="00460546"/>
    <w:rsid w:val="00460643"/>
    <w:rsid w:val="0046080A"/>
    <w:rsid w:val="00461416"/>
    <w:rsid w:val="00461678"/>
    <w:rsid w:val="004616EF"/>
    <w:rsid w:val="0046219F"/>
    <w:rsid w:val="004621C0"/>
    <w:rsid w:val="004622BD"/>
    <w:rsid w:val="00463781"/>
    <w:rsid w:val="00464190"/>
    <w:rsid w:val="0046518B"/>
    <w:rsid w:val="004651E0"/>
    <w:rsid w:val="00466B70"/>
    <w:rsid w:val="00467068"/>
    <w:rsid w:val="00467B00"/>
    <w:rsid w:val="00467E69"/>
    <w:rsid w:val="0047013A"/>
    <w:rsid w:val="004703FE"/>
    <w:rsid w:val="004707A1"/>
    <w:rsid w:val="004708E1"/>
    <w:rsid w:val="00470AF6"/>
    <w:rsid w:val="00470DB8"/>
    <w:rsid w:val="00472359"/>
    <w:rsid w:val="00472BD3"/>
    <w:rsid w:val="00472CFB"/>
    <w:rsid w:val="0047413D"/>
    <w:rsid w:val="004742BE"/>
    <w:rsid w:val="0047547D"/>
    <w:rsid w:val="00480131"/>
    <w:rsid w:val="0048019C"/>
    <w:rsid w:val="00481054"/>
    <w:rsid w:val="00481879"/>
    <w:rsid w:val="00481C5B"/>
    <w:rsid w:val="0048245A"/>
    <w:rsid w:val="00482763"/>
    <w:rsid w:val="00482984"/>
    <w:rsid w:val="00483381"/>
    <w:rsid w:val="004844B6"/>
    <w:rsid w:val="0048460A"/>
    <w:rsid w:val="00484D7C"/>
    <w:rsid w:val="004857E8"/>
    <w:rsid w:val="0048626C"/>
    <w:rsid w:val="00486AE7"/>
    <w:rsid w:val="00486C3B"/>
    <w:rsid w:val="0048708A"/>
    <w:rsid w:val="00487F70"/>
    <w:rsid w:val="0049163F"/>
    <w:rsid w:val="00491BD4"/>
    <w:rsid w:val="00491E5A"/>
    <w:rsid w:val="00492755"/>
    <w:rsid w:val="00492B48"/>
    <w:rsid w:val="00492BFA"/>
    <w:rsid w:val="00493432"/>
    <w:rsid w:val="004934EC"/>
    <w:rsid w:val="00493750"/>
    <w:rsid w:val="00493F15"/>
    <w:rsid w:val="00494B3E"/>
    <w:rsid w:val="0049689A"/>
    <w:rsid w:val="00496C59"/>
    <w:rsid w:val="004972E8"/>
    <w:rsid w:val="004A0D8E"/>
    <w:rsid w:val="004A175D"/>
    <w:rsid w:val="004A20A4"/>
    <w:rsid w:val="004A2127"/>
    <w:rsid w:val="004A346B"/>
    <w:rsid w:val="004A3593"/>
    <w:rsid w:val="004A4B08"/>
    <w:rsid w:val="004A558A"/>
    <w:rsid w:val="004A55F9"/>
    <w:rsid w:val="004A5912"/>
    <w:rsid w:val="004A5D62"/>
    <w:rsid w:val="004A5F61"/>
    <w:rsid w:val="004A7D75"/>
    <w:rsid w:val="004B0231"/>
    <w:rsid w:val="004B0638"/>
    <w:rsid w:val="004B08F8"/>
    <w:rsid w:val="004B13BB"/>
    <w:rsid w:val="004B1449"/>
    <w:rsid w:val="004B1460"/>
    <w:rsid w:val="004B2CC0"/>
    <w:rsid w:val="004B377E"/>
    <w:rsid w:val="004B4D3B"/>
    <w:rsid w:val="004B56BF"/>
    <w:rsid w:val="004B5C1A"/>
    <w:rsid w:val="004B683D"/>
    <w:rsid w:val="004B71BF"/>
    <w:rsid w:val="004B71CF"/>
    <w:rsid w:val="004B79B8"/>
    <w:rsid w:val="004C190A"/>
    <w:rsid w:val="004C2180"/>
    <w:rsid w:val="004C248D"/>
    <w:rsid w:val="004C2CD3"/>
    <w:rsid w:val="004C3258"/>
    <w:rsid w:val="004C3EE5"/>
    <w:rsid w:val="004C5759"/>
    <w:rsid w:val="004C5F1A"/>
    <w:rsid w:val="004C6051"/>
    <w:rsid w:val="004C617F"/>
    <w:rsid w:val="004C7406"/>
    <w:rsid w:val="004D0AB1"/>
    <w:rsid w:val="004D1020"/>
    <w:rsid w:val="004D164A"/>
    <w:rsid w:val="004D2774"/>
    <w:rsid w:val="004D2F89"/>
    <w:rsid w:val="004D3D86"/>
    <w:rsid w:val="004D4215"/>
    <w:rsid w:val="004D461B"/>
    <w:rsid w:val="004D6457"/>
    <w:rsid w:val="004D75DD"/>
    <w:rsid w:val="004D7813"/>
    <w:rsid w:val="004E07D5"/>
    <w:rsid w:val="004E108F"/>
    <w:rsid w:val="004E164E"/>
    <w:rsid w:val="004E23FE"/>
    <w:rsid w:val="004E346C"/>
    <w:rsid w:val="004E36D8"/>
    <w:rsid w:val="004E3750"/>
    <w:rsid w:val="004E3F05"/>
    <w:rsid w:val="004E473A"/>
    <w:rsid w:val="004E4B05"/>
    <w:rsid w:val="004E5038"/>
    <w:rsid w:val="004E622F"/>
    <w:rsid w:val="004E7AA2"/>
    <w:rsid w:val="004F0139"/>
    <w:rsid w:val="004F1883"/>
    <w:rsid w:val="004F20C0"/>
    <w:rsid w:val="004F27BA"/>
    <w:rsid w:val="004F2AEE"/>
    <w:rsid w:val="004F31AF"/>
    <w:rsid w:val="004F41EC"/>
    <w:rsid w:val="004F432D"/>
    <w:rsid w:val="004F491F"/>
    <w:rsid w:val="004F5A9F"/>
    <w:rsid w:val="004F7956"/>
    <w:rsid w:val="0050013E"/>
    <w:rsid w:val="00500570"/>
    <w:rsid w:val="00501585"/>
    <w:rsid w:val="005029FE"/>
    <w:rsid w:val="00503B92"/>
    <w:rsid w:val="00503E19"/>
    <w:rsid w:val="0050450A"/>
    <w:rsid w:val="00505DBF"/>
    <w:rsid w:val="0050662C"/>
    <w:rsid w:val="005069CC"/>
    <w:rsid w:val="00507D53"/>
    <w:rsid w:val="00507EFE"/>
    <w:rsid w:val="00511027"/>
    <w:rsid w:val="00511C0E"/>
    <w:rsid w:val="00511F81"/>
    <w:rsid w:val="005122D8"/>
    <w:rsid w:val="0051380B"/>
    <w:rsid w:val="0051412D"/>
    <w:rsid w:val="00514625"/>
    <w:rsid w:val="00514BBC"/>
    <w:rsid w:val="005155F9"/>
    <w:rsid w:val="00516443"/>
    <w:rsid w:val="00517152"/>
    <w:rsid w:val="0052041C"/>
    <w:rsid w:val="005221CB"/>
    <w:rsid w:val="00522806"/>
    <w:rsid w:val="00524377"/>
    <w:rsid w:val="00524491"/>
    <w:rsid w:val="00525638"/>
    <w:rsid w:val="00525E7C"/>
    <w:rsid w:val="00526460"/>
    <w:rsid w:val="00527088"/>
    <w:rsid w:val="005275D9"/>
    <w:rsid w:val="00527CE5"/>
    <w:rsid w:val="00527FC0"/>
    <w:rsid w:val="00530621"/>
    <w:rsid w:val="00530944"/>
    <w:rsid w:val="00530EF8"/>
    <w:rsid w:val="00531C1E"/>
    <w:rsid w:val="005326A1"/>
    <w:rsid w:val="00533AF8"/>
    <w:rsid w:val="005340D4"/>
    <w:rsid w:val="005341E7"/>
    <w:rsid w:val="00534DAD"/>
    <w:rsid w:val="0053511F"/>
    <w:rsid w:val="00535145"/>
    <w:rsid w:val="00535391"/>
    <w:rsid w:val="005357DF"/>
    <w:rsid w:val="00535CFD"/>
    <w:rsid w:val="00536507"/>
    <w:rsid w:val="00536DBB"/>
    <w:rsid w:val="00537812"/>
    <w:rsid w:val="00537D71"/>
    <w:rsid w:val="00541A3B"/>
    <w:rsid w:val="00541B5B"/>
    <w:rsid w:val="00541FFD"/>
    <w:rsid w:val="0054270F"/>
    <w:rsid w:val="005427D4"/>
    <w:rsid w:val="005428E0"/>
    <w:rsid w:val="00542FAA"/>
    <w:rsid w:val="00543DBA"/>
    <w:rsid w:val="00544D7F"/>
    <w:rsid w:val="005456E6"/>
    <w:rsid w:val="005466EE"/>
    <w:rsid w:val="00546DAA"/>
    <w:rsid w:val="00547683"/>
    <w:rsid w:val="005477E2"/>
    <w:rsid w:val="005477E5"/>
    <w:rsid w:val="005509CF"/>
    <w:rsid w:val="005514D9"/>
    <w:rsid w:val="0055232E"/>
    <w:rsid w:val="005525A8"/>
    <w:rsid w:val="005538CC"/>
    <w:rsid w:val="005539F5"/>
    <w:rsid w:val="00553C1A"/>
    <w:rsid w:val="0055592A"/>
    <w:rsid w:val="005568C0"/>
    <w:rsid w:val="0055719E"/>
    <w:rsid w:val="0055736F"/>
    <w:rsid w:val="00560EB4"/>
    <w:rsid w:val="005613FE"/>
    <w:rsid w:val="00561A6F"/>
    <w:rsid w:val="005623AF"/>
    <w:rsid w:val="00562803"/>
    <w:rsid w:val="00562BD2"/>
    <w:rsid w:val="00562C38"/>
    <w:rsid w:val="00562F32"/>
    <w:rsid w:val="0056357F"/>
    <w:rsid w:val="00563B21"/>
    <w:rsid w:val="00564796"/>
    <w:rsid w:val="005653B0"/>
    <w:rsid w:val="00565F51"/>
    <w:rsid w:val="00566E26"/>
    <w:rsid w:val="00567069"/>
    <w:rsid w:val="0056784A"/>
    <w:rsid w:val="00567896"/>
    <w:rsid w:val="005708CF"/>
    <w:rsid w:val="005727E3"/>
    <w:rsid w:val="00572AE0"/>
    <w:rsid w:val="00572B0B"/>
    <w:rsid w:val="0057303E"/>
    <w:rsid w:val="00573260"/>
    <w:rsid w:val="0057327B"/>
    <w:rsid w:val="005738D0"/>
    <w:rsid w:val="0057437B"/>
    <w:rsid w:val="00574D97"/>
    <w:rsid w:val="005751B3"/>
    <w:rsid w:val="005752F9"/>
    <w:rsid w:val="0057571C"/>
    <w:rsid w:val="00576326"/>
    <w:rsid w:val="0057650E"/>
    <w:rsid w:val="00576A05"/>
    <w:rsid w:val="00576D42"/>
    <w:rsid w:val="00577662"/>
    <w:rsid w:val="00581800"/>
    <w:rsid w:val="00581946"/>
    <w:rsid w:val="00581B57"/>
    <w:rsid w:val="00582980"/>
    <w:rsid w:val="00582D4E"/>
    <w:rsid w:val="00583512"/>
    <w:rsid w:val="005835C7"/>
    <w:rsid w:val="0058373E"/>
    <w:rsid w:val="00583BB5"/>
    <w:rsid w:val="00583F27"/>
    <w:rsid w:val="00584049"/>
    <w:rsid w:val="0058405C"/>
    <w:rsid w:val="0058444F"/>
    <w:rsid w:val="00584BC6"/>
    <w:rsid w:val="00584C5A"/>
    <w:rsid w:val="005850A3"/>
    <w:rsid w:val="005850F1"/>
    <w:rsid w:val="0058533F"/>
    <w:rsid w:val="00585A1B"/>
    <w:rsid w:val="00586DDD"/>
    <w:rsid w:val="00586ED6"/>
    <w:rsid w:val="00586F24"/>
    <w:rsid w:val="005870A9"/>
    <w:rsid w:val="0058741A"/>
    <w:rsid w:val="005874D9"/>
    <w:rsid w:val="005876C7"/>
    <w:rsid w:val="00590D8B"/>
    <w:rsid w:val="0059167C"/>
    <w:rsid w:val="005922FD"/>
    <w:rsid w:val="0059301E"/>
    <w:rsid w:val="0059311D"/>
    <w:rsid w:val="005931A4"/>
    <w:rsid w:val="00594917"/>
    <w:rsid w:val="0059533F"/>
    <w:rsid w:val="005967A0"/>
    <w:rsid w:val="005A03BD"/>
    <w:rsid w:val="005A0748"/>
    <w:rsid w:val="005A0A83"/>
    <w:rsid w:val="005A1D44"/>
    <w:rsid w:val="005A26C6"/>
    <w:rsid w:val="005A26D6"/>
    <w:rsid w:val="005A277C"/>
    <w:rsid w:val="005A2A30"/>
    <w:rsid w:val="005A37E9"/>
    <w:rsid w:val="005A400E"/>
    <w:rsid w:val="005A5682"/>
    <w:rsid w:val="005A5988"/>
    <w:rsid w:val="005A6058"/>
    <w:rsid w:val="005A612A"/>
    <w:rsid w:val="005A6B55"/>
    <w:rsid w:val="005A6D70"/>
    <w:rsid w:val="005A71D2"/>
    <w:rsid w:val="005A75DE"/>
    <w:rsid w:val="005A7E37"/>
    <w:rsid w:val="005B068C"/>
    <w:rsid w:val="005B1324"/>
    <w:rsid w:val="005B1705"/>
    <w:rsid w:val="005B1765"/>
    <w:rsid w:val="005B1EA6"/>
    <w:rsid w:val="005B2556"/>
    <w:rsid w:val="005B2EA8"/>
    <w:rsid w:val="005B3170"/>
    <w:rsid w:val="005B42F4"/>
    <w:rsid w:val="005B46F3"/>
    <w:rsid w:val="005B53EC"/>
    <w:rsid w:val="005C07EF"/>
    <w:rsid w:val="005C0E02"/>
    <w:rsid w:val="005C0E64"/>
    <w:rsid w:val="005C1B9D"/>
    <w:rsid w:val="005C24DF"/>
    <w:rsid w:val="005C250E"/>
    <w:rsid w:val="005C2704"/>
    <w:rsid w:val="005C37CA"/>
    <w:rsid w:val="005C38F3"/>
    <w:rsid w:val="005C39FF"/>
    <w:rsid w:val="005C3A50"/>
    <w:rsid w:val="005C41CA"/>
    <w:rsid w:val="005C4210"/>
    <w:rsid w:val="005C43D5"/>
    <w:rsid w:val="005C4DBC"/>
    <w:rsid w:val="005C4E37"/>
    <w:rsid w:val="005C5AD0"/>
    <w:rsid w:val="005C5AEA"/>
    <w:rsid w:val="005C6947"/>
    <w:rsid w:val="005C7F36"/>
    <w:rsid w:val="005D02C5"/>
    <w:rsid w:val="005D05E0"/>
    <w:rsid w:val="005D09D8"/>
    <w:rsid w:val="005D0EE6"/>
    <w:rsid w:val="005D0FD0"/>
    <w:rsid w:val="005D1E58"/>
    <w:rsid w:val="005D30B2"/>
    <w:rsid w:val="005D3276"/>
    <w:rsid w:val="005D391F"/>
    <w:rsid w:val="005D3976"/>
    <w:rsid w:val="005D3B60"/>
    <w:rsid w:val="005D4603"/>
    <w:rsid w:val="005D56EC"/>
    <w:rsid w:val="005D6094"/>
    <w:rsid w:val="005D6EBA"/>
    <w:rsid w:val="005E0345"/>
    <w:rsid w:val="005E040C"/>
    <w:rsid w:val="005E04DE"/>
    <w:rsid w:val="005E121D"/>
    <w:rsid w:val="005E15EF"/>
    <w:rsid w:val="005E1C44"/>
    <w:rsid w:val="005E2260"/>
    <w:rsid w:val="005E3C71"/>
    <w:rsid w:val="005E3CCB"/>
    <w:rsid w:val="005E4CB0"/>
    <w:rsid w:val="005E6760"/>
    <w:rsid w:val="005E6E1B"/>
    <w:rsid w:val="005E721F"/>
    <w:rsid w:val="005E73A0"/>
    <w:rsid w:val="005E76CC"/>
    <w:rsid w:val="005E7F47"/>
    <w:rsid w:val="005F0061"/>
    <w:rsid w:val="005F0241"/>
    <w:rsid w:val="005F0A01"/>
    <w:rsid w:val="005F106A"/>
    <w:rsid w:val="005F1D62"/>
    <w:rsid w:val="005F20A9"/>
    <w:rsid w:val="005F22FD"/>
    <w:rsid w:val="005F2B39"/>
    <w:rsid w:val="005F2B9C"/>
    <w:rsid w:val="005F322F"/>
    <w:rsid w:val="005F41CA"/>
    <w:rsid w:val="005F48D4"/>
    <w:rsid w:val="005F4B25"/>
    <w:rsid w:val="005F5361"/>
    <w:rsid w:val="005F616E"/>
    <w:rsid w:val="005F6CFB"/>
    <w:rsid w:val="005F757F"/>
    <w:rsid w:val="006001F5"/>
    <w:rsid w:val="00600424"/>
    <w:rsid w:val="00601453"/>
    <w:rsid w:val="00601478"/>
    <w:rsid w:val="00601714"/>
    <w:rsid w:val="00601A8E"/>
    <w:rsid w:val="00602066"/>
    <w:rsid w:val="00602332"/>
    <w:rsid w:val="00602CA3"/>
    <w:rsid w:val="00602E3C"/>
    <w:rsid w:val="00602FBD"/>
    <w:rsid w:val="006047F1"/>
    <w:rsid w:val="00605D81"/>
    <w:rsid w:val="00606FBE"/>
    <w:rsid w:val="00607495"/>
    <w:rsid w:val="0060789E"/>
    <w:rsid w:val="00607A55"/>
    <w:rsid w:val="00607D86"/>
    <w:rsid w:val="006112B1"/>
    <w:rsid w:val="00611798"/>
    <w:rsid w:val="006117CC"/>
    <w:rsid w:val="00611E32"/>
    <w:rsid w:val="0061250E"/>
    <w:rsid w:val="00612A2E"/>
    <w:rsid w:val="00613B1B"/>
    <w:rsid w:val="00614162"/>
    <w:rsid w:val="006141F7"/>
    <w:rsid w:val="006165FD"/>
    <w:rsid w:val="0061679D"/>
    <w:rsid w:val="006168DE"/>
    <w:rsid w:val="00616DDA"/>
    <w:rsid w:val="00617158"/>
    <w:rsid w:val="006176F8"/>
    <w:rsid w:val="00617CB4"/>
    <w:rsid w:val="00621031"/>
    <w:rsid w:val="00621429"/>
    <w:rsid w:val="006214ED"/>
    <w:rsid w:val="00621E2B"/>
    <w:rsid w:val="006220A2"/>
    <w:rsid w:val="006220E0"/>
    <w:rsid w:val="006228FB"/>
    <w:rsid w:val="0062295E"/>
    <w:rsid w:val="00622A9D"/>
    <w:rsid w:val="00622B02"/>
    <w:rsid w:val="006232D0"/>
    <w:rsid w:val="00623478"/>
    <w:rsid w:val="006244F1"/>
    <w:rsid w:val="0062459A"/>
    <w:rsid w:val="0062492A"/>
    <w:rsid w:val="006254A0"/>
    <w:rsid w:val="006255CA"/>
    <w:rsid w:val="00625A78"/>
    <w:rsid w:val="00626050"/>
    <w:rsid w:val="006264CF"/>
    <w:rsid w:val="00626E11"/>
    <w:rsid w:val="00627E6A"/>
    <w:rsid w:val="00630084"/>
    <w:rsid w:val="00630D4F"/>
    <w:rsid w:val="0063129D"/>
    <w:rsid w:val="00631392"/>
    <w:rsid w:val="0063231F"/>
    <w:rsid w:val="006328C3"/>
    <w:rsid w:val="00632ECF"/>
    <w:rsid w:val="0063306B"/>
    <w:rsid w:val="00633358"/>
    <w:rsid w:val="00633AB8"/>
    <w:rsid w:val="00635055"/>
    <w:rsid w:val="0063672E"/>
    <w:rsid w:val="00637302"/>
    <w:rsid w:val="00637B52"/>
    <w:rsid w:val="00640B73"/>
    <w:rsid w:val="00640FD6"/>
    <w:rsid w:val="00641178"/>
    <w:rsid w:val="006422D2"/>
    <w:rsid w:val="00642DF7"/>
    <w:rsid w:val="006436B3"/>
    <w:rsid w:val="00644001"/>
    <w:rsid w:val="00645913"/>
    <w:rsid w:val="0064671C"/>
    <w:rsid w:val="0064734C"/>
    <w:rsid w:val="00650202"/>
    <w:rsid w:val="0065046C"/>
    <w:rsid w:val="00650B7E"/>
    <w:rsid w:val="0065103D"/>
    <w:rsid w:val="0065163A"/>
    <w:rsid w:val="00651671"/>
    <w:rsid w:val="00651EE8"/>
    <w:rsid w:val="006535E5"/>
    <w:rsid w:val="00653652"/>
    <w:rsid w:val="00654D42"/>
    <w:rsid w:val="00654E0C"/>
    <w:rsid w:val="00654FE9"/>
    <w:rsid w:val="00655EA7"/>
    <w:rsid w:val="006562E3"/>
    <w:rsid w:val="00657117"/>
    <w:rsid w:val="00660B07"/>
    <w:rsid w:val="00661547"/>
    <w:rsid w:val="0066173F"/>
    <w:rsid w:val="00661F68"/>
    <w:rsid w:val="00662AE2"/>
    <w:rsid w:val="006635AF"/>
    <w:rsid w:val="00663D3E"/>
    <w:rsid w:val="0066470D"/>
    <w:rsid w:val="00664854"/>
    <w:rsid w:val="00664BCC"/>
    <w:rsid w:val="00664D81"/>
    <w:rsid w:val="0066515D"/>
    <w:rsid w:val="00665DBB"/>
    <w:rsid w:val="00665FBD"/>
    <w:rsid w:val="006663DE"/>
    <w:rsid w:val="00666B97"/>
    <w:rsid w:val="006679FE"/>
    <w:rsid w:val="00670002"/>
    <w:rsid w:val="00670675"/>
    <w:rsid w:val="006715ED"/>
    <w:rsid w:val="006716A0"/>
    <w:rsid w:val="0067360B"/>
    <w:rsid w:val="00674757"/>
    <w:rsid w:val="00674DC7"/>
    <w:rsid w:val="006757B2"/>
    <w:rsid w:val="006759E1"/>
    <w:rsid w:val="00676836"/>
    <w:rsid w:val="006809F8"/>
    <w:rsid w:val="00681776"/>
    <w:rsid w:val="006818F8"/>
    <w:rsid w:val="00681AC4"/>
    <w:rsid w:val="00681DC2"/>
    <w:rsid w:val="00682180"/>
    <w:rsid w:val="00682462"/>
    <w:rsid w:val="006825D2"/>
    <w:rsid w:val="00683947"/>
    <w:rsid w:val="0068409B"/>
    <w:rsid w:val="006844F1"/>
    <w:rsid w:val="00684702"/>
    <w:rsid w:val="006847AA"/>
    <w:rsid w:val="00686CE6"/>
    <w:rsid w:val="006871A7"/>
    <w:rsid w:val="00687533"/>
    <w:rsid w:val="00687DDE"/>
    <w:rsid w:val="0069134D"/>
    <w:rsid w:val="00691DA9"/>
    <w:rsid w:val="00691FCE"/>
    <w:rsid w:val="00692301"/>
    <w:rsid w:val="00692935"/>
    <w:rsid w:val="00692B04"/>
    <w:rsid w:val="00693D6A"/>
    <w:rsid w:val="006947B0"/>
    <w:rsid w:val="00694D5B"/>
    <w:rsid w:val="00694E14"/>
    <w:rsid w:val="006968F1"/>
    <w:rsid w:val="00697185"/>
    <w:rsid w:val="00697CEC"/>
    <w:rsid w:val="006A0000"/>
    <w:rsid w:val="006A0406"/>
    <w:rsid w:val="006A11CB"/>
    <w:rsid w:val="006A2C6F"/>
    <w:rsid w:val="006A445B"/>
    <w:rsid w:val="006A6430"/>
    <w:rsid w:val="006A6664"/>
    <w:rsid w:val="006A748A"/>
    <w:rsid w:val="006A7CCA"/>
    <w:rsid w:val="006B05C7"/>
    <w:rsid w:val="006B318A"/>
    <w:rsid w:val="006B3270"/>
    <w:rsid w:val="006B38AD"/>
    <w:rsid w:val="006B3EC0"/>
    <w:rsid w:val="006B4470"/>
    <w:rsid w:val="006B527F"/>
    <w:rsid w:val="006B6A1B"/>
    <w:rsid w:val="006B735E"/>
    <w:rsid w:val="006B7404"/>
    <w:rsid w:val="006C0493"/>
    <w:rsid w:val="006C1020"/>
    <w:rsid w:val="006C1102"/>
    <w:rsid w:val="006C196C"/>
    <w:rsid w:val="006C1C9F"/>
    <w:rsid w:val="006C36AD"/>
    <w:rsid w:val="006C4D69"/>
    <w:rsid w:val="006C4EAC"/>
    <w:rsid w:val="006C6991"/>
    <w:rsid w:val="006C6CD6"/>
    <w:rsid w:val="006C6F66"/>
    <w:rsid w:val="006C770C"/>
    <w:rsid w:val="006C7F4C"/>
    <w:rsid w:val="006D0423"/>
    <w:rsid w:val="006D04BC"/>
    <w:rsid w:val="006D084B"/>
    <w:rsid w:val="006D0BD6"/>
    <w:rsid w:val="006D1604"/>
    <w:rsid w:val="006D1642"/>
    <w:rsid w:val="006D265B"/>
    <w:rsid w:val="006D3E9E"/>
    <w:rsid w:val="006D46DD"/>
    <w:rsid w:val="006D5065"/>
    <w:rsid w:val="006D68A7"/>
    <w:rsid w:val="006D7072"/>
    <w:rsid w:val="006D7B54"/>
    <w:rsid w:val="006E1059"/>
    <w:rsid w:val="006E1DFF"/>
    <w:rsid w:val="006E2A1F"/>
    <w:rsid w:val="006E3D4B"/>
    <w:rsid w:val="006E40F0"/>
    <w:rsid w:val="006E46CC"/>
    <w:rsid w:val="006E4B33"/>
    <w:rsid w:val="006E5B89"/>
    <w:rsid w:val="006E5C30"/>
    <w:rsid w:val="006E5DFC"/>
    <w:rsid w:val="006E6E9B"/>
    <w:rsid w:val="006E7D2C"/>
    <w:rsid w:val="006E7DD6"/>
    <w:rsid w:val="006F04A9"/>
    <w:rsid w:val="006F1BEE"/>
    <w:rsid w:val="006F3589"/>
    <w:rsid w:val="006F3B66"/>
    <w:rsid w:val="006F3B6B"/>
    <w:rsid w:val="006F4110"/>
    <w:rsid w:val="006F4158"/>
    <w:rsid w:val="006F4A88"/>
    <w:rsid w:val="006F4A94"/>
    <w:rsid w:val="006F504B"/>
    <w:rsid w:val="006F519E"/>
    <w:rsid w:val="006F5C3B"/>
    <w:rsid w:val="006F5EE0"/>
    <w:rsid w:val="006F614A"/>
    <w:rsid w:val="006F746E"/>
    <w:rsid w:val="006F7D23"/>
    <w:rsid w:val="006F7D57"/>
    <w:rsid w:val="0070054A"/>
    <w:rsid w:val="0070183B"/>
    <w:rsid w:val="00701D80"/>
    <w:rsid w:val="00701F1B"/>
    <w:rsid w:val="00702510"/>
    <w:rsid w:val="007026C8"/>
    <w:rsid w:val="0070319A"/>
    <w:rsid w:val="007037B7"/>
    <w:rsid w:val="00703C48"/>
    <w:rsid w:val="00705309"/>
    <w:rsid w:val="00705A10"/>
    <w:rsid w:val="007069F9"/>
    <w:rsid w:val="00706E2F"/>
    <w:rsid w:val="00707365"/>
    <w:rsid w:val="0070760B"/>
    <w:rsid w:val="007101A3"/>
    <w:rsid w:val="0071081F"/>
    <w:rsid w:val="00710933"/>
    <w:rsid w:val="007117DE"/>
    <w:rsid w:val="00711B18"/>
    <w:rsid w:val="00711BF7"/>
    <w:rsid w:val="00712A88"/>
    <w:rsid w:val="007142CF"/>
    <w:rsid w:val="007148D7"/>
    <w:rsid w:val="007161DF"/>
    <w:rsid w:val="0071622D"/>
    <w:rsid w:val="007166FC"/>
    <w:rsid w:val="007168D2"/>
    <w:rsid w:val="007168D9"/>
    <w:rsid w:val="0071694A"/>
    <w:rsid w:val="007208F2"/>
    <w:rsid w:val="00720BE6"/>
    <w:rsid w:val="00721005"/>
    <w:rsid w:val="0072144E"/>
    <w:rsid w:val="0072174D"/>
    <w:rsid w:val="00721B44"/>
    <w:rsid w:val="0072231F"/>
    <w:rsid w:val="00722A64"/>
    <w:rsid w:val="007238E6"/>
    <w:rsid w:val="00723CE7"/>
    <w:rsid w:val="00723D99"/>
    <w:rsid w:val="00724A82"/>
    <w:rsid w:val="00724EDB"/>
    <w:rsid w:val="00726377"/>
    <w:rsid w:val="00727BBD"/>
    <w:rsid w:val="007301FA"/>
    <w:rsid w:val="00731214"/>
    <w:rsid w:val="00731255"/>
    <w:rsid w:val="007331F9"/>
    <w:rsid w:val="00733566"/>
    <w:rsid w:val="0073364E"/>
    <w:rsid w:val="00733DDC"/>
    <w:rsid w:val="007344A5"/>
    <w:rsid w:val="00734898"/>
    <w:rsid w:val="00734C31"/>
    <w:rsid w:val="007354AB"/>
    <w:rsid w:val="00735515"/>
    <w:rsid w:val="00735740"/>
    <w:rsid w:val="00736423"/>
    <w:rsid w:val="00736641"/>
    <w:rsid w:val="00736F6A"/>
    <w:rsid w:val="0073746A"/>
    <w:rsid w:val="007377CF"/>
    <w:rsid w:val="00737E02"/>
    <w:rsid w:val="00737E89"/>
    <w:rsid w:val="007416BB"/>
    <w:rsid w:val="0074174D"/>
    <w:rsid w:val="00741941"/>
    <w:rsid w:val="0074244C"/>
    <w:rsid w:val="0074270E"/>
    <w:rsid w:val="00742AC1"/>
    <w:rsid w:val="00742EFC"/>
    <w:rsid w:val="007433EA"/>
    <w:rsid w:val="007434AC"/>
    <w:rsid w:val="00743D46"/>
    <w:rsid w:val="007443CF"/>
    <w:rsid w:val="00744CF9"/>
    <w:rsid w:val="0074593E"/>
    <w:rsid w:val="007478BD"/>
    <w:rsid w:val="00747E57"/>
    <w:rsid w:val="007509AA"/>
    <w:rsid w:val="00751338"/>
    <w:rsid w:val="007515B1"/>
    <w:rsid w:val="00752193"/>
    <w:rsid w:val="0075242B"/>
    <w:rsid w:val="0075302F"/>
    <w:rsid w:val="00753970"/>
    <w:rsid w:val="00753CB3"/>
    <w:rsid w:val="0075437F"/>
    <w:rsid w:val="00754792"/>
    <w:rsid w:val="0075500A"/>
    <w:rsid w:val="00757304"/>
    <w:rsid w:val="007603AE"/>
    <w:rsid w:val="007604EB"/>
    <w:rsid w:val="0076098F"/>
    <w:rsid w:val="00761C7D"/>
    <w:rsid w:val="00761FB9"/>
    <w:rsid w:val="007643EF"/>
    <w:rsid w:val="0076471E"/>
    <w:rsid w:val="00765990"/>
    <w:rsid w:val="00765A9E"/>
    <w:rsid w:val="00767310"/>
    <w:rsid w:val="00767952"/>
    <w:rsid w:val="00770DF3"/>
    <w:rsid w:val="0077163C"/>
    <w:rsid w:val="00771B6F"/>
    <w:rsid w:val="00772A35"/>
    <w:rsid w:val="00772C46"/>
    <w:rsid w:val="00772CF1"/>
    <w:rsid w:val="00772FAE"/>
    <w:rsid w:val="00773FC5"/>
    <w:rsid w:val="007748BA"/>
    <w:rsid w:val="00775D20"/>
    <w:rsid w:val="0077664F"/>
    <w:rsid w:val="00781772"/>
    <w:rsid w:val="0078190C"/>
    <w:rsid w:val="00782226"/>
    <w:rsid w:val="00782599"/>
    <w:rsid w:val="007830F0"/>
    <w:rsid w:val="00784C18"/>
    <w:rsid w:val="00785832"/>
    <w:rsid w:val="00785C46"/>
    <w:rsid w:val="007863BC"/>
    <w:rsid w:val="007878D9"/>
    <w:rsid w:val="0078790B"/>
    <w:rsid w:val="00787915"/>
    <w:rsid w:val="007879B3"/>
    <w:rsid w:val="007908D7"/>
    <w:rsid w:val="00791202"/>
    <w:rsid w:val="007913EE"/>
    <w:rsid w:val="00791B16"/>
    <w:rsid w:val="00791FE4"/>
    <w:rsid w:val="00792F73"/>
    <w:rsid w:val="007935E6"/>
    <w:rsid w:val="007939BE"/>
    <w:rsid w:val="0079543A"/>
    <w:rsid w:val="00795CB5"/>
    <w:rsid w:val="00795E11"/>
    <w:rsid w:val="00796929"/>
    <w:rsid w:val="00796DA9"/>
    <w:rsid w:val="00797A32"/>
    <w:rsid w:val="007A06A4"/>
    <w:rsid w:val="007A1203"/>
    <w:rsid w:val="007A1546"/>
    <w:rsid w:val="007A1645"/>
    <w:rsid w:val="007A1D31"/>
    <w:rsid w:val="007A30D8"/>
    <w:rsid w:val="007A3F36"/>
    <w:rsid w:val="007A5B03"/>
    <w:rsid w:val="007A6354"/>
    <w:rsid w:val="007A76D2"/>
    <w:rsid w:val="007A7D62"/>
    <w:rsid w:val="007B056A"/>
    <w:rsid w:val="007B0AC2"/>
    <w:rsid w:val="007B0E8A"/>
    <w:rsid w:val="007B0F6A"/>
    <w:rsid w:val="007B1114"/>
    <w:rsid w:val="007B16C7"/>
    <w:rsid w:val="007B18AF"/>
    <w:rsid w:val="007B27F4"/>
    <w:rsid w:val="007B2905"/>
    <w:rsid w:val="007B2B46"/>
    <w:rsid w:val="007B2F4A"/>
    <w:rsid w:val="007B34CB"/>
    <w:rsid w:val="007B3654"/>
    <w:rsid w:val="007B41BA"/>
    <w:rsid w:val="007B5FEB"/>
    <w:rsid w:val="007B6658"/>
    <w:rsid w:val="007B7121"/>
    <w:rsid w:val="007C021D"/>
    <w:rsid w:val="007C027B"/>
    <w:rsid w:val="007C1B16"/>
    <w:rsid w:val="007C1F44"/>
    <w:rsid w:val="007C302B"/>
    <w:rsid w:val="007C3DAA"/>
    <w:rsid w:val="007C410A"/>
    <w:rsid w:val="007C411B"/>
    <w:rsid w:val="007C4BC3"/>
    <w:rsid w:val="007C578B"/>
    <w:rsid w:val="007C5A9C"/>
    <w:rsid w:val="007C5AA9"/>
    <w:rsid w:val="007C630F"/>
    <w:rsid w:val="007C716F"/>
    <w:rsid w:val="007C7553"/>
    <w:rsid w:val="007C7D08"/>
    <w:rsid w:val="007D138A"/>
    <w:rsid w:val="007D295A"/>
    <w:rsid w:val="007D2A8E"/>
    <w:rsid w:val="007D2AB1"/>
    <w:rsid w:val="007D42BE"/>
    <w:rsid w:val="007D4940"/>
    <w:rsid w:val="007D4C71"/>
    <w:rsid w:val="007D4F91"/>
    <w:rsid w:val="007D50C6"/>
    <w:rsid w:val="007D5262"/>
    <w:rsid w:val="007D6837"/>
    <w:rsid w:val="007D708D"/>
    <w:rsid w:val="007E11B1"/>
    <w:rsid w:val="007E2EFD"/>
    <w:rsid w:val="007E2F88"/>
    <w:rsid w:val="007E437F"/>
    <w:rsid w:val="007F0172"/>
    <w:rsid w:val="007F0FE8"/>
    <w:rsid w:val="007F1263"/>
    <w:rsid w:val="007F2EC8"/>
    <w:rsid w:val="007F3FC7"/>
    <w:rsid w:val="007F519A"/>
    <w:rsid w:val="007F53D0"/>
    <w:rsid w:val="007F57E7"/>
    <w:rsid w:val="007F58F6"/>
    <w:rsid w:val="007F6CB8"/>
    <w:rsid w:val="007F785D"/>
    <w:rsid w:val="008000C2"/>
    <w:rsid w:val="0080029D"/>
    <w:rsid w:val="0080086E"/>
    <w:rsid w:val="00800AF8"/>
    <w:rsid w:val="0080191B"/>
    <w:rsid w:val="00801F5C"/>
    <w:rsid w:val="0080243F"/>
    <w:rsid w:val="00802742"/>
    <w:rsid w:val="008027A7"/>
    <w:rsid w:val="008030A8"/>
    <w:rsid w:val="0080314F"/>
    <w:rsid w:val="0080376C"/>
    <w:rsid w:val="008052D7"/>
    <w:rsid w:val="00805F03"/>
    <w:rsid w:val="00810A53"/>
    <w:rsid w:val="008113BB"/>
    <w:rsid w:val="00812209"/>
    <w:rsid w:val="00812237"/>
    <w:rsid w:val="008130F4"/>
    <w:rsid w:val="00814108"/>
    <w:rsid w:val="008142F7"/>
    <w:rsid w:val="00814410"/>
    <w:rsid w:val="00814A7C"/>
    <w:rsid w:val="00815922"/>
    <w:rsid w:val="00816B35"/>
    <w:rsid w:val="00820207"/>
    <w:rsid w:val="00820F3B"/>
    <w:rsid w:val="0082130A"/>
    <w:rsid w:val="00821B25"/>
    <w:rsid w:val="008228D6"/>
    <w:rsid w:val="008239D0"/>
    <w:rsid w:val="0082419A"/>
    <w:rsid w:val="00825450"/>
    <w:rsid w:val="00830113"/>
    <w:rsid w:val="00830192"/>
    <w:rsid w:val="00830FAC"/>
    <w:rsid w:val="00831A3F"/>
    <w:rsid w:val="00833155"/>
    <w:rsid w:val="0083544E"/>
    <w:rsid w:val="00835FEB"/>
    <w:rsid w:val="00836F5C"/>
    <w:rsid w:val="0083712D"/>
    <w:rsid w:val="00837A03"/>
    <w:rsid w:val="00840242"/>
    <w:rsid w:val="00840392"/>
    <w:rsid w:val="008407BF"/>
    <w:rsid w:val="00840907"/>
    <w:rsid w:val="0084093A"/>
    <w:rsid w:val="008417B0"/>
    <w:rsid w:val="0084226D"/>
    <w:rsid w:val="008423FA"/>
    <w:rsid w:val="00842AAB"/>
    <w:rsid w:val="008447FA"/>
    <w:rsid w:val="008450DC"/>
    <w:rsid w:val="0084558E"/>
    <w:rsid w:val="008455B1"/>
    <w:rsid w:val="008457D6"/>
    <w:rsid w:val="008458A9"/>
    <w:rsid w:val="008460E0"/>
    <w:rsid w:val="008467A0"/>
    <w:rsid w:val="00846C85"/>
    <w:rsid w:val="00846D2C"/>
    <w:rsid w:val="0084740E"/>
    <w:rsid w:val="0084765B"/>
    <w:rsid w:val="008505C7"/>
    <w:rsid w:val="00851559"/>
    <w:rsid w:val="00852044"/>
    <w:rsid w:val="008527FD"/>
    <w:rsid w:val="00852897"/>
    <w:rsid w:val="00852ECD"/>
    <w:rsid w:val="00853259"/>
    <w:rsid w:val="00853432"/>
    <w:rsid w:val="008535FE"/>
    <w:rsid w:val="00853E4F"/>
    <w:rsid w:val="00853E9D"/>
    <w:rsid w:val="008541CE"/>
    <w:rsid w:val="00854269"/>
    <w:rsid w:val="00854C2D"/>
    <w:rsid w:val="0085535F"/>
    <w:rsid w:val="00856322"/>
    <w:rsid w:val="00856401"/>
    <w:rsid w:val="00856B75"/>
    <w:rsid w:val="0085781F"/>
    <w:rsid w:val="0085786E"/>
    <w:rsid w:val="0086070F"/>
    <w:rsid w:val="00860BE4"/>
    <w:rsid w:val="00860F1A"/>
    <w:rsid w:val="008616A3"/>
    <w:rsid w:val="0086181A"/>
    <w:rsid w:val="00861924"/>
    <w:rsid w:val="00862E26"/>
    <w:rsid w:val="00863DBE"/>
    <w:rsid w:val="00864263"/>
    <w:rsid w:val="00864751"/>
    <w:rsid w:val="0086511B"/>
    <w:rsid w:val="00865129"/>
    <w:rsid w:val="0086531E"/>
    <w:rsid w:val="00865AE5"/>
    <w:rsid w:val="008663AF"/>
    <w:rsid w:val="00867496"/>
    <w:rsid w:val="0086765D"/>
    <w:rsid w:val="00870574"/>
    <w:rsid w:val="00870B08"/>
    <w:rsid w:val="00871558"/>
    <w:rsid w:val="00871BBD"/>
    <w:rsid w:val="008728B1"/>
    <w:rsid w:val="00872B53"/>
    <w:rsid w:val="00872D1D"/>
    <w:rsid w:val="00873125"/>
    <w:rsid w:val="008733E0"/>
    <w:rsid w:val="0087340E"/>
    <w:rsid w:val="00873771"/>
    <w:rsid w:val="00873792"/>
    <w:rsid w:val="00874204"/>
    <w:rsid w:val="00874689"/>
    <w:rsid w:val="00874948"/>
    <w:rsid w:val="00874C06"/>
    <w:rsid w:val="00876AC6"/>
    <w:rsid w:val="00876E66"/>
    <w:rsid w:val="008771C2"/>
    <w:rsid w:val="008772E4"/>
    <w:rsid w:val="00877564"/>
    <w:rsid w:val="0087766D"/>
    <w:rsid w:val="00877785"/>
    <w:rsid w:val="00877FBC"/>
    <w:rsid w:val="0088074A"/>
    <w:rsid w:val="00880BF4"/>
    <w:rsid w:val="00881345"/>
    <w:rsid w:val="008814F4"/>
    <w:rsid w:val="0088167A"/>
    <w:rsid w:val="00881A8E"/>
    <w:rsid w:val="00882390"/>
    <w:rsid w:val="00883842"/>
    <w:rsid w:val="0088389F"/>
    <w:rsid w:val="00883B2F"/>
    <w:rsid w:val="008852F2"/>
    <w:rsid w:val="00885DB0"/>
    <w:rsid w:val="008871CA"/>
    <w:rsid w:val="00887AAA"/>
    <w:rsid w:val="0089002D"/>
    <w:rsid w:val="00890406"/>
    <w:rsid w:val="0089209A"/>
    <w:rsid w:val="00892598"/>
    <w:rsid w:val="00892B3B"/>
    <w:rsid w:val="00893C3B"/>
    <w:rsid w:val="00893C89"/>
    <w:rsid w:val="00893D34"/>
    <w:rsid w:val="008944DB"/>
    <w:rsid w:val="008963AE"/>
    <w:rsid w:val="008A0F94"/>
    <w:rsid w:val="008A11DC"/>
    <w:rsid w:val="008A19E2"/>
    <w:rsid w:val="008A294B"/>
    <w:rsid w:val="008A2959"/>
    <w:rsid w:val="008A34E1"/>
    <w:rsid w:val="008A3B9D"/>
    <w:rsid w:val="008A3D17"/>
    <w:rsid w:val="008A41F8"/>
    <w:rsid w:val="008A47CF"/>
    <w:rsid w:val="008A5070"/>
    <w:rsid w:val="008A5475"/>
    <w:rsid w:val="008A6FE3"/>
    <w:rsid w:val="008A7641"/>
    <w:rsid w:val="008B145B"/>
    <w:rsid w:val="008B1766"/>
    <w:rsid w:val="008B23BA"/>
    <w:rsid w:val="008B3559"/>
    <w:rsid w:val="008B3DC1"/>
    <w:rsid w:val="008B4BC7"/>
    <w:rsid w:val="008B4D0A"/>
    <w:rsid w:val="008B5457"/>
    <w:rsid w:val="008B5DB0"/>
    <w:rsid w:val="008B6B38"/>
    <w:rsid w:val="008B7028"/>
    <w:rsid w:val="008B7953"/>
    <w:rsid w:val="008C0AAD"/>
    <w:rsid w:val="008C0B44"/>
    <w:rsid w:val="008C0E46"/>
    <w:rsid w:val="008C189B"/>
    <w:rsid w:val="008C267C"/>
    <w:rsid w:val="008C28E7"/>
    <w:rsid w:val="008C35F5"/>
    <w:rsid w:val="008C3B72"/>
    <w:rsid w:val="008C3E88"/>
    <w:rsid w:val="008C47E0"/>
    <w:rsid w:val="008C4C58"/>
    <w:rsid w:val="008C567F"/>
    <w:rsid w:val="008C5733"/>
    <w:rsid w:val="008C5FA9"/>
    <w:rsid w:val="008C6ABE"/>
    <w:rsid w:val="008C6F53"/>
    <w:rsid w:val="008C794D"/>
    <w:rsid w:val="008C7CFF"/>
    <w:rsid w:val="008D0060"/>
    <w:rsid w:val="008D21E7"/>
    <w:rsid w:val="008D2650"/>
    <w:rsid w:val="008D379D"/>
    <w:rsid w:val="008D3C2E"/>
    <w:rsid w:val="008D3EF8"/>
    <w:rsid w:val="008D4631"/>
    <w:rsid w:val="008D4A63"/>
    <w:rsid w:val="008D6A1B"/>
    <w:rsid w:val="008D7331"/>
    <w:rsid w:val="008E0E3D"/>
    <w:rsid w:val="008E15FC"/>
    <w:rsid w:val="008E173B"/>
    <w:rsid w:val="008E1A28"/>
    <w:rsid w:val="008E1BEF"/>
    <w:rsid w:val="008E1C37"/>
    <w:rsid w:val="008E23B8"/>
    <w:rsid w:val="008E2A03"/>
    <w:rsid w:val="008E4F09"/>
    <w:rsid w:val="008E523C"/>
    <w:rsid w:val="008E5E6E"/>
    <w:rsid w:val="008E6776"/>
    <w:rsid w:val="008E67CE"/>
    <w:rsid w:val="008E6B9A"/>
    <w:rsid w:val="008E7132"/>
    <w:rsid w:val="008E7B77"/>
    <w:rsid w:val="008F0308"/>
    <w:rsid w:val="008F14B7"/>
    <w:rsid w:val="008F1C5E"/>
    <w:rsid w:val="008F4344"/>
    <w:rsid w:val="008F49D4"/>
    <w:rsid w:val="008F73C1"/>
    <w:rsid w:val="008F7E62"/>
    <w:rsid w:val="009006D0"/>
    <w:rsid w:val="0090085C"/>
    <w:rsid w:val="00901135"/>
    <w:rsid w:val="009013C4"/>
    <w:rsid w:val="00901550"/>
    <w:rsid w:val="00901BF1"/>
    <w:rsid w:val="009027B4"/>
    <w:rsid w:val="00902C3F"/>
    <w:rsid w:val="00902E14"/>
    <w:rsid w:val="0090320D"/>
    <w:rsid w:val="009037A1"/>
    <w:rsid w:val="00903AB2"/>
    <w:rsid w:val="00903E72"/>
    <w:rsid w:val="00903EBD"/>
    <w:rsid w:val="00907946"/>
    <w:rsid w:val="00907C5C"/>
    <w:rsid w:val="00910699"/>
    <w:rsid w:val="009108FC"/>
    <w:rsid w:val="00911170"/>
    <w:rsid w:val="00912571"/>
    <w:rsid w:val="00912A0D"/>
    <w:rsid w:val="00913768"/>
    <w:rsid w:val="0091513B"/>
    <w:rsid w:val="009152B7"/>
    <w:rsid w:val="00915418"/>
    <w:rsid w:val="009155F8"/>
    <w:rsid w:val="00916559"/>
    <w:rsid w:val="00917652"/>
    <w:rsid w:val="00917F2A"/>
    <w:rsid w:val="009201A0"/>
    <w:rsid w:val="009216F5"/>
    <w:rsid w:val="00921BEC"/>
    <w:rsid w:val="00921EF5"/>
    <w:rsid w:val="00921F28"/>
    <w:rsid w:val="00922EEF"/>
    <w:rsid w:val="0092311A"/>
    <w:rsid w:val="00924BAF"/>
    <w:rsid w:val="00925689"/>
    <w:rsid w:val="009258C1"/>
    <w:rsid w:val="009258DB"/>
    <w:rsid w:val="00926902"/>
    <w:rsid w:val="0092772C"/>
    <w:rsid w:val="00927796"/>
    <w:rsid w:val="009321E2"/>
    <w:rsid w:val="00932C5A"/>
    <w:rsid w:val="009332BB"/>
    <w:rsid w:val="00933896"/>
    <w:rsid w:val="009349ED"/>
    <w:rsid w:val="00934B7F"/>
    <w:rsid w:val="00935B8D"/>
    <w:rsid w:val="0093617A"/>
    <w:rsid w:val="00936DDC"/>
    <w:rsid w:val="00937083"/>
    <w:rsid w:val="009371ED"/>
    <w:rsid w:val="009379D2"/>
    <w:rsid w:val="00937A32"/>
    <w:rsid w:val="00937C77"/>
    <w:rsid w:val="00940818"/>
    <w:rsid w:val="00940A99"/>
    <w:rsid w:val="00940BDC"/>
    <w:rsid w:val="00941CEA"/>
    <w:rsid w:val="00942117"/>
    <w:rsid w:val="0094264B"/>
    <w:rsid w:val="00942DA1"/>
    <w:rsid w:val="00943008"/>
    <w:rsid w:val="009436FC"/>
    <w:rsid w:val="00944343"/>
    <w:rsid w:val="009443AA"/>
    <w:rsid w:val="0094537A"/>
    <w:rsid w:val="00945845"/>
    <w:rsid w:val="0094591D"/>
    <w:rsid w:val="00945C3D"/>
    <w:rsid w:val="009500DC"/>
    <w:rsid w:val="00950E5E"/>
    <w:rsid w:val="00950FD3"/>
    <w:rsid w:val="009510CF"/>
    <w:rsid w:val="009522FD"/>
    <w:rsid w:val="009531C3"/>
    <w:rsid w:val="0095447D"/>
    <w:rsid w:val="009544F5"/>
    <w:rsid w:val="00954578"/>
    <w:rsid w:val="00954B0A"/>
    <w:rsid w:val="00954B68"/>
    <w:rsid w:val="00954C96"/>
    <w:rsid w:val="00954F97"/>
    <w:rsid w:val="00955510"/>
    <w:rsid w:val="00955844"/>
    <w:rsid w:val="0095605D"/>
    <w:rsid w:val="00956205"/>
    <w:rsid w:val="00956696"/>
    <w:rsid w:val="00956769"/>
    <w:rsid w:val="00956E98"/>
    <w:rsid w:val="009578E8"/>
    <w:rsid w:val="0096087E"/>
    <w:rsid w:val="0096146C"/>
    <w:rsid w:val="0096193A"/>
    <w:rsid w:val="00962380"/>
    <w:rsid w:val="009623AD"/>
    <w:rsid w:val="009626AA"/>
    <w:rsid w:val="0096304C"/>
    <w:rsid w:val="009634FF"/>
    <w:rsid w:val="00963527"/>
    <w:rsid w:val="0096375D"/>
    <w:rsid w:val="00963E5A"/>
    <w:rsid w:val="009645C2"/>
    <w:rsid w:val="00964626"/>
    <w:rsid w:val="00964C75"/>
    <w:rsid w:val="00964C9F"/>
    <w:rsid w:val="00965B8C"/>
    <w:rsid w:val="00966A29"/>
    <w:rsid w:val="00966F27"/>
    <w:rsid w:val="00970173"/>
    <w:rsid w:val="00970325"/>
    <w:rsid w:val="009704FA"/>
    <w:rsid w:val="009708C6"/>
    <w:rsid w:val="00970B0C"/>
    <w:rsid w:val="00970DB5"/>
    <w:rsid w:val="00970EFE"/>
    <w:rsid w:val="00970FBD"/>
    <w:rsid w:val="009714E4"/>
    <w:rsid w:val="00971A3A"/>
    <w:rsid w:val="00971C43"/>
    <w:rsid w:val="00971CB1"/>
    <w:rsid w:val="00972A5D"/>
    <w:rsid w:val="00972DEE"/>
    <w:rsid w:val="00973851"/>
    <w:rsid w:val="00973B28"/>
    <w:rsid w:val="00974366"/>
    <w:rsid w:val="009746F5"/>
    <w:rsid w:val="00974961"/>
    <w:rsid w:val="009749DE"/>
    <w:rsid w:val="00974A4C"/>
    <w:rsid w:val="0097571D"/>
    <w:rsid w:val="00975FAE"/>
    <w:rsid w:val="0097632E"/>
    <w:rsid w:val="00976B05"/>
    <w:rsid w:val="00976D3F"/>
    <w:rsid w:val="00977016"/>
    <w:rsid w:val="00977804"/>
    <w:rsid w:val="00977A36"/>
    <w:rsid w:val="00977D20"/>
    <w:rsid w:val="00980303"/>
    <w:rsid w:val="009806D2"/>
    <w:rsid w:val="00980CE4"/>
    <w:rsid w:val="00981272"/>
    <w:rsid w:val="009813FC"/>
    <w:rsid w:val="009823B5"/>
    <w:rsid w:val="0098297A"/>
    <w:rsid w:val="00982CD0"/>
    <w:rsid w:val="009830D9"/>
    <w:rsid w:val="0098357E"/>
    <w:rsid w:val="00984EF6"/>
    <w:rsid w:val="0098550E"/>
    <w:rsid w:val="00985CCA"/>
    <w:rsid w:val="00986760"/>
    <w:rsid w:val="0098705D"/>
    <w:rsid w:val="009879D8"/>
    <w:rsid w:val="00987EBF"/>
    <w:rsid w:val="00987FE4"/>
    <w:rsid w:val="00990D66"/>
    <w:rsid w:val="00990DE9"/>
    <w:rsid w:val="00990F44"/>
    <w:rsid w:val="00990FDA"/>
    <w:rsid w:val="009914ED"/>
    <w:rsid w:val="009915A3"/>
    <w:rsid w:val="00992CAB"/>
    <w:rsid w:val="0099314E"/>
    <w:rsid w:val="00993442"/>
    <w:rsid w:val="00993ECB"/>
    <w:rsid w:val="00994291"/>
    <w:rsid w:val="00994766"/>
    <w:rsid w:val="009952E3"/>
    <w:rsid w:val="0099530A"/>
    <w:rsid w:val="00995C79"/>
    <w:rsid w:val="00995CB9"/>
    <w:rsid w:val="00995F51"/>
    <w:rsid w:val="00996DFF"/>
    <w:rsid w:val="009A00EA"/>
    <w:rsid w:val="009A08BE"/>
    <w:rsid w:val="009A14A8"/>
    <w:rsid w:val="009A1804"/>
    <w:rsid w:val="009A232C"/>
    <w:rsid w:val="009A2660"/>
    <w:rsid w:val="009A42C4"/>
    <w:rsid w:val="009A447B"/>
    <w:rsid w:val="009A45EA"/>
    <w:rsid w:val="009A4962"/>
    <w:rsid w:val="009A5713"/>
    <w:rsid w:val="009A6888"/>
    <w:rsid w:val="009B0158"/>
    <w:rsid w:val="009B0596"/>
    <w:rsid w:val="009B088C"/>
    <w:rsid w:val="009B12C1"/>
    <w:rsid w:val="009B1622"/>
    <w:rsid w:val="009B1AEF"/>
    <w:rsid w:val="009B1FBB"/>
    <w:rsid w:val="009B1FCB"/>
    <w:rsid w:val="009B23A9"/>
    <w:rsid w:val="009B2879"/>
    <w:rsid w:val="009B296B"/>
    <w:rsid w:val="009B2A4A"/>
    <w:rsid w:val="009B31A9"/>
    <w:rsid w:val="009B49F1"/>
    <w:rsid w:val="009B59F7"/>
    <w:rsid w:val="009B6CD5"/>
    <w:rsid w:val="009B729E"/>
    <w:rsid w:val="009B761A"/>
    <w:rsid w:val="009B7C9B"/>
    <w:rsid w:val="009C0E38"/>
    <w:rsid w:val="009C0EEC"/>
    <w:rsid w:val="009C106A"/>
    <w:rsid w:val="009C1185"/>
    <w:rsid w:val="009C18CA"/>
    <w:rsid w:val="009C1D3A"/>
    <w:rsid w:val="009C2151"/>
    <w:rsid w:val="009C3658"/>
    <w:rsid w:val="009C36B8"/>
    <w:rsid w:val="009C4CA6"/>
    <w:rsid w:val="009C5CB6"/>
    <w:rsid w:val="009C5F6A"/>
    <w:rsid w:val="009C6591"/>
    <w:rsid w:val="009C6C6A"/>
    <w:rsid w:val="009C6D6B"/>
    <w:rsid w:val="009C7420"/>
    <w:rsid w:val="009C7EFC"/>
    <w:rsid w:val="009D1087"/>
    <w:rsid w:val="009D2279"/>
    <w:rsid w:val="009D22D0"/>
    <w:rsid w:val="009D23D0"/>
    <w:rsid w:val="009D28F8"/>
    <w:rsid w:val="009D2A07"/>
    <w:rsid w:val="009D3ADF"/>
    <w:rsid w:val="009D4A69"/>
    <w:rsid w:val="009D77F1"/>
    <w:rsid w:val="009E3361"/>
    <w:rsid w:val="009E397C"/>
    <w:rsid w:val="009E41B4"/>
    <w:rsid w:val="009E438D"/>
    <w:rsid w:val="009E4C92"/>
    <w:rsid w:val="009E6386"/>
    <w:rsid w:val="009E699C"/>
    <w:rsid w:val="009E6A2D"/>
    <w:rsid w:val="009E6B07"/>
    <w:rsid w:val="009E71AF"/>
    <w:rsid w:val="009E7B6D"/>
    <w:rsid w:val="009E7C9E"/>
    <w:rsid w:val="009F04BE"/>
    <w:rsid w:val="009F0DAD"/>
    <w:rsid w:val="009F13DB"/>
    <w:rsid w:val="009F166F"/>
    <w:rsid w:val="009F174F"/>
    <w:rsid w:val="009F2059"/>
    <w:rsid w:val="009F2BB0"/>
    <w:rsid w:val="009F37F1"/>
    <w:rsid w:val="009F41AF"/>
    <w:rsid w:val="009F4550"/>
    <w:rsid w:val="009F6DEB"/>
    <w:rsid w:val="009F7732"/>
    <w:rsid w:val="009F7FFB"/>
    <w:rsid w:val="00A00487"/>
    <w:rsid w:val="00A0064B"/>
    <w:rsid w:val="00A00B0C"/>
    <w:rsid w:val="00A01320"/>
    <w:rsid w:val="00A01AB9"/>
    <w:rsid w:val="00A01DED"/>
    <w:rsid w:val="00A02FCC"/>
    <w:rsid w:val="00A037AA"/>
    <w:rsid w:val="00A04180"/>
    <w:rsid w:val="00A049D9"/>
    <w:rsid w:val="00A0593B"/>
    <w:rsid w:val="00A05C40"/>
    <w:rsid w:val="00A05F17"/>
    <w:rsid w:val="00A0606B"/>
    <w:rsid w:val="00A073F0"/>
    <w:rsid w:val="00A07584"/>
    <w:rsid w:val="00A105EB"/>
    <w:rsid w:val="00A10848"/>
    <w:rsid w:val="00A11839"/>
    <w:rsid w:val="00A11F70"/>
    <w:rsid w:val="00A122AA"/>
    <w:rsid w:val="00A12741"/>
    <w:rsid w:val="00A1625F"/>
    <w:rsid w:val="00A1710A"/>
    <w:rsid w:val="00A174FB"/>
    <w:rsid w:val="00A178D3"/>
    <w:rsid w:val="00A17AA1"/>
    <w:rsid w:val="00A2025A"/>
    <w:rsid w:val="00A21072"/>
    <w:rsid w:val="00A210C3"/>
    <w:rsid w:val="00A227E7"/>
    <w:rsid w:val="00A23B67"/>
    <w:rsid w:val="00A24754"/>
    <w:rsid w:val="00A2484F"/>
    <w:rsid w:val="00A24EF9"/>
    <w:rsid w:val="00A25E0A"/>
    <w:rsid w:val="00A25E37"/>
    <w:rsid w:val="00A263A8"/>
    <w:rsid w:val="00A26E60"/>
    <w:rsid w:val="00A2744F"/>
    <w:rsid w:val="00A30BE8"/>
    <w:rsid w:val="00A310C5"/>
    <w:rsid w:val="00A313C9"/>
    <w:rsid w:val="00A31501"/>
    <w:rsid w:val="00A31A05"/>
    <w:rsid w:val="00A322E8"/>
    <w:rsid w:val="00A330D1"/>
    <w:rsid w:val="00A34611"/>
    <w:rsid w:val="00A36742"/>
    <w:rsid w:val="00A3693F"/>
    <w:rsid w:val="00A36A16"/>
    <w:rsid w:val="00A37835"/>
    <w:rsid w:val="00A40187"/>
    <w:rsid w:val="00A40B6B"/>
    <w:rsid w:val="00A40DA6"/>
    <w:rsid w:val="00A416F3"/>
    <w:rsid w:val="00A4180F"/>
    <w:rsid w:val="00A42630"/>
    <w:rsid w:val="00A42631"/>
    <w:rsid w:val="00A42786"/>
    <w:rsid w:val="00A428AC"/>
    <w:rsid w:val="00A429A3"/>
    <w:rsid w:val="00A43DA3"/>
    <w:rsid w:val="00A44119"/>
    <w:rsid w:val="00A4450E"/>
    <w:rsid w:val="00A44E25"/>
    <w:rsid w:val="00A4550E"/>
    <w:rsid w:val="00A4634F"/>
    <w:rsid w:val="00A4706A"/>
    <w:rsid w:val="00A473F9"/>
    <w:rsid w:val="00A47C6D"/>
    <w:rsid w:val="00A50471"/>
    <w:rsid w:val="00A50EA1"/>
    <w:rsid w:val="00A50FA1"/>
    <w:rsid w:val="00A51E8A"/>
    <w:rsid w:val="00A51F9D"/>
    <w:rsid w:val="00A52167"/>
    <w:rsid w:val="00A53EBB"/>
    <w:rsid w:val="00A546A9"/>
    <w:rsid w:val="00A549AB"/>
    <w:rsid w:val="00A55BED"/>
    <w:rsid w:val="00A56FCB"/>
    <w:rsid w:val="00A5756E"/>
    <w:rsid w:val="00A57A77"/>
    <w:rsid w:val="00A57CA0"/>
    <w:rsid w:val="00A600D8"/>
    <w:rsid w:val="00A61302"/>
    <w:rsid w:val="00A614B1"/>
    <w:rsid w:val="00A61673"/>
    <w:rsid w:val="00A61977"/>
    <w:rsid w:val="00A619A3"/>
    <w:rsid w:val="00A61D59"/>
    <w:rsid w:val="00A629A3"/>
    <w:rsid w:val="00A632FB"/>
    <w:rsid w:val="00A63310"/>
    <w:rsid w:val="00A6380E"/>
    <w:rsid w:val="00A6434F"/>
    <w:rsid w:val="00A6492C"/>
    <w:rsid w:val="00A651C1"/>
    <w:rsid w:val="00A658F6"/>
    <w:rsid w:val="00A65954"/>
    <w:rsid w:val="00A65C06"/>
    <w:rsid w:val="00A71F3C"/>
    <w:rsid w:val="00A7264C"/>
    <w:rsid w:val="00A72A2B"/>
    <w:rsid w:val="00A738D8"/>
    <w:rsid w:val="00A73F6B"/>
    <w:rsid w:val="00A74A0F"/>
    <w:rsid w:val="00A75AFF"/>
    <w:rsid w:val="00A7636A"/>
    <w:rsid w:val="00A76657"/>
    <w:rsid w:val="00A766FF"/>
    <w:rsid w:val="00A768F5"/>
    <w:rsid w:val="00A77589"/>
    <w:rsid w:val="00A8118E"/>
    <w:rsid w:val="00A81D8F"/>
    <w:rsid w:val="00A821C9"/>
    <w:rsid w:val="00A82EB9"/>
    <w:rsid w:val="00A84995"/>
    <w:rsid w:val="00A84EF6"/>
    <w:rsid w:val="00A85835"/>
    <w:rsid w:val="00A8601C"/>
    <w:rsid w:val="00A863F8"/>
    <w:rsid w:val="00A86B82"/>
    <w:rsid w:val="00A8729F"/>
    <w:rsid w:val="00A908B5"/>
    <w:rsid w:val="00A916B9"/>
    <w:rsid w:val="00A91BF1"/>
    <w:rsid w:val="00A91FDB"/>
    <w:rsid w:val="00A923F7"/>
    <w:rsid w:val="00A9258C"/>
    <w:rsid w:val="00A92738"/>
    <w:rsid w:val="00A929BC"/>
    <w:rsid w:val="00A93291"/>
    <w:rsid w:val="00A935F6"/>
    <w:rsid w:val="00A93B2C"/>
    <w:rsid w:val="00A93BFF"/>
    <w:rsid w:val="00A9419F"/>
    <w:rsid w:val="00A96376"/>
    <w:rsid w:val="00A968E7"/>
    <w:rsid w:val="00A96F1D"/>
    <w:rsid w:val="00AA0FDE"/>
    <w:rsid w:val="00AA1767"/>
    <w:rsid w:val="00AA2A08"/>
    <w:rsid w:val="00AA2D6D"/>
    <w:rsid w:val="00AA37EC"/>
    <w:rsid w:val="00AA4060"/>
    <w:rsid w:val="00AA4D5F"/>
    <w:rsid w:val="00AA5127"/>
    <w:rsid w:val="00AA520F"/>
    <w:rsid w:val="00AA5BCA"/>
    <w:rsid w:val="00AA5CE1"/>
    <w:rsid w:val="00AA6118"/>
    <w:rsid w:val="00AA6633"/>
    <w:rsid w:val="00AA687F"/>
    <w:rsid w:val="00AA774D"/>
    <w:rsid w:val="00AA7E15"/>
    <w:rsid w:val="00AA7F60"/>
    <w:rsid w:val="00AB0278"/>
    <w:rsid w:val="00AB1F9A"/>
    <w:rsid w:val="00AB2716"/>
    <w:rsid w:val="00AB2763"/>
    <w:rsid w:val="00AB3291"/>
    <w:rsid w:val="00AB3795"/>
    <w:rsid w:val="00AB52D9"/>
    <w:rsid w:val="00AB5373"/>
    <w:rsid w:val="00AB5A2B"/>
    <w:rsid w:val="00AB6CA6"/>
    <w:rsid w:val="00AC1AD5"/>
    <w:rsid w:val="00AC226E"/>
    <w:rsid w:val="00AC3652"/>
    <w:rsid w:val="00AC3E0A"/>
    <w:rsid w:val="00AC4139"/>
    <w:rsid w:val="00AC52A1"/>
    <w:rsid w:val="00AC623B"/>
    <w:rsid w:val="00AC6311"/>
    <w:rsid w:val="00AC7EF4"/>
    <w:rsid w:val="00AD0510"/>
    <w:rsid w:val="00AD1D0E"/>
    <w:rsid w:val="00AD2AFD"/>
    <w:rsid w:val="00AD2FB4"/>
    <w:rsid w:val="00AD3894"/>
    <w:rsid w:val="00AD3DF9"/>
    <w:rsid w:val="00AD40D5"/>
    <w:rsid w:val="00AD467D"/>
    <w:rsid w:val="00AD587E"/>
    <w:rsid w:val="00AD58C5"/>
    <w:rsid w:val="00AD622A"/>
    <w:rsid w:val="00AD6238"/>
    <w:rsid w:val="00AD6B88"/>
    <w:rsid w:val="00AD7130"/>
    <w:rsid w:val="00AE03D1"/>
    <w:rsid w:val="00AE1B09"/>
    <w:rsid w:val="00AE1D2D"/>
    <w:rsid w:val="00AE2679"/>
    <w:rsid w:val="00AE3198"/>
    <w:rsid w:val="00AE3480"/>
    <w:rsid w:val="00AE4817"/>
    <w:rsid w:val="00AE4B73"/>
    <w:rsid w:val="00AE4C3D"/>
    <w:rsid w:val="00AE5BF3"/>
    <w:rsid w:val="00AE6D14"/>
    <w:rsid w:val="00AF01ED"/>
    <w:rsid w:val="00AF0944"/>
    <w:rsid w:val="00AF2162"/>
    <w:rsid w:val="00AF3B18"/>
    <w:rsid w:val="00AF45CB"/>
    <w:rsid w:val="00AF4840"/>
    <w:rsid w:val="00AF4854"/>
    <w:rsid w:val="00AF48D6"/>
    <w:rsid w:val="00AF4FCA"/>
    <w:rsid w:val="00AF5076"/>
    <w:rsid w:val="00AF633B"/>
    <w:rsid w:val="00AF791F"/>
    <w:rsid w:val="00AF7C1D"/>
    <w:rsid w:val="00B00D8F"/>
    <w:rsid w:val="00B00DFE"/>
    <w:rsid w:val="00B010F5"/>
    <w:rsid w:val="00B0164A"/>
    <w:rsid w:val="00B01AF1"/>
    <w:rsid w:val="00B02301"/>
    <w:rsid w:val="00B028DE"/>
    <w:rsid w:val="00B02C0A"/>
    <w:rsid w:val="00B036C8"/>
    <w:rsid w:val="00B041B0"/>
    <w:rsid w:val="00B04301"/>
    <w:rsid w:val="00B04C6C"/>
    <w:rsid w:val="00B05B9F"/>
    <w:rsid w:val="00B05FF7"/>
    <w:rsid w:val="00B06464"/>
    <w:rsid w:val="00B07C91"/>
    <w:rsid w:val="00B07F41"/>
    <w:rsid w:val="00B11BBC"/>
    <w:rsid w:val="00B11C35"/>
    <w:rsid w:val="00B12565"/>
    <w:rsid w:val="00B12BE9"/>
    <w:rsid w:val="00B13EEE"/>
    <w:rsid w:val="00B14795"/>
    <w:rsid w:val="00B156D5"/>
    <w:rsid w:val="00B15BAB"/>
    <w:rsid w:val="00B1693C"/>
    <w:rsid w:val="00B16AA0"/>
    <w:rsid w:val="00B2091E"/>
    <w:rsid w:val="00B22EAB"/>
    <w:rsid w:val="00B23E14"/>
    <w:rsid w:val="00B24468"/>
    <w:rsid w:val="00B25E2A"/>
    <w:rsid w:val="00B2654E"/>
    <w:rsid w:val="00B267B7"/>
    <w:rsid w:val="00B26DCC"/>
    <w:rsid w:val="00B270C6"/>
    <w:rsid w:val="00B27A10"/>
    <w:rsid w:val="00B31393"/>
    <w:rsid w:val="00B31A46"/>
    <w:rsid w:val="00B31DB5"/>
    <w:rsid w:val="00B32647"/>
    <w:rsid w:val="00B33490"/>
    <w:rsid w:val="00B34451"/>
    <w:rsid w:val="00B347BC"/>
    <w:rsid w:val="00B34E00"/>
    <w:rsid w:val="00B350DF"/>
    <w:rsid w:val="00B356CB"/>
    <w:rsid w:val="00B36036"/>
    <w:rsid w:val="00B36A65"/>
    <w:rsid w:val="00B374D8"/>
    <w:rsid w:val="00B37729"/>
    <w:rsid w:val="00B40D48"/>
    <w:rsid w:val="00B4144B"/>
    <w:rsid w:val="00B41761"/>
    <w:rsid w:val="00B42113"/>
    <w:rsid w:val="00B429B5"/>
    <w:rsid w:val="00B42DAA"/>
    <w:rsid w:val="00B42E98"/>
    <w:rsid w:val="00B435F9"/>
    <w:rsid w:val="00B43C66"/>
    <w:rsid w:val="00B453B2"/>
    <w:rsid w:val="00B45982"/>
    <w:rsid w:val="00B46E10"/>
    <w:rsid w:val="00B479D8"/>
    <w:rsid w:val="00B51098"/>
    <w:rsid w:val="00B515E6"/>
    <w:rsid w:val="00B51664"/>
    <w:rsid w:val="00B51AE8"/>
    <w:rsid w:val="00B52A6B"/>
    <w:rsid w:val="00B53DFC"/>
    <w:rsid w:val="00B53E5A"/>
    <w:rsid w:val="00B54195"/>
    <w:rsid w:val="00B54768"/>
    <w:rsid w:val="00B55A93"/>
    <w:rsid w:val="00B56332"/>
    <w:rsid w:val="00B567C7"/>
    <w:rsid w:val="00B57544"/>
    <w:rsid w:val="00B5759C"/>
    <w:rsid w:val="00B5790F"/>
    <w:rsid w:val="00B60B92"/>
    <w:rsid w:val="00B60D1C"/>
    <w:rsid w:val="00B6348C"/>
    <w:rsid w:val="00B634CA"/>
    <w:rsid w:val="00B6447E"/>
    <w:rsid w:val="00B6510F"/>
    <w:rsid w:val="00B6570D"/>
    <w:rsid w:val="00B65E95"/>
    <w:rsid w:val="00B66219"/>
    <w:rsid w:val="00B66D71"/>
    <w:rsid w:val="00B66E0B"/>
    <w:rsid w:val="00B67453"/>
    <w:rsid w:val="00B67732"/>
    <w:rsid w:val="00B67990"/>
    <w:rsid w:val="00B67D81"/>
    <w:rsid w:val="00B67E9E"/>
    <w:rsid w:val="00B67EA2"/>
    <w:rsid w:val="00B70297"/>
    <w:rsid w:val="00B702B3"/>
    <w:rsid w:val="00B70942"/>
    <w:rsid w:val="00B70B32"/>
    <w:rsid w:val="00B712C3"/>
    <w:rsid w:val="00B722F5"/>
    <w:rsid w:val="00B723B7"/>
    <w:rsid w:val="00B7271B"/>
    <w:rsid w:val="00B73028"/>
    <w:rsid w:val="00B731C6"/>
    <w:rsid w:val="00B733B0"/>
    <w:rsid w:val="00B7410F"/>
    <w:rsid w:val="00B74D55"/>
    <w:rsid w:val="00B754B7"/>
    <w:rsid w:val="00B7552B"/>
    <w:rsid w:val="00B77541"/>
    <w:rsid w:val="00B775B0"/>
    <w:rsid w:val="00B80360"/>
    <w:rsid w:val="00B8102E"/>
    <w:rsid w:val="00B817E7"/>
    <w:rsid w:val="00B81D70"/>
    <w:rsid w:val="00B827EE"/>
    <w:rsid w:val="00B82CBC"/>
    <w:rsid w:val="00B82DD8"/>
    <w:rsid w:val="00B83B05"/>
    <w:rsid w:val="00B83D01"/>
    <w:rsid w:val="00B84211"/>
    <w:rsid w:val="00B842A6"/>
    <w:rsid w:val="00B84BB5"/>
    <w:rsid w:val="00B861E7"/>
    <w:rsid w:val="00B86244"/>
    <w:rsid w:val="00B8743A"/>
    <w:rsid w:val="00B87D91"/>
    <w:rsid w:val="00B905DE"/>
    <w:rsid w:val="00B90806"/>
    <w:rsid w:val="00B911C2"/>
    <w:rsid w:val="00B91EF4"/>
    <w:rsid w:val="00B93F69"/>
    <w:rsid w:val="00B94740"/>
    <w:rsid w:val="00B9526F"/>
    <w:rsid w:val="00B95289"/>
    <w:rsid w:val="00B954CD"/>
    <w:rsid w:val="00B95803"/>
    <w:rsid w:val="00B95E19"/>
    <w:rsid w:val="00B964E9"/>
    <w:rsid w:val="00B96802"/>
    <w:rsid w:val="00B96D3A"/>
    <w:rsid w:val="00BA1335"/>
    <w:rsid w:val="00BA22F5"/>
    <w:rsid w:val="00BA2746"/>
    <w:rsid w:val="00BA39E9"/>
    <w:rsid w:val="00BA4748"/>
    <w:rsid w:val="00BA4C43"/>
    <w:rsid w:val="00BA5144"/>
    <w:rsid w:val="00BA53CF"/>
    <w:rsid w:val="00BA74DE"/>
    <w:rsid w:val="00BA77D6"/>
    <w:rsid w:val="00BA7F10"/>
    <w:rsid w:val="00BB00C9"/>
    <w:rsid w:val="00BB1058"/>
    <w:rsid w:val="00BB10E6"/>
    <w:rsid w:val="00BB1B08"/>
    <w:rsid w:val="00BB3B46"/>
    <w:rsid w:val="00BB7820"/>
    <w:rsid w:val="00BC0101"/>
    <w:rsid w:val="00BC01E2"/>
    <w:rsid w:val="00BC1435"/>
    <w:rsid w:val="00BC2B37"/>
    <w:rsid w:val="00BC3465"/>
    <w:rsid w:val="00BC37AE"/>
    <w:rsid w:val="00BC3E69"/>
    <w:rsid w:val="00BC4C93"/>
    <w:rsid w:val="00BC53BE"/>
    <w:rsid w:val="00BC57AD"/>
    <w:rsid w:val="00BC5D38"/>
    <w:rsid w:val="00BC7657"/>
    <w:rsid w:val="00BD0F57"/>
    <w:rsid w:val="00BD1119"/>
    <w:rsid w:val="00BD16C4"/>
    <w:rsid w:val="00BD1EED"/>
    <w:rsid w:val="00BD2BCF"/>
    <w:rsid w:val="00BD369D"/>
    <w:rsid w:val="00BD3C63"/>
    <w:rsid w:val="00BD3FAA"/>
    <w:rsid w:val="00BD445A"/>
    <w:rsid w:val="00BD5914"/>
    <w:rsid w:val="00BD598D"/>
    <w:rsid w:val="00BD5DF3"/>
    <w:rsid w:val="00BD6465"/>
    <w:rsid w:val="00BD6568"/>
    <w:rsid w:val="00BD66A8"/>
    <w:rsid w:val="00BD768A"/>
    <w:rsid w:val="00BD7BE7"/>
    <w:rsid w:val="00BE0B96"/>
    <w:rsid w:val="00BE0BBA"/>
    <w:rsid w:val="00BE16A4"/>
    <w:rsid w:val="00BE1733"/>
    <w:rsid w:val="00BE2037"/>
    <w:rsid w:val="00BE221B"/>
    <w:rsid w:val="00BE2D4F"/>
    <w:rsid w:val="00BE35BF"/>
    <w:rsid w:val="00BE37ED"/>
    <w:rsid w:val="00BE3ADE"/>
    <w:rsid w:val="00BE4771"/>
    <w:rsid w:val="00BE4817"/>
    <w:rsid w:val="00BE59AD"/>
    <w:rsid w:val="00BE5BD3"/>
    <w:rsid w:val="00BE6EBE"/>
    <w:rsid w:val="00BE6F75"/>
    <w:rsid w:val="00BE7196"/>
    <w:rsid w:val="00BE71A4"/>
    <w:rsid w:val="00BE79DD"/>
    <w:rsid w:val="00BF0007"/>
    <w:rsid w:val="00BF0018"/>
    <w:rsid w:val="00BF0B73"/>
    <w:rsid w:val="00BF1774"/>
    <w:rsid w:val="00BF228B"/>
    <w:rsid w:val="00BF230B"/>
    <w:rsid w:val="00BF2353"/>
    <w:rsid w:val="00BF2E07"/>
    <w:rsid w:val="00BF3B36"/>
    <w:rsid w:val="00BF4B13"/>
    <w:rsid w:val="00BF6B0E"/>
    <w:rsid w:val="00BF6B15"/>
    <w:rsid w:val="00C01008"/>
    <w:rsid w:val="00C013E0"/>
    <w:rsid w:val="00C014A8"/>
    <w:rsid w:val="00C017F1"/>
    <w:rsid w:val="00C03957"/>
    <w:rsid w:val="00C048E6"/>
    <w:rsid w:val="00C05488"/>
    <w:rsid w:val="00C06D99"/>
    <w:rsid w:val="00C0704E"/>
    <w:rsid w:val="00C070CB"/>
    <w:rsid w:val="00C10711"/>
    <w:rsid w:val="00C12562"/>
    <w:rsid w:val="00C12A15"/>
    <w:rsid w:val="00C1440D"/>
    <w:rsid w:val="00C1580C"/>
    <w:rsid w:val="00C15842"/>
    <w:rsid w:val="00C15A36"/>
    <w:rsid w:val="00C16E9D"/>
    <w:rsid w:val="00C17557"/>
    <w:rsid w:val="00C1756D"/>
    <w:rsid w:val="00C17646"/>
    <w:rsid w:val="00C20172"/>
    <w:rsid w:val="00C207F9"/>
    <w:rsid w:val="00C21D77"/>
    <w:rsid w:val="00C2212A"/>
    <w:rsid w:val="00C22570"/>
    <w:rsid w:val="00C22A11"/>
    <w:rsid w:val="00C22C03"/>
    <w:rsid w:val="00C23765"/>
    <w:rsid w:val="00C23949"/>
    <w:rsid w:val="00C23F7E"/>
    <w:rsid w:val="00C2414F"/>
    <w:rsid w:val="00C2548F"/>
    <w:rsid w:val="00C26321"/>
    <w:rsid w:val="00C3041F"/>
    <w:rsid w:val="00C30C4F"/>
    <w:rsid w:val="00C316B6"/>
    <w:rsid w:val="00C31B4E"/>
    <w:rsid w:val="00C31D44"/>
    <w:rsid w:val="00C31F74"/>
    <w:rsid w:val="00C34E59"/>
    <w:rsid w:val="00C36883"/>
    <w:rsid w:val="00C36C69"/>
    <w:rsid w:val="00C36F21"/>
    <w:rsid w:val="00C37048"/>
    <w:rsid w:val="00C370C4"/>
    <w:rsid w:val="00C419E7"/>
    <w:rsid w:val="00C420F5"/>
    <w:rsid w:val="00C42F02"/>
    <w:rsid w:val="00C4501E"/>
    <w:rsid w:val="00C45BDC"/>
    <w:rsid w:val="00C45C0E"/>
    <w:rsid w:val="00C46209"/>
    <w:rsid w:val="00C462B0"/>
    <w:rsid w:val="00C46659"/>
    <w:rsid w:val="00C504ED"/>
    <w:rsid w:val="00C507B6"/>
    <w:rsid w:val="00C515D1"/>
    <w:rsid w:val="00C5167C"/>
    <w:rsid w:val="00C51DE6"/>
    <w:rsid w:val="00C5230D"/>
    <w:rsid w:val="00C52333"/>
    <w:rsid w:val="00C52FE0"/>
    <w:rsid w:val="00C53674"/>
    <w:rsid w:val="00C548D1"/>
    <w:rsid w:val="00C549B9"/>
    <w:rsid w:val="00C555E0"/>
    <w:rsid w:val="00C5607B"/>
    <w:rsid w:val="00C563DF"/>
    <w:rsid w:val="00C60355"/>
    <w:rsid w:val="00C60BF8"/>
    <w:rsid w:val="00C6141F"/>
    <w:rsid w:val="00C61A6D"/>
    <w:rsid w:val="00C61B14"/>
    <w:rsid w:val="00C61E44"/>
    <w:rsid w:val="00C61EEF"/>
    <w:rsid w:val="00C62341"/>
    <w:rsid w:val="00C634EC"/>
    <w:rsid w:val="00C646C5"/>
    <w:rsid w:val="00C64A8B"/>
    <w:rsid w:val="00C65186"/>
    <w:rsid w:val="00C65C13"/>
    <w:rsid w:val="00C663F5"/>
    <w:rsid w:val="00C66878"/>
    <w:rsid w:val="00C6689C"/>
    <w:rsid w:val="00C670F5"/>
    <w:rsid w:val="00C67260"/>
    <w:rsid w:val="00C702AE"/>
    <w:rsid w:val="00C704B4"/>
    <w:rsid w:val="00C705D4"/>
    <w:rsid w:val="00C7075E"/>
    <w:rsid w:val="00C707C7"/>
    <w:rsid w:val="00C70801"/>
    <w:rsid w:val="00C70BFC"/>
    <w:rsid w:val="00C71278"/>
    <w:rsid w:val="00C71397"/>
    <w:rsid w:val="00C71DB3"/>
    <w:rsid w:val="00C71E45"/>
    <w:rsid w:val="00C727DE"/>
    <w:rsid w:val="00C729EF"/>
    <w:rsid w:val="00C72C82"/>
    <w:rsid w:val="00C73A6E"/>
    <w:rsid w:val="00C7425F"/>
    <w:rsid w:val="00C74902"/>
    <w:rsid w:val="00C74C32"/>
    <w:rsid w:val="00C75491"/>
    <w:rsid w:val="00C76AEA"/>
    <w:rsid w:val="00C76FBB"/>
    <w:rsid w:val="00C775DA"/>
    <w:rsid w:val="00C77616"/>
    <w:rsid w:val="00C803C2"/>
    <w:rsid w:val="00C80407"/>
    <w:rsid w:val="00C805EB"/>
    <w:rsid w:val="00C815AD"/>
    <w:rsid w:val="00C81C8A"/>
    <w:rsid w:val="00C826E1"/>
    <w:rsid w:val="00C8323F"/>
    <w:rsid w:val="00C835D1"/>
    <w:rsid w:val="00C8380A"/>
    <w:rsid w:val="00C839A4"/>
    <w:rsid w:val="00C86951"/>
    <w:rsid w:val="00C86F48"/>
    <w:rsid w:val="00C870EE"/>
    <w:rsid w:val="00C875B3"/>
    <w:rsid w:val="00C8789D"/>
    <w:rsid w:val="00C91425"/>
    <w:rsid w:val="00C9383A"/>
    <w:rsid w:val="00C95E32"/>
    <w:rsid w:val="00C961D3"/>
    <w:rsid w:val="00C96378"/>
    <w:rsid w:val="00C97309"/>
    <w:rsid w:val="00C978D5"/>
    <w:rsid w:val="00C978F6"/>
    <w:rsid w:val="00CA0722"/>
    <w:rsid w:val="00CA0899"/>
    <w:rsid w:val="00CA0B62"/>
    <w:rsid w:val="00CA144F"/>
    <w:rsid w:val="00CA1B3B"/>
    <w:rsid w:val="00CA200F"/>
    <w:rsid w:val="00CA2346"/>
    <w:rsid w:val="00CA2463"/>
    <w:rsid w:val="00CA278C"/>
    <w:rsid w:val="00CA31B3"/>
    <w:rsid w:val="00CA3413"/>
    <w:rsid w:val="00CA3F2B"/>
    <w:rsid w:val="00CA42F4"/>
    <w:rsid w:val="00CA50AE"/>
    <w:rsid w:val="00CA5D2A"/>
    <w:rsid w:val="00CA764E"/>
    <w:rsid w:val="00CB002E"/>
    <w:rsid w:val="00CB0737"/>
    <w:rsid w:val="00CB0840"/>
    <w:rsid w:val="00CB08CE"/>
    <w:rsid w:val="00CB1659"/>
    <w:rsid w:val="00CB1826"/>
    <w:rsid w:val="00CB1910"/>
    <w:rsid w:val="00CB1E12"/>
    <w:rsid w:val="00CB3B81"/>
    <w:rsid w:val="00CB3DBD"/>
    <w:rsid w:val="00CB3DCF"/>
    <w:rsid w:val="00CB49B4"/>
    <w:rsid w:val="00CB4FC0"/>
    <w:rsid w:val="00CB674C"/>
    <w:rsid w:val="00CB77BE"/>
    <w:rsid w:val="00CC2238"/>
    <w:rsid w:val="00CC24CB"/>
    <w:rsid w:val="00CC2E0C"/>
    <w:rsid w:val="00CC3A47"/>
    <w:rsid w:val="00CC40B1"/>
    <w:rsid w:val="00CC40E3"/>
    <w:rsid w:val="00CC4FE6"/>
    <w:rsid w:val="00CC51CF"/>
    <w:rsid w:val="00CC52B8"/>
    <w:rsid w:val="00CC5B1F"/>
    <w:rsid w:val="00CC6C18"/>
    <w:rsid w:val="00CC7553"/>
    <w:rsid w:val="00CC7C59"/>
    <w:rsid w:val="00CC7D0E"/>
    <w:rsid w:val="00CD0176"/>
    <w:rsid w:val="00CD1484"/>
    <w:rsid w:val="00CD1CD4"/>
    <w:rsid w:val="00CD3930"/>
    <w:rsid w:val="00CD45CD"/>
    <w:rsid w:val="00CD49D8"/>
    <w:rsid w:val="00CD4CC8"/>
    <w:rsid w:val="00CD4D00"/>
    <w:rsid w:val="00CD56CE"/>
    <w:rsid w:val="00CD60DC"/>
    <w:rsid w:val="00CD6795"/>
    <w:rsid w:val="00CD6A61"/>
    <w:rsid w:val="00CD6B0E"/>
    <w:rsid w:val="00CD6D5B"/>
    <w:rsid w:val="00CD6F64"/>
    <w:rsid w:val="00CD784D"/>
    <w:rsid w:val="00CD7F70"/>
    <w:rsid w:val="00CE0DA1"/>
    <w:rsid w:val="00CE1222"/>
    <w:rsid w:val="00CE125D"/>
    <w:rsid w:val="00CE179E"/>
    <w:rsid w:val="00CE198E"/>
    <w:rsid w:val="00CE1D73"/>
    <w:rsid w:val="00CE237C"/>
    <w:rsid w:val="00CE3690"/>
    <w:rsid w:val="00CE3D10"/>
    <w:rsid w:val="00CE52C0"/>
    <w:rsid w:val="00CE53B1"/>
    <w:rsid w:val="00CE5C31"/>
    <w:rsid w:val="00CE6B49"/>
    <w:rsid w:val="00CE6B9E"/>
    <w:rsid w:val="00CE6D42"/>
    <w:rsid w:val="00CE6D71"/>
    <w:rsid w:val="00CE722C"/>
    <w:rsid w:val="00CE7846"/>
    <w:rsid w:val="00CE7A96"/>
    <w:rsid w:val="00CF06C6"/>
    <w:rsid w:val="00CF0AF5"/>
    <w:rsid w:val="00CF0CF2"/>
    <w:rsid w:val="00CF161C"/>
    <w:rsid w:val="00CF1BF0"/>
    <w:rsid w:val="00CF27AE"/>
    <w:rsid w:val="00CF2E3A"/>
    <w:rsid w:val="00CF35B5"/>
    <w:rsid w:val="00CF47A5"/>
    <w:rsid w:val="00CF4E1B"/>
    <w:rsid w:val="00CF5486"/>
    <w:rsid w:val="00CF61A0"/>
    <w:rsid w:val="00CF7B5E"/>
    <w:rsid w:val="00D0145E"/>
    <w:rsid w:val="00D01B24"/>
    <w:rsid w:val="00D024C1"/>
    <w:rsid w:val="00D027F3"/>
    <w:rsid w:val="00D028FF"/>
    <w:rsid w:val="00D02DE1"/>
    <w:rsid w:val="00D02EA6"/>
    <w:rsid w:val="00D03453"/>
    <w:rsid w:val="00D0471D"/>
    <w:rsid w:val="00D053C2"/>
    <w:rsid w:val="00D058F0"/>
    <w:rsid w:val="00D05B78"/>
    <w:rsid w:val="00D05C39"/>
    <w:rsid w:val="00D073EA"/>
    <w:rsid w:val="00D0768D"/>
    <w:rsid w:val="00D07FB2"/>
    <w:rsid w:val="00D116CE"/>
    <w:rsid w:val="00D11B4A"/>
    <w:rsid w:val="00D11DC6"/>
    <w:rsid w:val="00D11FC0"/>
    <w:rsid w:val="00D12147"/>
    <w:rsid w:val="00D12D2F"/>
    <w:rsid w:val="00D13031"/>
    <w:rsid w:val="00D131F9"/>
    <w:rsid w:val="00D13A95"/>
    <w:rsid w:val="00D13FAE"/>
    <w:rsid w:val="00D1649D"/>
    <w:rsid w:val="00D16741"/>
    <w:rsid w:val="00D167E3"/>
    <w:rsid w:val="00D17166"/>
    <w:rsid w:val="00D174D8"/>
    <w:rsid w:val="00D17FC0"/>
    <w:rsid w:val="00D212D3"/>
    <w:rsid w:val="00D21928"/>
    <w:rsid w:val="00D21FA3"/>
    <w:rsid w:val="00D21FBC"/>
    <w:rsid w:val="00D235DF"/>
    <w:rsid w:val="00D239DC"/>
    <w:rsid w:val="00D24FDA"/>
    <w:rsid w:val="00D25CBF"/>
    <w:rsid w:val="00D268D3"/>
    <w:rsid w:val="00D27EDD"/>
    <w:rsid w:val="00D30304"/>
    <w:rsid w:val="00D313E8"/>
    <w:rsid w:val="00D31A94"/>
    <w:rsid w:val="00D3358B"/>
    <w:rsid w:val="00D343B8"/>
    <w:rsid w:val="00D345BD"/>
    <w:rsid w:val="00D34936"/>
    <w:rsid w:val="00D34BE5"/>
    <w:rsid w:val="00D34E51"/>
    <w:rsid w:val="00D3513C"/>
    <w:rsid w:val="00D36018"/>
    <w:rsid w:val="00D36137"/>
    <w:rsid w:val="00D362DB"/>
    <w:rsid w:val="00D36D07"/>
    <w:rsid w:val="00D3718E"/>
    <w:rsid w:val="00D37206"/>
    <w:rsid w:val="00D372F3"/>
    <w:rsid w:val="00D3777E"/>
    <w:rsid w:val="00D411F2"/>
    <w:rsid w:val="00D41E88"/>
    <w:rsid w:val="00D421B5"/>
    <w:rsid w:val="00D433E6"/>
    <w:rsid w:val="00D43473"/>
    <w:rsid w:val="00D434CB"/>
    <w:rsid w:val="00D4381B"/>
    <w:rsid w:val="00D43BCF"/>
    <w:rsid w:val="00D442C3"/>
    <w:rsid w:val="00D44506"/>
    <w:rsid w:val="00D44605"/>
    <w:rsid w:val="00D44FEE"/>
    <w:rsid w:val="00D45502"/>
    <w:rsid w:val="00D47684"/>
    <w:rsid w:val="00D47A52"/>
    <w:rsid w:val="00D47E0B"/>
    <w:rsid w:val="00D51C7C"/>
    <w:rsid w:val="00D528D7"/>
    <w:rsid w:val="00D5302F"/>
    <w:rsid w:val="00D53F0D"/>
    <w:rsid w:val="00D5510D"/>
    <w:rsid w:val="00D56C4F"/>
    <w:rsid w:val="00D56EBE"/>
    <w:rsid w:val="00D575A2"/>
    <w:rsid w:val="00D577EF"/>
    <w:rsid w:val="00D57EA6"/>
    <w:rsid w:val="00D6095F"/>
    <w:rsid w:val="00D609EC"/>
    <w:rsid w:val="00D60B8A"/>
    <w:rsid w:val="00D6129E"/>
    <w:rsid w:val="00D6165D"/>
    <w:rsid w:val="00D61F57"/>
    <w:rsid w:val="00D62AD0"/>
    <w:rsid w:val="00D6492D"/>
    <w:rsid w:val="00D64943"/>
    <w:rsid w:val="00D65906"/>
    <w:rsid w:val="00D659E5"/>
    <w:rsid w:val="00D66146"/>
    <w:rsid w:val="00D66809"/>
    <w:rsid w:val="00D675B5"/>
    <w:rsid w:val="00D67BD1"/>
    <w:rsid w:val="00D70313"/>
    <w:rsid w:val="00D703D2"/>
    <w:rsid w:val="00D707AF"/>
    <w:rsid w:val="00D708EE"/>
    <w:rsid w:val="00D71106"/>
    <w:rsid w:val="00D71CFD"/>
    <w:rsid w:val="00D71F92"/>
    <w:rsid w:val="00D71FBF"/>
    <w:rsid w:val="00D726FC"/>
    <w:rsid w:val="00D73C9A"/>
    <w:rsid w:val="00D74A2C"/>
    <w:rsid w:val="00D74EEA"/>
    <w:rsid w:val="00D75F64"/>
    <w:rsid w:val="00D766CA"/>
    <w:rsid w:val="00D76F7E"/>
    <w:rsid w:val="00D77F08"/>
    <w:rsid w:val="00D80927"/>
    <w:rsid w:val="00D80D2F"/>
    <w:rsid w:val="00D81215"/>
    <w:rsid w:val="00D81E8B"/>
    <w:rsid w:val="00D82166"/>
    <w:rsid w:val="00D83F0A"/>
    <w:rsid w:val="00D84155"/>
    <w:rsid w:val="00D84168"/>
    <w:rsid w:val="00D84650"/>
    <w:rsid w:val="00D84E3E"/>
    <w:rsid w:val="00D8519C"/>
    <w:rsid w:val="00D852A1"/>
    <w:rsid w:val="00D86B70"/>
    <w:rsid w:val="00D86F7D"/>
    <w:rsid w:val="00D87229"/>
    <w:rsid w:val="00D90091"/>
    <w:rsid w:val="00D90B51"/>
    <w:rsid w:val="00D90DCE"/>
    <w:rsid w:val="00D91265"/>
    <w:rsid w:val="00D91E68"/>
    <w:rsid w:val="00D92381"/>
    <w:rsid w:val="00D924AE"/>
    <w:rsid w:val="00D924C5"/>
    <w:rsid w:val="00D92B77"/>
    <w:rsid w:val="00D92FDA"/>
    <w:rsid w:val="00D93AA8"/>
    <w:rsid w:val="00D94128"/>
    <w:rsid w:val="00D94DA6"/>
    <w:rsid w:val="00D9581E"/>
    <w:rsid w:val="00D96682"/>
    <w:rsid w:val="00D9783D"/>
    <w:rsid w:val="00D97B6F"/>
    <w:rsid w:val="00D97C72"/>
    <w:rsid w:val="00D97DB5"/>
    <w:rsid w:val="00DA107F"/>
    <w:rsid w:val="00DA18F2"/>
    <w:rsid w:val="00DA2615"/>
    <w:rsid w:val="00DA3E21"/>
    <w:rsid w:val="00DA3EF2"/>
    <w:rsid w:val="00DA6C5C"/>
    <w:rsid w:val="00DA7D03"/>
    <w:rsid w:val="00DA7DFC"/>
    <w:rsid w:val="00DB05F8"/>
    <w:rsid w:val="00DB0AF4"/>
    <w:rsid w:val="00DB0FE6"/>
    <w:rsid w:val="00DB1D6E"/>
    <w:rsid w:val="00DB1DC0"/>
    <w:rsid w:val="00DC09FB"/>
    <w:rsid w:val="00DC1639"/>
    <w:rsid w:val="00DC1803"/>
    <w:rsid w:val="00DC213C"/>
    <w:rsid w:val="00DC3ECF"/>
    <w:rsid w:val="00DC4755"/>
    <w:rsid w:val="00DC477F"/>
    <w:rsid w:val="00DC49DB"/>
    <w:rsid w:val="00DC5F04"/>
    <w:rsid w:val="00DC5F7B"/>
    <w:rsid w:val="00DC71AE"/>
    <w:rsid w:val="00DD0EC2"/>
    <w:rsid w:val="00DD1988"/>
    <w:rsid w:val="00DD27EE"/>
    <w:rsid w:val="00DD2CB3"/>
    <w:rsid w:val="00DD38DE"/>
    <w:rsid w:val="00DD3B82"/>
    <w:rsid w:val="00DD45F6"/>
    <w:rsid w:val="00DD556E"/>
    <w:rsid w:val="00DD5631"/>
    <w:rsid w:val="00DD5FC9"/>
    <w:rsid w:val="00DD61D3"/>
    <w:rsid w:val="00DD6B67"/>
    <w:rsid w:val="00DD700D"/>
    <w:rsid w:val="00DD7344"/>
    <w:rsid w:val="00DD7850"/>
    <w:rsid w:val="00DE143A"/>
    <w:rsid w:val="00DE224B"/>
    <w:rsid w:val="00DE2D0E"/>
    <w:rsid w:val="00DE3A27"/>
    <w:rsid w:val="00DE4264"/>
    <w:rsid w:val="00DE4A82"/>
    <w:rsid w:val="00DE4B7F"/>
    <w:rsid w:val="00DE4EA4"/>
    <w:rsid w:val="00DE5E12"/>
    <w:rsid w:val="00DE5FAB"/>
    <w:rsid w:val="00DE64D2"/>
    <w:rsid w:val="00DE7069"/>
    <w:rsid w:val="00DE75E3"/>
    <w:rsid w:val="00DE78DE"/>
    <w:rsid w:val="00DE7FE9"/>
    <w:rsid w:val="00DF054C"/>
    <w:rsid w:val="00DF097A"/>
    <w:rsid w:val="00DF1035"/>
    <w:rsid w:val="00DF1286"/>
    <w:rsid w:val="00DF14BB"/>
    <w:rsid w:val="00DF1961"/>
    <w:rsid w:val="00DF1D02"/>
    <w:rsid w:val="00DF30F3"/>
    <w:rsid w:val="00DF3B56"/>
    <w:rsid w:val="00DF3D56"/>
    <w:rsid w:val="00DF46D3"/>
    <w:rsid w:val="00DF4EF5"/>
    <w:rsid w:val="00DF5103"/>
    <w:rsid w:val="00DF57DA"/>
    <w:rsid w:val="00DF676D"/>
    <w:rsid w:val="00DF6EE2"/>
    <w:rsid w:val="00DF7484"/>
    <w:rsid w:val="00DF7B7E"/>
    <w:rsid w:val="00DF7C33"/>
    <w:rsid w:val="00DF7E57"/>
    <w:rsid w:val="00DF7F35"/>
    <w:rsid w:val="00E02A88"/>
    <w:rsid w:val="00E0363F"/>
    <w:rsid w:val="00E04660"/>
    <w:rsid w:val="00E04933"/>
    <w:rsid w:val="00E04BEE"/>
    <w:rsid w:val="00E04ED0"/>
    <w:rsid w:val="00E0583E"/>
    <w:rsid w:val="00E07310"/>
    <w:rsid w:val="00E07613"/>
    <w:rsid w:val="00E07CD6"/>
    <w:rsid w:val="00E10D6C"/>
    <w:rsid w:val="00E110CF"/>
    <w:rsid w:val="00E11969"/>
    <w:rsid w:val="00E12D39"/>
    <w:rsid w:val="00E131BC"/>
    <w:rsid w:val="00E132D9"/>
    <w:rsid w:val="00E13A63"/>
    <w:rsid w:val="00E13ED5"/>
    <w:rsid w:val="00E1534D"/>
    <w:rsid w:val="00E153BA"/>
    <w:rsid w:val="00E15BFE"/>
    <w:rsid w:val="00E15FBF"/>
    <w:rsid w:val="00E16E5C"/>
    <w:rsid w:val="00E17240"/>
    <w:rsid w:val="00E1789A"/>
    <w:rsid w:val="00E2003E"/>
    <w:rsid w:val="00E209BA"/>
    <w:rsid w:val="00E210B4"/>
    <w:rsid w:val="00E211A0"/>
    <w:rsid w:val="00E2131B"/>
    <w:rsid w:val="00E21E41"/>
    <w:rsid w:val="00E21E9B"/>
    <w:rsid w:val="00E21FC1"/>
    <w:rsid w:val="00E22931"/>
    <w:rsid w:val="00E22CBE"/>
    <w:rsid w:val="00E22DF2"/>
    <w:rsid w:val="00E24292"/>
    <w:rsid w:val="00E24A2E"/>
    <w:rsid w:val="00E26BFB"/>
    <w:rsid w:val="00E26D00"/>
    <w:rsid w:val="00E276C8"/>
    <w:rsid w:val="00E27F14"/>
    <w:rsid w:val="00E3014D"/>
    <w:rsid w:val="00E30D9A"/>
    <w:rsid w:val="00E31152"/>
    <w:rsid w:val="00E319A2"/>
    <w:rsid w:val="00E31C9E"/>
    <w:rsid w:val="00E32138"/>
    <w:rsid w:val="00E32885"/>
    <w:rsid w:val="00E32AA3"/>
    <w:rsid w:val="00E330FE"/>
    <w:rsid w:val="00E336DC"/>
    <w:rsid w:val="00E340D4"/>
    <w:rsid w:val="00E3440A"/>
    <w:rsid w:val="00E34662"/>
    <w:rsid w:val="00E35618"/>
    <w:rsid w:val="00E3586F"/>
    <w:rsid w:val="00E35A65"/>
    <w:rsid w:val="00E35D92"/>
    <w:rsid w:val="00E35F4A"/>
    <w:rsid w:val="00E36994"/>
    <w:rsid w:val="00E36CB0"/>
    <w:rsid w:val="00E37B4C"/>
    <w:rsid w:val="00E37B95"/>
    <w:rsid w:val="00E402B7"/>
    <w:rsid w:val="00E4039F"/>
    <w:rsid w:val="00E40B74"/>
    <w:rsid w:val="00E41DCD"/>
    <w:rsid w:val="00E429BC"/>
    <w:rsid w:val="00E42E8D"/>
    <w:rsid w:val="00E43FFB"/>
    <w:rsid w:val="00E452CE"/>
    <w:rsid w:val="00E46BF9"/>
    <w:rsid w:val="00E470CC"/>
    <w:rsid w:val="00E47A4A"/>
    <w:rsid w:val="00E47DB4"/>
    <w:rsid w:val="00E5017F"/>
    <w:rsid w:val="00E5043A"/>
    <w:rsid w:val="00E51834"/>
    <w:rsid w:val="00E51C07"/>
    <w:rsid w:val="00E52216"/>
    <w:rsid w:val="00E522FE"/>
    <w:rsid w:val="00E5295E"/>
    <w:rsid w:val="00E53486"/>
    <w:rsid w:val="00E5374E"/>
    <w:rsid w:val="00E53A0D"/>
    <w:rsid w:val="00E53D2B"/>
    <w:rsid w:val="00E54379"/>
    <w:rsid w:val="00E546D8"/>
    <w:rsid w:val="00E5472D"/>
    <w:rsid w:val="00E54E88"/>
    <w:rsid w:val="00E55560"/>
    <w:rsid w:val="00E55FF2"/>
    <w:rsid w:val="00E560BB"/>
    <w:rsid w:val="00E560DB"/>
    <w:rsid w:val="00E57C45"/>
    <w:rsid w:val="00E600E8"/>
    <w:rsid w:val="00E602EB"/>
    <w:rsid w:val="00E60BB9"/>
    <w:rsid w:val="00E60BCC"/>
    <w:rsid w:val="00E617F2"/>
    <w:rsid w:val="00E62ED7"/>
    <w:rsid w:val="00E6313A"/>
    <w:rsid w:val="00E63323"/>
    <w:rsid w:val="00E64088"/>
    <w:rsid w:val="00E642AF"/>
    <w:rsid w:val="00E64350"/>
    <w:rsid w:val="00E643C1"/>
    <w:rsid w:val="00E6460B"/>
    <w:rsid w:val="00E64B5E"/>
    <w:rsid w:val="00E64B6D"/>
    <w:rsid w:val="00E65380"/>
    <w:rsid w:val="00E657D7"/>
    <w:rsid w:val="00E66138"/>
    <w:rsid w:val="00E66D20"/>
    <w:rsid w:val="00E67178"/>
    <w:rsid w:val="00E6732F"/>
    <w:rsid w:val="00E674E6"/>
    <w:rsid w:val="00E67F0E"/>
    <w:rsid w:val="00E70665"/>
    <w:rsid w:val="00E7290C"/>
    <w:rsid w:val="00E73343"/>
    <w:rsid w:val="00E7402B"/>
    <w:rsid w:val="00E74118"/>
    <w:rsid w:val="00E75110"/>
    <w:rsid w:val="00E75635"/>
    <w:rsid w:val="00E75D38"/>
    <w:rsid w:val="00E76078"/>
    <w:rsid w:val="00E76ED1"/>
    <w:rsid w:val="00E77D7A"/>
    <w:rsid w:val="00E77E8D"/>
    <w:rsid w:val="00E77FA0"/>
    <w:rsid w:val="00E80A15"/>
    <w:rsid w:val="00E80C54"/>
    <w:rsid w:val="00E80E34"/>
    <w:rsid w:val="00E8173C"/>
    <w:rsid w:val="00E81B51"/>
    <w:rsid w:val="00E81F45"/>
    <w:rsid w:val="00E82386"/>
    <w:rsid w:val="00E83487"/>
    <w:rsid w:val="00E834E9"/>
    <w:rsid w:val="00E85580"/>
    <w:rsid w:val="00E857E6"/>
    <w:rsid w:val="00E85ADC"/>
    <w:rsid w:val="00E8602D"/>
    <w:rsid w:val="00E86249"/>
    <w:rsid w:val="00E873EA"/>
    <w:rsid w:val="00E8766A"/>
    <w:rsid w:val="00E90755"/>
    <w:rsid w:val="00E914C1"/>
    <w:rsid w:val="00E920DD"/>
    <w:rsid w:val="00E92783"/>
    <w:rsid w:val="00E927A9"/>
    <w:rsid w:val="00E92AEE"/>
    <w:rsid w:val="00E93368"/>
    <w:rsid w:val="00E93958"/>
    <w:rsid w:val="00E93C17"/>
    <w:rsid w:val="00E94782"/>
    <w:rsid w:val="00E95CEC"/>
    <w:rsid w:val="00E95DA9"/>
    <w:rsid w:val="00E9602A"/>
    <w:rsid w:val="00E96544"/>
    <w:rsid w:val="00E96CB6"/>
    <w:rsid w:val="00EA0A73"/>
    <w:rsid w:val="00EA0FCB"/>
    <w:rsid w:val="00EA1B32"/>
    <w:rsid w:val="00EA3AA0"/>
    <w:rsid w:val="00EA3F4F"/>
    <w:rsid w:val="00EA40A8"/>
    <w:rsid w:val="00EA46D7"/>
    <w:rsid w:val="00EA49A1"/>
    <w:rsid w:val="00EA6662"/>
    <w:rsid w:val="00EA6F6C"/>
    <w:rsid w:val="00EA714A"/>
    <w:rsid w:val="00EA736B"/>
    <w:rsid w:val="00EB082E"/>
    <w:rsid w:val="00EB0C64"/>
    <w:rsid w:val="00EB2173"/>
    <w:rsid w:val="00EB25D1"/>
    <w:rsid w:val="00EB2E2D"/>
    <w:rsid w:val="00EB2F2B"/>
    <w:rsid w:val="00EB2FA9"/>
    <w:rsid w:val="00EB30BA"/>
    <w:rsid w:val="00EB37DA"/>
    <w:rsid w:val="00EB3985"/>
    <w:rsid w:val="00EB3F23"/>
    <w:rsid w:val="00EB4D46"/>
    <w:rsid w:val="00EB6943"/>
    <w:rsid w:val="00EB7E1D"/>
    <w:rsid w:val="00EB7F8F"/>
    <w:rsid w:val="00EC1194"/>
    <w:rsid w:val="00EC25A2"/>
    <w:rsid w:val="00EC2A73"/>
    <w:rsid w:val="00EC2B7E"/>
    <w:rsid w:val="00EC37D0"/>
    <w:rsid w:val="00EC38F3"/>
    <w:rsid w:val="00EC3A90"/>
    <w:rsid w:val="00EC4B06"/>
    <w:rsid w:val="00EC59F8"/>
    <w:rsid w:val="00EC601E"/>
    <w:rsid w:val="00EC60DB"/>
    <w:rsid w:val="00EC6251"/>
    <w:rsid w:val="00EC6411"/>
    <w:rsid w:val="00EC704B"/>
    <w:rsid w:val="00EC7111"/>
    <w:rsid w:val="00EC7248"/>
    <w:rsid w:val="00EC7D2A"/>
    <w:rsid w:val="00ED004F"/>
    <w:rsid w:val="00ED0B06"/>
    <w:rsid w:val="00ED0FCB"/>
    <w:rsid w:val="00ED1B84"/>
    <w:rsid w:val="00ED243F"/>
    <w:rsid w:val="00ED25AE"/>
    <w:rsid w:val="00ED2E86"/>
    <w:rsid w:val="00ED2ED1"/>
    <w:rsid w:val="00ED38DB"/>
    <w:rsid w:val="00ED3B18"/>
    <w:rsid w:val="00ED3BD8"/>
    <w:rsid w:val="00ED44E4"/>
    <w:rsid w:val="00ED515A"/>
    <w:rsid w:val="00ED53D2"/>
    <w:rsid w:val="00ED5ED9"/>
    <w:rsid w:val="00ED682F"/>
    <w:rsid w:val="00ED7647"/>
    <w:rsid w:val="00EE0ADF"/>
    <w:rsid w:val="00EE298D"/>
    <w:rsid w:val="00EE2EEA"/>
    <w:rsid w:val="00EE342A"/>
    <w:rsid w:val="00EE3EC5"/>
    <w:rsid w:val="00EE42D8"/>
    <w:rsid w:val="00EE42F9"/>
    <w:rsid w:val="00EE5510"/>
    <w:rsid w:val="00EE5D6C"/>
    <w:rsid w:val="00EE63BD"/>
    <w:rsid w:val="00EE644F"/>
    <w:rsid w:val="00EE6756"/>
    <w:rsid w:val="00EE68BC"/>
    <w:rsid w:val="00EE68C6"/>
    <w:rsid w:val="00EE68DA"/>
    <w:rsid w:val="00EE7DD5"/>
    <w:rsid w:val="00EE7E9C"/>
    <w:rsid w:val="00EF053B"/>
    <w:rsid w:val="00EF0AE4"/>
    <w:rsid w:val="00EF1845"/>
    <w:rsid w:val="00EF2AAD"/>
    <w:rsid w:val="00EF2BC6"/>
    <w:rsid w:val="00EF4C64"/>
    <w:rsid w:val="00EF4E89"/>
    <w:rsid w:val="00EF547E"/>
    <w:rsid w:val="00EF5A40"/>
    <w:rsid w:val="00EF69A1"/>
    <w:rsid w:val="00EF7991"/>
    <w:rsid w:val="00EF7DB8"/>
    <w:rsid w:val="00F00B51"/>
    <w:rsid w:val="00F02046"/>
    <w:rsid w:val="00F0324A"/>
    <w:rsid w:val="00F03FE9"/>
    <w:rsid w:val="00F045F0"/>
    <w:rsid w:val="00F047B2"/>
    <w:rsid w:val="00F0529B"/>
    <w:rsid w:val="00F064B0"/>
    <w:rsid w:val="00F06689"/>
    <w:rsid w:val="00F06A7D"/>
    <w:rsid w:val="00F06E65"/>
    <w:rsid w:val="00F0788E"/>
    <w:rsid w:val="00F07CF8"/>
    <w:rsid w:val="00F07FB2"/>
    <w:rsid w:val="00F106AA"/>
    <w:rsid w:val="00F10A12"/>
    <w:rsid w:val="00F10A87"/>
    <w:rsid w:val="00F115CB"/>
    <w:rsid w:val="00F1218A"/>
    <w:rsid w:val="00F12EC6"/>
    <w:rsid w:val="00F135DC"/>
    <w:rsid w:val="00F13DEC"/>
    <w:rsid w:val="00F14C02"/>
    <w:rsid w:val="00F15357"/>
    <w:rsid w:val="00F15E34"/>
    <w:rsid w:val="00F15EB6"/>
    <w:rsid w:val="00F15FF4"/>
    <w:rsid w:val="00F1676C"/>
    <w:rsid w:val="00F2149D"/>
    <w:rsid w:val="00F214FF"/>
    <w:rsid w:val="00F223DB"/>
    <w:rsid w:val="00F224D3"/>
    <w:rsid w:val="00F22719"/>
    <w:rsid w:val="00F22A41"/>
    <w:rsid w:val="00F231CA"/>
    <w:rsid w:val="00F23C88"/>
    <w:rsid w:val="00F249EC"/>
    <w:rsid w:val="00F255D2"/>
    <w:rsid w:val="00F25C90"/>
    <w:rsid w:val="00F26647"/>
    <w:rsid w:val="00F26943"/>
    <w:rsid w:val="00F26A19"/>
    <w:rsid w:val="00F27830"/>
    <w:rsid w:val="00F27F3E"/>
    <w:rsid w:val="00F27F5C"/>
    <w:rsid w:val="00F3002C"/>
    <w:rsid w:val="00F3083C"/>
    <w:rsid w:val="00F30B92"/>
    <w:rsid w:val="00F31777"/>
    <w:rsid w:val="00F32635"/>
    <w:rsid w:val="00F33F86"/>
    <w:rsid w:val="00F356CB"/>
    <w:rsid w:val="00F35E90"/>
    <w:rsid w:val="00F363D2"/>
    <w:rsid w:val="00F3647B"/>
    <w:rsid w:val="00F3680A"/>
    <w:rsid w:val="00F37F2A"/>
    <w:rsid w:val="00F41442"/>
    <w:rsid w:val="00F41C5F"/>
    <w:rsid w:val="00F42053"/>
    <w:rsid w:val="00F42169"/>
    <w:rsid w:val="00F42624"/>
    <w:rsid w:val="00F43131"/>
    <w:rsid w:val="00F43959"/>
    <w:rsid w:val="00F43C83"/>
    <w:rsid w:val="00F43D29"/>
    <w:rsid w:val="00F43E86"/>
    <w:rsid w:val="00F43F90"/>
    <w:rsid w:val="00F44E5F"/>
    <w:rsid w:val="00F454AA"/>
    <w:rsid w:val="00F45789"/>
    <w:rsid w:val="00F45885"/>
    <w:rsid w:val="00F46B82"/>
    <w:rsid w:val="00F47154"/>
    <w:rsid w:val="00F50209"/>
    <w:rsid w:val="00F5085A"/>
    <w:rsid w:val="00F50E2A"/>
    <w:rsid w:val="00F51095"/>
    <w:rsid w:val="00F5144F"/>
    <w:rsid w:val="00F53460"/>
    <w:rsid w:val="00F536F6"/>
    <w:rsid w:val="00F53FAA"/>
    <w:rsid w:val="00F540E5"/>
    <w:rsid w:val="00F543F0"/>
    <w:rsid w:val="00F54E88"/>
    <w:rsid w:val="00F5529A"/>
    <w:rsid w:val="00F557F6"/>
    <w:rsid w:val="00F558DA"/>
    <w:rsid w:val="00F55A30"/>
    <w:rsid w:val="00F60175"/>
    <w:rsid w:val="00F60DD0"/>
    <w:rsid w:val="00F613DE"/>
    <w:rsid w:val="00F6267F"/>
    <w:rsid w:val="00F62B9C"/>
    <w:rsid w:val="00F630BD"/>
    <w:rsid w:val="00F633A1"/>
    <w:rsid w:val="00F64EFF"/>
    <w:rsid w:val="00F659C8"/>
    <w:rsid w:val="00F66232"/>
    <w:rsid w:val="00F66BE0"/>
    <w:rsid w:val="00F6752D"/>
    <w:rsid w:val="00F67954"/>
    <w:rsid w:val="00F67D62"/>
    <w:rsid w:val="00F710DD"/>
    <w:rsid w:val="00F71B0F"/>
    <w:rsid w:val="00F724D9"/>
    <w:rsid w:val="00F72ABB"/>
    <w:rsid w:val="00F73199"/>
    <w:rsid w:val="00F73229"/>
    <w:rsid w:val="00F740F2"/>
    <w:rsid w:val="00F741D4"/>
    <w:rsid w:val="00F7427A"/>
    <w:rsid w:val="00F745DC"/>
    <w:rsid w:val="00F7480E"/>
    <w:rsid w:val="00F74C34"/>
    <w:rsid w:val="00F7560F"/>
    <w:rsid w:val="00F762CB"/>
    <w:rsid w:val="00F763FF"/>
    <w:rsid w:val="00F76E96"/>
    <w:rsid w:val="00F7753A"/>
    <w:rsid w:val="00F7781A"/>
    <w:rsid w:val="00F77B84"/>
    <w:rsid w:val="00F80014"/>
    <w:rsid w:val="00F80841"/>
    <w:rsid w:val="00F812FD"/>
    <w:rsid w:val="00F815E9"/>
    <w:rsid w:val="00F81AEA"/>
    <w:rsid w:val="00F8224B"/>
    <w:rsid w:val="00F82369"/>
    <w:rsid w:val="00F827F4"/>
    <w:rsid w:val="00F828E3"/>
    <w:rsid w:val="00F82A01"/>
    <w:rsid w:val="00F82A89"/>
    <w:rsid w:val="00F82E56"/>
    <w:rsid w:val="00F834D5"/>
    <w:rsid w:val="00F83C34"/>
    <w:rsid w:val="00F84E26"/>
    <w:rsid w:val="00F85C1A"/>
    <w:rsid w:val="00F8623A"/>
    <w:rsid w:val="00F86A2C"/>
    <w:rsid w:val="00F87527"/>
    <w:rsid w:val="00F87D35"/>
    <w:rsid w:val="00F87D8A"/>
    <w:rsid w:val="00F917FE"/>
    <w:rsid w:val="00F922B2"/>
    <w:rsid w:val="00F92578"/>
    <w:rsid w:val="00F93376"/>
    <w:rsid w:val="00F93CB0"/>
    <w:rsid w:val="00F942CE"/>
    <w:rsid w:val="00F94E9F"/>
    <w:rsid w:val="00F9546B"/>
    <w:rsid w:val="00F959A8"/>
    <w:rsid w:val="00F95BE3"/>
    <w:rsid w:val="00F95E4E"/>
    <w:rsid w:val="00F977BD"/>
    <w:rsid w:val="00F97B91"/>
    <w:rsid w:val="00FA0128"/>
    <w:rsid w:val="00FA0ED7"/>
    <w:rsid w:val="00FA11EB"/>
    <w:rsid w:val="00FA178E"/>
    <w:rsid w:val="00FA1C22"/>
    <w:rsid w:val="00FA2216"/>
    <w:rsid w:val="00FA24B4"/>
    <w:rsid w:val="00FA28D2"/>
    <w:rsid w:val="00FA291E"/>
    <w:rsid w:val="00FA30A6"/>
    <w:rsid w:val="00FA30A8"/>
    <w:rsid w:val="00FA30DC"/>
    <w:rsid w:val="00FA442C"/>
    <w:rsid w:val="00FA4BC7"/>
    <w:rsid w:val="00FA5F86"/>
    <w:rsid w:val="00FA6B47"/>
    <w:rsid w:val="00FA6E45"/>
    <w:rsid w:val="00FB0B24"/>
    <w:rsid w:val="00FB0E98"/>
    <w:rsid w:val="00FB3151"/>
    <w:rsid w:val="00FB3CFB"/>
    <w:rsid w:val="00FB4BF7"/>
    <w:rsid w:val="00FB4DDE"/>
    <w:rsid w:val="00FB556A"/>
    <w:rsid w:val="00FB6997"/>
    <w:rsid w:val="00FB76B9"/>
    <w:rsid w:val="00FC055B"/>
    <w:rsid w:val="00FC0C8A"/>
    <w:rsid w:val="00FC2A18"/>
    <w:rsid w:val="00FC3EF1"/>
    <w:rsid w:val="00FC4D7A"/>
    <w:rsid w:val="00FC4DDE"/>
    <w:rsid w:val="00FC56DB"/>
    <w:rsid w:val="00FC5B1C"/>
    <w:rsid w:val="00FC61B0"/>
    <w:rsid w:val="00FD0317"/>
    <w:rsid w:val="00FD0396"/>
    <w:rsid w:val="00FD0881"/>
    <w:rsid w:val="00FD1254"/>
    <w:rsid w:val="00FD21CD"/>
    <w:rsid w:val="00FD2319"/>
    <w:rsid w:val="00FD2851"/>
    <w:rsid w:val="00FD368E"/>
    <w:rsid w:val="00FD5517"/>
    <w:rsid w:val="00FD59EA"/>
    <w:rsid w:val="00FD6486"/>
    <w:rsid w:val="00FD6C1C"/>
    <w:rsid w:val="00FD6F0C"/>
    <w:rsid w:val="00FD7092"/>
    <w:rsid w:val="00FE0A8F"/>
    <w:rsid w:val="00FE0EE9"/>
    <w:rsid w:val="00FE141F"/>
    <w:rsid w:val="00FE2178"/>
    <w:rsid w:val="00FE2A78"/>
    <w:rsid w:val="00FE2AA6"/>
    <w:rsid w:val="00FE2D6B"/>
    <w:rsid w:val="00FE2D93"/>
    <w:rsid w:val="00FE3D26"/>
    <w:rsid w:val="00FE4024"/>
    <w:rsid w:val="00FE4347"/>
    <w:rsid w:val="00FE46A0"/>
    <w:rsid w:val="00FE4D69"/>
    <w:rsid w:val="00FE55B6"/>
    <w:rsid w:val="00FE5C0A"/>
    <w:rsid w:val="00FE5CEA"/>
    <w:rsid w:val="00FE76E0"/>
    <w:rsid w:val="00FE79A0"/>
    <w:rsid w:val="00FE7D72"/>
    <w:rsid w:val="00FF0446"/>
    <w:rsid w:val="00FF0948"/>
    <w:rsid w:val="00FF0A66"/>
    <w:rsid w:val="00FF1D8F"/>
    <w:rsid w:val="00FF4D6A"/>
    <w:rsid w:val="00FF5631"/>
    <w:rsid w:val="00FF64C2"/>
    <w:rsid w:val="00FF6566"/>
    <w:rsid w:val="00FF6F35"/>
    <w:rsid w:val="01671BDD"/>
    <w:rsid w:val="019B121A"/>
    <w:rsid w:val="01C34939"/>
    <w:rsid w:val="01CE007B"/>
    <w:rsid w:val="01F33988"/>
    <w:rsid w:val="02056D00"/>
    <w:rsid w:val="02306473"/>
    <w:rsid w:val="024F2124"/>
    <w:rsid w:val="026003DA"/>
    <w:rsid w:val="0273635F"/>
    <w:rsid w:val="027619AC"/>
    <w:rsid w:val="02783976"/>
    <w:rsid w:val="029B71FA"/>
    <w:rsid w:val="029E43C9"/>
    <w:rsid w:val="02BD75DA"/>
    <w:rsid w:val="02D66F17"/>
    <w:rsid w:val="02FF7BF3"/>
    <w:rsid w:val="03045209"/>
    <w:rsid w:val="03280EF8"/>
    <w:rsid w:val="03367AB9"/>
    <w:rsid w:val="03655CA8"/>
    <w:rsid w:val="03960557"/>
    <w:rsid w:val="03AF33C7"/>
    <w:rsid w:val="03C86237"/>
    <w:rsid w:val="03E017D2"/>
    <w:rsid w:val="04150212"/>
    <w:rsid w:val="042C0EBC"/>
    <w:rsid w:val="046441B2"/>
    <w:rsid w:val="046F64E6"/>
    <w:rsid w:val="048E122E"/>
    <w:rsid w:val="04C609C8"/>
    <w:rsid w:val="04CB5FDF"/>
    <w:rsid w:val="05047AE8"/>
    <w:rsid w:val="05340028"/>
    <w:rsid w:val="053578FC"/>
    <w:rsid w:val="05740424"/>
    <w:rsid w:val="059211F2"/>
    <w:rsid w:val="05A86320"/>
    <w:rsid w:val="05BC1DCB"/>
    <w:rsid w:val="05DD2164"/>
    <w:rsid w:val="05FB28F4"/>
    <w:rsid w:val="06055520"/>
    <w:rsid w:val="061460C6"/>
    <w:rsid w:val="06344057"/>
    <w:rsid w:val="06474F8D"/>
    <w:rsid w:val="068B011B"/>
    <w:rsid w:val="069C40D7"/>
    <w:rsid w:val="06A765D7"/>
    <w:rsid w:val="06AE7D52"/>
    <w:rsid w:val="06C3547C"/>
    <w:rsid w:val="06D21E21"/>
    <w:rsid w:val="06E94E42"/>
    <w:rsid w:val="06EC6A1F"/>
    <w:rsid w:val="070B782B"/>
    <w:rsid w:val="07434552"/>
    <w:rsid w:val="07676051"/>
    <w:rsid w:val="079A2810"/>
    <w:rsid w:val="08053EFD"/>
    <w:rsid w:val="080A32C2"/>
    <w:rsid w:val="080D2DB2"/>
    <w:rsid w:val="082C6C7C"/>
    <w:rsid w:val="0854278F"/>
    <w:rsid w:val="089B6610"/>
    <w:rsid w:val="08A818C7"/>
    <w:rsid w:val="08BB45BC"/>
    <w:rsid w:val="08E81855"/>
    <w:rsid w:val="090146C5"/>
    <w:rsid w:val="09262CE9"/>
    <w:rsid w:val="09265ED9"/>
    <w:rsid w:val="09B554AF"/>
    <w:rsid w:val="09B63701"/>
    <w:rsid w:val="09BB0D18"/>
    <w:rsid w:val="09BF1E8A"/>
    <w:rsid w:val="09D73678"/>
    <w:rsid w:val="09E77F19"/>
    <w:rsid w:val="09E9402F"/>
    <w:rsid w:val="0A065BA5"/>
    <w:rsid w:val="0A110938"/>
    <w:rsid w:val="0A27015B"/>
    <w:rsid w:val="0A2C751F"/>
    <w:rsid w:val="0A391C3C"/>
    <w:rsid w:val="0A3E36F7"/>
    <w:rsid w:val="0A870BFA"/>
    <w:rsid w:val="0AA51080"/>
    <w:rsid w:val="0AB53574"/>
    <w:rsid w:val="0B291CB1"/>
    <w:rsid w:val="0B386398"/>
    <w:rsid w:val="0B446AEB"/>
    <w:rsid w:val="0B462863"/>
    <w:rsid w:val="0B855B1B"/>
    <w:rsid w:val="0BAB4DBC"/>
    <w:rsid w:val="0BC814CA"/>
    <w:rsid w:val="0C2737BC"/>
    <w:rsid w:val="0C2F5659"/>
    <w:rsid w:val="0C30706F"/>
    <w:rsid w:val="0C403756"/>
    <w:rsid w:val="0C556CB1"/>
    <w:rsid w:val="0C6D7BEE"/>
    <w:rsid w:val="0C917B0E"/>
    <w:rsid w:val="0CA37841"/>
    <w:rsid w:val="0CF87B8D"/>
    <w:rsid w:val="0D0B3D64"/>
    <w:rsid w:val="0D3037CB"/>
    <w:rsid w:val="0DC65EDD"/>
    <w:rsid w:val="0E12064D"/>
    <w:rsid w:val="0E2B5262"/>
    <w:rsid w:val="0E5A03D3"/>
    <w:rsid w:val="0E5B4EA0"/>
    <w:rsid w:val="0E8813E4"/>
    <w:rsid w:val="0EB21FBD"/>
    <w:rsid w:val="0EBD352B"/>
    <w:rsid w:val="0ECC7523"/>
    <w:rsid w:val="0EF319AC"/>
    <w:rsid w:val="0F072309"/>
    <w:rsid w:val="0F4870A8"/>
    <w:rsid w:val="0F87169C"/>
    <w:rsid w:val="0F8971C2"/>
    <w:rsid w:val="0F94421F"/>
    <w:rsid w:val="0F957B58"/>
    <w:rsid w:val="0FF17FD6"/>
    <w:rsid w:val="102869DB"/>
    <w:rsid w:val="10840DAF"/>
    <w:rsid w:val="10AA73F0"/>
    <w:rsid w:val="10E31954"/>
    <w:rsid w:val="10F16DCD"/>
    <w:rsid w:val="114809B7"/>
    <w:rsid w:val="11731ED8"/>
    <w:rsid w:val="117F6ACF"/>
    <w:rsid w:val="11987B90"/>
    <w:rsid w:val="11A7392F"/>
    <w:rsid w:val="11B85B3D"/>
    <w:rsid w:val="11C368F4"/>
    <w:rsid w:val="11DD1A47"/>
    <w:rsid w:val="120C4828"/>
    <w:rsid w:val="123D6042"/>
    <w:rsid w:val="124F7E6D"/>
    <w:rsid w:val="12696E37"/>
    <w:rsid w:val="12A762DD"/>
    <w:rsid w:val="12E55DBD"/>
    <w:rsid w:val="12EE440F"/>
    <w:rsid w:val="131274CE"/>
    <w:rsid w:val="13152603"/>
    <w:rsid w:val="1319085D"/>
    <w:rsid w:val="13622825"/>
    <w:rsid w:val="137F573B"/>
    <w:rsid w:val="138661A3"/>
    <w:rsid w:val="139B3968"/>
    <w:rsid w:val="13E50E11"/>
    <w:rsid w:val="14327160"/>
    <w:rsid w:val="143D057B"/>
    <w:rsid w:val="14911F26"/>
    <w:rsid w:val="149363ED"/>
    <w:rsid w:val="14AD74AF"/>
    <w:rsid w:val="14D26F15"/>
    <w:rsid w:val="14DB46AE"/>
    <w:rsid w:val="14ED3D4F"/>
    <w:rsid w:val="14FE5F5C"/>
    <w:rsid w:val="15086DDB"/>
    <w:rsid w:val="15594D05"/>
    <w:rsid w:val="15712BD2"/>
    <w:rsid w:val="15B605E5"/>
    <w:rsid w:val="15D879DB"/>
    <w:rsid w:val="15EC4007"/>
    <w:rsid w:val="16033255"/>
    <w:rsid w:val="16184DFC"/>
    <w:rsid w:val="161E6396"/>
    <w:rsid w:val="162D4D4B"/>
    <w:rsid w:val="16F05D79"/>
    <w:rsid w:val="171657DF"/>
    <w:rsid w:val="17487963"/>
    <w:rsid w:val="175B5A3C"/>
    <w:rsid w:val="1763654B"/>
    <w:rsid w:val="17A4103D"/>
    <w:rsid w:val="17AA520F"/>
    <w:rsid w:val="17B943BD"/>
    <w:rsid w:val="17DC5A52"/>
    <w:rsid w:val="17DE3E23"/>
    <w:rsid w:val="17E41D53"/>
    <w:rsid w:val="18424840"/>
    <w:rsid w:val="185C1918"/>
    <w:rsid w:val="18626802"/>
    <w:rsid w:val="18B90B18"/>
    <w:rsid w:val="18BA6D05"/>
    <w:rsid w:val="18C364EB"/>
    <w:rsid w:val="18C474BD"/>
    <w:rsid w:val="18DD7E7B"/>
    <w:rsid w:val="18FA4C8D"/>
    <w:rsid w:val="18FF22A3"/>
    <w:rsid w:val="190C5A15"/>
    <w:rsid w:val="193E4961"/>
    <w:rsid w:val="19FB6D59"/>
    <w:rsid w:val="1A073B05"/>
    <w:rsid w:val="1A1324AA"/>
    <w:rsid w:val="1A1D0C33"/>
    <w:rsid w:val="1A220073"/>
    <w:rsid w:val="1A6515CA"/>
    <w:rsid w:val="1A6E148E"/>
    <w:rsid w:val="1A736AA5"/>
    <w:rsid w:val="1ADA5E50"/>
    <w:rsid w:val="1AE41750"/>
    <w:rsid w:val="1B213F49"/>
    <w:rsid w:val="1B2B7138"/>
    <w:rsid w:val="1B464DF9"/>
    <w:rsid w:val="1B654F02"/>
    <w:rsid w:val="1B835B95"/>
    <w:rsid w:val="1BB92BDD"/>
    <w:rsid w:val="1BE22134"/>
    <w:rsid w:val="1BE24AA1"/>
    <w:rsid w:val="1BF63CF4"/>
    <w:rsid w:val="1C237C91"/>
    <w:rsid w:val="1C2D7FD8"/>
    <w:rsid w:val="1C4E5A1B"/>
    <w:rsid w:val="1C694A85"/>
    <w:rsid w:val="1CDF4F08"/>
    <w:rsid w:val="1CE43C8A"/>
    <w:rsid w:val="1D295B40"/>
    <w:rsid w:val="1D552DD9"/>
    <w:rsid w:val="1D954F84"/>
    <w:rsid w:val="1D9C4564"/>
    <w:rsid w:val="1DCD0BC2"/>
    <w:rsid w:val="1DD45AAC"/>
    <w:rsid w:val="1E206F43"/>
    <w:rsid w:val="1E3E73CA"/>
    <w:rsid w:val="1E604B0F"/>
    <w:rsid w:val="1EF47852"/>
    <w:rsid w:val="1F310D1A"/>
    <w:rsid w:val="1F4B6242"/>
    <w:rsid w:val="1F6823F8"/>
    <w:rsid w:val="1FB805A3"/>
    <w:rsid w:val="1FFD0EE4"/>
    <w:rsid w:val="2020322B"/>
    <w:rsid w:val="20631543"/>
    <w:rsid w:val="206921F3"/>
    <w:rsid w:val="207D067D"/>
    <w:rsid w:val="208234C8"/>
    <w:rsid w:val="20857532"/>
    <w:rsid w:val="20875058"/>
    <w:rsid w:val="20970344"/>
    <w:rsid w:val="20B2506B"/>
    <w:rsid w:val="20BF07A2"/>
    <w:rsid w:val="20D14525"/>
    <w:rsid w:val="20EA3839"/>
    <w:rsid w:val="21026F8C"/>
    <w:rsid w:val="21076199"/>
    <w:rsid w:val="21294361"/>
    <w:rsid w:val="21407BF4"/>
    <w:rsid w:val="21584A87"/>
    <w:rsid w:val="21721428"/>
    <w:rsid w:val="21937A2C"/>
    <w:rsid w:val="21A460DD"/>
    <w:rsid w:val="21C5052E"/>
    <w:rsid w:val="21C668EA"/>
    <w:rsid w:val="21C85928"/>
    <w:rsid w:val="21CD1190"/>
    <w:rsid w:val="21D97B35"/>
    <w:rsid w:val="21DA1AFF"/>
    <w:rsid w:val="21FF3314"/>
    <w:rsid w:val="22524CB3"/>
    <w:rsid w:val="2294536C"/>
    <w:rsid w:val="22A04AF7"/>
    <w:rsid w:val="22E66B9E"/>
    <w:rsid w:val="23897339"/>
    <w:rsid w:val="23AD74CB"/>
    <w:rsid w:val="240B3620"/>
    <w:rsid w:val="241733C3"/>
    <w:rsid w:val="242B2C2D"/>
    <w:rsid w:val="243E45C7"/>
    <w:rsid w:val="244119C2"/>
    <w:rsid w:val="24BF007C"/>
    <w:rsid w:val="24CB7B38"/>
    <w:rsid w:val="24D40A88"/>
    <w:rsid w:val="24D97E4C"/>
    <w:rsid w:val="251D5F8B"/>
    <w:rsid w:val="25331C52"/>
    <w:rsid w:val="26107476"/>
    <w:rsid w:val="26346F9F"/>
    <w:rsid w:val="267306EE"/>
    <w:rsid w:val="2677342E"/>
    <w:rsid w:val="26775917"/>
    <w:rsid w:val="268B3A42"/>
    <w:rsid w:val="26AD333E"/>
    <w:rsid w:val="26B741BD"/>
    <w:rsid w:val="26BB1EFF"/>
    <w:rsid w:val="26D134D1"/>
    <w:rsid w:val="26D71C1E"/>
    <w:rsid w:val="26DD0182"/>
    <w:rsid w:val="26E2748C"/>
    <w:rsid w:val="26F61189"/>
    <w:rsid w:val="274F2647"/>
    <w:rsid w:val="2751016E"/>
    <w:rsid w:val="276B4DC2"/>
    <w:rsid w:val="276C4FA7"/>
    <w:rsid w:val="27781B9E"/>
    <w:rsid w:val="27B10D21"/>
    <w:rsid w:val="27E40FE2"/>
    <w:rsid w:val="27F54F9D"/>
    <w:rsid w:val="282B6C11"/>
    <w:rsid w:val="285F68BA"/>
    <w:rsid w:val="286B34B1"/>
    <w:rsid w:val="28B07116"/>
    <w:rsid w:val="28D15ADA"/>
    <w:rsid w:val="28F60FCD"/>
    <w:rsid w:val="28FC235B"/>
    <w:rsid w:val="2903713B"/>
    <w:rsid w:val="291E1380"/>
    <w:rsid w:val="29471828"/>
    <w:rsid w:val="29514455"/>
    <w:rsid w:val="29627749"/>
    <w:rsid w:val="299802D6"/>
    <w:rsid w:val="29B6075C"/>
    <w:rsid w:val="29B80567"/>
    <w:rsid w:val="29D11A3A"/>
    <w:rsid w:val="29D37560"/>
    <w:rsid w:val="29FA4AED"/>
    <w:rsid w:val="2AB033FD"/>
    <w:rsid w:val="2AC31382"/>
    <w:rsid w:val="2ADF3CE2"/>
    <w:rsid w:val="2AFF452A"/>
    <w:rsid w:val="2B1E1FA9"/>
    <w:rsid w:val="2B200583"/>
    <w:rsid w:val="2B59380E"/>
    <w:rsid w:val="2B844FB6"/>
    <w:rsid w:val="2BA50A88"/>
    <w:rsid w:val="2BD87954"/>
    <w:rsid w:val="2BFA7026"/>
    <w:rsid w:val="2BFB0F2A"/>
    <w:rsid w:val="2C1A76C8"/>
    <w:rsid w:val="2C3D6F12"/>
    <w:rsid w:val="2C520C10"/>
    <w:rsid w:val="2C5A3F68"/>
    <w:rsid w:val="2C673F8F"/>
    <w:rsid w:val="2C6B295C"/>
    <w:rsid w:val="2CD51841"/>
    <w:rsid w:val="2CEA52EC"/>
    <w:rsid w:val="2D126577"/>
    <w:rsid w:val="2D4D13D7"/>
    <w:rsid w:val="2DAF38B5"/>
    <w:rsid w:val="2DB96A6D"/>
    <w:rsid w:val="2DC86CB0"/>
    <w:rsid w:val="2DF14458"/>
    <w:rsid w:val="2E183793"/>
    <w:rsid w:val="2E1C0519"/>
    <w:rsid w:val="2E312AA7"/>
    <w:rsid w:val="2E4F685B"/>
    <w:rsid w:val="2E580034"/>
    <w:rsid w:val="2E657916"/>
    <w:rsid w:val="2E804AA5"/>
    <w:rsid w:val="2E933762"/>
    <w:rsid w:val="2EA15E7F"/>
    <w:rsid w:val="2EE1627B"/>
    <w:rsid w:val="2F520F27"/>
    <w:rsid w:val="2F725125"/>
    <w:rsid w:val="2FD302BA"/>
    <w:rsid w:val="2FD7142C"/>
    <w:rsid w:val="301E00D9"/>
    <w:rsid w:val="303625F7"/>
    <w:rsid w:val="30442F65"/>
    <w:rsid w:val="30823A8E"/>
    <w:rsid w:val="3095556F"/>
    <w:rsid w:val="30B90C45"/>
    <w:rsid w:val="30D50061"/>
    <w:rsid w:val="30ED53AB"/>
    <w:rsid w:val="30FF50DE"/>
    <w:rsid w:val="31354D5B"/>
    <w:rsid w:val="314D7BF8"/>
    <w:rsid w:val="31B13887"/>
    <w:rsid w:val="31C61758"/>
    <w:rsid w:val="31D125D7"/>
    <w:rsid w:val="31DB5204"/>
    <w:rsid w:val="31E7004C"/>
    <w:rsid w:val="31F664E1"/>
    <w:rsid w:val="32061183"/>
    <w:rsid w:val="320D7387"/>
    <w:rsid w:val="3227669B"/>
    <w:rsid w:val="32313075"/>
    <w:rsid w:val="32694AB3"/>
    <w:rsid w:val="327D7009"/>
    <w:rsid w:val="32B75C71"/>
    <w:rsid w:val="32BF4B25"/>
    <w:rsid w:val="32CB5278"/>
    <w:rsid w:val="32D3237F"/>
    <w:rsid w:val="32DD4FAB"/>
    <w:rsid w:val="33171A40"/>
    <w:rsid w:val="33286243"/>
    <w:rsid w:val="334F40FB"/>
    <w:rsid w:val="335214F5"/>
    <w:rsid w:val="33763DF4"/>
    <w:rsid w:val="33811DDB"/>
    <w:rsid w:val="3390201E"/>
    <w:rsid w:val="33AC652E"/>
    <w:rsid w:val="33D20888"/>
    <w:rsid w:val="341E2B5B"/>
    <w:rsid w:val="342F7A89"/>
    <w:rsid w:val="34337579"/>
    <w:rsid w:val="344277BC"/>
    <w:rsid w:val="34902C59"/>
    <w:rsid w:val="34BA1A48"/>
    <w:rsid w:val="34BD5094"/>
    <w:rsid w:val="35246EC1"/>
    <w:rsid w:val="35270760"/>
    <w:rsid w:val="354B08F2"/>
    <w:rsid w:val="356B7452"/>
    <w:rsid w:val="3575596F"/>
    <w:rsid w:val="35A055BA"/>
    <w:rsid w:val="35C67F79"/>
    <w:rsid w:val="35DB1B4B"/>
    <w:rsid w:val="361B6516"/>
    <w:rsid w:val="36624145"/>
    <w:rsid w:val="36770FFC"/>
    <w:rsid w:val="36A91D74"/>
    <w:rsid w:val="36C22E36"/>
    <w:rsid w:val="37213214"/>
    <w:rsid w:val="37427AD3"/>
    <w:rsid w:val="374341CE"/>
    <w:rsid w:val="375D66BB"/>
    <w:rsid w:val="376923B7"/>
    <w:rsid w:val="37797999"/>
    <w:rsid w:val="377D6D5D"/>
    <w:rsid w:val="37863E63"/>
    <w:rsid w:val="378679C0"/>
    <w:rsid w:val="37A90E16"/>
    <w:rsid w:val="37AE609F"/>
    <w:rsid w:val="37F963E3"/>
    <w:rsid w:val="380D1E8F"/>
    <w:rsid w:val="38204580"/>
    <w:rsid w:val="382D2531"/>
    <w:rsid w:val="3851621F"/>
    <w:rsid w:val="387D79CC"/>
    <w:rsid w:val="388109FB"/>
    <w:rsid w:val="38A547BD"/>
    <w:rsid w:val="38C018B3"/>
    <w:rsid w:val="38D8249D"/>
    <w:rsid w:val="38FB262F"/>
    <w:rsid w:val="391A2AB5"/>
    <w:rsid w:val="39273424"/>
    <w:rsid w:val="39461AFC"/>
    <w:rsid w:val="397877DC"/>
    <w:rsid w:val="398D3681"/>
    <w:rsid w:val="39900FC9"/>
    <w:rsid w:val="3995213C"/>
    <w:rsid w:val="39965EB4"/>
    <w:rsid w:val="39A131D7"/>
    <w:rsid w:val="39A95F2D"/>
    <w:rsid w:val="39AD467F"/>
    <w:rsid w:val="39B90520"/>
    <w:rsid w:val="39D215E2"/>
    <w:rsid w:val="39EB4302"/>
    <w:rsid w:val="3A0F18D6"/>
    <w:rsid w:val="3A5B15D7"/>
    <w:rsid w:val="3A8F1281"/>
    <w:rsid w:val="3A946897"/>
    <w:rsid w:val="3A981399"/>
    <w:rsid w:val="3AC86541"/>
    <w:rsid w:val="3AD72837"/>
    <w:rsid w:val="3AD924FC"/>
    <w:rsid w:val="3AE72E6B"/>
    <w:rsid w:val="3AFB6916"/>
    <w:rsid w:val="3AFF3D8E"/>
    <w:rsid w:val="3AFF6407"/>
    <w:rsid w:val="3B00217F"/>
    <w:rsid w:val="3B1D4ADF"/>
    <w:rsid w:val="3B3751E2"/>
    <w:rsid w:val="3B4227E2"/>
    <w:rsid w:val="3B4F0A10"/>
    <w:rsid w:val="3BADF5DD"/>
    <w:rsid w:val="3BCB453B"/>
    <w:rsid w:val="3BDD601C"/>
    <w:rsid w:val="3C131A08"/>
    <w:rsid w:val="3C243C4B"/>
    <w:rsid w:val="3C4340D1"/>
    <w:rsid w:val="3C4D31A2"/>
    <w:rsid w:val="3C5A766D"/>
    <w:rsid w:val="3C687FDC"/>
    <w:rsid w:val="3C74593F"/>
    <w:rsid w:val="3CBE19AA"/>
    <w:rsid w:val="3CC01BC6"/>
    <w:rsid w:val="3CDC62D4"/>
    <w:rsid w:val="3CF55248"/>
    <w:rsid w:val="3D2E2FD3"/>
    <w:rsid w:val="3D337F5C"/>
    <w:rsid w:val="3D477BF1"/>
    <w:rsid w:val="3D483969"/>
    <w:rsid w:val="3D540560"/>
    <w:rsid w:val="3D605157"/>
    <w:rsid w:val="3D6764E5"/>
    <w:rsid w:val="3DB80AEF"/>
    <w:rsid w:val="3DE07723"/>
    <w:rsid w:val="3E1321C9"/>
    <w:rsid w:val="3E3E18D2"/>
    <w:rsid w:val="3E611186"/>
    <w:rsid w:val="3EB3D5A7"/>
    <w:rsid w:val="3F012022"/>
    <w:rsid w:val="3F091652"/>
    <w:rsid w:val="3F401EB9"/>
    <w:rsid w:val="3F5A279E"/>
    <w:rsid w:val="3F660F57"/>
    <w:rsid w:val="3F6A5E19"/>
    <w:rsid w:val="3F79605C"/>
    <w:rsid w:val="3F7A2F8D"/>
    <w:rsid w:val="3F82237F"/>
    <w:rsid w:val="3F9410E8"/>
    <w:rsid w:val="3FB35A12"/>
    <w:rsid w:val="3FBF252A"/>
    <w:rsid w:val="3FFD0A3B"/>
    <w:rsid w:val="40491ED2"/>
    <w:rsid w:val="406665E0"/>
    <w:rsid w:val="407231D7"/>
    <w:rsid w:val="40956EC5"/>
    <w:rsid w:val="409929F8"/>
    <w:rsid w:val="40B70B3D"/>
    <w:rsid w:val="40D75730"/>
    <w:rsid w:val="41265D6F"/>
    <w:rsid w:val="41322966"/>
    <w:rsid w:val="41911D83"/>
    <w:rsid w:val="41A72A8C"/>
    <w:rsid w:val="41B31C86"/>
    <w:rsid w:val="41DD28D2"/>
    <w:rsid w:val="41E41EB2"/>
    <w:rsid w:val="41FB65A1"/>
    <w:rsid w:val="421309EA"/>
    <w:rsid w:val="421B3E17"/>
    <w:rsid w:val="423D5A66"/>
    <w:rsid w:val="423F533B"/>
    <w:rsid w:val="42446DF5"/>
    <w:rsid w:val="428B4A24"/>
    <w:rsid w:val="42BA3832"/>
    <w:rsid w:val="42FC76D0"/>
    <w:rsid w:val="432B1D63"/>
    <w:rsid w:val="435E3EE6"/>
    <w:rsid w:val="438374A9"/>
    <w:rsid w:val="43CD6B8D"/>
    <w:rsid w:val="43EC14F2"/>
    <w:rsid w:val="43F42155"/>
    <w:rsid w:val="43FE4D82"/>
    <w:rsid w:val="440305EA"/>
    <w:rsid w:val="440E3217"/>
    <w:rsid w:val="4436276D"/>
    <w:rsid w:val="445826E4"/>
    <w:rsid w:val="446948F1"/>
    <w:rsid w:val="44735770"/>
    <w:rsid w:val="44915BF6"/>
    <w:rsid w:val="44982BC6"/>
    <w:rsid w:val="449C6A74"/>
    <w:rsid w:val="44D77AAC"/>
    <w:rsid w:val="44F54B29"/>
    <w:rsid w:val="45061012"/>
    <w:rsid w:val="450E7246"/>
    <w:rsid w:val="4521341D"/>
    <w:rsid w:val="45774BB2"/>
    <w:rsid w:val="45997458"/>
    <w:rsid w:val="45E76415"/>
    <w:rsid w:val="45F14B9E"/>
    <w:rsid w:val="461D3BE5"/>
    <w:rsid w:val="461E170B"/>
    <w:rsid w:val="46293E3F"/>
    <w:rsid w:val="46372FBF"/>
    <w:rsid w:val="464A3C02"/>
    <w:rsid w:val="46E701F2"/>
    <w:rsid w:val="46F6376A"/>
    <w:rsid w:val="470628CB"/>
    <w:rsid w:val="47290367"/>
    <w:rsid w:val="475F1FDB"/>
    <w:rsid w:val="476A1E09"/>
    <w:rsid w:val="476B0980"/>
    <w:rsid w:val="4780267D"/>
    <w:rsid w:val="4792415F"/>
    <w:rsid w:val="47C8170B"/>
    <w:rsid w:val="47CA7D9C"/>
    <w:rsid w:val="47E4007C"/>
    <w:rsid w:val="4803505C"/>
    <w:rsid w:val="48141018"/>
    <w:rsid w:val="48147269"/>
    <w:rsid w:val="481B05F8"/>
    <w:rsid w:val="489D0C06"/>
    <w:rsid w:val="489F6B33"/>
    <w:rsid w:val="48E00EFA"/>
    <w:rsid w:val="48E22EC4"/>
    <w:rsid w:val="490E1F0B"/>
    <w:rsid w:val="491017DF"/>
    <w:rsid w:val="49132D46"/>
    <w:rsid w:val="493504C2"/>
    <w:rsid w:val="49374FBE"/>
    <w:rsid w:val="494871CB"/>
    <w:rsid w:val="494C7225"/>
    <w:rsid w:val="494E695E"/>
    <w:rsid w:val="494F67AB"/>
    <w:rsid w:val="496833C9"/>
    <w:rsid w:val="498819A3"/>
    <w:rsid w:val="49FB248F"/>
    <w:rsid w:val="49FB57C4"/>
    <w:rsid w:val="4A016EBB"/>
    <w:rsid w:val="4A0917A7"/>
    <w:rsid w:val="4A4C4596"/>
    <w:rsid w:val="4A500790"/>
    <w:rsid w:val="4A742241"/>
    <w:rsid w:val="4A7A7858"/>
    <w:rsid w:val="4A8224FE"/>
    <w:rsid w:val="4AA93C99"/>
    <w:rsid w:val="4ABF7C5A"/>
    <w:rsid w:val="4AE52E00"/>
    <w:rsid w:val="4B09298A"/>
    <w:rsid w:val="4B0E1D4E"/>
    <w:rsid w:val="4B2C6678"/>
    <w:rsid w:val="4B413ED2"/>
    <w:rsid w:val="4B736055"/>
    <w:rsid w:val="4B8138B9"/>
    <w:rsid w:val="4B880C9C"/>
    <w:rsid w:val="4BA821A3"/>
    <w:rsid w:val="4BB02851"/>
    <w:rsid w:val="4BBA0128"/>
    <w:rsid w:val="4BBD7A14"/>
    <w:rsid w:val="4BDF25E2"/>
    <w:rsid w:val="4BE66483"/>
    <w:rsid w:val="4BF9376D"/>
    <w:rsid w:val="4C0D46FC"/>
    <w:rsid w:val="4C194E4E"/>
    <w:rsid w:val="4C285091"/>
    <w:rsid w:val="4C4A14AC"/>
    <w:rsid w:val="4C561BFF"/>
    <w:rsid w:val="4C5C55AD"/>
    <w:rsid w:val="4C9270B0"/>
    <w:rsid w:val="4CC01E3B"/>
    <w:rsid w:val="4CF415D4"/>
    <w:rsid w:val="4D2F6122"/>
    <w:rsid w:val="4D4759EB"/>
    <w:rsid w:val="4D54553A"/>
    <w:rsid w:val="4D8B1D7C"/>
    <w:rsid w:val="4D902EEE"/>
    <w:rsid w:val="4DD35C7F"/>
    <w:rsid w:val="4DE67456"/>
    <w:rsid w:val="4DF80A94"/>
    <w:rsid w:val="4DF96CE5"/>
    <w:rsid w:val="4E1F4272"/>
    <w:rsid w:val="4E3F66C2"/>
    <w:rsid w:val="4E45017D"/>
    <w:rsid w:val="4E573A0C"/>
    <w:rsid w:val="4E775E5C"/>
    <w:rsid w:val="4EBF6106"/>
    <w:rsid w:val="4ECE0172"/>
    <w:rsid w:val="4ED91190"/>
    <w:rsid w:val="4F0E056F"/>
    <w:rsid w:val="4F111E0D"/>
    <w:rsid w:val="4F590282"/>
    <w:rsid w:val="501920D5"/>
    <w:rsid w:val="503B514F"/>
    <w:rsid w:val="504F52E3"/>
    <w:rsid w:val="50720FD1"/>
    <w:rsid w:val="50AA2519"/>
    <w:rsid w:val="50C85E32"/>
    <w:rsid w:val="51736DAF"/>
    <w:rsid w:val="518C1C1F"/>
    <w:rsid w:val="51911BFE"/>
    <w:rsid w:val="51AB7B4F"/>
    <w:rsid w:val="51C4760A"/>
    <w:rsid w:val="51D57A6A"/>
    <w:rsid w:val="51E82ED4"/>
    <w:rsid w:val="52287B99"/>
    <w:rsid w:val="52354064"/>
    <w:rsid w:val="52481FEA"/>
    <w:rsid w:val="5274211E"/>
    <w:rsid w:val="528544CC"/>
    <w:rsid w:val="52976ACD"/>
    <w:rsid w:val="529C40E3"/>
    <w:rsid w:val="529E1C09"/>
    <w:rsid w:val="52B4767F"/>
    <w:rsid w:val="52F7756C"/>
    <w:rsid w:val="52FC4B82"/>
    <w:rsid w:val="53193986"/>
    <w:rsid w:val="531D2352"/>
    <w:rsid w:val="535F3C1E"/>
    <w:rsid w:val="537806AC"/>
    <w:rsid w:val="53781870"/>
    <w:rsid w:val="53893AC0"/>
    <w:rsid w:val="53BB2D12"/>
    <w:rsid w:val="53BF0089"/>
    <w:rsid w:val="53C65608"/>
    <w:rsid w:val="53C90F08"/>
    <w:rsid w:val="54361D6E"/>
    <w:rsid w:val="5472193F"/>
    <w:rsid w:val="54EA0235"/>
    <w:rsid w:val="54F22252"/>
    <w:rsid w:val="5511700B"/>
    <w:rsid w:val="55482300"/>
    <w:rsid w:val="55A25EB5"/>
    <w:rsid w:val="55C17A03"/>
    <w:rsid w:val="55D3606E"/>
    <w:rsid w:val="55E97640"/>
    <w:rsid w:val="55FA184D"/>
    <w:rsid w:val="56004989"/>
    <w:rsid w:val="564725B8"/>
    <w:rsid w:val="567A298E"/>
    <w:rsid w:val="567A473C"/>
    <w:rsid w:val="568260A3"/>
    <w:rsid w:val="568832FC"/>
    <w:rsid w:val="56A75068"/>
    <w:rsid w:val="56B75990"/>
    <w:rsid w:val="56BD2FE9"/>
    <w:rsid w:val="56C37E91"/>
    <w:rsid w:val="572C412E"/>
    <w:rsid w:val="574F3B38"/>
    <w:rsid w:val="57574A7D"/>
    <w:rsid w:val="57783371"/>
    <w:rsid w:val="578601E2"/>
    <w:rsid w:val="579B2BBB"/>
    <w:rsid w:val="579C2AD8"/>
    <w:rsid w:val="57A04676"/>
    <w:rsid w:val="57B91294"/>
    <w:rsid w:val="580A1AEF"/>
    <w:rsid w:val="5814296E"/>
    <w:rsid w:val="581A0C3B"/>
    <w:rsid w:val="581D1822"/>
    <w:rsid w:val="58641537"/>
    <w:rsid w:val="586C1C2B"/>
    <w:rsid w:val="589D0BB5"/>
    <w:rsid w:val="58AF38FC"/>
    <w:rsid w:val="58B101BD"/>
    <w:rsid w:val="58C5195E"/>
    <w:rsid w:val="58CE6FC1"/>
    <w:rsid w:val="58DB0AE4"/>
    <w:rsid w:val="58DC16DE"/>
    <w:rsid w:val="59075493"/>
    <w:rsid w:val="59232E69"/>
    <w:rsid w:val="59417793"/>
    <w:rsid w:val="5954447D"/>
    <w:rsid w:val="595C45CC"/>
    <w:rsid w:val="59710078"/>
    <w:rsid w:val="59B9557B"/>
    <w:rsid w:val="59BB5797"/>
    <w:rsid w:val="59DB3743"/>
    <w:rsid w:val="5A0F7891"/>
    <w:rsid w:val="5A34505B"/>
    <w:rsid w:val="5A3E3CD2"/>
    <w:rsid w:val="5A421A14"/>
    <w:rsid w:val="5A7B0A82"/>
    <w:rsid w:val="5A8D7133"/>
    <w:rsid w:val="5A951B44"/>
    <w:rsid w:val="5AD563E4"/>
    <w:rsid w:val="5AF80325"/>
    <w:rsid w:val="5B0B0058"/>
    <w:rsid w:val="5B264E92"/>
    <w:rsid w:val="5B4812AC"/>
    <w:rsid w:val="5B490B80"/>
    <w:rsid w:val="5BAF6C35"/>
    <w:rsid w:val="5BF1724E"/>
    <w:rsid w:val="5C321615"/>
    <w:rsid w:val="5C4001D5"/>
    <w:rsid w:val="5C45759A"/>
    <w:rsid w:val="5C855BE8"/>
    <w:rsid w:val="5CCB54C2"/>
    <w:rsid w:val="5CFA4828"/>
    <w:rsid w:val="5CFF31EA"/>
    <w:rsid w:val="5D0631CD"/>
    <w:rsid w:val="5D3571DF"/>
    <w:rsid w:val="5D3F223B"/>
    <w:rsid w:val="5D4E4093"/>
    <w:rsid w:val="5D5451F4"/>
    <w:rsid w:val="5D647EF4"/>
    <w:rsid w:val="5DE22239"/>
    <w:rsid w:val="5E761C8C"/>
    <w:rsid w:val="5E974DDA"/>
    <w:rsid w:val="5EBD3D5F"/>
    <w:rsid w:val="5EC37315"/>
    <w:rsid w:val="5ED915A1"/>
    <w:rsid w:val="5EFA2EDC"/>
    <w:rsid w:val="5EFE2E50"/>
    <w:rsid w:val="5F0D0B7C"/>
    <w:rsid w:val="5F0E45BB"/>
    <w:rsid w:val="5F16521D"/>
    <w:rsid w:val="5F265461"/>
    <w:rsid w:val="5F26779F"/>
    <w:rsid w:val="5F322057"/>
    <w:rsid w:val="5F8B1768"/>
    <w:rsid w:val="5FCC7707"/>
    <w:rsid w:val="5FDA449D"/>
    <w:rsid w:val="600A19BF"/>
    <w:rsid w:val="60285208"/>
    <w:rsid w:val="609D79A4"/>
    <w:rsid w:val="60FB46CB"/>
    <w:rsid w:val="60FE253B"/>
    <w:rsid w:val="61021CC8"/>
    <w:rsid w:val="61025A59"/>
    <w:rsid w:val="6109503A"/>
    <w:rsid w:val="61121AE6"/>
    <w:rsid w:val="61412723"/>
    <w:rsid w:val="616353F5"/>
    <w:rsid w:val="61982C61"/>
    <w:rsid w:val="61D07906"/>
    <w:rsid w:val="61E65FE3"/>
    <w:rsid w:val="61F41846"/>
    <w:rsid w:val="61FA2BD4"/>
    <w:rsid w:val="62015D11"/>
    <w:rsid w:val="625B3673"/>
    <w:rsid w:val="62774225"/>
    <w:rsid w:val="62A02FB2"/>
    <w:rsid w:val="62AC0C7E"/>
    <w:rsid w:val="62CE083B"/>
    <w:rsid w:val="62F51D1A"/>
    <w:rsid w:val="631B2E02"/>
    <w:rsid w:val="632E0D88"/>
    <w:rsid w:val="63310C18"/>
    <w:rsid w:val="637075F2"/>
    <w:rsid w:val="63A177AC"/>
    <w:rsid w:val="63AC1A8E"/>
    <w:rsid w:val="63B2291D"/>
    <w:rsid w:val="63CB3286"/>
    <w:rsid w:val="63D944FE"/>
    <w:rsid w:val="641E0C4D"/>
    <w:rsid w:val="642F125B"/>
    <w:rsid w:val="643A375C"/>
    <w:rsid w:val="64760C38"/>
    <w:rsid w:val="64A8147A"/>
    <w:rsid w:val="64B90B25"/>
    <w:rsid w:val="64D4770D"/>
    <w:rsid w:val="64DB626C"/>
    <w:rsid w:val="64EA33D4"/>
    <w:rsid w:val="64F34037"/>
    <w:rsid w:val="650A75D2"/>
    <w:rsid w:val="6511270F"/>
    <w:rsid w:val="6549634D"/>
    <w:rsid w:val="658B24C1"/>
    <w:rsid w:val="659A6BA8"/>
    <w:rsid w:val="65CD6833"/>
    <w:rsid w:val="66140709"/>
    <w:rsid w:val="66216982"/>
    <w:rsid w:val="66430FEE"/>
    <w:rsid w:val="665705F5"/>
    <w:rsid w:val="665E3732"/>
    <w:rsid w:val="6672542F"/>
    <w:rsid w:val="667E2026"/>
    <w:rsid w:val="66916AAD"/>
    <w:rsid w:val="66993944"/>
    <w:rsid w:val="66A67D77"/>
    <w:rsid w:val="66C537B1"/>
    <w:rsid w:val="66D954AE"/>
    <w:rsid w:val="66E300DB"/>
    <w:rsid w:val="66E63727"/>
    <w:rsid w:val="66EC6F90"/>
    <w:rsid w:val="67112E9A"/>
    <w:rsid w:val="6716225F"/>
    <w:rsid w:val="672A3F5C"/>
    <w:rsid w:val="6749577D"/>
    <w:rsid w:val="676771F0"/>
    <w:rsid w:val="67A71109"/>
    <w:rsid w:val="68064081"/>
    <w:rsid w:val="683230C8"/>
    <w:rsid w:val="684807C3"/>
    <w:rsid w:val="685C2C18"/>
    <w:rsid w:val="686F60CA"/>
    <w:rsid w:val="687D46EF"/>
    <w:rsid w:val="688558EE"/>
    <w:rsid w:val="68A85138"/>
    <w:rsid w:val="68AD274F"/>
    <w:rsid w:val="68AF4719"/>
    <w:rsid w:val="68B86C5B"/>
    <w:rsid w:val="68E1064A"/>
    <w:rsid w:val="68E40C08"/>
    <w:rsid w:val="68FB5BB0"/>
    <w:rsid w:val="68FE744E"/>
    <w:rsid w:val="69196036"/>
    <w:rsid w:val="69394B6B"/>
    <w:rsid w:val="695C4ECB"/>
    <w:rsid w:val="697933D9"/>
    <w:rsid w:val="698339A1"/>
    <w:rsid w:val="69A73642"/>
    <w:rsid w:val="69AC0C58"/>
    <w:rsid w:val="69B1626F"/>
    <w:rsid w:val="69DA1841"/>
    <w:rsid w:val="69F36887"/>
    <w:rsid w:val="69FC13CD"/>
    <w:rsid w:val="6A116D0D"/>
    <w:rsid w:val="6A2868C7"/>
    <w:rsid w:val="6A353C8F"/>
    <w:rsid w:val="6A4946F9"/>
    <w:rsid w:val="6A8614A9"/>
    <w:rsid w:val="6A8D2838"/>
    <w:rsid w:val="6A9040D6"/>
    <w:rsid w:val="6A9478E7"/>
    <w:rsid w:val="6AFD36FC"/>
    <w:rsid w:val="6B04197E"/>
    <w:rsid w:val="6B1116BB"/>
    <w:rsid w:val="6B686E01"/>
    <w:rsid w:val="6B6F63E1"/>
    <w:rsid w:val="6B81545C"/>
    <w:rsid w:val="6B881251"/>
    <w:rsid w:val="6B9D6AAA"/>
    <w:rsid w:val="6BCF37C4"/>
    <w:rsid w:val="6C02543A"/>
    <w:rsid w:val="6C144961"/>
    <w:rsid w:val="6C4F716F"/>
    <w:rsid w:val="6C517895"/>
    <w:rsid w:val="6C820012"/>
    <w:rsid w:val="6C924CDE"/>
    <w:rsid w:val="6CA86ED0"/>
    <w:rsid w:val="6CAF214E"/>
    <w:rsid w:val="6CB878A7"/>
    <w:rsid w:val="6CBF6E0D"/>
    <w:rsid w:val="6CFE56FD"/>
    <w:rsid w:val="6D0112BB"/>
    <w:rsid w:val="6D0228EE"/>
    <w:rsid w:val="6D050DAB"/>
    <w:rsid w:val="6D12171A"/>
    <w:rsid w:val="6D7B106D"/>
    <w:rsid w:val="6DD20976"/>
    <w:rsid w:val="6DEE5CE3"/>
    <w:rsid w:val="6DF116D8"/>
    <w:rsid w:val="6DFB3F5C"/>
    <w:rsid w:val="6E1E7093"/>
    <w:rsid w:val="6E2039C3"/>
    <w:rsid w:val="6E315BD0"/>
    <w:rsid w:val="6E345361"/>
    <w:rsid w:val="6E421B8B"/>
    <w:rsid w:val="6E672495"/>
    <w:rsid w:val="6E697118"/>
    <w:rsid w:val="6E7A30D3"/>
    <w:rsid w:val="6E8C1536"/>
    <w:rsid w:val="6E9A3775"/>
    <w:rsid w:val="6EB7D759"/>
    <w:rsid w:val="6ECC78DE"/>
    <w:rsid w:val="6EEF1D13"/>
    <w:rsid w:val="6EF914F6"/>
    <w:rsid w:val="6F045092"/>
    <w:rsid w:val="6F07633A"/>
    <w:rsid w:val="6F435BBB"/>
    <w:rsid w:val="6F4656AB"/>
    <w:rsid w:val="6F4D4C8B"/>
    <w:rsid w:val="6F7A269E"/>
    <w:rsid w:val="6F7E53E2"/>
    <w:rsid w:val="6F8561D3"/>
    <w:rsid w:val="6F8A5598"/>
    <w:rsid w:val="6F970DBE"/>
    <w:rsid w:val="6FA523D2"/>
    <w:rsid w:val="6FC7165A"/>
    <w:rsid w:val="6FCC3E02"/>
    <w:rsid w:val="6FDB2297"/>
    <w:rsid w:val="701A2C8A"/>
    <w:rsid w:val="701D28B0"/>
    <w:rsid w:val="70251764"/>
    <w:rsid w:val="70755E6B"/>
    <w:rsid w:val="70765B1C"/>
    <w:rsid w:val="709A2129"/>
    <w:rsid w:val="70A35595"/>
    <w:rsid w:val="70A72179"/>
    <w:rsid w:val="70A95EF1"/>
    <w:rsid w:val="70B12FF8"/>
    <w:rsid w:val="711A294B"/>
    <w:rsid w:val="71226F37"/>
    <w:rsid w:val="712B6906"/>
    <w:rsid w:val="71327C95"/>
    <w:rsid w:val="71593474"/>
    <w:rsid w:val="717B5AE0"/>
    <w:rsid w:val="718A555D"/>
    <w:rsid w:val="71924BD7"/>
    <w:rsid w:val="71A05546"/>
    <w:rsid w:val="71BD21DB"/>
    <w:rsid w:val="71D7083C"/>
    <w:rsid w:val="71DB20DB"/>
    <w:rsid w:val="71EA6B34"/>
    <w:rsid w:val="72005FE5"/>
    <w:rsid w:val="72225F5B"/>
    <w:rsid w:val="72231CD3"/>
    <w:rsid w:val="7238577F"/>
    <w:rsid w:val="724126B2"/>
    <w:rsid w:val="724759C2"/>
    <w:rsid w:val="72681F13"/>
    <w:rsid w:val="72927157"/>
    <w:rsid w:val="72AC6E77"/>
    <w:rsid w:val="733A1083"/>
    <w:rsid w:val="73663A61"/>
    <w:rsid w:val="73697BBA"/>
    <w:rsid w:val="73814F04"/>
    <w:rsid w:val="739C3AEB"/>
    <w:rsid w:val="73BB5FFC"/>
    <w:rsid w:val="74145D78"/>
    <w:rsid w:val="741E6BF6"/>
    <w:rsid w:val="743E4BA3"/>
    <w:rsid w:val="74455F31"/>
    <w:rsid w:val="74624D35"/>
    <w:rsid w:val="748C1DB2"/>
    <w:rsid w:val="74B82BA7"/>
    <w:rsid w:val="74F51705"/>
    <w:rsid w:val="751C3136"/>
    <w:rsid w:val="75620101"/>
    <w:rsid w:val="75671ED7"/>
    <w:rsid w:val="75D35CCA"/>
    <w:rsid w:val="75DB7F6E"/>
    <w:rsid w:val="75F419BD"/>
    <w:rsid w:val="76074B6D"/>
    <w:rsid w:val="761A519B"/>
    <w:rsid w:val="761D2A66"/>
    <w:rsid w:val="762322A2"/>
    <w:rsid w:val="76283D5C"/>
    <w:rsid w:val="764010A6"/>
    <w:rsid w:val="765E32DA"/>
    <w:rsid w:val="766D176F"/>
    <w:rsid w:val="76F5345F"/>
    <w:rsid w:val="76FE010D"/>
    <w:rsid w:val="770C0F88"/>
    <w:rsid w:val="772938E8"/>
    <w:rsid w:val="772B58B2"/>
    <w:rsid w:val="7735228D"/>
    <w:rsid w:val="77444BC6"/>
    <w:rsid w:val="776C1A27"/>
    <w:rsid w:val="77732652"/>
    <w:rsid w:val="77770AF7"/>
    <w:rsid w:val="777F5BFE"/>
    <w:rsid w:val="777F9F48"/>
    <w:rsid w:val="77811976"/>
    <w:rsid w:val="77D807CB"/>
    <w:rsid w:val="77DA2E34"/>
    <w:rsid w:val="77F10608"/>
    <w:rsid w:val="787D038F"/>
    <w:rsid w:val="78880AE2"/>
    <w:rsid w:val="789C633C"/>
    <w:rsid w:val="78AD0549"/>
    <w:rsid w:val="78D2049C"/>
    <w:rsid w:val="78DE0702"/>
    <w:rsid w:val="78E75809"/>
    <w:rsid w:val="78F725B1"/>
    <w:rsid w:val="78F85C68"/>
    <w:rsid w:val="78FE426C"/>
    <w:rsid w:val="79584959"/>
    <w:rsid w:val="797177C8"/>
    <w:rsid w:val="79951709"/>
    <w:rsid w:val="79A74F98"/>
    <w:rsid w:val="79C62456"/>
    <w:rsid w:val="79E93803"/>
    <w:rsid w:val="7A0C00F4"/>
    <w:rsid w:val="7A1C14E2"/>
    <w:rsid w:val="7A2E1304"/>
    <w:rsid w:val="7A362145"/>
    <w:rsid w:val="7A460C55"/>
    <w:rsid w:val="7A600273"/>
    <w:rsid w:val="7A613399"/>
    <w:rsid w:val="7A772BBC"/>
    <w:rsid w:val="7A8157E9"/>
    <w:rsid w:val="7A9964C5"/>
    <w:rsid w:val="7AAF05A8"/>
    <w:rsid w:val="7AF64429"/>
    <w:rsid w:val="7B0408F4"/>
    <w:rsid w:val="7B0444DC"/>
    <w:rsid w:val="7B0B2195"/>
    <w:rsid w:val="7B157B32"/>
    <w:rsid w:val="7B406DA9"/>
    <w:rsid w:val="7B6770D5"/>
    <w:rsid w:val="7BA63759"/>
    <w:rsid w:val="7C042470"/>
    <w:rsid w:val="7C1469EA"/>
    <w:rsid w:val="7C330D65"/>
    <w:rsid w:val="7C4F2043"/>
    <w:rsid w:val="7C7A6994"/>
    <w:rsid w:val="7C7C66A8"/>
    <w:rsid w:val="7C885555"/>
    <w:rsid w:val="7CDFEF79"/>
    <w:rsid w:val="7D1E3617"/>
    <w:rsid w:val="7DB45DE7"/>
    <w:rsid w:val="7DCD4254"/>
    <w:rsid w:val="7DD32EE8"/>
    <w:rsid w:val="7DD87E16"/>
    <w:rsid w:val="7DE254A3"/>
    <w:rsid w:val="7E064983"/>
    <w:rsid w:val="7E1A3F8B"/>
    <w:rsid w:val="7E265025"/>
    <w:rsid w:val="7E292823"/>
    <w:rsid w:val="7E2B263C"/>
    <w:rsid w:val="7E2F5E5F"/>
    <w:rsid w:val="7E421BBD"/>
    <w:rsid w:val="7E521976"/>
    <w:rsid w:val="7E7C61FE"/>
    <w:rsid w:val="7E891110"/>
    <w:rsid w:val="7E8D29AE"/>
    <w:rsid w:val="7EBB39C0"/>
    <w:rsid w:val="7EC16AFC"/>
    <w:rsid w:val="7ECF746B"/>
    <w:rsid w:val="7ED22AB7"/>
    <w:rsid w:val="7F3217A8"/>
    <w:rsid w:val="7F751FF9"/>
    <w:rsid w:val="7FAB3A34"/>
    <w:rsid w:val="7FD665D7"/>
    <w:rsid w:val="7FFE219F"/>
    <w:rsid w:val="BD3D4CDC"/>
    <w:rsid w:val="BDE72652"/>
    <w:rsid w:val="BFF5A9F4"/>
    <w:rsid w:val="C2FF773C"/>
    <w:rsid w:val="DF763202"/>
    <w:rsid w:val="DFB5C16D"/>
    <w:rsid w:val="E5EE3E23"/>
    <w:rsid w:val="E7AE79B1"/>
    <w:rsid w:val="F7550B7B"/>
    <w:rsid w:val="FFBFA17E"/>
    <w:rsid w:val="FFF7C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8"/>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6">
    <w:name w:val="heading 3"/>
    <w:basedOn w:val="1"/>
    <w:next w:val="1"/>
    <w:link w:val="49"/>
    <w:qFormat/>
    <w:uiPriority w:val="0"/>
    <w:pPr>
      <w:keepNext/>
      <w:keepLines/>
      <w:numPr>
        <w:ilvl w:val="2"/>
        <w:numId w:val="1"/>
      </w:numPr>
      <w:spacing w:before="260" w:after="260" w:line="415" w:lineRule="auto"/>
      <w:outlineLvl w:val="2"/>
    </w:pPr>
    <w:rPr>
      <w:b/>
      <w:bCs/>
      <w:kern w:val="0"/>
      <w:sz w:val="32"/>
      <w:szCs w:val="32"/>
    </w:rPr>
  </w:style>
  <w:style w:type="paragraph" w:styleId="7">
    <w:name w:val="heading 4"/>
    <w:basedOn w:val="1"/>
    <w:next w:val="1"/>
    <w:link w:val="50"/>
    <w:qFormat/>
    <w:uiPriority w:val="0"/>
    <w:pPr>
      <w:keepNext/>
      <w:keepLines/>
      <w:spacing w:before="280" w:after="290" w:line="372" w:lineRule="auto"/>
      <w:outlineLvl w:val="3"/>
    </w:pPr>
    <w:rPr>
      <w:rFonts w:ascii="Arial" w:hAnsi="Arial" w:eastAsia="黑体"/>
      <w:b/>
      <w:bCs/>
      <w:kern w:val="0"/>
      <w:sz w:val="28"/>
      <w:szCs w:val="28"/>
    </w:rPr>
  </w:style>
  <w:style w:type="paragraph" w:styleId="8">
    <w:name w:val="heading 5"/>
    <w:basedOn w:val="1"/>
    <w:next w:val="1"/>
    <w:link w:val="51"/>
    <w:qFormat/>
    <w:uiPriority w:val="0"/>
    <w:pPr>
      <w:keepNext/>
      <w:keepLines/>
      <w:spacing w:before="280" w:after="290" w:line="372" w:lineRule="auto"/>
      <w:outlineLvl w:val="4"/>
    </w:pPr>
    <w:rPr>
      <w:b/>
      <w:bCs/>
      <w:kern w:val="0"/>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46"/>
    <w:qFormat/>
    <w:uiPriority w:val="0"/>
    <w:pPr>
      <w:spacing w:after="120"/>
    </w:pPr>
    <w:rPr>
      <w:kern w:val="0"/>
      <w:sz w:val="28"/>
    </w:rPr>
  </w:style>
  <w:style w:type="paragraph" w:styleId="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0">
    <w:name w:val="Normal Indent"/>
    <w:basedOn w:val="1"/>
    <w:qFormat/>
    <w:uiPriority w:val="0"/>
    <w:pPr>
      <w:numPr>
        <w:ilvl w:val="0"/>
        <w:numId w:val="2"/>
      </w:numPr>
      <w:ind w:left="0" w:firstLine="420"/>
    </w:pPr>
    <w:rPr>
      <w:szCs w:val="20"/>
    </w:rPr>
  </w:style>
  <w:style w:type="paragraph" w:styleId="11">
    <w:name w:val="caption"/>
    <w:basedOn w:val="1"/>
    <w:next w:val="1"/>
    <w:qFormat/>
    <w:uiPriority w:val="0"/>
    <w:pPr>
      <w:numPr>
        <w:ilvl w:val="0"/>
        <w:numId w:val="3"/>
      </w:numPr>
      <w:spacing w:before="152" w:after="160"/>
      <w:ind w:left="0" w:firstLine="0"/>
    </w:pPr>
    <w:rPr>
      <w:rFonts w:ascii="Arial" w:hAnsi="Arial" w:eastAsia="黑体" w:cs="Arial"/>
      <w:sz w:val="20"/>
      <w:szCs w:val="20"/>
    </w:rPr>
  </w:style>
  <w:style w:type="paragraph" w:styleId="12">
    <w:name w:val="Document Map"/>
    <w:basedOn w:val="1"/>
    <w:link w:val="52"/>
    <w:qFormat/>
    <w:uiPriority w:val="0"/>
    <w:pPr>
      <w:shd w:val="clear" w:color="auto" w:fill="000080"/>
    </w:pPr>
    <w:rPr>
      <w:kern w:val="0"/>
      <w:sz w:val="20"/>
    </w:rPr>
  </w:style>
  <w:style w:type="paragraph" w:styleId="13">
    <w:name w:val="annotation text"/>
    <w:basedOn w:val="1"/>
    <w:link w:val="53"/>
    <w:qFormat/>
    <w:uiPriority w:val="0"/>
    <w:pPr>
      <w:jc w:val="left"/>
    </w:pPr>
    <w:rPr>
      <w:kern w:val="0"/>
      <w:sz w:val="20"/>
      <w:szCs w:val="20"/>
    </w:rPr>
  </w:style>
  <w:style w:type="paragraph" w:styleId="14">
    <w:name w:val="Body Text 3"/>
    <w:basedOn w:val="1"/>
    <w:link w:val="54"/>
    <w:qFormat/>
    <w:uiPriority w:val="0"/>
    <w:pPr>
      <w:numPr>
        <w:ilvl w:val="0"/>
        <w:numId w:val="4"/>
      </w:numPr>
      <w:snapToGrid w:val="0"/>
      <w:spacing w:before="50" w:after="50"/>
      <w:ind w:left="0" w:firstLine="0"/>
    </w:pPr>
    <w:rPr>
      <w:rFonts w:eastAsia="仿宋_GB2312"/>
      <w:b/>
      <w:bCs/>
      <w:kern w:val="0"/>
      <w:sz w:val="24"/>
      <w:szCs w:val="20"/>
    </w:rPr>
  </w:style>
  <w:style w:type="paragraph" w:styleId="15">
    <w:name w:val="Body Text Indent"/>
    <w:basedOn w:val="1"/>
    <w:link w:val="55"/>
    <w:qFormat/>
    <w:uiPriority w:val="0"/>
    <w:pPr>
      <w:spacing w:line="200" w:lineRule="exact"/>
      <w:ind w:firstLine="301"/>
    </w:pPr>
    <w:rPr>
      <w:rFonts w:ascii="宋体"/>
      <w:spacing w:val="-4"/>
      <w:kern w:val="0"/>
      <w:sz w:val="18"/>
      <w:szCs w:val="20"/>
    </w:rPr>
  </w:style>
  <w:style w:type="paragraph" w:styleId="16">
    <w:name w:val="List Number 3"/>
    <w:basedOn w:val="1"/>
    <w:qFormat/>
    <w:uiPriority w:val="0"/>
    <w:pPr>
      <w:tabs>
        <w:tab w:val="left" w:pos="1200"/>
      </w:tabs>
      <w:ind w:left="1200" w:hanging="360"/>
    </w:pPr>
  </w:style>
  <w:style w:type="paragraph" w:styleId="17">
    <w:name w:val="List 2"/>
    <w:basedOn w:val="1"/>
    <w:qFormat/>
    <w:uiPriority w:val="0"/>
    <w:pPr>
      <w:numPr>
        <w:ilvl w:val="0"/>
        <w:numId w:val="5"/>
      </w:numPr>
      <w:ind w:left="400" w:leftChars="200" w:hanging="200" w:hangingChars="200"/>
    </w:pPr>
    <w:rPr>
      <w:sz w:val="28"/>
    </w:rPr>
  </w:style>
  <w:style w:type="paragraph" w:styleId="18">
    <w:name w:val="toc 3"/>
    <w:basedOn w:val="1"/>
    <w:next w:val="1"/>
    <w:qFormat/>
    <w:uiPriority w:val="39"/>
    <w:pPr>
      <w:ind w:left="400" w:leftChars="400"/>
    </w:pPr>
  </w:style>
  <w:style w:type="paragraph" w:styleId="19">
    <w:name w:val="Plain Text"/>
    <w:basedOn w:val="1"/>
    <w:link w:val="56"/>
    <w:qFormat/>
    <w:uiPriority w:val="0"/>
    <w:pPr>
      <w:spacing w:beforeLines="50" w:afterLines="50" w:line="400" w:lineRule="exact"/>
    </w:pPr>
    <w:rPr>
      <w:rFonts w:ascii="宋体"/>
      <w:kern w:val="0"/>
      <w:sz w:val="24"/>
    </w:rPr>
  </w:style>
  <w:style w:type="paragraph" w:styleId="20">
    <w:name w:val="Date"/>
    <w:basedOn w:val="1"/>
    <w:next w:val="1"/>
    <w:link w:val="57"/>
    <w:qFormat/>
    <w:uiPriority w:val="0"/>
    <w:pPr>
      <w:numPr>
        <w:ilvl w:val="0"/>
        <w:numId w:val="6"/>
      </w:numPr>
      <w:ind w:left="2500" w:leftChars="2500" w:firstLine="0"/>
    </w:pPr>
    <w:rPr>
      <w:rFonts w:eastAsia="楷体_GB2312"/>
      <w:kern w:val="0"/>
      <w:sz w:val="32"/>
      <w:szCs w:val="20"/>
    </w:rPr>
  </w:style>
  <w:style w:type="paragraph" w:styleId="21">
    <w:name w:val="Body Text Indent 2"/>
    <w:basedOn w:val="1"/>
    <w:link w:val="58"/>
    <w:qFormat/>
    <w:uiPriority w:val="0"/>
    <w:pPr>
      <w:snapToGrid w:val="0"/>
      <w:ind w:firstLine="225" w:firstLineChars="225"/>
    </w:pPr>
    <w:rPr>
      <w:rFonts w:ascii="仿宋_GB2312" w:hAnsi="仿宋_GB2312"/>
      <w:b/>
      <w:bCs/>
      <w:color w:val="000000"/>
      <w:kern w:val="0"/>
      <w:sz w:val="24"/>
    </w:rPr>
  </w:style>
  <w:style w:type="paragraph" w:styleId="22">
    <w:name w:val="Balloon Text"/>
    <w:basedOn w:val="1"/>
    <w:link w:val="59"/>
    <w:qFormat/>
    <w:uiPriority w:val="99"/>
    <w:rPr>
      <w:kern w:val="0"/>
      <w:sz w:val="18"/>
      <w:szCs w:val="18"/>
    </w:rPr>
  </w:style>
  <w:style w:type="paragraph" w:styleId="23">
    <w:name w:val="footer"/>
    <w:basedOn w:val="1"/>
    <w:link w:val="60"/>
    <w:unhideWhenUsed/>
    <w:qFormat/>
    <w:uiPriority w:val="99"/>
    <w:pPr>
      <w:tabs>
        <w:tab w:val="center" w:pos="4153"/>
        <w:tab w:val="right" w:pos="8306"/>
      </w:tabs>
      <w:snapToGrid w:val="0"/>
      <w:jc w:val="left"/>
    </w:pPr>
    <w:rPr>
      <w:kern w:val="0"/>
      <w:sz w:val="18"/>
      <w:szCs w:val="18"/>
    </w:rPr>
  </w:style>
  <w:style w:type="paragraph" w:styleId="24">
    <w:name w:val="envelope return"/>
    <w:basedOn w:val="1"/>
    <w:unhideWhenUsed/>
    <w:qFormat/>
    <w:uiPriority w:val="99"/>
    <w:pPr>
      <w:snapToGrid w:val="0"/>
      <w:spacing w:line="280" w:lineRule="exact"/>
    </w:pPr>
    <w:rPr>
      <w:rFonts w:ascii="Arial" w:hAnsi="Arial"/>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style>
  <w:style w:type="paragraph" w:styleId="27">
    <w:name w:val="Subtitle"/>
    <w:basedOn w:val="1"/>
    <w:next w:val="1"/>
    <w:link w:val="62"/>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qFormat/>
    <w:uiPriority w:val="0"/>
    <w:pPr>
      <w:ind w:left="200" w:hanging="200" w:hangingChars="200"/>
    </w:pPr>
    <w:rPr>
      <w:sz w:val="28"/>
    </w:rPr>
  </w:style>
  <w:style w:type="paragraph" w:styleId="29">
    <w:name w:val="Body Text Indent 3"/>
    <w:basedOn w:val="1"/>
    <w:link w:val="63"/>
    <w:qFormat/>
    <w:uiPriority w:val="0"/>
    <w:pPr>
      <w:numPr>
        <w:ilvl w:val="0"/>
        <w:numId w:val="7"/>
      </w:numPr>
      <w:snapToGrid w:val="0"/>
      <w:ind w:left="0" w:firstLine="200" w:firstLineChars="200"/>
      <w:jc w:val="left"/>
    </w:pPr>
    <w:rPr>
      <w:rFonts w:ascii="仿宋_GB2312" w:eastAsia="仿宋_GB2312"/>
      <w:color w:val="000000"/>
      <w:kern w:val="0"/>
      <w:sz w:val="24"/>
    </w:rPr>
  </w:style>
  <w:style w:type="paragraph" w:styleId="30">
    <w:name w:val="toc 2"/>
    <w:basedOn w:val="1"/>
    <w:next w:val="1"/>
    <w:qFormat/>
    <w:uiPriority w:val="39"/>
    <w:pPr>
      <w:ind w:left="200" w:leftChars="200"/>
    </w:pPr>
  </w:style>
  <w:style w:type="paragraph" w:styleId="31">
    <w:name w:val="Body Text 2"/>
    <w:basedOn w:val="1"/>
    <w:link w:val="64"/>
    <w:qFormat/>
    <w:uiPriority w:val="0"/>
    <w:pPr>
      <w:widowControl/>
      <w:snapToGrid w:val="0"/>
      <w:spacing w:before="50" w:afterLines="50" w:line="400" w:lineRule="exact"/>
      <w:jc w:val="left"/>
    </w:pPr>
    <w:rPr>
      <w:rFonts w:ascii="宋体"/>
      <w:color w:val="000000"/>
      <w:kern w:val="0"/>
      <w:sz w:val="24"/>
    </w:rPr>
  </w:style>
  <w:style w:type="paragraph" w:styleId="32">
    <w:name w:val="HTML Preformatted"/>
    <w:basedOn w:val="1"/>
    <w:link w:val="6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99"/>
    <w:pPr>
      <w:widowControl/>
      <w:spacing w:before="100" w:beforeAutospacing="1" w:after="100" w:afterAutospacing="1"/>
      <w:jc w:val="left"/>
    </w:pPr>
    <w:rPr>
      <w:kern w:val="0"/>
      <w:sz w:val="24"/>
    </w:rPr>
  </w:style>
  <w:style w:type="paragraph" w:styleId="34">
    <w:name w:val="annotation subject"/>
    <w:basedOn w:val="13"/>
    <w:next w:val="13"/>
    <w:link w:val="66"/>
    <w:qFormat/>
    <w:uiPriority w:val="0"/>
  </w:style>
  <w:style w:type="paragraph" w:styleId="35">
    <w:name w:val="Body Text First Indent 2"/>
    <w:basedOn w:val="15"/>
    <w:link w:val="67"/>
    <w:unhideWhenUsed/>
    <w:qFormat/>
    <w:uiPriority w:val="99"/>
    <w:pPr>
      <w:spacing w:after="120" w:line="240" w:lineRule="auto"/>
      <w:ind w:left="420" w:leftChars="200" w:firstLine="420" w:firstLineChars="200"/>
    </w:pPr>
    <w:rPr>
      <w:rFonts w:ascii="Times New Roman"/>
      <w:kern w:val="2"/>
      <w:sz w:val="21"/>
      <w:szCs w:val="24"/>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99"/>
    <w:rPr>
      <w:color w:val="800080"/>
      <w:u w:val="single"/>
    </w:rPr>
  </w:style>
  <w:style w:type="character" w:styleId="42">
    <w:name w:val="Emphasis"/>
    <w:qFormat/>
    <w:uiPriority w:val="20"/>
    <w:rPr>
      <w:color w:val="CC0000"/>
    </w:rPr>
  </w:style>
  <w:style w:type="character" w:styleId="43">
    <w:name w:val="HTML Acronym"/>
    <w:qFormat/>
    <w:uiPriority w:val="0"/>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 Char1"/>
    <w:link w:val="3"/>
    <w:qFormat/>
    <w:uiPriority w:val="0"/>
    <w:rPr>
      <w:rFonts w:ascii="Times New Roman" w:hAnsi="Times New Roman" w:eastAsia="宋体" w:cs="Times New Roman"/>
      <w:sz w:val="28"/>
      <w:szCs w:val="24"/>
    </w:rPr>
  </w:style>
  <w:style w:type="character" w:customStyle="1" w:styleId="47">
    <w:name w:val="标题 1 Char1"/>
    <w:link w:val="4"/>
    <w:qFormat/>
    <w:uiPriority w:val="0"/>
    <w:rPr>
      <w:rFonts w:ascii="Times New Roman" w:hAnsi="Times New Roman" w:eastAsia="宋体" w:cs="Times New Roman"/>
      <w:b/>
      <w:bCs/>
      <w:kern w:val="44"/>
      <w:sz w:val="44"/>
      <w:szCs w:val="44"/>
    </w:rPr>
  </w:style>
  <w:style w:type="character" w:customStyle="1" w:styleId="48">
    <w:name w:val="标题 2 Char1"/>
    <w:link w:val="5"/>
    <w:qFormat/>
    <w:uiPriority w:val="0"/>
    <w:rPr>
      <w:rFonts w:ascii="Arial" w:hAnsi="Arial" w:eastAsia="黑体"/>
      <w:b/>
      <w:bCs/>
      <w:sz w:val="32"/>
      <w:szCs w:val="32"/>
    </w:rPr>
  </w:style>
  <w:style w:type="character" w:customStyle="1" w:styleId="49">
    <w:name w:val="标题 3 Char1"/>
    <w:link w:val="6"/>
    <w:qFormat/>
    <w:uiPriority w:val="0"/>
    <w:rPr>
      <w:b/>
      <w:bCs/>
      <w:sz w:val="32"/>
      <w:szCs w:val="32"/>
    </w:rPr>
  </w:style>
  <w:style w:type="character" w:customStyle="1" w:styleId="50">
    <w:name w:val="标题 4 Char1"/>
    <w:link w:val="7"/>
    <w:qFormat/>
    <w:uiPriority w:val="0"/>
    <w:rPr>
      <w:rFonts w:ascii="Arial" w:hAnsi="Arial" w:eastAsia="黑体" w:cs="Times New Roman"/>
      <w:b/>
      <w:bCs/>
      <w:sz w:val="28"/>
      <w:szCs w:val="28"/>
    </w:rPr>
  </w:style>
  <w:style w:type="character" w:customStyle="1" w:styleId="51">
    <w:name w:val="标题 5 Char1"/>
    <w:link w:val="8"/>
    <w:qFormat/>
    <w:uiPriority w:val="0"/>
    <w:rPr>
      <w:rFonts w:ascii="Times New Roman" w:hAnsi="Times New Roman" w:eastAsia="宋体" w:cs="Times New Roman"/>
      <w:b/>
      <w:bCs/>
      <w:sz w:val="28"/>
      <w:szCs w:val="28"/>
    </w:rPr>
  </w:style>
  <w:style w:type="character" w:customStyle="1" w:styleId="52">
    <w:name w:val="文档结构图 Char1"/>
    <w:link w:val="12"/>
    <w:qFormat/>
    <w:uiPriority w:val="0"/>
    <w:rPr>
      <w:rFonts w:ascii="Times New Roman" w:hAnsi="Times New Roman" w:eastAsia="宋体" w:cs="Times New Roman"/>
      <w:szCs w:val="24"/>
      <w:shd w:val="clear" w:color="auto" w:fill="000080"/>
    </w:rPr>
  </w:style>
  <w:style w:type="character" w:customStyle="1" w:styleId="53">
    <w:name w:val="批注文字 Char3"/>
    <w:link w:val="13"/>
    <w:qFormat/>
    <w:uiPriority w:val="0"/>
    <w:rPr>
      <w:rFonts w:ascii="Times New Roman" w:hAnsi="Times New Roman" w:eastAsia="宋体" w:cs="Times New Roman"/>
      <w:szCs w:val="20"/>
    </w:rPr>
  </w:style>
  <w:style w:type="character" w:customStyle="1" w:styleId="54">
    <w:name w:val="正文文本 3 Char1"/>
    <w:link w:val="14"/>
    <w:qFormat/>
    <w:uiPriority w:val="0"/>
    <w:rPr>
      <w:rFonts w:eastAsia="仿宋_GB2312"/>
      <w:b/>
      <w:bCs/>
      <w:sz w:val="24"/>
    </w:rPr>
  </w:style>
  <w:style w:type="character" w:customStyle="1" w:styleId="55">
    <w:name w:val="正文文本缩进 Char2"/>
    <w:link w:val="15"/>
    <w:qFormat/>
    <w:uiPriority w:val="0"/>
    <w:rPr>
      <w:rFonts w:ascii="宋体" w:hAnsi="Times New Roman" w:eastAsia="宋体" w:cs="Times New Roman"/>
      <w:spacing w:val="-4"/>
      <w:sz w:val="18"/>
      <w:szCs w:val="20"/>
    </w:rPr>
  </w:style>
  <w:style w:type="character" w:customStyle="1" w:styleId="56">
    <w:name w:val="纯文本 Char1"/>
    <w:link w:val="19"/>
    <w:qFormat/>
    <w:uiPriority w:val="0"/>
    <w:rPr>
      <w:rFonts w:ascii="宋体" w:hAnsi="Times New Roman" w:eastAsia="宋体" w:cs="Times New Roman"/>
      <w:sz w:val="24"/>
      <w:szCs w:val="24"/>
    </w:rPr>
  </w:style>
  <w:style w:type="character" w:customStyle="1" w:styleId="57">
    <w:name w:val="日期 Char1"/>
    <w:link w:val="20"/>
    <w:qFormat/>
    <w:uiPriority w:val="0"/>
    <w:rPr>
      <w:rFonts w:eastAsia="楷体_GB2312"/>
      <w:sz w:val="32"/>
    </w:rPr>
  </w:style>
  <w:style w:type="character" w:customStyle="1" w:styleId="58">
    <w:name w:val="正文文本缩进 2 Char1"/>
    <w:link w:val="21"/>
    <w:qFormat/>
    <w:uiPriority w:val="0"/>
    <w:rPr>
      <w:rFonts w:ascii="仿宋_GB2312" w:hAnsi="仿宋_GB2312" w:eastAsia="宋体" w:cs="Times New Roman"/>
      <w:b/>
      <w:bCs/>
      <w:color w:val="000000"/>
      <w:sz w:val="24"/>
      <w:szCs w:val="24"/>
    </w:rPr>
  </w:style>
  <w:style w:type="character" w:customStyle="1" w:styleId="59">
    <w:name w:val="批注框文本 Char1"/>
    <w:link w:val="22"/>
    <w:qFormat/>
    <w:uiPriority w:val="99"/>
    <w:rPr>
      <w:rFonts w:ascii="Times New Roman" w:hAnsi="Times New Roman" w:eastAsia="宋体" w:cs="Times New Roman"/>
      <w:sz w:val="18"/>
      <w:szCs w:val="18"/>
    </w:rPr>
  </w:style>
  <w:style w:type="character" w:customStyle="1" w:styleId="60">
    <w:name w:val="页脚 Char1"/>
    <w:link w:val="23"/>
    <w:qFormat/>
    <w:uiPriority w:val="99"/>
    <w:rPr>
      <w:sz w:val="18"/>
      <w:szCs w:val="18"/>
    </w:rPr>
  </w:style>
  <w:style w:type="character" w:customStyle="1" w:styleId="61">
    <w:name w:val="页眉 Char1"/>
    <w:link w:val="25"/>
    <w:qFormat/>
    <w:uiPriority w:val="99"/>
    <w:rPr>
      <w:sz w:val="18"/>
      <w:szCs w:val="18"/>
    </w:rPr>
  </w:style>
  <w:style w:type="character" w:customStyle="1" w:styleId="62">
    <w:name w:val="副标题 Char2"/>
    <w:link w:val="27"/>
    <w:qFormat/>
    <w:uiPriority w:val="0"/>
    <w:rPr>
      <w:rFonts w:ascii="Cambria" w:hAnsi="Cambria"/>
      <w:b/>
      <w:bCs/>
      <w:kern w:val="28"/>
      <w:sz w:val="32"/>
      <w:szCs w:val="32"/>
    </w:rPr>
  </w:style>
  <w:style w:type="character" w:customStyle="1" w:styleId="63">
    <w:name w:val="正文文本缩进 3 Char1"/>
    <w:link w:val="29"/>
    <w:qFormat/>
    <w:uiPriority w:val="0"/>
    <w:rPr>
      <w:rFonts w:ascii="仿宋_GB2312" w:eastAsia="仿宋_GB2312"/>
      <w:color w:val="000000"/>
      <w:sz w:val="24"/>
      <w:szCs w:val="24"/>
    </w:rPr>
  </w:style>
  <w:style w:type="character" w:customStyle="1" w:styleId="64">
    <w:name w:val="正文文本 2 Char1"/>
    <w:link w:val="31"/>
    <w:qFormat/>
    <w:uiPriority w:val="0"/>
    <w:rPr>
      <w:rFonts w:ascii="宋体" w:hAnsi="Times New Roman" w:eastAsia="宋体" w:cs="Times New Roman"/>
      <w:color w:val="000000"/>
      <w:sz w:val="24"/>
      <w:szCs w:val="24"/>
    </w:rPr>
  </w:style>
  <w:style w:type="character" w:customStyle="1" w:styleId="65">
    <w:name w:val="HTML 预设格式 Char1"/>
    <w:link w:val="32"/>
    <w:qFormat/>
    <w:uiPriority w:val="0"/>
    <w:rPr>
      <w:rFonts w:ascii="宋体" w:hAnsi="宋体" w:cs="宋体"/>
      <w:sz w:val="24"/>
      <w:szCs w:val="24"/>
    </w:rPr>
  </w:style>
  <w:style w:type="character" w:customStyle="1" w:styleId="66">
    <w:name w:val="批注主题 Char1"/>
    <w:link w:val="34"/>
    <w:qFormat/>
    <w:uiPriority w:val="0"/>
    <w:rPr>
      <w:rFonts w:ascii="Times New Roman" w:hAnsi="Times New Roman" w:eastAsia="宋体" w:cs="Times New Roman"/>
      <w:szCs w:val="20"/>
    </w:rPr>
  </w:style>
  <w:style w:type="character" w:customStyle="1" w:styleId="67">
    <w:name w:val="正文首行缩进 2 Char"/>
    <w:link w:val="35"/>
    <w:qFormat/>
    <w:uiPriority w:val="99"/>
    <w:rPr>
      <w:rFonts w:ascii="Times New Roman" w:hAnsi="Times New Roman" w:eastAsia="宋体" w:cs="Times New Roman"/>
      <w:spacing w:val="-4"/>
      <w:kern w:val="2"/>
      <w:sz w:val="21"/>
      <w:szCs w:val="24"/>
    </w:rPr>
  </w:style>
  <w:style w:type="character" w:customStyle="1" w:styleId="68">
    <w:name w:val="font11"/>
    <w:qFormat/>
    <w:uiPriority w:val="0"/>
    <w:rPr>
      <w:rFonts w:hint="default" w:ascii="Times New Roman" w:hAnsi="Times New Roman" w:cs="Times New Roman"/>
      <w:color w:val="000000"/>
      <w:sz w:val="21"/>
      <w:szCs w:val="21"/>
      <w:u w:val="none"/>
    </w:rPr>
  </w:style>
  <w:style w:type="character" w:customStyle="1" w:styleId="69">
    <w:name w:val="正文文本缩进 3 Char"/>
    <w:qFormat/>
    <w:uiPriority w:val="0"/>
    <w:rPr>
      <w:rFonts w:ascii="仿宋_GB2312" w:hAnsi="Times New Roman" w:eastAsia="仿宋_GB2312"/>
      <w:color w:val="000000"/>
      <w:sz w:val="24"/>
      <w:szCs w:val="24"/>
    </w:rPr>
  </w:style>
  <w:style w:type="character" w:customStyle="1" w:styleId="70">
    <w:name w:val="正文文本 2 Char"/>
    <w:qFormat/>
    <w:uiPriority w:val="0"/>
    <w:rPr>
      <w:rFonts w:ascii="宋体" w:hAnsi="Times New Roman" w:eastAsia="宋体" w:cs="Times New Roman"/>
      <w:color w:val="000000"/>
      <w:sz w:val="24"/>
      <w:szCs w:val="24"/>
    </w:rPr>
  </w:style>
  <w:style w:type="character" w:customStyle="1" w:styleId="71">
    <w:name w:val="apple-style-span"/>
    <w:qFormat/>
    <w:uiPriority w:val="0"/>
  </w:style>
  <w:style w:type="character" w:customStyle="1" w:styleId="72">
    <w:name w:val="标题 5 Char"/>
    <w:qFormat/>
    <w:uiPriority w:val="0"/>
    <w:rPr>
      <w:rFonts w:ascii="Times New Roman" w:hAnsi="Times New Roman" w:eastAsia="宋体" w:cs="Times New Roman"/>
      <w:b/>
      <w:bCs/>
      <w:sz w:val="28"/>
      <w:szCs w:val="28"/>
    </w:rPr>
  </w:style>
  <w:style w:type="character" w:customStyle="1" w:styleId="73">
    <w:name w:val="批注框文本 Char"/>
    <w:qFormat/>
    <w:uiPriority w:val="99"/>
    <w:rPr>
      <w:rFonts w:ascii="Times New Roman" w:hAnsi="Times New Roman" w:eastAsia="宋体" w:cs="Times New Roman"/>
      <w:sz w:val="18"/>
      <w:szCs w:val="18"/>
    </w:rPr>
  </w:style>
  <w:style w:type="character" w:customStyle="1" w:styleId="74">
    <w:name w:val="纯文本 Char"/>
    <w:qFormat/>
    <w:uiPriority w:val="0"/>
    <w:rPr>
      <w:rFonts w:ascii="宋体" w:hAnsi="Times New Roman" w:eastAsia="宋体" w:cs="Times New Roman"/>
      <w:sz w:val="24"/>
      <w:szCs w:val="24"/>
    </w:rPr>
  </w:style>
  <w:style w:type="character" w:customStyle="1" w:styleId="75">
    <w:name w:val="ca-32"/>
    <w:qFormat/>
    <w:uiPriority w:val="0"/>
  </w:style>
  <w:style w:type="character" w:customStyle="1" w:styleId="76">
    <w:name w:val="标题 2 Char"/>
    <w:qFormat/>
    <w:uiPriority w:val="0"/>
    <w:rPr>
      <w:rFonts w:ascii="Arial" w:hAnsi="Arial" w:eastAsia="黑体"/>
      <w:b/>
      <w:bCs/>
      <w:sz w:val="32"/>
      <w:szCs w:val="32"/>
    </w:rPr>
  </w:style>
  <w:style w:type="character" w:customStyle="1" w:styleId="77">
    <w:name w:val="批注文字 Char1"/>
    <w:qFormat/>
    <w:uiPriority w:val="0"/>
    <w:rPr>
      <w:rFonts w:ascii="Times New Roman" w:hAnsi="Times New Roman" w:eastAsia="宋体" w:cs="Times New Roman"/>
      <w:szCs w:val="20"/>
    </w:rPr>
  </w:style>
  <w:style w:type="character" w:customStyle="1" w:styleId="78">
    <w:name w:val="NormalCharacter"/>
    <w:qFormat/>
    <w:uiPriority w:val="0"/>
    <w:rPr>
      <w:kern w:val="2"/>
      <w:sz w:val="21"/>
      <w:szCs w:val="24"/>
      <w:lang w:val="en-US" w:eastAsia="zh-CN" w:bidi="ar-SA"/>
    </w:rPr>
  </w:style>
  <w:style w:type="character" w:customStyle="1" w:styleId="79">
    <w:name w:val="批注主题 Char"/>
    <w:qFormat/>
    <w:uiPriority w:val="0"/>
    <w:rPr>
      <w:rFonts w:ascii="Times New Roman" w:hAnsi="Times New Roman" w:eastAsia="宋体" w:cs="Times New Roman"/>
      <w:szCs w:val="20"/>
    </w:rPr>
  </w:style>
  <w:style w:type="character" w:customStyle="1" w:styleId="80">
    <w:name w:val="批注文字 Char"/>
    <w:qFormat/>
    <w:uiPriority w:val="0"/>
    <w:rPr>
      <w:rFonts w:ascii="Times New Roman" w:hAnsi="Times New Roman" w:eastAsia="宋体" w:cs="Times New Roman"/>
      <w:szCs w:val="20"/>
    </w:rPr>
  </w:style>
  <w:style w:type="character" w:styleId="81">
    <w:name w:val="Placeholder Text"/>
    <w:semiHidden/>
    <w:qFormat/>
    <w:uiPriority w:val="99"/>
    <w:rPr>
      <w:color w:val="808080"/>
    </w:rPr>
  </w:style>
  <w:style w:type="character" w:customStyle="1" w:styleId="82">
    <w:name w:val="c_title1"/>
    <w:qFormat/>
    <w:uiPriority w:val="0"/>
    <w:rPr>
      <w:rFonts w:ascii="黑体" w:eastAsia="黑体"/>
      <w:color w:val="03005C"/>
      <w:sz w:val="30"/>
      <w:szCs w:val="30"/>
      <w:u w:val="none"/>
    </w:rPr>
  </w:style>
  <w:style w:type="character" w:customStyle="1" w:styleId="83">
    <w:name w:val="style7"/>
    <w:qFormat/>
    <w:uiPriority w:val="0"/>
  </w:style>
  <w:style w:type="character" w:customStyle="1" w:styleId="84">
    <w:name w:val="副标题 Char1"/>
    <w:qFormat/>
    <w:uiPriority w:val="11"/>
    <w:rPr>
      <w:rFonts w:ascii="Cambria" w:hAnsi="Cambria" w:eastAsia="宋体" w:cs="Times New Roman"/>
      <w:b/>
      <w:bCs/>
      <w:kern w:val="28"/>
      <w:sz w:val="32"/>
      <w:szCs w:val="32"/>
    </w:rPr>
  </w:style>
  <w:style w:type="character" w:customStyle="1" w:styleId="85">
    <w:name w:val="列出段落 Char"/>
    <w:qFormat/>
    <w:uiPriority w:val="34"/>
    <w:rPr>
      <w:kern w:val="2"/>
      <w:sz w:val="21"/>
      <w:szCs w:val="22"/>
    </w:rPr>
  </w:style>
  <w:style w:type="character" w:customStyle="1" w:styleId="86">
    <w:name w:val="font81"/>
    <w:qFormat/>
    <w:uiPriority w:val="0"/>
    <w:rPr>
      <w:rFonts w:hint="eastAsia" w:ascii="宋体" w:hAnsi="宋体" w:eastAsia="宋体" w:cs="宋体"/>
      <w:b/>
      <w:color w:val="000000"/>
      <w:sz w:val="21"/>
      <w:szCs w:val="21"/>
      <w:u w:val="none"/>
    </w:rPr>
  </w:style>
  <w:style w:type="character" w:customStyle="1" w:styleId="87">
    <w:name w:val="font14zd"/>
    <w:qFormat/>
    <w:uiPriority w:val="0"/>
    <w:rPr>
      <w:rFonts w:ascii="Times New Roman" w:hAnsi="Times New Roman" w:eastAsia="宋体" w:cs="Times New Roman"/>
    </w:rPr>
  </w:style>
  <w:style w:type="character" w:customStyle="1" w:styleId="88">
    <w:name w:val="HTML 预设格式 Char"/>
    <w:qFormat/>
    <w:uiPriority w:val="0"/>
    <w:rPr>
      <w:rFonts w:ascii="宋体" w:hAnsi="宋体" w:cs="宋体"/>
      <w:sz w:val="24"/>
      <w:szCs w:val="24"/>
    </w:rPr>
  </w:style>
  <w:style w:type="character" w:customStyle="1" w:styleId="89">
    <w:name w:val="正文文本缩进 Char"/>
    <w:qFormat/>
    <w:uiPriority w:val="0"/>
    <w:rPr>
      <w:rFonts w:ascii="宋体" w:hAnsi="Times New Roman" w:eastAsia="宋体" w:cs="Times New Roman"/>
      <w:spacing w:val="-4"/>
      <w:sz w:val="18"/>
      <w:szCs w:val="20"/>
    </w:rPr>
  </w:style>
  <w:style w:type="character" w:customStyle="1" w:styleId="90">
    <w:name w:val="批注文字 Char2"/>
    <w:qFormat/>
    <w:uiPriority w:val="0"/>
    <w:rPr>
      <w:rFonts w:ascii="Times New Roman" w:hAnsi="Times New Roman" w:eastAsia="宋体" w:cs="Times New Roman"/>
      <w:szCs w:val="20"/>
    </w:rPr>
  </w:style>
  <w:style w:type="character" w:customStyle="1" w:styleId="91">
    <w:name w:val="标题 3 Char"/>
    <w:qFormat/>
    <w:uiPriority w:val="0"/>
    <w:rPr>
      <w:rFonts w:ascii="Times New Roman" w:hAnsi="Times New Roman"/>
      <w:b/>
      <w:bCs/>
      <w:sz w:val="32"/>
      <w:szCs w:val="32"/>
    </w:rPr>
  </w:style>
  <w:style w:type="character" w:customStyle="1" w:styleId="92">
    <w:name w:val="纯文本 字符1"/>
    <w:qFormat/>
    <w:uiPriority w:val="0"/>
    <w:rPr>
      <w:rFonts w:ascii="宋体" w:hAnsi="Courier New" w:eastAsia="宋体"/>
      <w:kern w:val="2"/>
      <w:sz w:val="24"/>
      <w:szCs w:val="24"/>
      <w:lang w:val="en-US" w:eastAsia="zh-CN" w:bidi="ar-SA"/>
    </w:rPr>
  </w:style>
  <w:style w:type="character" w:customStyle="1" w:styleId="93">
    <w:name w:val="bookmark-item"/>
    <w:qFormat/>
    <w:uiPriority w:val="0"/>
  </w:style>
  <w:style w:type="character" w:customStyle="1" w:styleId="94">
    <w:name w:val="正文文本 Char"/>
    <w:qFormat/>
    <w:uiPriority w:val="0"/>
    <w:rPr>
      <w:rFonts w:ascii="Times New Roman" w:hAnsi="Times New Roman" w:eastAsia="宋体" w:cs="Times New Roman"/>
      <w:sz w:val="28"/>
      <w:szCs w:val="24"/>
    </w:rPr>
  </w:style>
  <w:style w:type="character" w:customStyle="1" w:styleId="95">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96">
    <w:name w:val="标题 4 Char"/>
    <w:qFormat/>
    <w:uiPriority w:val="0"/>
    <w:rPr>
      <w:rFonts w:ascii="Arial" w:hAnsi="Arial" w:eastAsia="黑体" w:cs="Times New Roman"/>
      <w:b/>
      <w:bCs/>
      <w:sz w:val="28"/>
      <w:szCs w:val="28"/>
    </w:rPr>
  </w:style>
  <w:style w:type="character" w:customStyle="1" w:styleId="97">
    <w:name w:val="列出段落 Char1"/>
    <w:link w:val="98"/>
    <w:qFormat/>
    <w:uiPriority w:val="99"/>
    <w:rPr>
      <w:kern w:val="2"/>
      <w:sz w:val="21"/>
      <w:szCs w:val="22"/>
    </w:rPr>
  </w:style>
  <w:style w:type="paragraph" w:styleId="98">
    <w:name w:val="List Paragraph"/>
    <w:basedOn w:val="1"/>
    <w:link w:val="97"/>
    <w:qFormat/>
    <w:uiPriority w:val="99"/>
    <w:pPr>
      <w:numPr>
        <w:ilvl w:val="0"/>
        <w:numId w:val="8"/>
      </w:numPr>
    </w:pPr>
    <w:rPr>
      <w:szCs w:val="22"/>
    </w:rPr>
  </w:style>
  <w:style w:type="character" w:customStyle="1" w:styleId="99">
    <w:name w:val="正文文本缩进 2 Char"/>
    <w:qFormat/>
    <w:uiPriority w:val="0"/>
    <w:rPr>
      <w:rFonts w:ascii="仿宋_GB2312" w:hAnsi="仿宋_GB2312" w:eastAsia="宋体" w:cs="Times New Roman"/>
      <w:b/>
      <w:bCs/>
      <w:color w:val="000000"/>
      <w:sz w:val="24"/>
      <w:szCs w:val="24"/>
    </w:rPr>
  </w:style>
  <w:style w:type="character" w:customStyle="1" w:styleId="100">
    <w:name w:val="页眉 Char"/>
    <w:qFormat/>
    <w:uiPriority w:val="99"/>
    <w:rPr>
      <w:sz w:val="18"/>
      <w:szCs w:val="18"/>
    </w:rPr>
  </w:style>
  <w:style w:type="character" w:customStyle="1" w:styleId="101">
    <w:name w:val="正文文本缩进 Char1"/>
    <w:qFormat/>
    <w:uiPriority w:val="0"/>
    <w:rPr>
      <w:rFonts w:ascii="宋体" w:hAnsi="Times New Roman" w:eastAsia="宋体" w:cs="Times New Roman"/>
      <w:spacing w:val="-4"/>
      <w:sz w:val="18"/>
      <w:szCs w:val="20"/>
    </w:rPr>
  </w:style>
  <w:style w:type="character" w:customStyle="1" w:styleId="102">
    <w:name w:val="页脚 Char"/>
    <w:qFormat/>
    <w:uiPriority w:val="99"/>
    <w:rPr>
      <w:sz w:val="18"/>
      <w:szCs w:val="18"/>
    </w:rPr>
  </w:style>
  <w:style w:type="character" w:customStyle="1" w:styleId="103">
    <w:name w:val="页脚 Char2"/>
    <w:qFormat/>
    <w:uiPriority w:val="99"/>
    <w:rPr>
      <w:sz w:val="18"/>
      <w:szCs w:val="18"/>
    </w:rPr>
  </w:style>
  <w:style w:type="character" w:customStyle="1" w:styleId="104">
    <w:name w:val="日期 Char"/>
    <w:qFormat/>
    <w:uiPriority w:val="0"/>
    <w:rPr>
      <w:rFonts w:ascii="Times New Roman" w:hAnsi="Times New Roman" w:eastAsia="楷体_GB2312"/>
      <w:sz w:val="32"/>
    </w:rPr>
  </w:style>
  <w:style w:type="character" w:customStyle="1" w:styleId="105">
    <w:name w:val="font21"/>
    <w:qFormat/>
    <w:uiPriority w:val="0"/>
    <w:rPr>
      <w:rFonts w:hint="eastAsia" w:ascii="宋体" w:hAnsi="宋体" w:eastAsia="宋体" w:cs="宋体"/>
      <w:color w:val="000000"/>
      <w:sz w:val="21"/>
      <w:szCs w:val="21"/>
      <w:u w:val="none"/>
    </w:rPr>
  </w:style>
  <w:style w:type="character" w:customStyle="1" w:styleId="106">
    <w:name w:val="纯文本 字符"/>
    <w:qFormat/>
    <w:uiPriority w:val="0"/>
    <w:rPr>
      <w:rFonts w:ascii="宋体" w:hAnsi="Times New Roman" w:eastAsia="宋体" w:cs="Times New Roman"/>
      <w:sz w:val="24"/>
      <w:szCs w:val="24"/>
    </w:rPr>
  </w:style>
  <w:style w:type="character" w:customStyle="1" w:styleId="107">
    <w:name w:val="font221"/>
    <w:qFormat/>
    <w:uiPriority w:val="0"/>
    <w:rPr>
      <w:rFonts w:hint="eastAsia" w:ascii="宋体" w:hAnsi="宋体" w:eastAsia="宋体" w:cs="宋体"/>
      <w:color w:val="000000"/>
      <w:sz w:val="18"/>
      <w:szCs w:val="18"/>
      <w:u w:val="none"/>
    </w:rPr>
  </w:style>
  <w:style w:type="character" w:customStyle="1" w:styleId="108">
    <w:name w:val="副标题 Char"/>
    <w:qFormat/>
    <w:uiPriority w:val="0"/>
    <w:rPr>
      <w:rFonts w:ascii="Cambria" w:hAnsi="Cambria"/>
      <w:b/>
      <w:bCs/>
      <w:kern w:val="28"/>
      <w:sz w:val="32"/>
      <w:szCs w:val="32"/>
    </w:rPr>
  </w:style>
  <w:style w:type="character" w:customStyle="1" w:styleId="109">
    <w:name w:val="font211"/>
    <w:qFormat/>
    <w:uiPriority w:val="0"/>
    <w:rPr>
      <w:rFonts w:hint="eastAsia" w:ascii="宋体" w:hAnsi="宋体" w:eastAsia="宋体" w:cs="宋体"/>
      <w:color w:val="000000"/>
      <w:sz w:val="20"/>
      <w:szCs w:val="20"/>
      <w:u w:val="none"/>
    </w:rPr>
  </w:style>
  <w:style w:type="character" w:customStyle="1" w:styleId="110">
    <w:name w:val="TableItem Char"/>
    <w:link w:val="111"/>
    <w:qFormat/>
    <w:uiPriority w:val="0"/>
    <w:rPr>
      <w:rFonts w:ascii="Verdana" w:hAnsi="Verdana" w:eastAsia="等线" w:cs="Verdana"/>
      <w:b/>
      <w:bCs/>
      <w:color w:val="538135"/>
      <w:spacing w:val="-10"/>
      <w:sz w:val="16"/>
      <w:szCs w:val="28"/>
      <w:lang w:val="en-US" w:eastAsia="zh-CN" w:bidi="ar-SA"/>
    </w:rPr>
  </w:style>
  <w:style w:type="paragraph" w:customStyle="1" w:styleId="111">
    <w:name w:val="TableItem"/>
    <w:link w:val="110"/>
    <w:qFormat/>
    <w:uiPriority w:val="0"/>
    <w:rPr>
      <w:rFonts w:ascii="Verdana" w:hAnsi="Verdana" w:eastAsia="等线" w:cs="Verdana"/>
      <w:b/>
      <w:bCs/>
      <w:color w:val="538135"/>
      <w:spacing w:val="-10"/>
      <w:sz w:val="16"/>
      <w:szCs w:val="28"/>
      <w:lang w:val="en-US" w:eastAsia="zh-CN" w:bidi="ar-SA"/>
    </w:rPr>
  </w:style>
  <w:style w:type="character" w:customStyle="1" w:styleId="112">
    <w:name w:val="font171"/>
    <w:qFormat/>
    <w:uiPriority w:val="0"/>
    <w:rPr>
      <w:rFonts w:hint="default" w:ascii="Wingdings 2" w:hAnsi="Wingdings 2" w:eastAsia="Wingdings 2" w:cs="Wingdings 2"/>
      <w:color w:val="000000"/>
      <w:sz w:val="18"/>
      <w:szCs w:val="18"/>
      <w:u w:val="none"/>
    </w:rPr>
  </w:style>
  <w:style w:type="character" w:customStyle="1" w:styleId="113">
    <w:name w:val="unnamed1"/>
    <w:qFormat/>
    <w:uiPriority w:val="0"/>
  </w:style>
  <w:style w:type="character" w:customStyle="1" w:styleId="114">
    <w:name w:val="正文文本 3 Char"/>
    <w:qFormat/>
    <w:uiPriority w:val="0"/>
    <w:rPr>
      <w:rFonts w:ascii="Times New Roman" w:hAnsi="Times New Roman" w:eastAsia="仿宋_GB2312"/>
      <w:b/>
      <w:bCs/>
      <w:sz w:val="24"/>
    </w:rPr>
  </w:style>
  <w:style w:type="character" w:customStyle="1" w:styleId="115">
    <w:name w:val="副标题 字符"/>
    <w:qFormat/>
    <w:uiPriority w:val="99"/>
    <w:rPr>
      <w:rFonts w:ascii="宋体" w:hAnsi="Tahoma" w:cs="宋体"/>
      <w:i/>
      <w:iCs/>
      <w:sz w:val="36"/>
      <w:szCs w:val="36"/>
      <w:lang w:val="en-AU"/>
    </w:rPr>
  </w:style>
  <w:style w:type="character" w:customStyle="1" w:styleId="116">
    <w:name w:val="标题 1 Char"/>
    <w:qFormat/>
    <w:uiPriority w:val="0"/>
    <w:rPr>
      <w:rFonts w:ascii="Times New Roman" w:hAnsi="Times New Roman" w:eastAsia="宋体" w:cs="Times New Roman"/>
      <w:b/>
      <w:bCs/>
      <w:kern w:val="44"/>
      <w:sz w:val="44"/>
      <w:szCs w:val="44"/>
    </w:rPr>
  </w:style>
  <w:style w:type="character" w:customStyle="1" w:styleId="117">
    <w:name w:val="文档结构图 Char"/>
    <w:qFormat/>
    <w:uiPriority w:val="0"/>
    <w:rPr>
      <w:rFonts w:ascii="Times New Roman" w:hAnsi="Times New Roman" w:eastAsia="宋体" w:cs="Times New Roman"/>
      <w:szCs w:val="24"/>
      <w:shd w:val="clear" w:color="auto" w:fill="000080"/>
    </w:rPr>
  </w:style>
  <w:style w:type="character" w:customStyle="1" w:styleId="118">
    <w:name w:val="纯文本 Char2"/>
    <w:qFormat/>
    <w:uiPriority w:val="0"/>
    <w:rPr>
      <w:rFonts w:ascii="宋体" w:hAnsi="Times New Roman" w:eastAsia="宋体" w:cs="Times New Roman"/>
      <w:sz w:val="24"/>
      <w:szCs w:val="24"/>
    </w:rPr>
  </w:style>
  <w:style w:type="paragraph" w:customStyle="1" w:styleId="119">
    <w:name w:val="奥特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120">
    <w:name w:val="font8"/>
    <w:basedOn w:val="1"/>
    <w:qFormat/>
    <w:uiPriority w:val="0"/>
    <w:pPr>
      <w:widowControl/>
      <w:spacing w:before="100" w:beforeAutospacing="1" w:after="100" w:afterAutospacing="1" w:line="280" w:lineRule="exact"/>
      <w:jc w:val="left"/>
    </w:pPr>
    <w:rPr>
      <w:b/>
      <w:bCs/>
      <w:kern w:val="0"/>
      <w:sz w:val="32"/>
      <w:szCs w:val="32"/>
    </w:rPr>
  </w:style>
  <w:style w:type="paragraph" w:customStyle="1" w:styleId="121">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22">
    <w:name w:val="Char Char Char Char"/>
    <w:basedOn w:val="1"/>
    <w:qFormat/>
    <w:uiPriority w:val="0"/>
    <w:pPr>
      <w:widowControl/>
      <w:spacing w:after="160" w:line="240" w:lineRule="exact"/>
      <w:jc w:val="left"/>
    </w:pPr>
    <w:rPr>
      <w:szCs w:val="20"/>
    </w:rPr>
  </w:style>
  <w:style w:type="paragraph" w:customStyle="1" w:styleId="123">
    <w:name w:val="xl73"/>
    <w:basedOn w:val="1"/>
    <w:qFormat/>
    <w:uiPriority w:val="0"/>
    <w:pPr>
      <w:widowControl/>
      <w:pBdr>
        <w:top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2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25">
    <w:name w:val="纯文本1"/>
    <w:basedOn w:val="1"/>
    <w:qFormat/>
    <w:uiPriority w:val="99"/>
    <w:pPr>
      <w:spacing w:beforeLines="50" w:afterLines="50" w:line="400" w:lineRule="exact"/>
    </w:pPr>
    <w:rPr>
      <w:rFonts w:ascii="宋体" w:hAnsi="Courier New"/>
      <w:sz w:val="24"/>
    </w:rPr>
  </w:style>
  <w:style w:type="paragraph" w:customStyle="1" w:styleId="126">
    <w:name w:val="font9"/>
    <w:basedOn w:val="1"/>
    <w:qFormat/>
    <w:uiPriority w:val="0"/>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127">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2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29">
    <w:name w:val="xl6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30">
    <w:name w:val="font7"/>
    <w:basedOn w:val="1"/>
    <w:qFormat/>
    <w:uiPriority w:val="0"/>
    <w:pPr>
      <w:widowControl/>
      <w:spacing w:before="100" w:beforeAutospacing="1" w:after="100" w:afterAutospacing="1" w:line="280" w:lineRule="exact"/>
      <w:jc w:val="left"/>
    </w:pPr>
    <w:rPr>
      <w:kern w:val="0"/>
      <w:sz w:val="20"/>
      <w:szCs w:val="20"/>
    </w:rPr>
  </w:style>
  <w:style w:type="paragraph" w:customStyle="1" w:styleId="131">
    <w:name w:val="Char3"/>
    <w:basedOn w:val="1"/>
    <w:qFormat/>
    <w:uiPriority w:val="0"/>
    <w:pPr>
      <w:ind w:firstLine="200" w:firstLineChars="200"/>
      <w:jc w:val="left"/>
    </w:pPr>
    <w:rPr>
      <w:rFonts w:ascii="幼圆" w:hAnsi="宋体" w:eastAsia="幼圆" w:cs="幼圆"/>
      <w:sz w:val="24"/>
      <w:szCs w:val="21"/>
    </w:rPr>
  </w:style>
  <w:style w:type="paragraph" w:customStyle="1" w:styleId="132">
    <w:name w:val="xl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33">
    <w:name w:val="font5"/>
    <w:basedOn w:val="1"/>
    <w:qFormat/>
    <w:uiPriority w:val="0"/>
    <w:pPr>
      <w:widowControl/>
      <w:spacing w:before="100" w:beforeAutospacing="1" w:after="100" w:afterAutospacing="1" w:line="280" w:lineRule="exact"/>
      <w:jc w:val="left"/>
    </w:pPr>
    <w:rPr>
      <w:rFonts w:ascii="宋体" w:hAnsi="宋体" w:cs="宋体"/>
      <w:kern w:val="0"/>
      <w:sz w:val="18"/>
      <w:szCs w:val="18"/>
    </w:rPr>
  </w:style>
  <w:style w:type="paragraph" w:customStyle="1" w:styleId="134">
    <w:name w:val="Char Char Char Char Char Char Char Char Char Char Char Char1 Char1"/>
    <w:basedOn w:val="12"/>
    <w:qFormat/>
    <w:uiPriority w:val="0"/>
    <w:pPr>
      <w:jc w:val="left"/>
    </w:pPr>
    <w:rPr>
      <w:rFonts w:ascii="Tahoma" w:hAnsi="Tahoma" w:cs="Arial"/>
      <w:sz w:val="24"/>
    </w:rPr>
  </w:style>
  <w:style w:type="paragraph" w:customStyle="1" w:styleId="13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6">
    <w:name w:val="table_lines"/>
    <w:basedOn w:val="1"/>
    <w:qFormat/>
    <w:uiPriority w:val="0"/>
    <w:rPr>
      <w:szCs w:val="20"/>
    </w:rPr>
  </w:style>
  <w:style w:type="paragraph" w:customStyle="1" w:styleId="137">
    <w:name w:val="xl86"/>
    <w:basedOn w:val="1"/>
    <w:qFormat/>
    <w:uiPriority w:val="0"/>
    <w:pPr>
      <w:widowControl/>
      <w:shd w:val="clear" w:color="000000" w:fill="FFFFFF"/>
      <w:spacing w:before="100" w:beforeAutospacing="1" w:after="100" w:afterAutospacing="1" w:line="280" w:lineRule="exact"/>
      <w:jc w:val="center"/>
    </w:pPr>
    <w:rPr>
      <w:b/>
      <w:bCs/>
      <w:kern w:val="0"/>
      <w:sz w:val="32"/>
      <w:szCs w:val="32"/>
    </w:rPr>
  </w:style>
  <w:style w:type="paragraph" w:customStyle="1" w:styleId="138">
    <w:name w:val="333"/>
    <w:basedOn w:val="1"/>
    <w:qFormat/>
    <w:uiPriority w:val="0"/>
    <w:pPr>
      <w:adjustRightInd w:val="0"/>
      <w:spacing w:line="312" w:lineRule="atLeast"/>
      <w:textAlignment w:val="baseline"/>
    </w:pPr>
    <w:rPr>
      <w:kern w:val="0"/>
      <w:szCs w:val="20"/>
    </w:rPr>
  </w:style>
  <w:style w:type="paragraph" w:customStyle="1" w:styleId="139">
    <w:name w:val="_Style 77"/>
    <w:basedOn w:val="1"/>
    <w:next w:val="98"/>
    <w:qFormat/>
    <w:uiPriority w:val="34"/>
    <w:pPr>
      <w:tabs>
        <w:tab w:val="left" w:pos="360"/>
      </w:tabs>
      <w:spacing w:line="280" w:lineRule="exact"/>
      <w:ind w:left="360" w:hanging="360"/>
    </w:pPr>
    <w:rPr>
      <w:rFonts w:ascii="Calibri" w:hAnsi="Calibri"/>
      <w:szCs w:val="22"/>
    </w:rPr>
  </w:style>
  <w:style w:type="paragraph" w:customStyle="1" w:styleId="140">
    <w:name w:val="_Style 139"/>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1">
    <w:name w:val="xl9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42">
    <w:name w:val="首行缩进"/>
    <w:basedOn w:val="1"/>
    <w:qFormat/>
    <w:uiPriority w:val="99"/>
    <w:pPr>
      <w:spacing w:line="360" w:lineRule="auto"/>
      <w:ind w:firstLine="480" w:firstLineChars="200"/>
    </w:pPr>
    <w:rPr>
      <w:rFonts w:ascii="Arial" w:hAnsi="Arial" w:cs="Arial"/>
      <w:sz w:val="24"/>
      <w:szCs w:val="22"/>
      <w:lang w:val="zh-CN"/>
    </w:rPr>
  </w:style>
  <w:style w:type="paragraph" w:customStyle="1" w:styleId="143">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44">
    <w:name w:val="自由格式 A"/>
    <w:qFormat/>
    <w:uiPriority w:val="0"/>
    <w:rPr>
      <w:rFonts w:ascii="Helvetica" w:hAnsi="Helvetica" w:eastAsia="ヒラギノ角ゴ Pro W3" w:cs="Times New Roman"/>
      <w:color w:val="000000"/>
      <w:sz w:val="24"/>
      <w:lang w:val="en-US" w:eastAsia="zh-CN" w:bidi="ar-SA"/>
    </w:rPr>
  </w:style>
  <w:style w:type="paragraph" w:customStyle="1" w:styleId="1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146">
    <w:name w:val="_Style 148"/>
    <w:basedOn w:val="1"/>
    <w:next w:val="98"/>
    <w:qFormat/>
    <w:uiPriority w:val="34"/>
    <w:pPr>
      <w:tabs>
        <w:tab w:val="left" w:pos="360"/>
      </w:tabs>
      <w:ind w:left="360" w:hanging="360"/>
    </w:pPr>
    <w:rPr>
      <w:rFonts w:ascii="Calibri" w:hAnsi="Calibri"/>
      <w:szCs w:val="22"/>
    </w:rPr>
  </w:style>
  <w:style w:type="paragraph" w:customStyle="1" w:styleId="147">
    <w:name w:val="Char21"/>
    <w:basedOn w:val="1"/>
    <w:qFormat/>
    <w:uiPriority w:val="0"/>
    <w:pPr>
      <w:jc w:val="left"/>
    </w:pPr>
    <w:rPr>
      <w:rFonts w:ascii="仿宋_GB2312" w:hAnsi="宋体" w:eastAsia="仿宋_GB2312" w:cs="Arial"/>
      <w:b/>
      <w:sz w:val="32"/>
      <w:szCs w:val="32"/>
    </w:rPr>
  </w:style>
  <w:style w:type="paragraph" w:customStyle="1" w:styleId="148">
    <w:name w:val="p15"/>
    <w:basedOn w:val="1"/>
    <w:qFormat/>
    <w:uiPriority w:val="0"/>
    <w:pPr>
      <w:widowControl/>
    </w:pPr>
    <w:rPr>
      <w:kern w:val="0"/>
      <w:szCs w:val="21"/>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51">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52">
    <w:name w:val="table_1stline"/>
    <w:basedOn w:val="1"/>
    <w:qFormat/>
    <w:uiPriority w:val="0"/>
    <w:pPr>
      <w:spacing w:before="120"/>
    </w:pPr>
    <w:rPr>
      <w:bCs/>
      <w:szCs w:val="20"/>
    </w:rPr>
  </w:style>
  <w:style w:type="paragraph" w:customStyle="1" w:styleId="153">
    <w:name w:val="Char1"/>
    <w:basedOn w:val="1"/>
    <w:qFormat/>
    <w:uiPriority w:val="0"/>
    <w:rPr>
      <w:rFonts w:ascii="Tahoma" w:hAnsi="Tahoma"/>
      <w:sz w:val="24"/>
      <w:szCs w:val="20"/>
    </w:rPr>
  </w:style>
  <w:style w:type="paragraph" w:customStyle="1" w:styleId="154">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155">
    <w:name w:val="xl80"/>
    <w:basedOn w:val="1"/>
    <w:qFormat/>
    <w:uiPriority w:val="0"/>
    <w:pPr>
      <w:widowControl/>
      <w:shd w:val="clear" w:color="000000" w:fill="FFFFFF"/>
      <w:spacing w:before="100" w:beforeAutospacing="1" w:after="100" w:afterAutospacing="1" w:line="280" w:lineRule="exact"/>
      <w:jc w:val="center"/>
    </w:pPr>
    <w:rPr>
      <w:kern w:val="0"/>
      <w:sz w:val="20"/>
      <w:szCs w:val="20"/>
    </w:rPr>
  </w:style>
  <w:style w:type="paragraph" w:customStyle="1" w:styleId="156">
    <w:name w:val="xl84"/>
    <w:basedOn w:val="1"/>
    <w:qFormat/>
    <w:uiPriority w:val="0"/>
    <w:pPr>
      <w:widowControl/>
      <w:pBdr>
        <w:lef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57">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158">
    <w:name w:val="p0"/>
    <w:basedOn w:val="1"/>
    <w:qFormat/>
    <w:uiPriority w:val="0"/>
    <w:pPr>
      <w:widowControl/>
    </w:pPr>
    <w:rPr>
      <w:kern w:val="0"/>
      <w:szCs w:val="21"/>
    </w:rPr>
  </w:style>
  <w:style w:type="paragraph" w:customStyle="1" w:styleId="159">
    <w:name w:val="样式1"/>
    <w:basedOn w:val="7"/>
    <w:qFormat/>
    <w:uiPriority w:val="0"/>
  </w:style>
  <w:style w:type="paragraph" w:customStyle="1" w:styleId="160">
    <w:name w:val="列出段落1"/>
    <w:basedOn w:val="1"/>
    <w:qFormat/>
    <w:uiPriority w:val="0"/>
    <w:pPr>
      <w:ind w:firstLine="200" w:firstLineChars="200"/>
    </w:pPr>
    <w:rPr>
      <w:rFonts w:ascii="Calibri" w:hAnsi="Calibri"/>
      <w:szCs w:val="22"/>
    </w:rPr>
  </w:style>
  <w:style w:type="paragraph" w:customStyle="1" w:styleId="161">
    <w:name w:val="Char"/>
    <w:basedOn w:val="1"/>
    <w:qFormat/>
    <w:uiPriority w:val="0"/>
    <w:pPr>
      <w:ind w:firstLine="200" w:firstLineChars="200"/>
    </w:pPr>
    <w:rPr>
      <w:rFonts w:ascii="幼圆" w:eastAsia="幼圆" w:cs="幼圆"/>
      <w:sz w:val="24"/>
      <w:szCs w:val="20"/>
    </w:rPr>
  </w:style>
  <w:style w:type="paragraph" w:customStyle="1" w:styleId="162">
    <w:name w:val="Char2"/>
    <w:basedOn w:val="1"/>
    <w:qFormat/>
    <w:uiPriority w:val="0"/>
    <w:rPr>
      <w:rFonts w:ascii="仿宋_GB2312" w:eastAsia="仿宋_GB2312"/>
      <w:b/>
      <w:sz w:val="32"/>
      <w:szCs w:val="32"/>
    </w:rPr>
  </w:style>
  <w:style w:type="paragraph" w:customStyle="1" w:styleId="163">
    <w:name w:val="正文段"/>
    <w:basedOn w:val="1"/>
    <w:qFormat/>
    <w:uiPriority w:val="0"/>
    <w:pPr>
      <w:widowControl/>
      <w:snapToGrid w:val="0"/>
      <w:spacing w:afterLines="50"/>
      <w:ind w:firstLine="200" w:firstLineChars="200"/>
    </w:pPr>
    <w:rPr>
      <w:kern w:val="0"/>
      <w:sz w:val="24"/>
      <w:szCs w:val="20"/>
    </w:rPr>
  </w:style>
  <w:style w:type="paragraph" w:customStyle="1" w:styleId="164">
    <w:name w:val="xl89"/>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65">
    <w:name w:val="xl7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66">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67">
    <w:name w:val="Char1 Char Char Char"/>
    <w:basedOn w:val="1"/>
    <w:qFormat/>
    <w:uiPriority w:val="0"/>
    <w:pPr>
      <w:tabs>
        <w:tab w:val="left" w:pos="840"/>
      </w:tabs>
      <w:ind w:left="840" w:hanging="420"/>
    </w:pPr>
    <w:rPr>
      <w:sz w:val="24"/>
    </w:rPr>
  </w:style>
  <w:style w:type="paragraph" w:customStyle="1" w:styleId="168">
    <w:name w:val="xl85"/>
    <w:basedOn w:val="1"/>
    <w:qFormat/>
    <w:uiPriority w:val="0"/>
    <w:pPr>
      <w:widowControl/>
      <w:pBdr>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69">
    <w:name w:val="msolistparagraph"/>
    <w:basedOn w:val="1"/>
    <w:qFormat/>
    <w:uiPriority w:val="0"/>
    <w:pPr>
      <w:spacing w:line="280" w:lineRule="exact"/>
      <w:ind w:firstLine="420" w:firstLineChars="200"/>
    </w:pPr>
    <w:rPr>
      <w:rFonts w:ascii="Calibri" w:hAnsi="Calibri"/>
      <w:sz w:val="22"/>
      <w:szCs w:val="22"/>
    </w:rPr>
  </w:style>
  <w:style w:type="paragraph" w:customStyle="1" w:styleId="170">
    <w:name w:val="xl92"/>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1">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72">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73">
    <w:name w:val="正文－恩普"/>
    <w:basedOn w:val="10"/>
    <w:qFormat/>
    <w:uiPriority w:val="0"/>
    <w:pPr>
      <w:widowControl/>
      <w:numPr>
        <w:numId w:val="0"/>
      </w:numPr>
      <w:tabs>
        <w:tab w:val="clear" w:pos="2040"/>
      </w:tabs>
      <w:spacing w:afterLines="50" w:line="360" w:lineRule="auto"/>
      <w:ind w:firstLine="480" w:firstLineChars="200"/>
      <w:jc w:val="left"/>
    </w:pPr>
    <w:rPr>
      <w:kern w:val="0"/>
      <w:sz w:val="24"/>
    </w:rPr>
  </w:style>
  <w:style w:type="paragraph" w:customStyle="1" w:styleId="17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76">
    <w:name w:val="Char Char Char Char Char Char"/>
    <w:basedOn w:val="1"/>
    <w:qFormat/>
    <w:uiPriority w:val="0"/>
    <w:pPr>
      <w:ind w:firstLine="200" w:firstLineChars="200"/>
    </w:pPr>
    <w:rPr>
      <w:rFonts w:ascii="Tahoma" w:hAnsi="Tahoma"/>
      <w:sz w:val="24"/>
      <w:szCs w:val="20"/>
    </w:rPr>
  </w:style>
  <w:style w:type="paragraph" w:customStyle="1" w:styleId="177">
    <w:name w:val="xl65"/>
    <w:basedOn w:val="1"/>
    <w:qFormat/>
    <w:uiPriority w:val="0"/>
    <w:pPr>
      <w:widowControl/>
      <w:shd w:val="clear" w:color="000000" w:fill="FFFFFF"/>
      <w:spacing w:before="100" w:beforeAutospacing="1" w:after="100" w:afterAutospacing="1" w:line="280" w:lineRule="exact"/>
      <w:jc w:val="left"/>
    </w:pPr>
    <w:rPr>
      <w:kern w:val="0"/>
      <w:sz w:val="20"/>
      <w:szCs w:val="20"/>
    </w:rPr>
  </w:style>
  <w:style w:type="paragraph" w:customStyle="1" w:styleId="178">
    <w:name w:val="xl6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7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80">
    <w:name w:val="正文-投标邀请"/>
    <w:basedOn w:val="1"/>
    <w:qFormat/>
    <w:uiPriority w:val="0"/>
    <w:pPr>
      <w:adjustRightInd w:val="0"/>
      <w:snapToGrid w:val="0"/>
    </w:pPr>
    <w:rPr>
      <w:rFonts w:ascii="宋体" w:hAnsi="Calibri"/>
      <w:szCs w:val="21"/>
    </w:rPr>
  </w:style>
  <w:style w:type="paragraph" w:customStyle="1" w:styleId="18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82">
    <w:name w:val="font6"/>
    <w:basedOn w:val="1"/>
    <w:qFormat/>
    <w:uiPriority w:val="0"/>
    <w:pPr>
      <w:widowControl/>
      <w:spacing w:before="100" w:beforeAutospacing="1" w:after="100" w:afterAutospacing="1" w:line="280" w:lineRule="exact"/>
      <w:jc w:val="left"/>
    </w:pPr>
    <w:rPr>
      <w:rFonts w:ascii="宋体" w:hAnsi="宋体" w:cs="宋体"/>
      <w:kern w:val="0"/>
      <w:sz w:val="20"/>
      <w:szCs w:val="20"/>
    </w:rPr>
  </w:style>
  <w:style w:type="paragraph" w:customStyle="1" w:styleId="183">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8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5">
    <w:name w:val="Char Char Char Char Char Char1"/>
    <w:basedOn w:val="1"/>
    <w:qFormat/>
    <w:uiPriority w:val="0"/>
    <w:pPr>
      <w:ind w:firstLine="200" w:firstLineChars="200"/>
      <w:jc w:val="left"/>
    </w:pPr>
    <w:rPr>
      <w:rFonts w:ascii="Tahoma" w:hAnsi="Tahoma" w:cs="Arial"/>
      <w:sz w:val="24"/>
      <w:szCs w:val="21"/>
    </w:rPr>
  </w:style>
  <w:style w:type="paragraph" w:customStyle="1" w:styleId="186">
    <w:name w:val="pa-1"/>
    <w:basedOn w:val="1"/>
    <w:qFormat/>
    <w:uiPriority w:val="0"/>
    <w:pPr>
      <w:widowControl/>
      <w:spacing w:before="100" w:beforeAutospacing="1" w:after="100" w:afterAutospacing="1"/>
      <w:jc w:val="left"/>
    </w:pPr>
    <w:rPr>
      <w:rFonts w:ascii="宋体" w:cs="宋体"/>
      <w:kern w:val="0"/>
      <w:sz w:val="24"/>
    </w:rPr>
  </w:style>
  <w:style w:type="paragraph" w:customStyle="1" w:styleId="187">
    <w:name w:val="_Style 125"/>
    <w:basedOn w:val="1"/>
    <w:next w:val="98"/>
    <w:qFormat/>
    <w:uiPriority w:val="99"/>
    <w:pPr>
      <w:ind w:firstLine="420" w:firstLineChars="200"/>
    </w:pPr>
    <w:rPr>
      <w:rFonts w:ascii="Calibri" w:hAnsi="Calibri"/>
      <w:szCs w:val="22"/>
    </w:rPr>
  </w:style>
  <w:style w:type="paragraph" w:customStyle="1" w:styleId="188">
    <w:name w:val="op_mapdots_left"/>
    <w:basedOn w:val="1"/>
    <w:qFormat/>
    <w:uiPriority w:val="0"/>
    <w:pPr>
      <w:widowControl/>
      <w:jc w:val="left"/>
    </w:pPr>
    <w:rPr>
      <w:rFonts w:ascii="宋体" w:cs="宋体"/>
      <w:kern w:val="0"/>
      <w:sz w:val="24"/>
    </w:rPr>
  </w:style>
  <w:style w:type="paragraph" w:customStyle="1" w:styleId="189">
    <w:name w:val="Char1 Char Char Char1"/>
    <w:basedOn w:val="1"/>
    <w:qFormat/>
    <w:uiPriority w:val="0"/>
    <w:pPr>
      <w:tabs>
        <w:tab w:val="left" w:pos="840"/>
      </w:tabs>
      <w:ind w:left="840" w:hanging="420"/>
      <w:jc w:val="left"/>
    </w:pPr>
    <w:rPr>
      <w:rFonts w:ascii="宋体" w:hAnsi="宋体" w:cs="Arial"/>
      <w:sz w:val="24"/>
    </w:rPr>
  </w:style>
  <w:style w:type="paragraph" w:customStyle="1" w:styleId="1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1">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92">
    <w:name w:val="_Style 86"/>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3">
    <w:name w:val="Char Char Char Char Char Char Char Char Char Char Char Char1 Char"/>
    <w:basedOn w:val="12"/>
    <w:qFormat/>
    <w:uiPriority w:val="0"/>
    <w:rPr>
      <w:rFonts w:ascii="Tahoma" w:hAnsi="Tahoma"/>
      <w:sz w:val="24"/>
    </w:rPr>
  </w:style>
  <w:style w:type="paragraph" w:customStyle="1" w:styleId="194">
    <w:name w:val="列出段落2"/>
    <w:basedOn w:val="1"/>
    <w:qFormat/>
    <w:uiPriority w:val="34"/>
    <w:pPr>
      <w:spacing w:line="300" w:lineRule="auto"/>
      <w:ind w:firstLine="420" w:firstLineChars="200"/>
    </w:pPr>
    <w:rPr>
      <w:rFonts w:ascii="宋体"/>
      <w:kern w:val="0"/>
      <w:sz w:val="24"/>
      <w:szCs w:val="20"/>
    </w:rPr>
  </w:style>
  <w:style w:type="paragraph" w:customStyle="1" w:styleId="195">
    <w:name w:val="Char11"/>
    <w:basedOn w:val="1"/>
    <w:qFormat/>
    <w:uiPriority w:val="0"/>
  </w:style>
  <w:style w:type="paragraph" w:customStyle="1" w:styleId="196">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7">
    <w:name w:val="xl72"/>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8">
    <w:name w:val="tgt2"/>
    <w:basedOn w:val="1"/>
    <w:qFormat/>
    <w:uiPriority w:val="0"/>
    <w:pPr>
      <w:widowControl/>
      <w:spacing w:after="150" w:line="360" w:lineRule="auto"/>
      <w:jc w:val="left"/>
    </w:pPr>
    <w:rPr>
      <w:rFonts w:ascii="宋体" w:cs="宋体"/>
      <w:b/>
      <w:bCs/>
      <w:kern w:val="0"/>
      <w:sz w:val="36"/>
      <w:szCs w:val="36"/>
    </w:rPr>
  </w:style>
  <w:style w:type="paragraph" w:customStyle="1" w:styleId="199">
    <w:name w:val="正文2"/>
    <w:qFormat/>
    <w:uiPriority w:val="0"/>
    <w:pPr>
      <w:jc w:val="both"/>
    </w:pPr>
    <w:rPr>
      <w:rFonts w:ascii="Times New Roman" w:hAnsi="Times New Roman" w:eastAsia="宋体" w:cs="宋体"/>
      <w:kern w:val="2"/>
      <w:sz w:val="21"/>
      <w:szCs w:val="21"/>
      <w:lang w:val="en-US" w:eastAsia="zh-CN" w:bidi="ar-SA"/>
    </w:rPr>
  </w:style>
  <w:style w:type="paragraph" w:customStyle="1" w:styleId="200">
    <w:name w:val="Char Char Char Char1"/>
    <w:basedOn w:val="1"/>
    <w:qFormat/>
    <w:uiPriority w:val="0"/>
    <w:pPr>
      <w:widowControl/>
      <w:spacing w:after="160" w:line="240" w:lineRule="exact"/>
      <w:jc w:val="left"/>
    </w:pPr>
    <w:rPr>
      <w:rFonts w:ascii="宋体" w:hAnsi="宋体" w:cs="Arial"/>
      <w:szCs w:val="21"/>
    </w:rPr>
  </w:style>
  <w:style w:type="paragraph" w:customStyle="1" w:styleId="20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20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0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205">
    <w:name w:val="列出段落11"/>
    <w:basedOn w:val="1"/>
    <w:qFormat/>
    <w:uiPriority w:val="0"/>
    <w:pPr>
      <w:ind w:firstLine="200" w:firstLineChars="200"/>
      <w:jc w:val="left"/>
    </w:pPr>
    <w:rPr>
      <w:rFonts w:ascii="Calibri" w:hAnsi="Calibri" w:cs="Arial"/>
      <w:szCs w:val="22"/>
    </w:rPr>
  </w:style>
  <w:style w:type="paragraph" w:customStyle="1" w:styleId="206">
    <w:name w:val="纯文本2"/>
    <w:basedOn w:val="1"/>
    <w:qFormat/>
    <w:uiPriority w:val="0"/>
    <w:pPr>
      <w:spacing w:before="156" w:beforeLines="50" w:after="156" w:afterLines="50" w:line="400" w:lineRule="exact"/>
    </w:pPr>
    <w:rPr>
      <w:rFonts w:ascii="宋体" w:hAnsi="Courier New"/>
      <w:sz w:val="24"/>
    </w:rPr>
  </w:style>
  <w:style w:type="paragraph" w:customStyle="1" w:styleId="207">
    <w:name w:val="UserStyle_66"/>
    <w:basedOn w:val="1"/>
    <w:qFormat/>
    <w:uiPriority w:val="0"/>
    <w:pPr>
      <w:spacing w:line="280" w:lineRule="exact"/>
    </w:pPr>
    <w:rPr>
      <w:kern w:val="0"/>
      <w:szCs w:val="21"/>
    </w:rPr>
  </w:style>
  <w:style w:type="paragraph" w:customStyle="1" w:styleId="208">
    <w:name w:val="List Paragraph1"/>
    <w:basedOn w:val="1"/>
    <w:qFormat/>
    <w:uiPriority w:val="0"/>
    <w:pPr>
      <w:ind w:firstLine="420" w:firstLineChars="200"/>
    </w:pPr>
    <w:rPr>
      <w:rFonts w:ascii="Calibri" w:hAnsi="Calibri"/>
      <w:szCs w:val="21"/>
    </w:rPr>
  </w:style>
  <w:style w:type="paragraph" w:customStyle="1" w:styleId="20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10">
    <w:name w:val="xl81"/>
    <w:basedOn w:val="1"/>
    <w:qFormat/>
    <w:uiPriority w:val="0"/>
    <w:pPr>
      <w:widowControl/>
      <w:pBdr>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character" w:customStyle="1" w:styleId="211">
    <w:name w:val="font31"/>
    <w:qFormat/>
    <w:uiPriority w:val="0"/>
    <w:rPr>
      <w:rFonts w:hint="eastAsia" w:ascii="宋体" w:hAnsi="宋体" w:eastAsia="宋体" w:cs="宋体"/>
      <w:color w:val="000000"/>
      <w:sz w:val="22"/>
      <w:szCs w:val="22"/>
      <w:u w:val="none"/>
    </w:rPr>
  </w:style>
  <w:style w:type="paragraph" w:customStyle="1" w:styleId="212">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13">
    <w:name w:val="_Style 212"/>
    <w:unhideWhenUsed/>
    <w:qFormat/>
    <w:uiPriority w:val="99"/>
    <w:rPr>
      <w:rFonts w:ascii="Times New Roman" w:hAnsi="Times New Roman" w:eastAsia="宋体" w:cs="Times New Roman"/>
      <w:kern w:val="2"/>
      <w:sz w:val="21"/>
      <w:szCs w:val="24"/>
      <w:lang w:val="en-US" w:eastAsia="zh-CN" w:bidi="ar-SA"/>
    </w:rPr>
  </w:style>
  <w:style w:type="paragraph" w:customStyle="1" w:styleId="214">
    <w:name w:val="列出段落111"/>
    <w:basedOn w:val="1"/>
    <w:qFormat/>
    <w:uiPriority w:val="0"/>
    <w:pPr>
      <w:ind w:firstLine="420" w:firstLineChars="200"/>
    </w:pPr>
  </w:style>
  <w:style w:type="character" w:customStyle="1" w:styleId="215">
    <w:name w:val="批注主题 Char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72</Pages>
  <Words>53991</Words>
  <Characters>57794</Characters>
  <Lines>128</Lines>
  <Paragraphs>149</Paragraphs>
  <TotalTime>0</TotalTime>
  <ScaleCrop>false</ScaleCrop>
  <LinksUpToDate>false</LinksUpToDate>
  <CharactersWithSpaces>62218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2024-05-24T07:09:00Z</dcterms:created>
  <dc:creator>WPS_1614906840</dc:creator>
  <cp:lastModifiedBy>WPS_1614906840</cp:lastModifiedBy>
  <cp:lastPrinted>2024-10-22T02:21:00Z</cp:lastPrinted>
  <dcterms:modified xsi:type="dcterms:W3CDTF">2024-11-01T08:49:59Z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39AD028F4A554B9F9369075F3448AAD9_13</vt:lpwstr>
  </property>
</Properties>
</file>